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86391001" w:displacedByCustomXml="next"/>
    <w:bookmarkStart w:id="1" w:name="_Toc300933414" w:displacedByCustomXml="next"/>
    <w:bookmarkStart w:id="2" w:name="_Toc499794143" w:displacedByCustomXml="next"/>
    <w:sdt>
      <w:sdtPr>
        <w:id w:val="1994979933"/>
        <w:docPartObj>
          <w:docPartGallery w:val="Cover Pages"/>
          <w:docPartUnique/>
        </w:docPartObj>
      </w:sdtPr>
      <w:sdtEndPr>
        <w:rPr>
          <w:bCs/>
        </w:rPr>
      </w:sdtEndPr>
      <w:sdtContent>
        <w:p w:rsidR="0061796C" w:rsidRDefault="009F4939">
          <w:r>
            <w:rPr>
              <w:noProof/>
              <w:lang w:val="en-GB" w:eastAsia="en-GB"/>
            </w:rPr>
            <w:drawing>
              <wp:anchor distT="0" distB="0" distL="114300" distR="114300" simplePos="0" relativeHeight="251660288" behindDoc="0" locked="0" layoutInCell="1" allowOverlap="1">
                <wp:simplePos x="0" y="0"/>
                <wp:positionH relativeFrom="margin">
                  <wp:align>left</wp:align>
                </wp:positionH>
                <wp:positionV relativeFrom="paragraph">
                  <wp:posOffset>3337</wp:posOffset>
                </wp:positionV>
                <wp:extent cx="2541182" cy="398415"/>
                <wp:effectExtent l="0" t="0" r="0" b="1905"/>
                <wp:wrapNone/>
                <wp:docPr id="2" name="Picture 2" descr="FSA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ANZ logo primar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4044" cy="401999"/>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Y="3927"/>
            <w:tblW w:w="0" w:type="auto"/>
            <w:tblLook w:val="04A0" w:firstRow="1" w:lastRow="0" w:firstColumn="1" w:lastColumn="0" w:noHBand="0" w:noVBand="1"/>
            <w:tblDescription w:val="&quot;&quot;"/>
          </w:tblPr>
          <w:tblGrid>
            <w:gridCol w:w="9070"/>
          </w:tblGrid>
          <w:tr w:rsidR="0061796C" w:rsidTr="00D93C21">
            <w:trPr>
              <w:trHeight w:val="3964"/>
              <w:tblHeader/>
            </w:trPr>
            <w:tc>
              <w:tcPr>
                <w:tcW w:w="9070" w:type="dxa"/>
              </w:tcPr>
              <w:p w:rsidR="0061796C" w:rsidRDefault="0061796C" w:rsidP="00DF777E">
                <w:pPr>
                  <w:pStyle w:val="Heading1"/>
                  <w:jc w:val="right"/>
                </w:pPr>
              </w:p>
            </w:tc>
          </w:tr>
          <w:tr w:rsidR="0061796C" w:rsidTr="00D93C21">
            <w:tc>
              <w:tcPr>
                <w:tcW w:w="9070" w:type="dxa"/>
              </w:tcPr>
              <w:p w:rsidR="0061796C" w:rsidRDefault="00D93C21" w:rsidP="00D93C21">
                <w:pPr>
                  <w:pStyle w:val="Heading3"/>
                  <w:framePr w:hSpace="0" w:wrap="auto" w:vAnchor="margin" w:hAnchor="text" w:yAlign="inline"/>
                </w:pPr>
                <w:bookmarkStart w:id="3" w:name="_Toc34209372"/>
                <w:r>
                  <w:t xml:space="preserve">Preliminary risk assessment of </w:t>
                </w:r>
                <w:r>
                  <w:br/>
                  <w:t xml:space="preserve">3-monochloropropanediol (3-MCPD) glycidyl esters </w:t>
                </w:r>
                <w:r>
                  <w:br/>
                </w:r>
                <w:r w:rsidRPr="004A29C1">
                  <w:t>from infant formula</w:t>
                </w:r>
                <w:bookmarkEnd w:id="3"/>
              </w:p>
            </w:tc>
          </w:tr>
          <w:tr w:rsidR="0061796C" w:rsidTr="00D93C21">
            <w:trPr>
              <w:trHeight w:val="5517"/>
            </w:trPr>
            <w:tc>
              <w:tcPr>
                <w:tcW w:w="9070" w:type="dxa"/>
              </w:tcPr>
              <w:p w:rsidR="0061796C" w:rsidRDefault="00D93C21" w:rsidP="00DF777E">
                <w:pPr>
                  <w:pStyle w:val="Subtitle"/>
                  <w:jc w:val="right"/>
                </w:pPr>
                <w:r>
                  <w:rPr>
                    <w:color w:val="000000" w:themeColor="text1"/>
                  </w:rPr>
                  <w:t>6 March 2020</w:t>
                </w:r>
              </w:p>
            </w:tc>
          </w:tr>
        </w:tbl>
        <w:p w:rsidR="00480D15" w:rsidRPr="0061796C" w:rsidRDefault="000B340F" w:rsidP="0061796C">
          <w:pPr>
            <w:spacing w:after="0"/>
            <w:rPr>
              <w:bCs/>
            </w:rPr>
          </w:pPr>
        </w:p>
      </w:sdtContent>
    </w:sdt>
    <w:p w:rsidR="0061796C" w:rsidRDefault="009F4939">
      <w:pPr>
        <w:spacing w:after="0"/>
        <w:rPr>
          <w:rFonts w:eastAsia="Calibri" w:cstheme="majorBidi"/>
          <w:bCs/>
          <w:color w:val="0E495D"/>
          <w:sz w:val="48"/>
          <w:szCs w:val="28"/>
        </w:rPr>
      </w:pPr>
      <w:r w:rsidRPr="00DC1748">
        <w:rPr>
          <w:noProof/>
          <w:lang w:val="en-GB" w:eastAsia="en-GB"/>
        </w:rPr>
        <w:drawing>
          <wp:anchor distT="0" distB="0" distL="114300" distR="114300" simplePos="0" relativeHeight="251659264" behindDoc="1" locked="0" layoutInCell="1" allowOverlap="1" wp14:anchorId="090794D5" wp14:editId="02E56BED">
            <wp:simplePos x="0" y="0"/>
            <wp:positionH relativeFrom="page">
              <wp:posOffset>-63795</wp:posOffset>
            </wp:positionH>
            <wp:positionV relativeFrom="paragraph">
              <wp:posOffset>5037293</wp:posOffset>
            </wp:positionV>
            <wp:extent cx="7765222" cy="4399664"/>
            <wp:effectExtent l="0" t="0" r="7620" b="1270"/>
            <wp:wrapNone/>
            <wp:docPr id="5" name="Picture 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page-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1416" cy="4403173"/>
                    </a:xfrm>
                    <a:prstGeom prst="rect">
                      <a:avLst/>
                    </a:prstGeom>
                  </pic:spPr>
                </pic:pic>
              </a:graphicData>
            </a:graphic>
            <wp14:sizeRelH relativeFrom="page">
              <wp14:pctWidth>0</wp14:pctWidth>
            </wp14:sizeRelH>
            <wp14:sizeRelV relativeFrom="page">
              <wp14:pctHeight>0</wp14:pctHeight>
            </wp14:sizeRelV>
          </wp:anchor>
        </w:drawing>
      </w:r>
      <w:r w:rsidR="0061796C">
        <w:rPr>
          <w:rFonts w:eastAsia="Calibri"/>
          <w:sz w:val="48"/>
        </w:rPr>
        <w:br w:type="page"/>
      </w:r>
    </w:p>
    <w:p w:rsidR="00CB521D" w:rsidRDefault="0061796C" w:rsidP="0061796C">
      <w:pPr>
        <w:pStyle w:val="NonTOCheading2"/>
      </w:pPr>
      <w:r w:rsidRPr="0061796C">
        <w:lastRenderedPageBreak/>
        <w:t>Executive summary</w:t>
      </w:r>
    </w:p>
    <w:p w:rsidR="00D93C21" w:rsidRPr="000A6FEA" w:rsidRDefault="00D93C21" w:rsidP="00D93C21">
      <w:r>
        <w:t>3-MCPD esters and glycidyl esters are substances that can form during the processing of oils, when they are being decolourised and deodorised before their sale or use as an ingredient in other foods such as cooking oils, margarines and infant formulas.</w:t>
      </w:r>
    </w:p>
    <w:p w:rsidR="00D93C21" w:rsidRDefault="00D93C21" w:rsidP="00D93C21">
      <w:r>
        <w:t>F</w:t>
      </w:r>
      <w:r w:rsidRPr="00172509">
        <w:t xml:space="preserve">ood safety </w:t>
      </w:r>
      <w:r>
        <w:t xml:space="preserve">and regulatory </w:t>
      </w:r>
      <w:r w:rsidRPr="00172509">
        <w:t xml:space="preserve">bodies around the world have known about </w:t>
      </w:r>
      <w:r>
        <w:t>3-MCPD esters and glycidyl esters in food for several years but an internationally-agreed analytical method has not previously been available. There is some concern internationally about the levels of these substances in the food supply because there is evidence that they cause cancer in laboratory animals.</w:t>
      </w:r>
    </w:p>
    <w:p w:rsidR="00D93C21" w:rsidRDefault="00D93C21" w:rsidP="00D93C21">
      <w:r>
        <w:t>To understand how levels in Australian and New Zealand oils and infant formula compare to those found internationally,</w:t>
      </w:r>
      <w:r w:rsidRPr="00F17812">
        <w:t xml:space="preserve"> New Zealand </w:t>
      </w:r>
      <w:r>
        <w:t>Food Safety</w:t>
      </w:r>
      <w:r w:rsidRPr="00F17812">
        <w:t xml:space="preserve"> (NZ</w:t>
      </w:r>
      <w:r>
        <w:t>FS</w:t>
      </w:r>
      <w:r w:rsidRPr="00F17812">
        <w:t>)</w:t>
      </w:r>
      <w:r>
        <w:t>, with input from Food Standards Australia New Zealand (FSANZ), coordinated a</w:t>
      </w:r>
      <w:r w:rsidRPr="00F17812">
        <w:t xml:space="preserve"> snap-shot </w:t>
      </w:r>
      <w:r>
        <w:t xml:space="preserve">analytical </w:t>
      </w:r>
      <w:r w:rsidRPr="00F17812">
        <w:t>survey</w:t>
      </w:r>
      <w:r>
        <w:t>,</w:t>
      </w:r>
      <w:r w:rsidRPr="00F17812">
        <w:t xml:space="preserve"> </w:t>
      </w:r>
      <w:r>
        <w:t>which included</w:t>
      </w:r>
      <w:r w:rsidRPr="00F17812">
        <w:t xml:space="preserve"> 3-monochloropropanediol </w:t>
      </w:r>
      <w:r>
        <w:t>(</w:t>
      </w:r>
      <w:r w:rsidRPr="00F17812">
        <w:t>3-MCPD)</w:t>
      </w:r>
      <w:r>
        <w:t xml:space="preserve"> and</w:t>
      </w:r>
      <w:r w:rsidRPr="00F17812">
        <w:t xml:space="preserve"> glycid</w:t>
      </w:r>
      <w:r>
        <w:t>y</w:t>
      </w:r>
      <w:r w:rsidRPr="00F17812">
        <w:t xml:space="preserve">l esters in </w:t>
      </w:r>
      <w:r>
        <w:t>cooking oils and infant formula. The survey also helped to identify a suitable analytical method to support future testing for 3-MCPD and glycidyl esters.</w:t>
      </w:r>
    </w:p>
    <w:p w:rsidR="00D93C21" w:rsidRDefault="00D93C21" w:rsidP="00D93C21">
      <w:r>
        <w:t xml:space="preserve">In total, 44 samples of oils and </w:t>
      </w:r>
      <w:r w:rsidRPr="006D3DF0">
        <w:t xml:space="preserve">56 samples of infant formula </w:t>
      </w:r>
      <w:r>
        <w:t xml:space="preserve">were analysed. Overall, the survey found that levels </w:t>
      </w:r>
      <w:r w:rsidRPr="00625E97">
        <w:t xml:space="preserve">of both 3-MCPD esters and glycidyl esters </w:t>
      </w:r>
      <w:r>
        <w:t>in oils and infant formula were</w:t>
      </w:r>
      <w:r w:rsidRPr="00625E97">
        <w:t xml:space="preserve"> </w:t>
      </w:r>
      <w:r>
        <w:t xml:space="preserve">broadly consistent with those found internationally and generally very low. Results of the analytical survey can be found </w:t>
      </w:r>
      <w:r w:rsidRPr="00D93C21">
        <w:rPr>
          <w:color w:val="000000" w:themeColor="text1"/>
        </w:rPr>
        <w:t>at</w:t>
      </w:r>
      <w:r w:rsidRPr="00B23AD8">
        <w:rPr>
          <w:color w:val="FF0000"/>
        </w:rPr>
        <w:t xml:space="preserve"> </w:t>
      </w:r>
      <w:hyperlink r:id="rId11" w:history="1">
        <w:r>
          <w:rPr>
            <w:rStyle w:val="Hyperlink"/>
          </w:rPr>
          <w:t>https://www.mpi.govt.nz/food-safety/food-safety-and-suitability-research/food-science-research/chemical-hazard-and-mycotoxin-research/</w:t>
        </w:r>
      </w:hyperlink>
      <w:r>
        <w:t>.</w:t>
      </w:r>
    </w:p>
    <w:p w:rsidR="00D93C21" w:rsidRDefault="00D93C21" w:rsidP="00D93C21">
      <w:r>
        <w:t>Based on the findings of the survey, FSANZ undertook</w:t>
      </w:r>
      <w:r w:rsidRPr="006D3DF0">
        <w:t xml:space="preserve"> a preliminary risk assessment</w:t>
      </w:r>
      <w:r>
        <w:t xml:space="preserve"> of dietary exposure to 3 month old infants to identify any potential health and safety risks.</w:t>
      </w:r>
    </w:p>
    <w:p w:rsidR="00D93C21" w:rsidRDefault="00D93C21" w:rsidP="00D93C21">
      <w:r w:rsidRPr="000A6FEA">
        <w:t>3-MCPD esters and glycidyl esters were evaluated by the Joint FAO/WHO Expert Committee on Food Additives (JECFA) at their 83rd meeting in 2016. JECFA established a group provisional maximum tolerable daily intake (PMTDI)</w:t>
      </w:r>
      <w:r>
        <w:rPr>
          <w:rStyle w:val="FootnoteReference"/>
        </w:rPr>
        <w:footnoteReference w:id="1"/>
      </w:r>
      <w:r w:rsidRPr="000A6FEA">
        <w:t xml:space="preserve"> of 4 µg/kg bw for 3-MCPD esters. For glycidyl esters, JECFA identified a BMDL</w:t>
      </w:r>
      <w:r w:rsidRPr="005075B8">
        <w:rPr>
          <w:vertAlign w:val="subscript"/>
        </w:rPr>
        <w:t>10</w:t>
      </w:r>
      <w:r>
        <w:rPr>
          <w:rStyle w:val="FootnoteReference"/>
        </w:rPr>
        <w:footnoteReference w:id="2"/>
      </w:r>
      <w:r>
        <w:t xml:space="preserve"> </w:t>
      </w:r>
      <w:r w:rsidRPr="000A6FEA">
        <w:t>of 2.4 mg/kg bw/day as the point of departure for calculating a margin of exposure (MOE).</w:t>
      </w:r>
      <w:r>
        <w:rPr>
          <w:rStyle w:val="FootnoteReference"/>
        </w:rPr>
        <w:footnoteReference w:id="3"/>
      </w:r>
    </w:p>
    <w:p w:rsidR="00D93C21" w:rsidRDefault="00D93C21" w:rsidP="00D93C21">
      <w:r w:rsidRPr="002835CA">
        <w:t>Estimated dietary exposures to 3-MCPD esters for 3 month old infants ranged between 0.93 and 3.39 μg/k</w:t>
      </w:r>
      <w:r>
        <w:t>g bw/day, below the PMTDI</w:t>
      </w:r>
      <w:r w:rsidRPr="002835CA">
        <w:t>, indicating that there are no public health concerns at current exposure levels. For glycidyl esters, the estimated dietary exposures</w:t>
      </w:r>
      <w:r>
        <w:t xml:space="preserve"> for 3 month old infants</w:t>
      </w:r>
      <w:r w:rsidRPr="002835CA">
        <w:t xml:space="preserve"> ranged between 0.21 and 2.75 μg/kg bw/day. </w:t>
      </w:r>
      <w:r>
        <w:t xml:space="preserve">Based on these exposure estimates, the </w:t>
      </w:r>
      <w:r w:rsidRPr="002835CA">
        <w:t xml:space="preserve">MOEs </w:t>
      </w:r>
      <w:r>
        <w:t xml:space="preserve">are </w:t>
      </w:r>
      <w:r w:rsidRPr="002835CA">
        <w:t>within the range considered to be of possible concern by JECFA.</w:t>
      </w:r>
      <w:r>
        <w:t xml:space="preserve"> </w:t>
      </w:r>
    </w:p>
    <w:p w:rsidR="00D93C21" w:rsidRDefault="00D93C21" w:rsidP="00D93C21">
      <w:r>
        <w:t>However, the preliminary nature of the survey with non-representative sampling of infant formula and limited data points, limit the potential to draw any firm conclusions. T</w:t>
      </w:r>
      <w:r w:rsidRPr="00A37F31">
        <w:t xml:space="preserve">he benefits of continuing to provide formula to infants far outweighs any potential health concerns associated with low levels of </w:t>
      </w:r>
      <w:r>
        <w:t xml:space="preserve">glycidyl esters </w:t>
      </w:r>
      <w:r w:rsidRPr="00A37F31">
        <w:t>that may be present in some formula products. Infant formula is  the only safe alternative to breast milk for infants.</w:t>
      </w:r>
    </w:p>
    <w:p w:rsidR="00D93C21" w:rsidRPr="000A6FEA" w:rsidRDefault="00D93C21" w:rsidP="00D93C21">
      <w:pPr>
        <w:keepNext/>
        <w:keepLines/>
      </w:pPr>
      <w:r>
        <w:lastRenderedPageBreak/>
        <w:t>Australia and New Zealand have contributed to the development of an international code of practice by the Codex Alimentarius to reduce levels that occur in food. The Code of Practice was adopted in 2019 and will help manufacturers prevent and reduce levels</w:t>
      </w:r>
      <w:r w:rsidRPr="00443822">
        <w:t xml:space="preserve"> of 3-MCPD esters and </w:t>
      </w:r>
      <w:r w:rsidRPr="000A6FEA">
        <w:t>glycidyl esters</w:t>
      </w:r>
      <w:r w:rsidRPr="00443822">
        <w:t xml:space="preserve"> in refined oils and food products containing refined oils.</w:t>
      </w:r>
    </w:p>
    <w:p w:rsidR="00D93C21" w:rsidRDefault="00D93C21" w:rsidP="00D93C21">
      <w:r>
        <w:t>An industry T</w:t>
      </w:r>
      <w:r w:rsidRPr="00B71422">
        <w:t xml:space="preserve">oolbox was also developed several years ago, and industry has been encouraged to continue reducing levels to as low as reasonably achievable (ALARA) by adopting the measures outlined in this </w:t>
      </w:r>
      <w:hyperlink r:id="rId12" w:history="1">
        <w:r>
          <w:rPr>
            <w:rStyle w:val="Hyperlink"/>
          </w:rPr>
          <w:t>Industry Toolbox</w:t>
        </w:r>
      </w:hyperlink>
      <w:hyperlink r:id="rId13" w:history="1"/>
      <w:r w:rsidRPr="00B71422">
        <w:t xml:space="preserve"> </w:t>
      </w:r>
      <w:r>
        <w:t>(BLL and FoodDrink Europe).</w:t>
      </w:r>
    </w:p>
    <w:p w:rsidR="00D93C21" w:rsidRDefault="00D93C21" w:rsidP="00D93C21">
      <w:r w:rsidRPr="00B71422">
        <w:t xml:space="preserve">Now the Codex Code of Practice has been adopted, NZFS and FSANZ will look for opportunities to monitor its uptake and use, and to </w:t>
      </w:r>
      <w:r>
        <w:t xml:space="preserve">facilitating continued reductions to </w:t>
      </w:r>
      <w:r w:rsidRPr="00B71422">
        <w:t>levels in vegetable oils and infant formula over time.</w:t>
      </w:r>
    </w:p>
    <w:p w:rsidR="00D93C21" w:rsidRDefault="00D93C21" w:rsidP="00D93C21"/>
    <w:p w:rsidR="00B56022" w:rsidRDefault="00B56022" w:rsidP="00B56022">
      <w:pPr>
        <w:rPr>
          <w:bCs/>
        </w:rPr>
      </w:pPr>
    </w:p>
    <w:p w:rsidR="0061796C" w:rsidRPr="00545135" w:rsidRDefault="0061796C" w:rsidP="00B56022">
      <w:pPr>
        <w:rPr>
          <w:bCs/>
        </w:rPr>
        <w:sectPr w:rsidR="0061796C" w:rsidRPr="00545135" w:rsidSect="0061796C">
          <w:headerReference w:type="default" r:id="rId14"/>
          <w:footerReference w:type="default" r:id="rId15"/>
          <w:type w:val="continuous"/>
          <w:pgSz w:w="11906" w:h="16838" w:code="9"/>
          <w:pgMar w:top="1418" w:right="1418" w:bottom="1418" w:left="1418" w:header="510" w:footer="346" w:gutter="0"/>
          <w:cols w:space="708"/>
          <w:titlePg/>
          <w:docGrid w:linePitch="360"/>
        </w:sectPr>
      </w:pPr>
    </w:p>
    <w:sdt>
      <w:sdtPr>
        <w:rPr>
          <w:rFonts w:ascii="Cambria" w:eastAsiaTheme="minorHAnsi" w:hAnsi="Cambria" w:cs="Arial"/>
          <w:color w:val="2E3037"/>
          <w:sz w:val="22"/>
          <w:szCs w:val="22"/>
          <w:lang w:val="en-GB"/>
        </w:rPr>
        <w:id w:val="21514769"/>
        <w:docPartObj>
          <w:docPartGallery w:val="Table of Contents"/>
          <w:docPartUnique/>
        </w:docPartObj>
      </w:sdtPr>
      <w:sdtEndPr>
        <w:rPr>
          <w:rFonts w:ascii="Arial" w:eastAsia="Cambria" w:hAnsi="Arial" w:cs="Times New Roman"/>
          <w:sz w:val="28"/>
          <w:szCs w:val="20"/>
          <w:lang w:val="en-AU"/>
        </w:rPr>
      </w:sdtEndPr>
      <w:sdtContent>
        <w:p w:rsidR="00B56022" w:rsidRPr="00215D48" w:rsidRDefault="00B56022" w:rsidP="0061796C">
          <w:pPr>
            <w:pStyle w:val="NonTOCheading2"/>
          </w:pPr>
          <w:r w:rsidRPr="00215D48">
            <w:t>Contents</w:t>
          </w:r>
        </w:p>
        <w:p w:rsidR="00A04C6C" w:rsidRPr="00A04C6C" w:rsidRDefault="00A2333F">
          <w:pPr>
            <w:pStyle w:val="TOC2"/>
            <w:rPr>
              <w:rFonts w:asciiTheme="minorHAnsi" w:eastAsiaTheme="minorEastAsia" w:hAnsiTheme="minorHAnsi" w:cstheme="minorBidi"/>
              <w:b w:val="0"/>
              <w:noProof/>
              <w:color w:val="auto"/>
              <w:sz w:val="20"/>
              <w:lang w:val="en-GB" w:eastAsia="en-GB"/>
            </w:rPr>
          </w:pPr>
          <w:r>
            <w:fldChar w:fldCharType="begin"/>
          </w:r>
          <w:r>
            <w:instrText xml:space="preserve"> TOC \h \z \u \t "Heading 2,1,Heading 3,2,Heading 4,3,Application date,1" </w:instrText>
          </w:r>
          <w:r>
            <w:fldChar w:fldCharType="separate"/>
          </w:r>
        </w:p>
        <w:p w:rsidR="00A04C6C" w:rsidRPr="00A04C6C" w:rsidRDefault="000B340F">
          <w:pPr>
            <w:pStyle w:val="TOC1"/>
            <w:rPr>
              <w:rFonts w:asciiTheme="minorHAnsi" w:eastAsiaTheme="minorEastAsia" w:hAnsiTheme="minorHAnsi" w:cstheme="minorBidi"/>
              <w:b w:val="0"/>
              <w:noProof/>
              <w:color w:val="auto"/>
              <w:sz w:val="20"/>
              <w:lang w:val="en-GB" w:eastAsia="en-GB"/>
            </w:rPr>
          </w:pPr>
          <w:hyperlink w:anchor="_Toc34209373" w:history="1">
            <w:r w:rsidR="00A04C6C" w:rsidRPr="00A04C6C">
              <w:rPr>
                <w:rStyle w:val="Hyperlink"/>
                <w:noProof/>
                <w:sz w:val="20"/>
              </w:rPr>
              <w:t>Background</w:t>
            </w:r>
            <w:r w:rsidR="00A04C6C" w:rsidRPr="00A04C6C">
              <w:rPr>
                <w:noProof/>
                <w:webHidden/>
                <w:sz w:val="20"/>
              </w:rPr>
              <w:tab/>
            </w:r>
            <w:r w:rsidR="00A04C6C" w:rsidRPr="00A04C6C">
              <w:rPr>
                <w:noProof/>
                <w:webHidden/>
                <w:sz w:val="20"/>
              </w:rPr>
              <w:fldChar w:fldCharType="begin"/>
            </w:r>
            <w:r w:rsidR="00A04C6C" w:rsidRPr="00A04C6C">
              <w:rPr>
                <w:noProof/>
                <w:webHidden/>
                <w:sz w:val="20"/>
              </w:rPr>
              <w:instrText xml:space="preserve"> PAGEREF _Toc34209373 \h </w:instrText>
            </w:r>
            <w:r w:rsidR="00A04C6C" w:rsidRPr="00A04C6C">
              <w:rPr>
                <w:noProof/>
                <w:webHidden/>
                <w:sz w:val="20"/>
              </w:rPr>
            </w:r>
            <w:r w:rsidR="00A04C6C" w:rsidRPr="00A04C6C">
              <w:rPr>
                <w:noProof/>
                <w:webHidden/>
                <w:sz w:val="20"/>
              </w:rPr>
              <w:fldChar w:fldCharType="separate"/>
            </w:r>
            <w:r w:rsidR="00E73E1C">
              <w:rPr>
                <w:noProof/>
                <w:webHidden/>
                <w:sz w:val="20"/>
              </w:rPr>
              <w:t>5</w:t>
            </w:r>
            <w:r w:rsidR="00A04C6C" w:rsidRPr="00A04C6C">
              <w:rPr>
                <w:noProof/>
                <w:webHidden/>
                <w:sz w:val="20"/>
              </w:rPr>
              <w:fldChar w:fldCharType="end"/>
            </w:r>
          </w:hyperlink>
        </w:p>
        <w:p w:rsidR="00A04C6C" w:rsidRPr="00A04C6C" w:rsidRDefault="000B340F">
          <w:pPr>
            <w:pStyle w:val="TOC1"/>
            <w:rPr>
              <w:rFonts w:asciiTheme="minorHAnsi" w:eastAsiaTheme="minorEastAsia" w:hAnsiTheme="minorHAnsi" w:cstheme="minorBidi"/>
              <w:b w:val="0"/>
              <w:noProof/>
              <w:color w:val="auto"/>
              <w:sz w:val="20"/>
              <w:lang w:val="en-GB" w:eastAsia="en-GB"/>
            </w:rPr>
          </w:pPr>
          <w:hyperlink w:anchor="_Toc34209374" w:history="1">
            <w:r w:rsidR="00A04C6C" w:rsidRPr="00A04C6C">
              <w:rPr>
                <w:rStyle w:val="Hyperlink"/>
                <w:noProof/>
                <w:sz w:val="20"/>
              </w:rPr>
              <w:t>Methods and analytical survey</w:t>
            </w:r>
            <w:r w:rsidR="00A04C6C" w:rsidRPr="00A04C6C">
              <w:rPr>
                <w:noProof/>
                <w:webHidden/>
                <w:sz w:val="20"/>
              </w:rPr>
              <w:tab/>
            </w:r>
            <w:r w:rsidR="00A04C6C" w:rsidRPr="00A04C6C">
              <w:rPr>
                <w:noProof/>
                <w:webHidden/>
                <w:sz w:val="20"/>
              </w:rPr>
              <w:fldChar w:fldCharType="begin"/>
            </w:r>
            <w:r w:rsidR="00A04C6C" w:rsidRPr="00A04C6C">
              <w:rPr>
                <w:noProof/>
                <w:webHidden/>
                <w:sz w:val="20"/>
              </w:rPr>
              <w:instrText xml:space="preserve"> PAGEREF _Toc34209374 \h </w:instrText>
            </w:r>
            <w:r w:rsidR="00A04C6C" w:rsidRPr="00A04C6C">
              <w:rPr>
                <w:noProof/>
                <w:webHidden/>
                <w:sz w:val="20"/>
              </w:rPr>
            </w:r>
            <w:r w:rsidR="00A04C6C" w:rsidRPr="00A04C6C">
              <w:rPr>
                <w:noProof/>
                <w:webHidden/>
                <w:sz w:val="20"/>
              </w:rPr>
              <w:fldChar w:fldCharType="separate"/>
            </w:r>
            <w:r w:rsidR="00E73E1C">
              <w:rPr>
                <w:noProof/>
                <w:webHidden/>
                <w:sz w:val="20"/>
              </w:rPr>
              <w:t>5</w:t>
            </w:r>
            <w:r w:rsidR="00A04C6C" w:rsidRPr="00A04C6C">
              <w:rPr>
                <w:noProof/>
                <w:webHidden/>
                <w:sz w:val="20"/>
              </w:rPr>
              <w:fldChar w:fldCharType="end"/>
            </w:r>
          </w:hyperlink>
        </w:p>
        <w:p w:rsidR="00A04C6C" w:rsidRPr="00A04C6C" w:rsidRDefault="000B340F">
          <w:pPr>
            <w:pStyle w:val="TOC1"/>
            <w:rPr>
              <w:rFonts w:asciiTheme="minorHAnsi" w:eastAsiaTheme="minorEastAsia" w:hAnsiTheme="minorHAnsi" w:cstheme="minorBidi"/>
              <w:b w:val="0"/>
              <w:noProof/>
              <w:color w:val="auto"/>
              <w:sz w:val="20"/>
              <w:lang w:val="en-GB" w:eastAsia="en-GB"/>
            </w:rPr>
          </w:pPr>
          <w:hyperlink w:anchor="_Toc34209375" w:history="1">
            <w:r w:rsidR="00A04C6C" w:rsidRPr="00A04C6C">
              <w:rPr>
                <w:rStyle w:val="Hyperlink"/>
                <w:noProof/>
                <w:sz w:val="20"/>
              </w:rPr>
              <w:t>Hazard identification and characterisation</w:t>
            </w:r>
            <w:r w:rsidR="00A04C6C" w:rsidRPr="00A04C6C">
              <w:rPr>
                <w:noProof/>
                <w:webHidden/>
                <w:sz w:val="20"/>
              </w:rPr>
              <w:tab/>
            </w:r>
            <w:r w:rsidR="00A04C6C" w:rsidRPr="00A04C6C">
              <w:rPr>
                <w:noProof/>
                <w:webHidden/>
                <w:sz w:val="20"/>
              </w:rPr>
              <w:fldChar w:fldCharType="begin"/>
            </w:r>
            <w:r w:rsidR="00A04C6C" w:rsidRPr="00A04C6C">
              <w:rPr>
                <w:noProof/>
                <w:webHidden/>
                <w:sz w:val="20"/>
              </w:rPr>
              <w:instrText xml:space="preserve"> PAGEREF _Toc34209375 \h </w:instrText>
            </w:r>
            <w:r w:rsidR="00A04C6C" w:rsidRPr="00A04C6C">
              <w:rPr>
                <w:noProof/>
                <w:webHidden/>
                <w:sz w:val="20"/>
              </w:rPr>
            </w:r>
            <w:r w:rsidR="00A04C6C" w:rsidRPr="00A04C6C">
              <w:rPr>
                <w:noProof/>
                <w:webHidden/>
                <w:sz w:val="20"/>
              </w:rPr>
              <w:fldChar w:fldCharType="separate"/>
            </w:r>
            <w:r w:rsidR="00E73E1C">
              <w:rPr>
                <w:noProof/>
                <w:webHidden/>
                <w:sz w:val="20"/>
              </w:rPr>
              <w:t>6</w:t>
            </w:r>
            <w:r w:rsidR="00A04C6C" w:rsidRPr="00A04C6C">
              <w:rPr>
                <w:noProof/>
                <w:webHidden/>
                <w:sz w:val="20"/>
              </w:rPr>
              <w:fldChar w:fldCharType="end"/>
            </w:r>
          </w:hyperlink>
        </w:p>
        <w:p w:rsidR="00A04C6C" w:rsidRPr="00A04C6C" w:rsidRDefault="000B340F">
          <w:pPr>
            <w:pStyle w:val="TOC1"/>
            <w:rPr>
              <w:rFonts w:asciiTheme="minorHAnsi" w:eastAsiaTheme="minorEastAsia" w:hAnsiTheme="minorHAnsi" w:cstheme="minorBidi"/>
              <w:b w:val="0"/>
              <w:noProof/>
              <w:color w:val="auto"/>
              <w:sz w:val="20"/>
              <w:lang w:val="en-GB" w:eastAsia="en-GB"/>
            </w:rPr>
          </w:pPr>
          <w:hyperlink w:anchor="_Toc34209376" w:history="1">
            <w:r w:rsidR="00A04C6C" w:rsidRPr="00A04C6C">
              <w:rPr>
                <w:rStyle w:val="Hyperlink"/>
                <w:noProof/>
                <w:sz w:val="20"/>
              </w:rPr>
              <w:t>Dietary exposure assessment</w:t>
            </w:r>
            <w:r w:rsidR="00A04C6C" w:rsidRPr="00A04C6C">
              <w:rPr>
                <w:noProof/>
                <w:webHidden/>
                <w:sz w:val="20"/>
              </w:rPr>
              <w:tab/>
            </w:r>
            <w:r w:rsidR="00A04C6C" w:rsidRPr="00A04C6C">
              <w:rPr>
                <w:noProof/>
                <w:webHidden/>
                <w:sz w:val="20"/>
              </w:rPr>
              <w:fldChar w:fldCharType="begin"/>
            </w:r>
            <w:r w:rsidR="00A04C6C" w:rsidRPr="00A04C6C">
              <w:rPr>
                <w:noProof/>
                <w:webHidden/>
                <w:sz w:val="20"/>
              </w:rPr>
              <w:instrText xml:space="preserve"> PAGEREF _Toc34209376 \h </w:instrText>
            </w:r>
            <w:r w:rsidR="00A04C6C" w:rsidRPr="00A04C6C">
              <w:rPr>
                <w:noProof/>
                <w:webHidden/>
                <w:sz w:val="20"/>
              </w:rPr>
            </w:r>
            <w:r w:rsidR="00A04C6C" w:rsidRPr="00A04C6C">
              <w:rPr>
                <w:noProof/>
                <w:webHidden/>
                <w:sz w:val="20"/>
              </w:rPr>
              <w:fldChar w:fldCharType="separate"/>
            </w:r>
            <w:r w:rsidR="00E73E1C">
              <w:rPr>
                <w:noProof/>
                <w:webHidden/>
                <w:sz w:val="20"/>
              </w:rPr>
              <w:t>6</w:t>
            </w:r>
            <w:r w:rsidR="00A04C6C" w:rsidRPr="00A04C6C">
              <w:rPr>
                <w:noProof/>
                <w:webHidden/>
                <w:sz w:val="20"/>
              </w:rPr>
              <w:fldChar w:fldCharType="end"/>
            </w:r>
          </w:hyperlink>
        </w:p>
        <w:p w:rsidR="00A04C6C" w:rsidRPr="00A04C6C" w:rsidRDefault="000B340F">
          <w:pPr>
            <w:pStyle w:val="TOC3"/>
            <w:rPr>
              <w:rFonts w:asciiTheme="minorHAnsi" w:eastAsiaTheme="minorEastAsia" w:hAnsiTheme="minorHAnsi" w:cstheme="minorBidi"/>
              <w:color w:val="auto"/>
              <w:sz w:val="20"/>
              <w:lang w:val="en-GB" w:eastAsia="en-GB"/>
            </w:rPr>
          </w:pPr>
          <w:hyperlink w:anchor="_Toc34209377" w:history="1">
            <w:r w:rsidR="00A04C6C" w:rsidRPr="00A04C6C">
              <w:rPr>
                <w:rStyle w:val="Hyperlink"/>
                <w:sz w:val="20"/>
              </w:rPr>
              <w:t>Estimated dietary exposures to 3-MCPD</w:t>
            </w:r>
            <w:r w:rsidR="00A04C6C" w:rsidRPr="00A04C6C">
              <w:rPr>
                <w:webHidden/>
                <w:sz w:val="20"/>
              </w:rPr>
              <w:tab/>
            </w:r>
            <w:r w:rsidR="00A04C6C" w:rsidRPr="00A04C6C">
              <w:rPr>
                <w:webHidden/>
                <w:sz w:val="20"/>
              </w:rPr>
              <w:fldChar w:fldCharType="begin"/>
            </w:r>
            <w:r w:rsidR="00A04C6C" w:rsidRPr="00A04C6C">
              <w:rPr>
                <w:webHidden/>
                <w:sz w:val="20"/>
              </w:rPr>
              <w:instrText xml:space="preserve"> PAGEREF _Toc34209377 \h </w:instrText>
            </w:r>
            <w:r w:rsidR="00A04C6C" w:rsidRPr="00A04C6C">
              <w:rPr>
                <w:webHidden/>
                <w:sz w:val="20"/>
              </w:rPr>
            </w:r>
            <w:r w:rsidR="00A04C6C" w:rsidRPr="00A04C6C">
              <w:rPr>
                <w:webHidden/>
                <w:sz w:val="20"/>
              </w:rPr>
              <w:fldChar w:fldCharType="separate"/>
            </w:r>
            <w:r w:rsidR="00E73E1C">
              <w:rPr>
                <w:webHidden/>
                <w:sz w:val="20"/>
              </w:rPr>
              <w:t>7</w:t>
            </w:r>
            <w:r w:rsidR="00A04C6C" w:rsidRPr="00A04C6C">
              <w:rPr>
                <w:webHidden/>
                <w:sz w:val="20"/>
              </w:rPr>
              <w:fldChar w:fldCharType="end"/>
            </w:r>
          </w:hyperlink>
        </w:p>
        <w:p w:rsidR="00A04C6C" w:rsidRPr="00A04C6C" w:rsidRDefault="000B340F">
          <w:pPr>
            <w:pStyle w:val="TOC3"/>
            <w:rPr>
              <w:rFonts w:asciiTheme="minorHAnsi" w:eastAsiaTheme="minorEastAsia" w:hAnsiTheme="minorHAnsi" w:cstheme="minorBidi"/>
              <w:color w:val="auto"/>
              <w:sz w:val="20"/>
              <w:lang w:val="en-GB" w:eastAsia="en-GB"/>
            </w:rPr>
          </w:pPr>
          <w:hyperlink w:anchor="_Toc34209378" w:history="1">
            <w:r w:rsidR="00A04C6C" w:rsidRPr="00A04C6C">
              <w:rPr>
                <w:rStyle w:val="Hyperlink"/>
                <w:sz w:val="20"/>
              </w:rPr>
              <w:t>Estimated dietary exposures to glycidyl esters (expressed as glycidol)</w:t>
            </w:r>
            <w:r w:rsidR="00A04C6C" w:rsidRPr="00A04C6C">
              <w:rPr>
                <w:webHidden/>
                <w:sz w:val="20"/>
              </w:rPr>
              <w:tab/>
            </w:r>
            <w:r w:rsidR="00A04C6C" w:rsidRPr="00A04C6C">
              <w:rPr>
                <w:webHidden/>
                <w:sz w:val="20"/>
              </w:rPr>
              <w:fldChar w:fldCharType="begin"/>
            </w:r>
            <w:r w:rsidR="00A04C6C" w:rsidRPr="00A04C6C">
              <w:rPr>
                <w:webHidden/>
                <w:sz w:val="20"/>
              </w:rPr>
              <w:instrText xml:space="preserve"> PAGEREF _Toc34209378 \h </w:instrText>
            </w:r>
            <w:r w:rsidR="00A04C6C" w:rsidRPr="00A04C6C">
              <w:rPr>
                <w:webHidden/>
                <w:sz w:val="20"/>
              </w:rPr>
            </w:r>
            <w:r w:rsidR="00A04C6C" w:rsidRPr="00A04C6C">
              <w:rPr>
                <w:webHidden/>
                <w:sz w:val="20"/>
              </w:rPr>
              <w:fldChar w:fldCharType="separate"/>
            </w:r>
            <w:r w:rsidR="00E73E1C">
              <w:rPr>
                <w:webHidden/>
                <w:sz w:val="20"/>
              </w:rPr>
              <w:t>7</w:t>
            </w:r>
            <w:r w:rsidR="00A04C6C" w:rsidRPr="00A04C6C">
              <w:rPr>
                <w:webHidden/>
                <w:sz w:val="20"/>
              </w:rPr>
              <w:fldChar w:fldCharType="end"/>
            </w:r>
          </w:hyperlink>
        </w:p>
        <w:p w:rsidR="00A04C6C" w:rsidRPr="00A04C6C" w:rsidRDefault="000B340F">
          <w:pPr>
            <w:pStyle w:val="TOC1"/>
            <w:rPr>
              <w:rFonts w:asciiTheme="minorHAnsi" w:eastAsiaTheme="minorEastAsia" w:hAnsiTheme="minorHAnsi" w:cstheme="minorBidi"/>
              <w:b w:val="0"/>
              <w:noProof/>
              <w:color w:val="auto"/>
              <w:sz w:val="20"/>
              <w:lang w:val="en-GB" w:eastAsia="en-GB"/>
            </w:rPr>
          </w:pPr>
          <w:hyperlink w:anchor="_Toc34209379" w:history="1">
            <w:r w:rsidR="00A04C6C" w:rsidRPr="00A04C6C">
              <w:rPr>
                <w:rStyle w:val="Hyperlink"/>
                <w:noProof/>
                <w:sz w:val="20"/>
              </w:rPr>
              <w:t>Risk characterisation</w:t>
            </w:r>
            <w:r w:rsidR="00A04C6C" w:rsidRPr="00A04C6C">
              <w:rPr>
                <w:noProof/>
                <w:webHidden/>
                <w:sz w:val="20"/>
              </w:rPr>
              <w:tab/>
            </w:r>
            <w:r w:rsidR="00A04C6C" w:rsidRPr="00A04C6C">
              <w:rPr>
                <w:noProof/>
                <w:webHidden/>
                <w:sz w:val="20"/>
              </w:rPr>
              <w:fldChar w:fldCharType="begin"/>
            </w:r>
            <w:r w:rsidR="00A04C6C" w:rsidRPr="00A04C6C">
              <w:rPr>
                <w:noProof/>
                <w:webHidden/>
                <w:sz w:val="20"/>
              </w:rPr>
              <w:instrText xml:space="preserve"> PAGEREF _Toc34209379 \h </w:instrText>
            </w:r>
            <w:r w:rsidR="00A04C6C" w:rsidRPr="00A04C6C">
              <w:rPr>
                <w:noProof/>
                <w:webHidden/>
                <w:sz w:val="20"/>
              </w:rPr>
            </w:r>
            <w:r w:rsidR="00A04C6C" w:rsidRPr="00A04C6C">
              <w:rPr>
                <w:noProof/>
                <w:webHidden/>
                <w:sz w:val="20"/>
              </w:rPr>
              <w:fldChar w:fldCharType="separate"/>
            </w:r>
            <w:r w:rsidR="00E73E1C">
              <w:rPr>
                <w:noProof/>
                <w:webHidden/>
                <w:sz w:val="20"/>
              </w:rPr>
              <w:t>8</w:t>
            </w:r>
            <w:r w:rsidR="00A04C6C" w:rsidRPr="00A04C6C">
              <w:rPr>
                <w:noProof/>
                <w:webHidden/>
                <w:sz w:val="20"/>
              </w:rPr>
              <w:fldChar w:fldCharType="end"/>
            </w:r>
          </w:hyperlink>
        </w:p>
        <w:p w:rsidR="00A04C6C" w:rsidRPr="00A04C6C" w:rsidRDefault="000B340F">
          <w:pPr>
            <w:pStyle w:val="TOC3"/>
            <w:rPr>
              <w:rFonts w:asciiTheme="minorHAnsi" w:eastAsiaTheme="minorEastAsia" w:hAnsiTheme="minorHAnsi" w:cstheme="minorBidi"/>
              <w:color w:val="auto"/>
              <w:sz w:val="20"/>
              <w:lang w:val="en-GB" w:eastAsia="en-GB"/>
            </w:rPr>
          </w:pPr>
          <w:hyperlink w:anchor="_Toc34209380" w:history="1">
            <w:r w:rsidR="00A04C6C" w:rsidRPr="00A04C6C">
              <w:rPr>
                <w:rStyle w:val="Hyperlink"/>
                <w:sz w:val="20"/>
              </w:rPr>
              <w:t>3-MCPD</w:t>
            </w:r>
            <w:r w:rsidR="00A04C6C" w:rsidRPr="00A04C6C">
              <w:rPr>
                <w:webHidden/>
                <w:sz w:val="20"/>
              </w:rPr>
              <w:tab/>
            </w:r>
            <w:r w:rsidR="00A04C6C" w:rsidRPr="00A04C6C">
              <w:rPr>
                <w:webHidden/>
                <w:sz w:val="20"/>
              </w:rPr>
              <w:fldChar w:fldCharType="begin"/>
            </w:r>
            <w:r w:rsidR="00A04C6C" w:rsidRPr="00A04C6C">
              <w:rPr>
                <w:webHidden/>
                <w:sz w:val="20"/>
              </w:rPr>
              <w:instrText xml:space="preserve"> PAGEREF _Toc34209380 \h </w:instrText>
            </w:r>
            <w:r w:rsidR="00A04C6C" w:rsidRPr="00A04C6C">
              <w:rPr>
                <w:webHidden/>
                <w:sz w:val="20"/>
              </w:rPr>
            </w:r>
            <w:r w:rsidR="00A04C6C" w:rsidRPr="00A04C6C">
              <w:rPr>
                <w:webHidden/>
                <w:sz w:val="20"/>
              </w:rPr>
              <w:fldChar w:fldCharType="separate"/>
            </w:r>
            <w:r w:rsidR="00E73E1C">
              <w:rPr>
                <w:webHidden/>
                <w:sz w:val="20"/>
              </w:rPr>
              <w:t>8</w:t>
            </w:r>
            <w:r w:rsidR="00A04C6C" w:rsidRPr="00A04C6C">
              <w:rPr>
                <w:webHidden/>
                <w:sz w:val="20"/>
              </w:rPr>
              <w:fldChar w:fldCharType="end"/>
            </w:r>
          </w:hyperlink>
        </w:p>
        <w:p w:rsidR="00A04C6C" w:rsidRPr="00A04C6C" w:rsidRDefault="000B340F">
          <w:pPr>
            <w:pStyle w:val="TOC3"/>
            <w:rPr>
              <w:rFonts w:asciiTheme="minorHAnsi" w:eastAsiaTheme="minorEastAsia" w:hAnsiTheme="minorHAnsi" w:cstheme="minorBidi"/>
              <w:color w:val="auto"/>
              <w:sz w:val="20"/>
              <w:lang w:val="en-GB" w:eastAsia="en-GB"/>
            </w:rPr>
          </w:pPr>
          <w:hyperlink w:anchor="_Toc34209381" w:history="1">
            <w:r w:rsidR="00A04C6C" w:rsidRPr="00A04C6C">
              <w:rPr>
                <w:rStyle w:val="Hyperlink"/>
                <w:sz w:val="20"/>
              </w:rPr>
              <w:t>Glycidol</w:t>
            </w:r>
            <w:r w:rsidR="00A04C6C" w:rsidRPr="00A04C6C">
              <w:rPr>
                <w:webHidden/>
                <w:sz w:val="20"/>
              </w:rPr>
              <w:tab/>
            </w:r>
            <w:r w:rsidR="00A04C6C" w:rsidRPr="00A04C6C">
              <w:rPr>
                <w:webHidden/>
                <w:sz w:val="20"/>
              </w:rPr>
              <w:fldChar w:fldCharType="begin"/>
            </w:r>
            <w:r w:rsidR="00A04C6C" w:rsidRPr="00A04C6C">
              <w:rPr>
                <w:webHidden/>
                <w:sz w:val="20"/>
              </w:rPr>
              <w:instrText xml:space="preserve"> PAGEREF _Toc34209381 \h </w:instrText>
            </w:r>
            <w:r w:rsidR="00A04C6C" w:rsidRPr="00A04C6C">
              <w:rPr>
                <w:webHidden/>
                <w:sz w:val="20"/>
              </w:rPr>
            </w:r>
            <w:r w:rsidR="00A04C6C" w:rsidRPr="00A04C6C">
              <w:rPr>
                <w:webHidden/>
                <w:sz w:val="20"/>
              </w:rPr>
              <w:fldChar w:fldCharType="separate"/>
            </w:r>
            <w:r w:rsidR="00E73E1C">
              <w:rPr>
                <w:webHidden/>
                <w:sz w:val="20"/>
              </w:rPr>
              <w:t>9</w:t>
            </w:r>
            <w:r w:rsidR="00A04C6C" w:rsidRPr="00A04C6C">
              <w:rPr>
                <w:webHidden/>
                <w:sz w:val="20"/>
              </w:rPr>
              <w:fldChar w:fldCharType="end"/>
            </w:r>
          </w:hyperlink>
        </w:p>
        <w:p w:rsidR="00A04C6C" w:rsidRPr="00A04C6C" w:rsidRDefault="000B340F">
          <w:pPr>
            <w:pStyle w:val="TOC1"/>
            <w:rPr>
              <w:rFonts w:asciiTheme="minorHAnsi" w:eastAsiaTheme="minorEastAsia" w:hAnsiTheme="minorHAnsi" w:cstheme="minorBidi"/>
              <w:b w:val="0"/>
              <w:noProof/>
              <w:color w:val="auto"/>
              <w:sz w:val="20"/>
              <w:lang w:val="en-GB" w:eastAsia="en-GB"/>
            </w:rPr>
          </w:pPr>
          <w:hyperlink w:anchor="_Toc34209382" w:history="1">
            <w:r w:rsidR="00A04C6C" w:rsidRPr="00A04C6C">
              <w:rPr>
                <w:rStyle w:val="Hyperlink"/>
                <w:noProof/>
                <w:sz w:val="20"/>
              </w:rPr>
              <w:t>Risk management and next steps</w:t>
            </w:r>
            <w:r w:rsidR="00A04C6C" w:rsidRPr="00A04C6C">
              <w:rPr>
                <w:noProof/>
                <w:webHidden/>
                <w:sz w:val="20"/>
              </w:rPr>
              <w:tab/>
            </w:r>
            <w:r w:rsidR="00A04C6C" w:rsidRPr="00A04C6C">
              <w:rPr>
                <w:noProof/>
                <w:webHidden/>
                <w:sz w:val="20"/>
              </w:rPr>
              <w:fldChar w:fldCharType="begin"/>
            </w:r>
            <w:r w:rsidR="00A04C6C" w:rsidRPr="00A04C6C">
              <w:rPr>
                <w:noProof/>
                <w:webHidden/>
                <w:sz w:val="20"/>
              </w:rPr>
              <w:instrText xml:space="preserve"> PAGEREF _Toc34209382 \h </w:instrText>
            </w:r>
            <w:r w:rsidR="00A04C6C" w:rsidRPr="00A04C6C">
              <w:rPr>
                <w:noProof/>
                <w:webHidden/>
                <w:sz w:val="20"/>
              </w:rPr>
            </w:r>
            <w:r w:rsidR="00A04C6C" w:rsidRPr="00A04C6C">
              <w:rPr>
                <w:noProof/>
                <w:webHidden/>
                <w:sz w:val="20"/>
              </w:rPr>
              <w:fldChar w:fldCharType="separate"/>
            </w:r>
            <w:r w:rsidR="00E73E1C">
              <w:rPr>
                <w:noProof/>
                <w:webHidden/>
                <w:sz w:val="20"/>
              </w:rPr>
              <w:t>10</w:t>
            </w:r>
            <w:r w:rsidR="00A04C6C" w:rsidRPr="00A04C6C">
              <w:rPr>
                <w:noProof/>
                <w:webHidden/>
                <w:sz w:val="20"/>
              </w:rPr>
              <w:fldChar w:fldCharType="end"/>
            </w:r>
          </w:hyperlink>
        </w:p>
        <w:p w:rsidR="00A04C6C" w:rsidRPr="00A04C6C" w:rsidRDefault="000B340F">
          <w:pPr>
            <w:pStyle w:val="TOC3"/>
            <w:rPr>
              <w:rFonts w:asciiTheme="minorHAnsi" w:eastAsiaTheme="minorEastAsia" w:hAnsiTheme="minorHAnsi" w:cstheme="minorBidi"/>
              <w:color w:val="auto"/>
              <w:sz w:val="20"/>
              <w:lang w:val="en-GB" w:eastAsia="en-GB"/>
            </w:rPr>
          </w:pPr>
          <w:hyperlink w:anchor="_Toc34209383" w:history="1">
            <w:r w:rsidR="00A04C6C" w:rsidRPr="00A04C6C">
              <w:rPr>
                <w:rStyle w:val="Hyperlink"/>
                <w:sz w:val="20"/>
              </w:rPr>
              <w:t>References</w:t>
            </w:r>
            <w:r w:rsidR="00A04C6C" w:rsidRPr="00A04C6C">
              <w:rPr>
                <w:webHidden/>
                <w:sz w:val="20"/>
              </w:rPr>
              <w:tab/>
            </w:r>
            <w:r w:rsidR="00A04C6C" w:rsidRPr="00A04C6C">
              <w:rPr>
                <w:webHidden/>
                <w:sz w:val="20"/>
              </w:rPr>
              <w:fldChar w:fldCharType="begin"/>
            </w:r>
            <w:r w:rsidR="00A04C6C" w:rsidRPr="00A04C6C">
              <w:rPr>
                <w:webHidden/>
                <w:sz w:val="20"/>
              </w:rPr>
              <w:instrText xml:space="preserve"> PAGEREF _Toc34209383 \h </w:instrText>
            </w:r>
            <w:r w:rsidR="00A04C6C" w:rsidRPr="00A04C6C">
              <w:rPr>
                <w:webHidden/>
                <w:sz w:val="20"/>
              </w:rPr>
            </w:r>
            <w:r w:rsidR="00A04C6C" w:rsidRPr="00A04C6C">
              <w:rPr>
                <w:webHidden/>
                <w:sz w:val="20"/>
              </w:rPr>
              <w:fldChar w:fldCharType="separate"/>
            </w:r>
            <w:r w:rsidR="00E73E1C">
              <w:rPr>
                <w:webHidden/>
                <w:sz w:val="20"/>
              </w:rPr>
              <w:t>11</w:t>
            </w:r>
            <w:r w:rsidR="00A04C6C" w:rsidRPr="00A04C6C">
              <w:rPr>
                <w:webHidden/>
                <w:sz w:val="20"/>
              </w:rPr>
              <w:fldChar w:fldCharType="end"/>
            </w:r>
          </w:hyperlink>
        </w:p>
        <w:p w:rsidR="00A04C6C" w:rsidRPr="00A04C6C" w:rsidRDefault="000B340F">
          <w:pPr>
            <w:pStyle w:val="TOC1"/>
            <w:rPr>
              <w:rFonts w:asciiTheme="minorHAnsi" w:eastAsiaTheme="minorEastAsia" w:hAnsiTheme="minorHAnsi" w:cstheme="minorBidi"/>
              <w:b w:val="0"/>
              <w:noProof/>
              <w:color w:val="auto"/>
              <w:sz w:val="20"/>
              <w:lang w:val="en-GB" w:eastAsia="en-GB"/>
            </w:rPr>
          </w:pPr>
          <w:hyperlink w:anchor="_Toc34209384" w:history="1">
            <w:r w:rsidR="00A04C6C" w:rsidRPr="00A04C6C">
              <w:rPr>
                <w:rStyle w:val="Hyperlink"/>
                <w:noProof/>
                <w:sz w:val="20"/>
              </w:rPr>
              <w:t>Appendix 1 – Approach to estimating dietary exposures to 3</w:t>
            </w:r>
            <w:r w:rsidR="00A04C6C" w:rsidRPr="00A04C6C">
              <w:rPr>
                <w:rStyle w:val="Hyperlink"/>
                <w:noProof/>
                <w:sz w:val="20"/>
              </w:rPr>
              <w:noBreakHyphen/>
              <w:t>MCPD and glycidol</w:t>
            </w:r>
            <w:r w:rsidR="00A04C6C" w:rsidRPr="00A04C6C">
              <w:rPr>
                <w:noProof/>
                <w:webHidden/>
                <w:sz w:val="20"/>
              </w:rPr>
              <w:tab/>
            </w:r>
            <w:r w:rsidR="00A04C6C" w:rsidRPr="00A04C6C">
              <w:rPr>
                <w:noProof/>
                <w:webHidden/>
                <w:sz w:val="20"/>
              </w:rPr>
              <w:fldChar w:fldCharType="begin"/>
            </w:r>
            <w:r w:rsidR="00A04C6C" w:rsidRPr="00A04C6C">
              <w:rPr>
                <w:noProof/>
                <w:webHidden/>
                <w:sz w:val="20"/>
              </w:rPr>
              <w:instrText xml:space="preserve"> PAGEREF _Toc34209384 \h </w:instrText>
            </w:r>
            <w:r w:rsidR="00A04C6C" w:rsidRPr="00A04C6C">
              <w:rPr>
                <w:noProof/>
                <w:webHidden/>
                <w:sz w:val="20"/>
              </w:rPr>
            </w:r>
            <w:r w:rsidR="00A04C6C" w:rsidRPr="00A04C6C">
              <w:rPr>
                <w:noProof/>
                <w:webHidden/>
                <w:sz w:val="20"/>
              </w:rPr>
              <w:fldChar w:fldCharType="separate"/>
            </w:r>
            <w:r w:rsidR="00E73E1C">
              <w:rPr>
                <w:noProof/>
                <w:webHidden/>
                <w:sz w:val="20"/>
              </w:rPr>
              <w:t>12</w:t>
            </w:r>
            <w:r w:rsidR="00A04C6C" w:rsidRPr="00A04C6C">
              <w:rPr>
                <w:noProof/>
                <w:webHidden/>
                <w:sz w:val="20"/>
              </w:rPr>
              <w:fldChar w:fldCharType="end"/>
            </w:r>
          </w:hyperlink>
        </w:p>
        <w:p w:rsidR="00A04C6C" w:rsidRPr="00A04C6C" w:rsidRDefault="000B340F">
          <w:pPr>
            <w:pStyle w:val="TOC3"/>
            <w:rPr>
              <w:rFonts w:asciiTheme="minorHAnsi" w:eastAsiaTheme="minorEastAsia" w:hAnsiTheme="minorHAnsi" w:cstheme="minorBidi"/>
              <w:color w:val="auto"/>
              <w:sz w:val="20"/>
              <w:lang w:val="en-GB" w:eastAsia="en-GB"/>
            </w:rPr>
          </w:pPr>
          <w:hyperlink w:anchor="_Toc34209385" w:history="1">
            <w:r w:rsidR="00A04C6C" w:rsidRPr="00A04C6C">
              <w:rPr>
                <w:rStyle w:val="Hyperlink"/>
                <w:sz w:val="20"/>
              </w:rPr>
              <w:t>Population group(s)</w:t>
            </w:r>
            <w:r w:rsidR="00A04C6C" w:rsidRPr="00A04C6C">
              <w:rPr>
                <w:webHidden/>
                <w:sz w:val="20"/>
              </w:rPr>
              <w:tab/>
            </w:r>
            <w:r w:rsidR="00A04C6C" w:rsidRPr="00A04C6C">
              <w:rPr>
                <w:webHidden/>
                <w:sz w:val="20"/>
              </w:rPr>
              <w:fldChar w:fldCharType="begin"/>
            </w:r>
            <w:r w:rsidR="00A04C6C" w:rsidRPr="00A04C6C">
              <w:rPr>
                <w:webHidden/>
                <w:sz w:val="20"/>
              </w:rPr>
              <w:instrText xml:space="preserve"> PAGEREF _Toc34209385 \h </w:instrText>
            </w:r>
            <w:r w:rsidR="00A04C6C" w:rsidRPr="00A04C6C">
              <w:rPr>
                <w:webHidden/>
                <w:sz w:val="20"/>
              </w:rPr>
            </w:r>
            <w:r w:rsidR="00A04C6C" w:rsidRPr="00A04C6C">
              <w:rPr>
                <w:webHidden/>
                <w:sz w:val="20"/>
              </w:rPr>
              <w:fldChar w:fldCharType="separate"/>
            </w:r>
            <w:r w:rsidR="00E73E1C">
              <w:rPr>
                <w:webHidden/>
                <w:sz w:val="20"/>
              </w:rPr>
              <w:t>12</w:t>
            </w:r>
            <w:r w:rsidR="00A04C6C" w:rsidRPr="00A04C6C">
              <w:rPr>
                <w:webHidden/>
                <w:sz w:val="20"/>
              </w:rPr>
              <w:fldChar w:fldCharType="end"/>
            </w:r>
          </w:hyperlink>
        </w:p>
        <w:p w:rsidR="00A04C6C" w:rsidRPr="00A04C6C" w:rsidRDefault="000B340F">
          <w:pPr>
            <w:pStyle w:val="TOC3"/>
            <w:rPr>
              <w:rFonts w:asciiTheme="minorHAnsi" w:eastAsiaTheme="minorEastAsia" w:hAnsiTheme="minorHAnsi" w:cstheme="minorBidi"/>
              <w:color w:val="auto"/>
              <w:sz w:val="20"/>
              <w:lang w:val="en-GB" w:eastAsia="en-GB"/>
            </w:rPr>
          </w:pPr>
          <w:hyperlink w:anchor="_Toc34209386" w:history="1">
            <w:r w:rsidR="00A04C6C" w:rsidRPr="00A04C6C">
              <w:rPr>
                <w:rStyle w:val="Hyperlink"/>
                <w:sz w:val="20"/>
              </w:rPr>
              <w:t>Food consumption data used</w:t>
            </w:r>
            <w:r w:rsidR="00A04C6C" w:rsidRPr="00A04C6C">
              <w:rPr>
                <w:webHidden/>
                <w:sz w:val="20"/>
              </w:rPr>
              <w:tab/>
            </w:r>
            <w:r w:rsidR="00A04C6C" w:rsidRPr="00A04C6C">
              <w:rPr>
                <w:webHidden/>
                <w:sz w:val="20"/>
              </w:rPr>
              <w:fldChar w:fldCharType="begin"/>
            </w:r>
            <w:r w:rsidR="00A04C6C" w:rsidRPr="00A04C6C">
              <w:rPr>
                <w:webHidden/>
                <w:sz w:val="20"/>
              </w:rPr>
              <w:instrText xml:space="preserve"> PAGEREF _Toc34209386 \h </w:instrText>
            </w:r>
            <w:r w:rsidR="00A04C6C" w:rsidRPr="00A04C6C">
              <w:rPr>
                <w:webHidden/>
                <w:sz w:val="20"/>
              </w:rPr>
            </w:r>
            <w:r w:rsidR="00A04C6C" w:rsidRPr="00A04C6C">
              <w:rPr>
                <w:webHidden/>
                <w:sz w:val="20"/>
              </w:rPr>
              <w:fldChar w:fldCharType="separate"/>
            </w:r>
            <w:r w:rsidR="00E73E1C">
              <w:rPr>
                <w:webHidden/>
                <w:sz w:val="20"/>
              </w:rPr>
              <w:t>13</w:t>
            </w:r>
            <w:r w:rsidR="00A04C6C" w:rsidRPr="00A04C6C">
              <w:rPr>
                <w:webHidden/>
                <w:sz w:val="20"/>
              </w:rPr>
              <w:fldChar w:fldCharType="end"/>
            </w:r>
          </w:hyperlink>
        </w:p>
        <w:p w:rsidR="00A04C6C" w:rsidRPr="00A04C6C" w:rsidRDefault="000B340F">
          <w:pPr>
            <w:pStyle w:val="TOC3"/>
            <w:rPr>
              <w:rFonts w:asciiTheme="minorHAnsi" w:eastAsiaTheme="minorEastAsia" w:hAnsiTheme="minorHAnsi" w:cstheme="minorBidi"/>
              <w:color w:val="auto"/>
              <w:sz w:val="20"/>
              <w:lang w:val="en-GB" w:eastAsia="en-GB"/>
            </w:rPr>
          </w:pPr>
          <w:hyperlink w:anchor="_Toc34209387" w:history="1">
            <w:r w:rsidR="00A04C6C" w:rsidRPr="00A04C6C">
              <w:rPr>
                <w:rStyle w:val="Hyperlink"/>
                <w:sz w:val="20"/>
              </w:rPr>
              <w:t>How the 3 month old infant diet was constructed</w:t>
            </w:r>
            <w:r w:rsidR="00A04C6C" w:rsidRPr="00A04C6C">
              <w:rPr>
                <w:webHidden/>
                <w:sz w:val="20"/>
              </w:rPr>
              <w:tab/>
            </w:r>
            <w:r w:rsidR="00A04C6C" w:rsidRPr="00A04C6C">
              <w:rPr>
                <w:webHidden/>
                <w:sz w:val="20"/>
              </w:rPr>
              <w:fldChar w:fldCharType="begin"/>
            </w:r>
            <w:r w:rsidR="00A04C6C" w:rsidRPr="00A04C6C">
              <w:rPr>
                <w:webHidden/>
                <w:sz w:val="20"/>
              </w:rPr>
              <w:instrText xml:space="preserve"> PAGEREF _Toc34209387 \h </w:instrText>
            </w:r>
            <w:r w:rsidR="00A04C6C" w:rsidRPr="00A04C6C">
              <w:rPr>
                <w:webHidden/>
                <w:sz w:val="20"/>
              </w:rPr>
            </w:r>
            <w:r w:rsidR="00A04C6C" w:rsidRPr="00A04C6C">
              <w:rPr>
                <w:webHidden/>
                <w:sz w:val="20"/>
              </w:rPr>
              <w:fldChar w:fldCharType="separate"/>
            </w:r>
            <w:r w:rsidR="00E73E1C">
              <w:rPr>
                <w:webHidden/>
                <w:sz w:val="20"/>
              </w:rPr>
              <w:t>13</w:t>
            </w:r>
            <w:r w:rsidR="00A04C6C" w:rsidRPr="00A04C6C">
              <w:rPr>
                <w:webHidden/>
                <w:sz w:val="20"/>
              </w:rPr>
              <w:fldChar w:fldCharType="end"/>
            </w:r>
          </w:hyperlink>
        </w:p>
        <w:p w:rsidR="00A04C6C" w:rsidRPr="00A04C6C" w:rsidRDefault="000B340F">
          <w:pPr>
            <w:pStyle w:val="TOC3"/>
            <w:rPr>
              <w:rFonts w:asciiTheme="minorHAnsi" w:eastAsiaTheme="minorEastAsia" w:hAnsiTheme="minorHAnsi" w:cstheme="minorBidi"/>
              <w:color w:val="auto"/>
              <w:sz w:val="20"/>
              <w:lang w:val="en-GB" w:eastAsia="en-GB"/>
            </w:rPr>
          </w:pPr>
          <w:hyperlink w:anchor="_Toc34209388" w:history="1">
            <w:r w:rsidR="00A04C6C" w:rsidRPr="00A04C6C">
              <w:rPr>
                <w:rStyle w:val="Hyperlink"/>
                <w:sz w:val="20"/>
              </w:rPr>
              <w:t>Concentrations of 3-MCPD and glycidol</w:t>
            </w:r>
            <w:r w:rsidR="00A04C6C" w:rsidRPr="00A04C6C">
              <w:rPr>
                <w:webHidden/>
                <w:sz w:val="20"/>
              </w:rPr>
              <w:tab/>
            </w:r>
            <w:r w:rsidR="00A04C6C" w:rsidRPr="00A04C6C">
              <w:rPr>
                <w:webHidden/>
                <w:sz w:val="20"/>
              </w:rPr>
              <w:fldChar w:fldCharType="begin"/>
            </w:r>
            <w:r w:rsidR="00A04C6C" w:rsidRPr="00A04C6C">
              <w:rPr>
                <w:webHidden/>
                <w:sz w:val="20"/>
              </w:rPr>
              <w:instrText xml:space="preserve"> PAGEREF _Toc34209388 \h </w:instrText>
            </w:r>
            <w:r w:rsidR="00A04C6C" w:rsidRPr="00A04C6C">
              <w:rPr>
                <w:webHidden/>
                <w:sz w:val="20"/>
              </w:rPr>
            </w:r>
            <w:r w:rsidR="00A04C6C" w:rsidRPr="00A04C6C">
              <w:rPr>
                <w:webHidden/>
                <w:sz w:val="20"/>
              </w:rPr>
              <w:fldChar w:fldCharType="separate"/>
            </w:r>
            <w:r w:rsidR="00E73E1C">
              <w:rPr>
                <w:webHidden/>
                <w:sz w:val="20"/>
              </w:rPr>
              <w:t>13</w:t>
            </w:r>
            <w:r w:rsidR="00A04C6C" w:rsidRPr="00A04C6C">
              <w:rPr>
                <w:webHidden/>
                <w:sz w:val="20"/>
              </w:rPr>
              <w:fldChar w:fldCharType="end"/>
            </w:r>
          </w:hyperlink>
        </w:p>
        <w:p w:rsidR="00A04C6C" w:rsidRPr="00A04C6C" w:rsidRDefault="000B340F">
          <w:pPr>
            <w:pStyle w:val="TOC3"/>
            <w:rPr>
              <w:rFonts w:asciiTheme="minorHAnsi" w:eastAsiaTheme="minorEastAsia" w:hAnsiTheme="minorHAnsi" w:cstheme="minorBidi"/>
              <w:color w:val="auto"/>
              <w:sz w:val="20"/>
              <w:lang w:val="en-GB" w:eastAsia="en-GB"/>
            </w:rPr>
          </w:pPr>
          <w:hyperlink w:anchor="_Toc34209389" w:history="1">
            <w:r w:rsidR="00A04C6C" w:rsidRPr="00A04C6C">
              <w:rPr>
                <w:rStyle w:val="Hyperlink"/>
                <w:sz w:val="20"/>
              </w:rPr>
              <w:t>Assumptions, limitations and uncertainties in the dietary exposure assessment</w:t>
            </w:r>
            <w:r w:rsidR="00A04C6C" w:rsidRPr="00A04C6C">
              <w:rPr>
                <w:webHidden/>
                <w:sz w:val="20"/>
              </w:rPr>
              <w:tab/>
            </w:r>
            <w:r w:rsidR="00A04C6C" w:rsidRPr="00A04C6C">
              <w:rPr>
                <w:webHidden/>
                <w:sz w:val="20"/>
              </w:rPr>
              <w:fldChar w:fldCharType="begin"/>
            </w:r>
            <w:r w:rsidR="00A04C6C" w:rsidRPr="00A04C6C">
              <w:rPr>
                <w:webHidden/>
                <w:sz w:val="20"/>
              </w:rPr>
              <w:instrText xml:space="preserve"> PAGEREF _Toc34209389 \h </w:instrText>
            </w:r>
            <w:r w:rsidR="00A04C6C" w:rsidRPr="00A04C6C">
              <w:rPr>
                <w:webHidden/>
                <w:sz w:val="20"/>
              </w:rPr>
            </w:r>
            <w:r w:rsidR="00A04C6C" w:rsidRPr="00A04C6C">
              <w:rPr>
                <w:webHidden/>
                <w:sz w:val="20"/>
              </w:rPr>
              <w:fldChar w:fldCharType="separate"/>
            </w:r>
            <w:r w:rsidR="00E73E1C">
              <w:rPr>
                <w:webHidden/>
                <w:sz w:val="20"/>
              </w:rPr>
              <w:t>15</w:t>
            </w:r>
            <w:r w:rsidR="00A04C6C" w:rsidRPr="00A04C6C">
              <w:rPr>
                <w:webHidden/>
                <w:sz w:val="20"/>
              </w:rPr>
              <w:fldChar w:fldCharType="end"/>
            </w:r>
          </w:hyperlink>
        </w:p>
        <w:p w:rsidR="00A04C6C" w:rsidRPr="00A04C6C" w:rsidRDefault="000B340F">
          <w:pPr>
            <w:pStyle w:val="TOC1"/>
            <w:rPr>
              <w:rFonts w:asciiTheme="minorHAnsi" w:eastAsiaTheme="minorEastAsia" w:hAnsiTheme="minorHAnsi" w:cstheme="minorBidi"/>
              <w:b w:val="0"/>
              <w:noProof/>
              <w:color w:val="auto"/>
              <w:sz w:val="20"/>
              <w:lang w:val="en-GB" w:eastAsia="en-GB"/>
            </w:rPr>
          </w:pPr>
          <w:hyperlink w:anchor="_Toc34209390" w:history="1">
            <w:r w:rsidR="00A04C6C">
              <w:rPr>
                <w:rStyle w:val="Hyperlink"/>
                <w:noProof/>
                <w:sz w:val="20"/>
              </w:rPr>
              <w:t>Appendix 2: International c</w:t>
            </w:r>
            <w:r w:rsidR="00A04C6C" w:rsidRPr="00A04C6C">
              <w:rPr>
                <w:rStyle w:val="Hyperlink"/>
                <w:noProof/>
                <w:sz w:val="20"/>
              </w:rPr>
              <w:t>omparison of analytical concentrations</w:t>
            </w:r>
            <w:r w:rsidR="00A04C6C" w:rsidRPr="00A04C6C">
              <w:rPr>
                <w:noProof/>
                <w:webHidden/>
                <w:sz w:val="20"/>
              </w:rPr>
              <w:tab/>
            </w:r>
            <w:r w:rsidR="00A04C6C" w:rsidRPr="00A04C6C">
              <w:rPr>
                <w:noProof/>
                <w:webHidden/>
                <w:sz w:val="20"/>
              </w:rPr>
              <w:fldChar w:fldCharType="begin"/>
            </w:r>
            <w:r w:rsidR="00A04C6C" w:rsidRPr="00A04C6C">
              <w:rPr>
                <w:noProof/>
                <w:webHidden/>
                <w:sz w:val="20"/>
              </w:rPr>
              <w:instrText xml:space="preserve"> PAGEREF _Toc34209390 \h </w:instrText>
            </w:r>
            <w:r w:rsidR="00A04C6C" w:rsidRPr="00A04C6C">
              <w:rPr>
                <w:noProof/>
                <w:webHidden/>
                <w:sz w:val="20"/>
              </w:rPr>
            </w:r>
            <w:r w:rsidR="00A04C6C" w:rsidRPr="00A04C6C">
              <w:rPr>
                <w:noProof/>
                <w:webHidden/>
                <w:sz w:val="20"/>
              </w:rPr>
              <w:fldChar w:fldCharType="separate"/>
            </w:r>
            <w:r w:rsidR="00E73E1C">
              <w:rPr>
                <w:noProof/>
                <w:webHidden/>
                <w:sz w:val="20"/>
              </w:rPr>
              <w:t>16</w:t>
            </w:r>
            <w:r w:rsidR="00A04C6C" w:rsidRPr="00A04C6C">
              <w:rPr>
                <w:noProof/>
                <w:webHidden/>
                <w:sz w:val="20"/>
              </w:rPr>
              <w:fldChar w:fldCharType="end"/>
            </w:r>
          </w:hyperlink>
        </w:p>
        <w:p w:rsidR="00A04C6C" w:rsidRPr="00A04C6C" w:rsidRDefault="000B340F">
          <w:pPr>
            <w:pStyle w:val="TOC3"/>
            <w:rPr>
              <w:rFonts w:asciiTheme="minorHAnsi" w:eastAsiaTheme="minorEastAsia" w:hAnsiTheme="minorHAnsi" w:cstheme="minorBidi"/>
              <w:color w:val="auto"/>
              <w:sz w:val="20"/>
              <w:lang w:val="en-GB" w:eastAsia="en-GB"/>
            </w:rPr>
          </w:pPr>
          <w:hyperlink w:anchor="_Toc34209391" w:history="1">
            <w:r w:rsidR="00A04C6C" w:rsidRPr="00A04C6C">
              <w:rPr>
                <w:rStyle w:val="Hyperlink"/>
                <w:sz w:val="20"/>
              </w:rPr>
              <w:t>Comparison with European Union regulatory limits</w:t>
            </w:r>
            <w:r w:rsidR="00A04C6C" w:rsidRPr="00A04C6C">
              <w:rPr>
                <w:webHidden/>
                <w:sz w:val="20"/>
              </w:rPr>
              <w:tab/>
            </w:r>
            <w:r w:rsidR="00A04C6C" w:rsidRPr="00A04C6C">
              <w:rPr>
                <w:webHidden/>
                <w:sz w:val="20"/>
              </w:rPr>
              <w:fldChar w:fldCharType="begin"/>
            </w:r>
            <w:r w:rsidR="00A04C6C" w:rsidRPr="00A04C6C">
              <w:rPr>
                <w:webHidden/>
                <w:sz w:val="20"/>
              </w:rPr>
              <w:instrText xml:space="preserve"> PAGEREF _Toc34209391 \h </w:instrText>
            </w:r>
            <w:r w:rsidR="00A04C6C" w:rsidRPr="00A04C6C">
              <w:rPr>
                <w:webHidden/>
                <w:sz w:val="20"/>
              </w:rPr>
            </w:r>
            <w:r w:rsidR="00A04C6C" w:rsidRPr="00A04C6C">
              <w:rPr>
                <w:webHidden/>
                <w:sz w:val="20"/>
              </w:rPr>
              <w:fldChar w:fldCharType="separate"/>
            </w:r>
            <w:r w:rsidR="00E73E1C">
              <w:rPr>
                <w:webHidden/>
                <w:sz w:val="20"/>
              </w:rPr>
              <w:t>16</w:t>
            </w:r>
            <w:r w:rsidR="00A04C6C" w:rsidRPr="00A04C6C">
              <w:rPr>
                <w:webHidden/>
                <w:sz w:val="20"/>
              </w:rPr>
              <w:fldChar w:fldCharType="end"/>
            </w:r>
          </w:hyperlink>
        </w:p>
        <w:p w:rsidR="00A04C6C" w:rsidRPr="00A04C6C" w:rsidRDefault="000B340F">
          <w:pPr>
            <w:pStyle w:val="TOC3"/>
            <w:rPr>
              <w:rFonts w:asciiTheme="minorHAnsi" w:eastAsiaTheme="minorEastAsia" w:hAnsiTheme="minorHAnsi" w:cstheme="minorBidi"/>
              <w:color w:val="auto"/>
              <w:sz w:val="20"/>
              <w:lang w:val="en-GB" w:eastAsia="en-GB"/>
            </w:rPr>
          </w:pPr>
          <w:hyperlink w:anchor="_Toc34209392" w:history="1">
            <w:r w:rsidR="00A04C6C" w:rsidRPr="00A04C6C">
              <w:rPr>
                <w:rStyle w:val="Hyperlink"/>
                <w:sz w:val="20"/>
              </w:rPr>
              <w:t>Comparison with international concentration data</w:t>
            </w:r>
            <w:r w:rsidR="00A04C6C" w:rsidRPr="00A04C6C">
              <w:rPr>
                <w:webHidden/>
                <w:sz w:val="20"/>
              </w:rPr>
              <w:tab/>
            </w:r>
            <w:r w:rsidR="00A04C6C" w:rsidRPr="00A04C6C">
              <w:rPr>
                <w:webHidden/>
                <w:sz w:val="20"/>
              </w:rPr>
              <w:fldChar w:fldCharType="begin"/>
            </w:r>
            <w:r w:rsidR="00A04C6C" w:rsidRPr="00A04C6C">
              <w:rPr>
                <w:webHidden/>
                <w:sz w:val="20"/>
              </w:rPr>
              <w:instrText xml:space="preserve"> PAGEREF _Toc34209392 \h </w:instrText>
            </w:r>
            <w:r w:rsidR="00A04C6C" w:rsidRPr="00A04C6C">
              <w:rPr>
                <w:webHidden/>
                <w:sz w:val="20"/>
              </w:rPr>
            </w:r>
            <w:r w:rsidR="00A04C6C" w:rsidRPr="00A04C6C">
              <w:rPr>
                <w:webHidden/>
                <w:sz w:val="20"/>
              </w:rPr>
              <w:fldChar w:fldCharType="separate"/>
            </w:r>
            <w:r w:rsidR="00E73E1C">
              <w:rPr>
                <w:webHidden/>
                <w:sz w:val="20"/>
              </w:rPr>
              <w:t>16</w:t>
            </w:r>
            <w:r w:rsidR="00A04C6C" w:rsidRPr="00A04C6C">
              <w:rPr>
                <w:webHidden/>
                <w:sz w:val="20"/>
              </w:rPr>
              <w:fldChar w:fldCharType="end"/>
            </w:r>
          </w:hyperlink>
        </w:p>
        <w:p w:rsidR="00A04C6C" w:rsidRPr="00A04C6C" w:rsidRDefault="000B340F">
          <w:pPr>
            <w:pStyle w:val="TOC3"/>
            <w:rPr>
              <w:rFonts w:asciiTheme="minorHAnsi" w:eastAsiaTheme="minorEastAsia" w:hAnsiTheme="minorHAnsi" w:cstheme="minorBidi"/>
              <w:color w:val="auto"/>
              <w:sz w:val="20"/>
              <w:lang w:val="en-GB" w:eastAsia="en-GB"/>
            </w:rPr>
          </w:pPr>
          <w:hyperlink w:anchor="_Toc34209393" w:history="1">
            <w:r w:rsidR="00A04C6C" w:rsidRPr="00A04C6C">
              <w:rPr>
                <w:rStyle w:val="Hyperlink"/>
                <w:sz w:val="20"/>
              </w:rPr>
              <w:t>3-MCPD</w:t>
            </w:r>
            <w:r w:rsidR="00A04C6C" w:rsidRPr="00A04C6C">
              <w:rPr>
                <w:webHidden/>
                <w:sz w:val="20"/>
              </w:rPr>
              <w:tab/>
            </w:r>
            <w:r w:rsidR="00A04C6C" w:rsidRPr="00A04C6C">
              <w:rPr>
                <w:webHidden/>
                <w:sz w:val="20"/>
              </w:rPr>
              <w:fldChar w:fldCharType="begin"/>
            </w:r>
            <w:r w:rsidR="00A04C6C" w:rsidRPr="00A04C6C">
              <w:rPr>
                <w:webHidden/>
                <w:sz w:val="20"/>
              </w:rPr>
              <w:instrText xml:space="preserve"> PAGEREF _Toc34209393 \h </w:instrText>
            </w:r>
            <w:r w:rsidR="00A04C6C" w:rsidRPr="00A04C6C">
              <w:rPr>
                <w:webHidden/>
                <w:sz w:val="20"/>
              </w:rPr>
            </w:r>
            <w:r w:rsidR="00A04C6C" w:rsidRPr="00A04C6C">
              <w:rPr>
                <w:webHidden/>
                <w:sz w:val="20"/>
              </w:rPr>
              <w:fldChar w:fldCharType="separate"/>
            </w:r>
            <w:r w:rsidR="00E73E1C">
              <w:rPr>
                <w:webHidden/>
                <w:sz w:val="20"/>
              </w:rPr>
              <w:t>19</w:t>
            </w:r>
            <w:r w:rsidR="00A04C6C" w:rsidRPr="00A04C6C">
              <w:rPr>
                <w:webHidden/>
                <w:sz w:val="20"/>
              </w:rPr>
              <w:fldChar w:fldCharType="end"/>
            </w:r>
          </w:hyperlink>
        </w:p>
        <w:p w:rsidR="00A04C6C" w:rsidRPr="00A04C6C" w:rsidRDefault="000B340F">
          <w:pPr>
            <w:pStyle w:val="TOC3"/>
            <w:rPr>
              <w:rFonts w:asciiTheme="minorHAnsi" w:eastAsiaTheme="minorEastAsia" w:hAnsiTheme="minorHAnsi" w:cstheme="minorBidi"/>
              <w:color w:val="auto"/>
              <w:sz w:val="20"/>
              <w:lang w:val="en-GB" w:eastAsia="en-GB"/>
            </w:rPr>
          </w:pPr>
          <w:hyperlink w:anchor="_Toc34209394" w:history="1">
            <w:r w:rsidR="00A04C6C" w:rsidRPr="00A04C6C">
              <w:rPr>
                <w:rStyle w:val="Hyperlink"/>
                <w:sz w:val="20"/>
              </w:rPr>
              <w:t>Glycidol</w:t>
            </w:r>
            <w:r w:rsidR="00A04C6C" w:rsidRPr="00A04C6C">
              <w:rPr>
                <w:webHidden/>
                <w:sz w:val="20"/>
              </w:rPr>
              <w:tab/>
            </w:r>
            <w:r w:rsidR="00A04C6C" w:rsidRPr="00A04C6C">
              <w:rPr>
                <w:webHidden/>
                <w:sz w:val="20"/>
              </w:rPr>
              <w:fldChar w:fldCharType="begin"/>
            </w:r>
            <w:r w:rsidR="00A04C6C" w:rsidRPr="00A04C6C">
              <w:rPr>
                <w:webHidden/>
                <w:sz w:val="20"/>
              </w:rPr>
              <w:instrText xml:space="preserve"> PAGEREF _Toc34209394 \h </w:instrText>
            </w:r>
            <w:r w:rsidR="00A04C6C" w:rsidRPr="00A04C6C">
              <w:rPr>
                <w:webHidden/>
                <w:sz w:val="20"/>
              </w:rPr>
            </w:r>
            <w:r w:rsidR="00A04C6C" w:rsidRPr="00A04C6C">
              <w:rPr>
                <w:webHidden/>
                <w:sz w:val="20"/>
              </w:rPr>
              <w:fldChar w:fldCharType="separate"/>
            </w:r>
            <w:r w:rsidR="00E73E1C">
              <w:rPr>
                <w:webHidden/>
                <w:sz w:val="20"/>
              </w:rPr>
              <w:t>19</w:t>
            </w:r>
            <w:r w:rsidR="00A04C6C" w:rsidRPr="00A04C6C">
              <w:rPr>
                <w:webHidden/>
                <w:sz w:val="20"/>
              </w:rPr>
              <w:fldChar w:fldCharType="end"/>
            </w:r>
          </w:hyperlink>
        </w:p>
        <w:p w:rsidR="00A04C6C" w:rsidRDefault="000B340F">
          <w:pPr>
            <w:pStyle w:val="TOC3"/>
            <w:rPr>
              <w:rFonts w:asciiTheme="minorHAnsi" w:eastAsiaTheme="minorEastAsia" w:hAnsiTheme="minorHAnsi" w:cstheme="minorBidi"/>
              <w:color w:val="auto"/>
              <w:sz w:val="22"/>
              <w:szCs w:val="22"/>
              <w:lang w:val="en-GB" w:eastAsia="en-GB"/>
            </w:rPr>
          </w:pPr>
          <w:hyperlink w:anchor="_Toc34209395" w:history="1">
            <w:r w:rsidR="00A04C6C" w:rsidRPr="00A04C6C">
              <w:rPr>
                <w:rStyle w:val="Hyperlink"/>
                <w:sz w:val="20"/>
              </w:rPr>
              <w:t>Conclusion</w:t>
            </w:r>
            <w:r w:rsidR="00A04C6C" w:rsidRPr="00A04C6C">
              <w:rPr>
                <w:webHidden/>
                <w:sz w:val="20"/>
              </w:rPr>
              <w:tab/>
            </w:r>
            <w:r w:rsidR="00A04C6C" w:rsidRPr="00A04C6C">
              <w:rPr>
                <w:webHidden/>
                <w:sz w:val="20"/>
              </w:rPr>
              <w:fldChar w:fldCharType="begin"/>
            </w:r>
            <w:r w:rsidR="00A04C6C" w:rsidRPr="00A04C6C">
              <w:rPr>
                <w:webHidden/>
                <w:sz w:val="20"/>
              </w:rPr>
              <w:instrText xml:space="preserve"> PAGEREF _Toc34209395 \h </w:instrText>
            </w:r>
            <w:r w:rsidR="00A04C6C" w:rsidRPr="00A04C6C">
              <w:rPr>
                <w:webHidden/>
                <w:sz w:val="20"/>
              </w:rPr>
            </w:r>
            <w:r w:rsidR="00A04C6C" w:rsidRPr="00A04C6C">
              <w:rPr>
                <w:webHidden/>
                <w:sz w:val="20"/>
              </w:rPr>
              <w:fldChar w:fldCharType="separate"/>
            </w:r>
            <w:r w:rsidR="00E73E1C">
              <w:rPr>
                <w:webHidden/>
                <w:sz w:val="20"/>
              </w:rPr>
              <w:t>20</w:t>
            </w:r>
            <w:r w:rsidR="00A04C6C" w:rsidRPr="00A04C6C">
              <w:rPr>
                <w:webHidden/>
                <w:sz w:val="20"/>
              </w:rPr>
              <w:fldChar w:fldCharType="end"/>
            </w:r>
          </w:hyperlink>
        </w:p>
        <w:p w:rsidR="00B56022" w:rsidRPr="00E21773" w:rsidRDefault="00A2333F" w:rsidP="00E21773">
          <w:pPr>
            <w:pStyle w:val="TOC2"/>
            <w:rPr>
              <w:rFonts w:asciiTheme="minorHAnsi" w:eastAsiaTheme="minorEastAsia" w:hAnsiTheme="minorHAnsi" w:cstheme="minorBidi"/>
              <w:b w:val="0"/>
              <w:noProof/>
              <w:sz w:val="22"/>
              <w:szCs w:val="22"/>
              <w:lang w:val="en-GB" w:eastAsia="en-GB"/>
            </w:rPr>
          </w:pPr>
          <w:r>
            <w:fldChar w:fldCharType="end"/>
          </w:r>
        </w:p>
      </w:sdtContent>
    </w:sdt>
    <w:p w:rsidR="00B56022" w:rsidRDefault="00B56022" w:rsidP="00CB521D">
      <w:pPr>
        <w:pStyle w:val="Heading2"/>
        <w:sectPr w:rsidR="00B56022" w:rsidSect="00B56022">
          <w:pgSz w:w="11906" w:h="16838" w:code="9"/>
          <w:pgMar w:top="1418" w:right="1418" w:bottom="1418" w:left="1418" w:header="510" w:footer="346" w:gutter="0"/>
          <w:cols w:space="708"/>
          <w:docGrid w:linePitch="360"/>
        </w:sectPr>
      </w:pPr>
    </w:p>
    <w:p w:rsidR="008A4F26" w:rsidRPr="004F26CE" w:rsidRDefault="00D93C21" w:rsidP="008A4F26">
      <w:pPr>
        <w:pStyle w:val="Heading2"/>
      </w:pPr>
      <w:bookmarkStart w:id="4" w:name="_Toc34209373"/>
      <w:bookmarkEnd w:id="2"/>
      <w:bookmarkEnd w:id="1"/>
      <w:bookmarkEnd w:id="0"/>
      <w:r>
        <w:lastRenderedPageBreak/>
        <w:t>Background</w:t>
      </w:r>
      <w:bookmarkEnd w:id="4"/>
    </w:p>
    <w:p w:rsidR="00D93C21" w:rsidRDefault="00D93C21" w:rsidP="00D93C21">
      <w:r>
        <w:t>3-MCPD esters and glycidyl esters are substances that can form during the processing of oils, when they are being decolourised and deodorised before they are sold or used as an ingredient to manufacture other foods. Research has shown that the esters are broken down into 3-MCPD and glycidol after ingestion. These breakdown products are a</w:t>
      </w:r>
      <w:r w:rsidRPr="00CD18BA">
        <w:t xml:space="preserve"> potential pub</w:t>
      </w:r>
      <w:r>
        <w:t xml:space="preserve">lic health concern as they </w:t>
      </w:r>
      <w:r w:rsidRPr="00CD18BA">
        <w:t>can cause cancer in laboratory animals.</w:t>
      </w:r>
    </w:p>
    <w:p w:rsidR="00D93C21" w:rsidRDefault="00D93C21" w:rsidP="00D93C21">
      <w:r w:rsidRPr="00F17812">
        <w:t xml:space="preserve">New Zealand </w:t>
      </w:r>
      <w:r>
        <w:t xml:space="preserve">Food Safety (NZFS), with input from </w:t>
      </w:r>
      <w:r w:rsidRPr="00F17812">
        <w:t>FSANZ</w:t>
      </w:r>
      <w:r>
        <w:t>, coordinated a</w:t>
      </w:r>
      <w:r w:rsidRPr="00F17812">
        <w:t xml:space="preserve"> snap-shot </w:t>
      </w:r>
      <w:r>
        <w:t xml:space="preserve">analytical </w:t>
      </w:r>
      <w:r w:rsidRPr="00F17812">
        <w:t xml:space="preserve">survey of 3-monochloropropanediol 3-(MCPD), glycidol and their esters in selected edible vegetable oils </w:t>
      </w:r>
      <w:r>
        <w:t xml:space="preserve">and infant formula available at retail. The samples were analysed by ESR </w:t>
      </w:r>
      <w:r w:rsidRPr="006220B7">
        <w:rPr>
          <w:lang w:val="en-NZ"/>
        </w:rPr>
        <w:t>(the Institute of Environmental Science and Research)</w:t>
      </w:r>
      <w:r w:rsidRPr="006220B7">
        <w:t xml:space="preserve"> Food Chemistry Laboratory</w:t>
      </w:r>
      <w:r>
        <w:t xml:space="preserve">, </w:t>
      </w:r>
      <w:r w:rsidRPr="006220B7">
        <w:t>Christch</w:t>
      </w:r>
      <w:r>
        <w:t xml:space="preserve">urch, New Zealand. ESR also tested for </w:t>
      </w:r>
      <w:r w:rsidRPr="00F17812">
        <w:t>2-monochloropropanediol (2-MCPD)</w:t>
      </w:r>
      <w:r>
        <w:t>.</w:t>
      </w:r>
      <w:r w:rsidRPr="00F17812">
        <w:t xml:space="preserve"> </w:t>
      </w:r>
      <w:r w:rsidRPr="00857589">
        <w:t>Infant formula was tested because vegetable oils are a key ingredient and, in terms of dietary exposure, infants are a vulnerable population group and infant formula can be their sole source of nutrition.</w:t>
      </w:r>
    </w:p>
    <w:p w:rsidR="00D93C21" w:rsidRDefault="00D93C21" w:rsidP="00D93C21">
      <w:r>
        <w:t>The</w:t>
      </w:r>
      <w:r w:rsidRPr="00F17812">
        <w:t xml:space="preserve"> survey aimed to</w:t>
      </w:r>
      <w:r>
        <w:t xml:space="preserve"> establish confidence in the selected analytical method and benchmark levels of these compounds found in products available in Australia and New Zealand against those found in similar products available overseas.</w:t>
      </w:r>
    </w:p>
    <w:p w:rsidR="00D93C21" w:rsidRPr="00983890" w:rsidRDefault="00D93C21" w:rsidP="00D93C21">
      <w:pPr>
        <w:pStyle w:val="Heading2"/>
      </w:pPr>
      <w:bookmarkStart w:id="5" w:name="_Toc32242981"/>
      <w:bookmarkStart w:id="6" w:name="_Toc34209374"/>
      <w:r w:rsidRPr="00983890">
        <w:t>Methods and analytical survey</w:t>
      </w:r>
      <w:bookmarkEnd w:id="5"/>
      <w:bookmarkEnd w:id="6"/>
    </w:p>
    <w:p w:rsidR="00D93C21" w:rsidRDefault="00D93C21" w:rsidP="00D93C21">
      <w:r>
        <w:t>The methods and analytical results are described in detail in the NZFS report (</w:t>
      </w:r>
      <w:hyperlink r:id="rId16" w:history="1">
        <w:r w:rsidRPr="00A53A35">
          <w:rPr>
            <w:rStyle w:val="Hyperlink"/>
          </w:rPr>
          <w:t>https://www.mpi.govt.nz/food-safety/food-safety-and-suitability-research/food-science-research/chemical-hazard-and-mycotoxin-research/</w:t>
        </w:r>
      </w:hyperlink>
      <w:r>
        <w:t>). In brief, 100 samples of vegetable oils and infant formula (including those noted as suitable from birth up to 12 months of age) were collected in Australia (</w:t>
      </w:r>
      <w:r w:rsidRPr="00857589">
        <w:rPr>
          <w:i/>
        </w:rPr>
        <w:t>n</w:t>
      </w:r>
      <w:r>
        <w:t xml:space="preserve">=50) </w:t>
      </w:r>
      <w:r w:rsidRPr="00857589">
        <w:t>and</w:t>
      </w:r>
      <w:r>
        <w:t xml:space="preserve"> New Zealand (</w:t>
      </w:r>
      <w:r w:rsidRPr="00857589">
        <w:rPr>
          <w:i/>
        </w:rPr>
        <w:t>n</w:t>
      </w:r>
      <w:r>
        <w:t>=50) during August to October 2017. In total, 44 oils and 56 infant formula samples were tested. Infant formula products were purchased in both countries, however it should be noted that the country of purchase does not reflect the country the products were produced in.</w:t>
      </w:r>
    </w:p>
    <w:p w:rsidR="00D93C21" w:rsidRDefault="00D93C21" w:rsidP="00D93C21">
      <w:r>
        <w:t xml:space="preserve">The samples were analysed by </w:t>
      </w:r>
      <w:r w:rsidRPr="006220B7">
        <w:t xml:space="preserve">ESR </w:t>
      </w:r>
      <w:r>
        <w:t xml:space="preserve">using </w:t>
      </w:r>
      <w:r w:rsidRPr="007C3045">
        <w:t>Gas Chromatography Mass Spectrometry (AOCS Official method Cd 29a-13, 2013)</w:t>
      </w:r>
      <w:r>
        <w:t>.</w:t>
      </w:r>
      <w:r w:rsidRPr="007C3045" w:rsidDel="007C3045">
        <w:t xml:space="preserve"> </w:t>
      </w:r>
      <w:r>
        <w:t xml:space="preserve">Duplicate samples were dispatched to the United States Food and Drug Administration (US FDA) for analysis using an alternative </w:t>
      </w:r>
      <w:r w:rsidRPr="007C3045">
        <w:t xml:space="preserve">direct, LC-MS based method for each ester individually </w:t>
      </w:r>
      <w:r>
        <w:t>as a means of validating the method selected by ESR.</w:t>
      </w:r>
    </w:p>
    <w:p w:rsidR="00D93C21" w:rsidRDefault="00D93C21" w:rsidP="00D93C21">
      <w:r w:rsidRPr="00625E97">
        <w:t xml:space="preserve">The survey </w:t>
      </w:r>
      <w:r>
        <w:t xml:space="preserve">was successful in validating an </w:t>
      </w:r>
      <w:r w:rsidRPr="00625E97">
        <w:t xml:space="preserve">analytical method </w:t>
      </w:r>
      <w:r>
        <w:t xml:space="preserve">for use in Australia and New Zealand, </w:t>
      </w:r>
      <w:r w:rsidRPr="00625E97">
        <w:t xml:space="preserve">and provided some </w:t>
      </w:r>
      <w:r>
        <w:t xml:space="preserve">useful </w:t>
      </w:r>
      <w:r w:rsidRPr="00625E97">
        <w:t xml:space="preserve">baseline data </w:t>
      </w:r>
      <w:r>
        <w:t xml:space="preserve">on </w:t>
      </w:r>
      <w:r w:rsidRPr="00625E97">
        <w:t xml:space="preserve">products </w:t>
      </w:r>
      <w:r>
        <w:t>available in both countries</w:t>
      </w:r>
      <w:r w:rsidRPr="00625E97">
        <w:t xml:space="preserve">. </w:t>
      </w:r>
      <w:r>
        <w:t xml:space="preserve">For vegetables oils, ESR noted that </w:t>
      </w:r>
      <w:r w:rsidRPr="00625E97">
        <w:t xml:space="preserve">levels of both 3-MCPD esters and glycidyl esters are </w:t>
      </w:r>
      <w:r>
        <w:t xml:space="preserve">broadly consistent with those found in previous international surveys. For infant formula, ESR observed that levels of 3-MCPD are similar to average results found in international </w:t>
      </w:r>
      <w:r w:rsidRPr="00625E97">
        <w:t>surveys</w:t>
      </w:r>
      <w:r>
        <w:t xml:space="preserve">; levels of glycidyl esters </w:t>
      </w:r>
      <w:r w:rsidRPr="007C3045">
        <w:t xml:space="preserve">are, on average, at the low end of those found in studies conducted on samples sourced </w:t>
      </w:r>
      <w:r>
        <w:t>overseas.</w:t>
      </w:r>
    </w:p>
    <w:p w:rsidR="00D93C21" w:rsidRDefault="00D93C21" w:rsidP="00D93C21">
      <w:r>
        <w:t>There were insufficient samples of oils to undertake a risk assessment, therefore the oils were not considered further by FSANZ. There were sufficient samples of infant formula to undertake a preliminary risk assessment for this product category as a whole, the results from which may inform the need for a more detailed investigation.</w:t>
      </w:r>
    </w:p>
    <w:p w:rsidR="00D93C21" w:rsidRPr="00C07E8F" w:rsidRDefault="00D93C21" w:rsidP="00D93C21">
      <w:pPr>
        <w:keepNext/>
        <w:keepLines/>
      </w:pPr>
      <w:r>
        <w:lastRenderedPageBreak/>
        <w:t>FSANZ also undertook a comparison of the results with international regulatory limits, and a comparison with international concentration data in the GEMS/Food contaminants database (available on the World Health Organization (WHO) website). The results from this</w:t>
      </w:r>
      <w:r w:rsidRPr="00C07E8F">
        <w:t xml:space="preserve"> comparison </w:t>
      </w:r>
      <w:r>
        <w:t>can be found</w:t>
      </w:r>
      <w:r w:rsidRPr="00C07E8F">
        <w:t xml:space="preserve"> in Appendix 2.</w:t>
      </w:r>
    </w:p>
    <w:p w:rsidR="00D93C21" w:rsidRDefault="00D93C21" w:rsidP="00D93C21">
      <w:pPr>
        <w:pStyle w:val="Heading2"/>
      </w:pPr>
      <w:bookmarkStart w:id="7" w:name="_Toc32242982"/>
      <w:bookmarkStart w:id="8" w:name="_Toc34209375"/>
      <w:r w:rsidRPr="00D93C21">
        <w:rPr>
          <w:rStyle w:val="Heading4Char"/>
          <w:rFonts w:eastAsia="Calibri"/>
          <w:b/>
          <w:sz w:val="38"/>
          <w:szCs w:val="38"/>
        </w:rPr>
        <w:t>Hazard</w:t>
      </w:r>
      <w:r w:rsidRPr="00D93C21">
        <w:rPr>
          <w:rStyle w:val="Heading4Char"/>
          <w:rFonts w:eastAsia="Calibri"/>
        </w:rPr>
        <w:t xml:space="preserve"> </w:t>
      </w:r>
      <w:r w:rsidRPr="00D93C21">
        <w:rPr>
          <w:rStyle w:val="Heading4Char"/>
          <w:rFonts w:eastAsia="Calibri"/>
          <w:b/>
          <w:sz w:val="38"/>
          <w:szCs w:val="38"/>
        </w:rPr>
        <w:t>identification</w:t>
      </w:r>
      <w:r w:rsidRPr="00D93C21">
        <w:rPr>
          <w:rStyle w:val="Heading4Char"/>
          <w:rFonts w:eastAsia="Calibri"/>
        </w:rPr>
        <w:t xml:space="preserve"> </w:t>
      </w:r>
      <w:r w:rsidRPr="00D93C21">
        <w:rPr>
          <w:rStyle w:val="Heading4Char"/>
          <w:rFonts w:eastAsia="Calibri"/>
          <w:b/>
          <w:sz w:val="38"/>
          <w:szCs w:val="38"/>
        </w:rPr>
        <w:t>and</w:t>
      </w:r>
      <w:r>
        <w:t xml:space="preserve"> characterisation</w:t>
      </w:r>
      <w:bookmarkEnd w:id="7"/>
      <w:bookmarkEnd w:id="8"/>
    </w:p>
    <w:p w:rsidR="00D93C21" w:rsidRPr="005573B3" w:rsidRDefault="00D93C21" w:rsidP="00D93C21">
      <w:r>
        <w:t xml:space="preserve">3-MCPD esters and glycidyl esters were evaluated by the </w:t>
      </w:r>
      <w:r w:rsidRPr="005573B3">
        <w:t>Joint FAO/WHO Expert Committee on Food Additives (JECFA)</w:t>
      </w:r>
      <w:r>
        <w:t xml:space="preserve"> at their 83</w:t>
      </w:r>
      <w:r w:rsidRPr="008974CF">
        <w:rPr>
          <w:vertAlign w:val="superscript"/>
        </w:rPr>
        <w:t>rd</w:t>
      </w:r>
      <w:r>
        <w:t xml:space="preserve"> meeting in 2016.</w:t>
      </w:r>
    </w:p>
    <w:p w:rsidR="00D93C21" w:rsidRDefault="00D93C21" w:rsidP="00D93C21">
      <w:r w:rsidRPr="000D0186">
        <w:t>3-MCPD esters are substantially hydrolysed to 3-MCPD in the gastrointestinal tract and elicit toxicity as free 3-MCPD.</w:t>
      </w:r>
      <w:r>
        <w:t xml:space="preserve"> </w:t>
      </w:r>
      <w:r w:rsidRPr="000D0186">
        <w:t>J</w:t>
      </w:r>
      <w:r>
        <w:t>ECFA established a group provisional maximum tolerable daily intake (PMTDI) of 4 µg/kg bw for 3-MCPD and 3-MCPD esters, expressed as 3-MCPD equivalents (WHO 2017). The PMTDI is based on a BMDL</w:t>
      </w:r>
      <w:r w:rsidRPr="00BD6535">
        <w:rPr>
          <w:vertAlign w:val="subscript"/>
        </w:rPr>
        <w:t>10</w:t>
      </w:r>
      <w:r>
        <w:rPr>
          <w:rStyle w:val="FootnoteReference"/>
        </w:rPr>
        <w:footnoteReference w:id="4"/>
      </w:r>
      <w:r>
        <w:t xml:space="preserve"> of 0.87 mg/kg bw/day for renal tubule hyperplasia in male rats with the application of an uncertainty factor of 200. The uncertainty factor includes a factor of 2 to account for inadequacies in the available studies on reproductive toxicity.</w:t>
      </w:r>
    </w:p>
    <w:p w:rsidR="00D93C21" w:rsidRDefault="00D93C21" w:rsidP="00D93C21">
      <w:r w:rsidRPr="00BE7A87">
        <w:t xml:space="preserve">Glycidyl esters (GEs) are substantially hydrolysed to glycidol in the gastrointestinal tract, and elicit toxicity as free glycidol. Glycidol is genotoxic and carcinogenic in experimental animals, inducing tumours in multiple tissues in rats and mice. </w:t>
      </w:r>
      <w:r>
        <w:t>JECFA identified a BMDL</w:t>
      </w:r>
      <w:r w:rsidRPr="00D54C1D">
        <w:rPr>
          <w:vertAlign w:val="subscript"/>
        </w:rPr>
        <w:t>10</w:t>
      </w:r>
      <w:r>
        <w:t xml:space="preserve"> of 2.4 mg/kg bw/day for mesotheliomas in the tunica vaginalis/peritoneum in male rats as the most sensitive endpoint on which to base a point of departure for calculating a margin of exposure (MOE)</w:t>
      </w:r>
      <w:r w:rsidRPr="00A371EE">
        <w:rPr>
          <w:vertAlign w:val="superscript"/>
        </w:rPr>
        <w:footnoteReference w:id="5"/>
      </w:r>
      <w:r>
        <w:t xml:space="preserve"> (WHO 2017).</w:t>
      </w:r>
    </w:p>
    <w:p w:rsidR="00D93C21" w:rsidRDefault="00D93C21" w:rsidP="00DF777E">
      <w:pPr>
        <w:pStyle w:val="Heading2"/>
      </w:pPr>
      <w:bookmarkStart w:id="9" w:name="_Toc34209376"/>
      <w:r w:rsidRPr="00BE7A87">
        <w:t>Dietary exposure assessment</w:t>
      </w:r>
      <w:bookmarkEnd w:id="9"/>
    </w:p>
    <w:p w:rsidR="00D93C21" w:rsidRPr="00DF777E" w:rsidRDefault="00D93C21" w:rsidP="00D93C21">
      <w:pPr>
        <w:rPr>
          <w:color w:val="000000" w:themeColor="text1"/>
        </w:rPr>
      </w:pPr>
      <w:r>
        <w:t xml:space="preserve">Dietary exposures for infants to 3-MCPD (from 3-MCPD and 3-MCPD esters, expressed as 3-MCPD) and glycidyl esters (expressed as glycidol) were estimated by FSANZ based on the results from the analytical survey conducted by NZFS. Chronic dietary exposures were based on mean concentrations determined in the infant formula. Mean concentrations were derived for the samples analysed by ESR and separately for the results from samples analysed by US FDA. There were some not-detected (ND) concentrations in the ESR dataset, therefore three scenarios were assessed. The first where not detected concentrations were assigned a zero before deriving the mean (ND=0, or lower bound), the second where non-detects were assigned a value equal to half the limit of detection (LOD) (ND=1/2 LOD, or middle bound) and the third where non-detects were assigned a value equal to the LOD (ND=LOD, or upper bound). There were no non-detects in the US FDA </w:t>
      </w:r>
      <w:r w:rsidRPr="00DF777E">
        <w:rPr>
          <w:color w:val="000000" w:themeColor="text1"/>
        </w:rPr>
        <w:t xml:space="preserve">dataset therefore one mean value was derived for each chemical.  </w:t>
      </w:r>
    </w:p>
    <w:p w:rsidR="00D93C21" w:rsidRPr="00DF777E" w:rsidRDefault="00D93C21" w:rsidP="00D93C21">
      <w:pPr>
        <w:rPr>
          <w:color w:val="000000" w:themeColor="text1"/>
        </w:rPr>
      </w:pPr>
      <w:r w:rsidRPr="00DF777E">
        <w:rPr>
          <w:color w:val="000000" w:themeColor="text1"/>
        </w:rPr>
        <w:t>The analytical results were not separated by country for the purpose of the dietary exposure assessment. This was due to a number of reasons including the limited number of samples overall, that a broader range of products would be available and consumed by infants which are likely to contain concentrations in the range of all products sampled, and many of the brands sampled are available in both countries.</w:t>
      </w:r>
    </w:p>
    <w:p w:rsidR="00D93C21" w:rsidRDefault="00D93C21" w:rsidP="00D93C21">
      <w:r w:rsidRPr="0054585A">
        <w:lastRenderedPageBreak/>
        <w:t>The analytical results were given for concentrations</w:t>
      </w:r>
      <w:r>
        <w:t xml:space="preserve"> of </w:t>
      </w:r>
      <w:r w:rsidRPr="0054585A">
        <w:t>3</w:t>
      </w:r>
      <w:r>
        <w:t>-</w:t>
      </w:r>
      <w:r w:rsidRPr="0054585A">
        <w:t>MCPD or glycidol in the fat/oil component of the powder. Therefore, for the dietary exposure assessment the analytical results were converted to concentrations in the prepared formula ready for consumption (see Appendix 1 for further details).</w:t>
      </w:r>
    </w:p>
    <w:p w:rsidR="00D93C21" w:rsidRDefault="00D93C21" w:rsidP="00D93C21">
      <w:r w:rsidRPr="00AE2F0A">
        <w:t xml:space="preserve">Mean concentrations in the prepared infant formula </w:t>
      </w:r>
      <w:r>
        <w:t xml:space="preserve">used in the dietary exposure assessment </w:t>
      </w:r>
      <w:r w:rsidRPr="00AE2F0A">
        <w:t xml:space="preserve">for 3-MCPD for the ESR dataset were lower bound 7.6 µg/kg, middle bound 10.7 µg/kg and upper bound 13.8 µg/kg, and for the US FDA </w:t>
      </w:r>
      <w:r>
        <w:t xml:space="preserve">dataset </w:t>
      </w:r>
      <w:r w:rsidRPr="00AE2F0A">
        <w:t xml:space="preserve">the mean was 11.7 µg/kg. For glycidol, the mean concentrations in prepared formula </w:t>
      </w:r>
      <w:r>
        <w:t xml:space="preserve">for the ESR dataset </w:t>
      </w:r>
      <w:r w:rsidRPr="00AE2F0A">
        <w:t>were lower bound 1.7</w:t>
      </w:r>
      <w:r>
        <w:t> </w:t>
      </w:r>
      <w:r w:rsidRPr="00AE2F0A">
        <w:t>µg/kg, middle bound 6.5</w:t>
      </w:r>
      <w:r>
        <w:t> </w:t>
      </w:r>
      <w:r w:rsidRPr="00AE2F0A">
        <w:t xml:space="preserve">µg/kg and upper bound 11.2 µg/kg, and for the US FDA </w:t>
      </w:r>
      <w:r>
        <w:t xml:space="preserve">dataset </w:t>
      </w:r>
      <w:r w:rsidRPr="00AE2F0A">
        <w:t>the mean was 3.2 µg/kg.</w:t>
      </w:r>
      <w:r>
        <w:t xml:space="preserve"> The concentration data are also shown in </w:t>
      </w:r>
      <w:r>
        <w:fldChar w:fldCharType="begin"/>
      </w:r>
      <w:r>
        <w:instrText xml:space="preserve"> REF _Ref532505562 \h </w:instrText>
      </w:r>
      <w:r>
        <w:fldChar w:fldCharType="separate"/>
      </w:r>
      <w:r w:rsidR="00E73E1C">
        <w:t>Table A1.</w:t>
      </w:r>
      <w:r w:rsidR="00E73E1C">
        <w:rPr>
          <w:noProof/>
        </w:rPr>
        <w:t>1</w:t>
      </w:r>
      <w:r>
        <w:fldChar w:fldCharType="end"/>
      </w:r>
      <w:r>
        <w:t>.</w:t>
      </w:r>
    </w:p>
    <w:p w:rsidR="00D93C21" w:rsidRDefault="00D93C21" w:rsidP="00D93C21">
      <w:r w:rsidRPr="00AE2F0A">
        <w:t>Exposure</w:t>
      </w:r>
      <w:r>
        <w:t xml:space="preserve"> estimates were conducted for 3 month old infants, as infant formula can be the sole source of nutrition for this group. A model diet for the amount of infant formula consumed was used in the calculation of dietary exposure. The model diet was based on infant energy requirements, a representative mean body weight and an average energy content for the sampled infant formulas. High consumers were assessed by assuming a mean consumption of formula using a standard conversion of the mean multiplied by two to approximate a 90</w:t>
      </w:r>
      <w:r w:rsidRPr="00DD208A">
        <w:rPr>
          <w:vertAlign w:val="superscript"/>
        </w:rPr>
        <w:t>th</w:t>
      </w:r>
      <w:r>
        <w:t xml:space="preserve"> percentile (P90) amount.</w:t>
      </w:r>
    </w:p>
    <w:p w:rsidR="00D93C21" w:rsidRDefault="00D93C21" w:rsidP="00D93C21">
      <w:r>
        <w:t>Further details about the methodology used for the dietary exposure assessment can be found in Appendix 1.</w:t>
      </w:r>
    </w:p>
    <w:p w:rsidR="00DF777E" w:rsidRPr="00EC7083" w:rsidRDefault="00DF777E" w:rsidP="00DF777E">
      <w:pPr>
        <w:pStyle w:val="Heading4"/>
      </w:pPr>
      <w:bookmarkStart w:id="10" w:name="_Toc32242984"/>
      <w:bookmarkStart w:id="11" w:name="_Toc34209377"/>
      <w:r>
        <w:t xml:space="preserve">Estimated dietary exposures to </w:t>
      </w:r>
      <w:r w:rsidRPr="00EC7083">
        <w:t>3-</w:t>
      </w:r>
      <w:r w:rsidRPr="001B62DE">
        <w:t>MCPD</w:t>
      </w:r>
      <w:bookmarkEnd w:id="10"/>
      <w:bookmarkEnd w:id="11"/>
    </w:p>
    <w:p w:rsidR="00DF777E" w:rsidRPr="00546137" w:rsidRDefault="00DF777E" w:rsidP="00DF777E">
      <w:r>
        <w:t>E</w:t>
      </w:r>
      <w:r w:rsidRPr="00546137">
        <w:t xml:space="preserve">stimated </w:t>
      </w:r>
      <w:r>
        <w:t>mean dietary exposures to 3</w:t>
      </w:r>
      <w:r>
        <w:noBreakHyphen/>
      </w:r>
      <w:r w:rsidRPr="00546137">
        <w:t xml:space="preserve">MCPD from infant formula </w:t>
      </w:r>
      <w:r>
        <w:t xml:space="preserve">for 3 month old infants ranged between </w:t>
      </w:r>
      <w:r w:rsidRPr="00546137">
        <w:t>0.9</w:t>
      </w:r>
      <w:r>
        <w:t>3</w:t>
      </w:r>
      <w:r w:rsidRPr="00546137">
        <w:t xml:space="preserve"> </w:t>
      </w:r>
      <w:r>
        <w:t xml:space="preserve">(lower bound) </w:t>
      </w:r>
      <w:r w:rsidRPr="00546137">
        <w:t>– 1.69 </w:t>
      </w:r>
      <w:r>
        <w:t>(upper bound) </w:t>
      </w:r>
      <w:r w:rsidRPr="00546137">
        <w:t xml:space="preserve">μg/kg bw/day </w:t>
      </w:r>
      <w:r>
        <w:t>using</w:t>
      </w:r>
      <w:r w:rsidRPr="00546137">
        <w:t xml:space="preserve"> the</w:t>
      </w:r>
      <w:r>
        <w:t xml:space="preserve"> ESR analytical dataset and </w:t>
      </w:r>
      <w:r w:rsidRPr="00546137">
        <w:t>1.44 μg/kg bw/day</w:t>
      </w:r>
      <w:r>
        <w:t xml:space="preserve"> using the United States Food and Drug Administration (US FDA) analytical dataset (see </w:t>
      </w:r>
      <w:r>
        <w:fldChar w:fldCharType="begin"/>
      </w:r>
      <w:r>
        <w:instrText xml:space="preserve"> REF _Ref530661750 \h </w:instrText>
      </w:r>
      <w:r>
        <w:fldChar w:fldCharType="separate"/>
      </w:r>
      <w:r w:rsidR="00E73E1C">
        <w:t xml:space="preserve">Table </w:t>
      </w:r>
      <w:r w:rsidR="00E73E1C">
        <w:rPr>
          <w:noProof/>
        </w:rPr>
        <w:t>1</w:t>
      </w:r>
      <w:r>
        <w:fldChar w:fldCharType="end"/>
      </w:r>
      <w:r>
        <w:t>).</w:t>
      </w:r>
    </w:p>
    <w:p w:rsidR="00DF777E" w:rsidRDefault="00DF777E" w:rsidP="00DF777E">
      <w:r>
        <w:t>E</w:t>
      </w:r>
      <w:r w:rsidRPr="00546137">
        <w:t xml:space="preserve">stimated </w:t>
      </w:r>
      <w:r>
        <w:t>P90 dietary exposures to 3</w:t>
      </w:r>
      <w:r>
        <w:noBreakHyphen/>
      </w:r>
      <w:r w:rsidRPr="00546137">
        <w:t xml:space="preserve">MCPD from infant formula </w:t>
      </w:r>
      <w:r>
        <w:t xml:space="preserve">for 3 month old infants ranged between </w:t>
      </w:r>
      <w:r w:rsidRPr="00546137">
        <w:t xml:space="preserve">1.85 </w:t>
      </w:r>
      <w:r>
        <w:t xml:space="preserve">(lower bound) </w:t>
      </w:r>
      <w:r w:rsidRPr="00546137">
        <w:t>– 3.39</w:t>
      </w:r>
      <w:r>
        <w:t xml:space="preserve"> (upper bound)</w:t>
      </w:r>
      <w:r w:rsidRPr="00546137">
        <w:t> μg/kg bw/day </w:t>
      </w:r>
      <w:r>
        <w:t xml:space="preserve"> using</w:t>
      </w:r>
      <w:r w:rsidRPr="00546137">
        <w:t xml:space="preserve"> the </w:t>
      </w:r>
      <w:r>
        <w:t xml:space="preserve">ESR analytical dataset and </w:t>
      </w:r>
      <w:r w:rsidRPr="00546137">
        <w:t>2.87 μg/kg bw/day</w:t>
      </w:r>
      <w:r>
        <w:t xml:space="preserve"> using the US FDA analytical dataset (see </w:t>
      </w:r>
      <w:r>
        <w:fldChar w:fldCharType="begin"/>
      </w:r>
      <w:r>
        <w:instrText xml:space="preserve"> REF _Ref530661750 \h </w:instrText>
      </w:r>
      <w:r>
        <w:fldChar w:fldCharType="separate"/>
      </w:r>
      <w:r w:rsidR="00E73E1C">
        <w:t xml:space="preserve">Table </w:t>
      </w:r>
      <w:r w:rsidR="00E73E1C">
        <w:rPr>
          <w:noProof/>
        </w:rPr>
        <w:t>1</w:t>
      </w:r>
      <w:r>
        <w:fldChar w:fldCharType="end"/>
      </w:r>
      <w:r>
        <w:t>).</w:t>
      </w:r>
    </w:p>
    <w:p w:rsidR="00DF777E" w:rsidRDefault="00DF777E" w:rsidP="00DF777E">
      <w:r w:rsidRPr="00546137">
        <w:t xml:space="preserve">The </w:t>
      </w:r>
      <w:r>
        <w:t xml:space="preserve">dietary exposure </w:t>
      </w:r>
      <w:r w:rsidRPr="00546137">
        <w:t>estimates using US FDA data</w:t>
      </w:r>
      <w:r>
        <w:t>set</w:t>
      </w:r>
      <w:r w:rsidRPr="00546137">
        <w:t xml:space="preserve"> lie between the ESR data</w:t>
      </w:r>
      <w:r>
        <w:t>set estimates for ND</w:t>
      </w:r>
      <w:r w:rsidRPr="00546137">
        <w:t>=½</w:t>
      </w:r>
      <w:r>
        <w:t> </w:t>
      </w:r>
      <w:r w:rsidRPr="00546137">
        <w:t xml:space="preserve">LOD and </w:t>
      </w:r>
      <w:r>
        <w:t>ND=LOD</w:t>
      </w:r>
      <w:r w:rsidRPr="00546137">
        <w:t>.</w:t>
      </w:r>
    </w:p>
    <w:p w:rsidR="00DF777E" w:rsidRDefault="00DF777E" w:rsidP="00DF777E">
      <w:r>
        <w:t>All dietary exposures are within the range of estimates published by JECFA for infants aged 0-12 months based on mean concentrations (</w:t>
      </w:r>
      <w:r w:rsidRPr="00826E68">
        <w:t>&lt;1 – 10 μg/kg bw/day</w:t>
      </w:r>
      <w:r>
        <w:t xml:space="preserve"> based on mean consumption; </w:t>
      </w:r>
      <w:r w:rsidRPr="00826E68">
        <w:t xml:space="preserve">&lt;1 – 12 μg/kg bw/day </w:t>
      </w:r>
      <w:r>
        <w:t xml:space="preserve">based on high (P90 and P95) consumption) (JECFA 2017). </w:t>
      </w:r>
      <w:r w:rsidRPr="00826E68">
        <w:t>The mean and high percentile dietary exposures estimated in this assessment using the US FDA analytical dataset are towards the lower end of the JECFA dietary exposure estimate ranges</w:t>
      </w:r>
      <w:r>
        <w:t>, noting that different age groups are used in these assessments</w:t>
      </w:r>
      <w:r w:rsidRPr="00826E68">
        <w:t>.</w:t>
      </w:r>
    </w:p>
    <w:p w:rsidR="00DF777E" w:rsidRPr="00EC7083" w:rsidRDefault="00DF777E" w:rsidP="00DF777E">
      <w:pPr>
        <w:pStyle w:val="Heading4"/>
      </w:pPr>
      <w:bookmarkStart w:id="12" w:name="_Toc32242985"/>
      <w:bookmarkStart w:id="13" w:name="_Toc34209378"/>
      <w:r>
        <w:t>Estimated dietary exposures to g</w:t>
      </w:r>
      <w:r w:rsidRPr="00EC7083">
        <w:t>lycidyl esters (expressed as glycidol)</w:t>
      </w:r>
      <w:bookmarkEnd w:id="12"/>
      <w:bookmarkEnd w:id="13"/>
    </w:p>
    <w:p w:rsidR="00DF777E" w:rsidRDefault="00DF777E" w:rsidP="00DF777E">
      <w:r>
        <w:t>E</w:t>
      </w:r>
      <w:r w:rsidRPr="00546137">
        <w:t xml:space="preserve">stimated </w:t>
      </w:r>
      <w:r>
        <w:t>mean dietary exposures to glycidol from infant formula ranged between</w:t>
      </w:r>
      <w:r w:rsidRPr="00546137">
        <w:t xml:space="preserve"> 0.</w:t>
      </w:r>
      <w:r>
        <w:t>21 (lower bound)</w:t>
      </w:r>
      <w:r w:rsidRPr="00546137">
        <w:t xml:space="preserve"> – 1.</w:t>
      </w:r>
      <w:r>
        <w:t>37 (upper bound)</w:t>
      </w:r>
      <w:r w:rsidRPr="00546137">
        <w:t xml:space="preserve"> μg/kg bw/day </w:t>
      </w:r>
      <w:r>
        <w:t>using</w:t>
      </w:r>
      <w:r w:rsidRPr="00546137">
        <w:t xml:space="preserve"> the </w:t>
      </w:r>
      <w:r>
        <w:t>ESR analytical dataset and 0.40</w:t>
      </w:r>
      <w:r w:rsidRPr="00546137">
        <w:t> μg/kg bw/day</w:t>
      </w:r>
      <w:r>
        <w:t xml:space="preserve"> using the US FDA analytical dataset (see </w:t>
      </w:r>
      <w:r>
        <w:fldChar w:fldCharType="begin"/>
      </w:r>
      <w:r>
        <w:instrText xml:space="preserve"> REF _Ref530661750 \h </w:instrText>
      </w:r>
      <w:r>
        <w:fldChar w:fldCharType="separate"/>
      </w:r>
      <w:r w:rsidR="00E73E1C">
        <w:t xml:space="preserve">Table </w:t>
      </w:r>
      <w:r w:rsidR="00E73E1C">
        <w:rPr>
          <w:noProof/>
        </w:rPr>
        <w:t>1</w:t>
      </w:r>
      <w:r>
        <w:fldChar w:fldCharType="end"/>
      </w:r>
      <w:r>
        <w:t>).</w:t>
      </w:r>
    </w:p>
    <w:p w:rsidR="00DF777E" w:rsidRDefault="00DF777E" w:rsidP="00DF777E">
      <w:r>
        <w:t>E</w:t>
      </w:r>
      <w:r w:rsidRPr="00546137">
        <w:t xml:space="preserve">stimated </w:t>
      </w:r>
      <w:r>
        <w:t>P90 dietary exposures to glycidol</w:t>
      </w:r>
      <w:r w:rsidRPr="00546137">
        <w:t xml:space="preserve"> from infant formula </w:t>
      </w:r>
      <w:r>
        <w:t>ranged between</w:t>
      </w:r>
      <w:r w:rsidRPr="00546137">
        <w:t xml:space="preserve"> </w:t>
      </w:r>
      <w:r>
        <w:t>0.42 (lower bound)</w:t>
      </w:r>
      <w:r w:rsidRPr="00546137">
        <w:t xml:space="preserve"> – </w:t>
      </w:r>
      <w:r>
        <w:t>2.75 (upper bound)</w:t>
      </w:r>
      <w:r w:rsidRPr="00546137">
        <w:t> μg/kg bw/day</w:t>
      </w:r>
      <w:r>
        <w:t xml:space="preserve"> using</w:t>
      </w:r>
      <w:r w:rsidRPr="00546137">
        <w:t xml:space="preserve"> the </w:t>
      </w:r>
      <w:r>
        <w:t>ESR analytical dataset and 0.79</w:t>
      </w:r>
      <w:r w:rsidRPr="00546137">
        <w:t> μ</w:t>
      </w:r>
      <w:r>
        <w:t xml:space="preserve">g/kg bw/day using the US FDA analytical dataset (see </w:t>
      </w:r>
      <w:r>
        <w:fldChar w:fldCharType="begin"/>
      </w:r>
      <w:r>
        <w:instrText xml:space="preserve"> REF _Ref530661750 \h </w:instrText>
      </w:r>
      <w:r>
        <w:fldChar w:fldCharType="separate"/>
      </w:r>
      <w:r w:rsidR="00E73E1C">
        <w:t xml:space="preserve">Table </w:t>
      </w:r>
      <w:r w:rsidR="00E73E1C">
        <w:rPr>
          <w:noProof/>
        </w:rPr>
        <w:t>1</w:t>
      </w:r>
      <w:r>
        <w:fldChar w:fldCharType="end"/>
      </w:r>
      <w:r>
        <w:t>).</w:t>
      </w:r>
    </w:p>
    <w:p w:rsidR="00DF777E" w:rsidRDefault="00DF777E" w:rsidP="00DF777E"/>
    <w:p w:rsidR="00DF777E" w:rsidRDefault="00DF777E" w:rsidP="00DF777E">
      <w:r>
        <w:lastRenderedPageBreak/>
        <w:t>All dietary exposures are within the range of estimates published by JECFA (mean exposures 0.1 – 3.</w:t>
      </w:r>
      <w:r w:rsidRPr="00983890">
        <w:t>6 µg/kg bw/day; high percentile (P90 and P95) exposures 0.3</w:t>
      </w:r>
      <w:r>
        <w:t xml:space="preserve"> –</w:t>
      </w:r>
      <w:r w:rsidRPr="00983890">
        <w:t>4.9</w:t>
      </w:r>
      <w:r>
        <w:t> </w:t>
      </w:r>
      <w:r w:rsidRPr="00983890">
        <w:t>µg/kg</w:t>
      </w:r>
      <w:r>
        <w:t> </w:t>
      </w:r>
      <w:r w:rsidRPr="00983890">
        <w:t>bw/day) (JECFA</w:t>
      </w:r>
      <w:r>
        <w:t xml:space="preserve"> 2017). The mean and high percentile dietary exposures estimated in this assessment using the US FDA analytical dataset are towards the lower end of the international dietary exposure estimate ranges, noting that different age groups are used in these assessments</w:t>
      </w:r>
      <w:r w:rsidRPr="00826E68">
        <w:t>.</w:t>
      </w:r>
    </w:p>
    <w:p w:rsidR="00DF777E" w:rsidRDefault="00DF777E" w:rsidP="00DF777E">
      <w:pPr>
        <w:pStyle w:val="FSTableTitle"/>
        <w:keepNext/>
        <w:keepLines/>
      </w:pPr>
      <w:bookmarkStart w:id="14" w:name="_Ref530661750"/>
      <w:bookmarkStart w:id="15" w:name="_Toc531944161"/>
      <w:r>
        <w:t xml:space="preserve">Table </w:t>
      </w:r>
      <w:r>
        <w:rPr>
          <w:noProof/>
        </w:rPr>
        <w:fldChar w:fldCharType="begin"/>
      </w:r>
      <w:r>
        <w:rPr>
          <w:noProof/>
        </w:rPr>
        <w:instrText xml:space="preserve"> SEQ Table \* ARABIC </w:instrText>
      </w:r>
      <w:r>
        <w:rPr>
          <w:noProof/>
        </w:rPr>
        <w:fldChar w:fldCharType="separate"/>
      </w:r>
      <w:r w:rsidR="00E73E1C">
        <w:rPr>
          <w:noProof/>
        </w:rPr>
        <w:t>1</w:t>
      </w:r>
      <w:r>
        <w:rPr>
          <w:noProof/>
        </w:rPr>
        <w:fldChar w:fldCharType="end"/>
      </w:r>
      <w:bookmarkEnd w:id="14"/>
      <w:r>
        <w:t xml:space="preserve">: Estimated mean and P90 dietary exposures to 3-MCPD and glycidol from infant formula for 3 month old infants, in </w:t>
      </w:r>
      <w:r w:rsidRPr="00546137">
        <w:t>μg/kg bw/day</w:t>
      </w:r>
      <w:bookmarkEnd w:id="15"/>
    </w:p>
    <w:p w:rsidR="00E23DA4" w:rsidRPr="00E23DA4" w:rsidRDefault="00E23DA4" w:rsidP="00E23DA4">
      <w:pPr>
        <w:rPr>
          <w:highlight w:val="yellow"/>
          <w:lang w:val="en-GB" w:bidi="en-US"/>
        </w:rPr>
      </w:pPr>
    </w:p>
    <w:tbl>
      <w:tblPr>
        <w:tblStyle w:val="Table"/>
        <w:tblW w:w="0" w:type="auto"/>
        <w:tblLook w:val="04A0" w:firstRow="1" w:lastRow="0" w:firstColumn="1" w:lastColumn="0" w:noHBand="0" w:noVBand="1"/>
        <w:tblDescription w:val="Estimated mean and P90 dietary exposures to 3-MCPD and glycidol for 3 month old infants using both the ESR analytical dataset and the US FDA dataset. Results are expressed in ug per kg body weight per day units."/>
      </w:tblPr>
      <w:tblGrid>
        <w:gridCol w:w="1740"/>
        <w:gridCol w:w="2025"/>
        <w:gridCol w:w="1981"/>
        <w:gridCol w:w="1795"/>
        <w:gridCol w:w="1529"/>
      </w:tblGrid>
      <w:tr w:rsidR="00DF777E" w:rsidRPr="00345786" w:rsidTr="00E23DA4">
        <w:trPr>
          <w:cnfStyle w:val="100000000000" w:firstRow="1" w:lastRow="0" w:firstColumn="0" w:lastColumn="0" w:oddVBand="0" w:evenVBand="0" w:oddHBand="0" w:evenHBand="0" w:firstRowFirstColumn="0" w:firstRowLastColumn="0" w:lastRowFirstColumn="0" w:lastRowLastColumn="0"/>
        </w:trPr>
        <w:tc>
          <w:tcPr>
            <w:tcW w:w="1740" w:type="dxa"/>
            <w:shd w:val="clear" w:color="auto" w:fill="7F7F7F" w:themeFill="text1" w:themeFillTint="80"/>
          </w:tcPr>
          <w:p w:rsidR="00DF777E" w:rsidRPr="00345786" w:rsidRDefault="00DF777E" w:rsidP="00DF777E">
            <w:pPr>
              <w:keepNext/>
              <w:keepLines/>
              <w:spacing w:after="0"/>
            </w:pPr>
          </w:p>
        </w:tc>
        <w:tc>
          <w:tcPr>
            <w:tcW w:w="2025" w:type="dxa"/>
            <w:shd w:val="clear" w:color="auto" w:fill="7F7F7F" w:themeFill="text1" w:themeFillTint="80"/>
          </w:tcPr>
          <w:p w:rsidR="00DF777E" w:rsidRPr="00345786" w:rsidRDefault="00DF777E" w:rsidP="00DF777E">
            <w:pPr>
              <w:keepNext/>
              <w:keepLines/>
              <w:spacing w:after="0"/>
            </w:pPr>
          </w:p>
        </w:tc>
        <w:tc>
          <w:tcPr>
            <w:tcW w:w="1981" w:type="dxa"/>
            <w:shd w:val="clear" w:color="auto" w:fill="7F7F7F" w:themeFill="text1" w:themeFillTint="80"/>
          </w:tcPr>
          <w:p w:rsidR="00DF777E" w:rsidRPr="00345786" w:rsidRDefault="00DF777E" w:rsidP="00DF777E">
            <w:pPr>
              <w:keepNext/>
              <w:keepLines/>
              <w:spacing w:after="0"/>
            </w:pPr>
          </w:p>
        </w:tc>
        <w:tc>
          <w:tcPr>
            <w:tcW w:w="3324" w:type="dxa"/>
            <w:gridSpan w:val="2"/>
            <w:shd w:val="clear" w:color="auto" w:fill="7F7F7F" w:themeFill="text1" w:themeFillTint="80"/>
          </w:tcPr>
          <w:p w:rsidR="00DF777E" w:rsidRDefault="00DF777E" w:rsidP="00DF777E">
            <w:pPr>
              <w:keepNext/>
              <w:keepLines/>
              <w:spacing w:after="0"/>
              <w:jc w:val="center"/>
            </w:pPr>
            <w:r>
              <w:t>Dietary exposure</w:t>
            </w:r>
          </w:p>
          <w:p w:rsidR="00DF777E" w:rsidRDefault="00DF777E" w:rsidP="00DF777E">
            <w:pPr>
              <w:keepNext/>
              <w:keepLines/>
              <w:spacing w:after="0"/>
              <w:jc w:val="center"/>
            </w:pPr>
            <w:r>
              <w:t>(</w:t>
            </w:r>
            <w:r w:rsidRPr="00345786">
              <w:t>μg/kg bw/day</w:t>
            </w:r>
            <w:r>
              <w:t>)</w:t>
            </w:r>
          </w:p>
        </w:tc>
      </w:tr>
      <w:tr w:rsidR="00E23DA4" w:rsidRPr="00E23DA4" w:rsidTr="00E23DA4">
        <w:trPr>
          <w:cnfStyle w:val="000000100000" w:firstRow="0" w:lastRow="0" w:firstColumn="0" w:lastColumn="0" w:oddVBand="0" w:evenVBand="0" w:oddHBand="1" w:evenHBand="0" w:firstRowFirstColumn="0" w:firstRowLastColumn="0" w:lastRowFirstColumn="0" w:lastRowLastColumn="0"/>
        </w:trPr>
        <w:tc>
          <w:tcPr>
            <w:tcW w:w="1740" w:type="dxa"/>
            <w:shd w:val="clear" w:color="auto" w:fill="7F7F7F" w:themeFill="text1" w:themeFillTint="80"/>
          </w:tcPr>
          <w:p w:rsidR="00DF777E" w:rsidRPr="00E23DA4" w:rsidRDefault="00DF777E" w:rsidP="00DF777E">
            <w:pPr>
              <w:keepNext/>
              <w:keepLines/>
              <w:spacing w:after="0"/>
              <w:rPr>
                <w:color w:val="FFFFFF" w:themeColor="background1"/>
              </w:rPr>
            </w:pPr>
            <w:r w:rsidRPr="00E23DA4">
              <w:rPr>
                <w:color w:val="FFFFFF" w:themeColor="background1"/>
              </w:rPr>
              <w:t>Chemical</w:t>
            </w:r>
          </w:p>
        </w:tc>
        <w:tc>
          <w:tcPr>
            <w:tcW w:w="2025" w:type="dxa"/>
            <w:shd w:val="clear" w:color="auto" w:fill="7F7F7F" w:themeFill="text1" w:themeFillTint="80"/>
          </w:tcPr>
          <w:p w:rsidR="00DF777E" w:rsidRPr="00E23DA4" w:rsidRDefault="00DF777E" w:rsidP="00DF777E">
            <w:pPr>
              <w:keepNext/>
              <w:keepLines/>
              <w:spacing w:after="0"/>
              <w:rPr>
                <w:color w:val="FFFFFF" w:themeColor="background1"/>
              </w:rPr>
            </w:pPr>
            <w:r w:rsidRPr="00E23DA4">
              <w:rPr>
                <w:color w:val="FFFFFF" w:themeColor="background1"/>
              </w:rPr>
              <w:t>Analytical dataset</w:t>
            </w:r>
          </w:p>
        </w:tc>
        <w:tc>
          <w:tcPr>
            <w:tcW w:w="1981" w:type="dxa"/>
            <w:shd w:val="clear" w:color="auto" w:fill="7F7F7F" w:themeFill="text1" w:themeFillTint="80"/>
          </w:tcPr>
          <w:p w:rsidR="00DF777E" w:rsidRPr="00E23DA4" w:rsidRDefault="00DF777E" w:rsidP="00DF777E">
            <w:pPr>
              <w:keepNext/>
              <w:keepLines/>
              <w:spacing w:after="0"/>
              <w:rPr>
                <w:color w:val="FFFFFF" w:themeColor="background1"/>
              </w:rPr>
            </w:pPr>
            <w:r w:rsidRPr="00E23DA4">
              <w:rPr>
                <w:color w:val="FFFFFF" w:themeColor="background1"/>
              </w:rPr>
              <w:t>Scenario</w:t>
            </w:r>
          </w:p>
        </w:tc>
        <w:tc>
          <w:tcPr>
            <w:tcW w:w="1795" w:type="dxa"/>
            <w:shd w:val="clear" w:color="auto" w:fill="7F7F7F" w:themeFill="text1" w:themeFillTint="80"/>
          </w:tcPr>
          <w:p w:rsidR="00DF777E" w:rsidRPr="00E23DA4" w:rsidRDefault="00DF777E" w:rsidP="00DF777E">
            <w:pPr>
              <w:keepNext/>
              <w:keepLines/>
              <w:spacing w:after="0"/>
              <w:jc w:val="center"/>
              <w:rPr>
                <w:color w:val="FFFFFF" w:themeColor="background1"/>
              </w:rPr>
            </w:pPr>
            <w:r w:rsidRPr="00E23DA4">
              <w:rPr>
                <w:color w:val="FFFFFF" w:themeColor="background1"/>
              </w:rPr>
              <w:t>Mean</w:t>
            </w:r>
          </w:p>
        </w:tc>
        <w:tc>
          <w:tcPr>
            <w:tcW w:w="1529" w:type="dxa"/>
            <w:shd w:val="clear" w:color="auto" w:fill="7F7F7F" w:themeFill="text1" w:themeFillTint="80"/>
          </w:tcPr>
          <w:p w:rsidR="00DF777E" w:rsidRPr="00E23DA4" w:rsidRDefault="00DF777E" w:rsidP="00DF777E">
            <w:pPr>
              <w:keepNext/>
              <w:keepLines/>
              <w:spacing w:after="0"/>
              <w:jc w:val="center"/>
              <w:rPr>
                <w:color w:val="FFFFFF" w:themeColor="background1"/>
              </w:rPr>
            </w:pPr>
            <w:r w:rsidRPr="00E23DA4">
              <w:rPr>
                <w:color w:val="FFFFFF" w:themeColor="background1"/>
              </w:rPr>
              <w:t>P90</w:t>
            </w:r>
          </w:p>
        </w:tc>
      </w:tr>
      <w:tr w:rsidR="00DF777E" w:rsidRPr="00345786" w:rsidTr="00E23DA4">
        <w:trPr>
          <w:cnfStyle w:val="000000010000" w:firstRow="0" w:lastRow="0" w:firstColumn="0" w:lastColumn="0" w:oddVBand="0" w:evenVBand="0" w:oddHBand="0" w:evenHBand="1" w:firstRowFirstColumn="0" w:firstRowLastColumn="0" w:lastRowFirstColumn="0" w:lastRowLastColumn="0"/>
        </w:trPr>
        <w:tc>
          <w:tcPr>
            <w:tcW w:w="1740" w:type="dxa"/>
          </w:tcPr>
          <w:p w:rsidR="00DF777E" w:rsidRPr="00345786" w:rsidRDefault="00DF777E" w:rsidP="00DF777E">
            <w:pPr>
              <w:keepNext/>
              <w:keepLines/>
              <w:spacing w:after="0"/>
            </w:pPr>
            <w:r>
              <w:t>3-MCPD</w:t>
            </w:r>
          </w:p>
        </w:tc>
        <w:tc>
          <w:tcPr>
            <w:tcW w:w="2025" w:type="dxa"/>
          </w:tcPr>
          <w:p w:rsidR="00DF777E" w:rsidRPr="00345786" w:rsidRDefault="00DF777E" w:rsidP="00DF777E">
            <w:pPr>
              <w:keepNext/>
              <w:keepLines/>
              <w:spacing w:after="0"/>
            </w:pPr>
            <w:r>
              <w:t>ESR</w:t>
            </w:r>
          </w:p>
        </w:tc>
        <w:tc>
          <w:tcPr>
            <w:tcW w:w="1981" w:type="dxa"/>
          </w:tcPr>
          <w:p w:rsidR="00DF777E" w:rsidRPr="00345786" w:rsidRDefault="00DF777E" w:rsidP="00DF777E">
            <w:pPr>
              <w:keepNext/>
              <w:keepLines/>
              <w:spacing w:after="0"/>
            </w:pPr>
            <w:r>
              <w:t>ND=0</w:t>
            </w:r>
          </w:p>
        </w:tc>
        <w:tc>
          <w:tcPr>
            <w:tcW w:w="1795" w:type="dxa"/>
          </w:tcPr>
          <w:p w:rsidR="00DF777E" w:rsidRPr="00345786" w:rsidRDefault="00DF777E" w:rsidP="00DF777E">
            <w:pPr>
              <w:keepNext/>
              <w:keepLines/>
              <w:tabs>
                <w:tab w:val="decimal" w:pos="657"/>
              </w:tabs>
              <w:spacing w:after="0"/>
            </w:pPr>
            <w:r>
              <w:t>0.93</w:t>
            </w:r>
          </w:p>
        </w:tc>
        <w:tc>
          <w:tcPr>
            <w:tcW w:w="1529" w:type="dxa"/>
          </w:tcPr>
          <w:p w:rsidR="00DF777E" w:rsidRPr="00345786" w:rsidRDefault="00DF777E" w:rsidP="00DF777E">
            <w:pPr>
              <w:keepNext/>
              <w:keepLines/>
              <w:tabs>
                <w:tab w:val="decimal" w:pos="567"/>
              </w:tabs>
              <w:spacing w:after="0"/>
            </w:pPr>
            <w:r w:rsidRPr="00345786">
              <w:t>1.85</w:t>
            </w:r>
          </w:p>
        </w:tc>
      </w:tr>
      <w:tr w:rsidR="00DF777E" w:rsidRPr="00345786" w:rsidTr="00E23DA4">
        <w:trPr>
          <w:cnfStyle w:val="000000100000" w:firstRow="0" w:lastRow="0" w:firstColumn="0" w:lastColumn="0" w:oddVBand="0" w:evenVBand="0" w:oddHBand="1" w:evenHBand="0" w:firstRowFirstColumn="0" w:firstRowLastColumn="0" w:lastRowFirstColumn="0" w:lastRowLastColumn="0"/>
        </w:trPr>
        <w:tc>
          <w:tcPr>
            <w:tcW w:w="1740" w:type="dxa"/>
          </w:tcPr>
          <w:p w:rsidR="00DF777E" w:rsidRPr="00345786" w:rsidRDefault="00DF777E" w:rsidP="00DF777E">
            <w:pPr>
              <w:keepNext/>
              <w:keepLines/>
              <w:spacing w:after="0"/>
            </w:pPr>
          </w:p>
        </w:tc>
        <w:tc>
          <w:tcPr>
            <w:tcW w:w="2025" w:type="dxa"/>
          </w:tcPr>
          <w:p w:rsidR="00DF777E" w:rsidRPr="00345786" w:rsidRDefault="00DF777E" w:rsidP="00DF777E">
            <w:pPr>
              <w:keepNext/>
              <w:keepLines/>
              <w:spacing w:after="0"/>
            </w:pPr>
          </w:p>
        </w:tc>
        <w:tc>
          <w:tcPr>
            <w:tcW w:w="1981" w:type="dxa"/>
          </w:tcPr>
          <w:p w:rsidR="00DF777E" w:rsidRPr="00345786" w:rsidRDefault="00DF777E" w:rsidP="00DF777E">
            <w:pPr>
              <w:keepNext/>
              <w:keepLines/>
              <w:spacing w:after="0"/>
            </w:pPr>
            <w:r>
              <w:t>ND=</w:t>
            </w:r>
            <w:r>
              <w:rPr>
                <w:rFonts w:cs="Arial"/>
              </w:rPr>
              <w:t>½</w:t>
            </w:r>
            <w:r>
              <w:t xml:space="preserve"> LOD</w:t>
            </w:r>
          </w:p>
        </w:tc>
        <w:tc>
          <w:tcPr>
            <w:tcW w:w="1795" w:type="dxa"/>
          </w:tcPr>
          <w:p w:rsidR="00DF777E" w:rsidRPr="00345786" w:rsidRDefault="00DF777E" w:rsidP="00DF777E">
            <w:pPr>
              <w:keepNext/>
              <w:keepLines/>
              <w:tabs>
                <w:tab w:val="decimal" w:pos="657"/>
              </w:tabs>
              <w:spacing w:after="0"/>
            </w:pPr>
            <w:r w:rsidRPr="00345786">
              <w:t>1.31</w:t>
            </w:r>
          </w:p>
        </w:tc>
        <w:tc>
          <w:tcPr>
            <w:tcW w:w="1529" w:type="dxa"/>
          </w:tcPr>
          <w:p w:rsidR="00DF777E" w:rsidRPr="00345786" w:rsidRDefault="00DF777E" w:rsidP="00DF777E">
            <w:pPr>
              <w:keepNext/>
              <w:keepLines/>
              <w:tabs>
                <w:tab w:val="decimal" w:pos="567"/>
              </w:tabs>
              <w:spacing w:after="0"/>
            </w:pPr>
            <w:r w:rsidRPr="00345786">
              <w:t>2.62</w:t>
            </w:r>
          </w:p>
        </w:tc>
      </w:tr>
      <w:tr w:rsidR="00DF777E" w:rsidRPr="00345786" w:rsidTr="00E23DA4">
        <w:trPr>
          <w:cnfStyle w:val="000000010000" w:firstRow="0" w:lastRow="0" w:firstColumn="0" w:lastColumn="0" w:oddVBand="0" w:evenVBand="0" w:oddHBand="0" w:evenHBand="1" w:firstRowFirstColumn="0" w:firstRowLastColumn="0" w:lastRowFirstColumn="0" w:lastRowLastColumn="0"/>
        </w:trPr>
        <w:tc>
          <w:tcPr>
            <w:tcW w:w="1740" w:type="dxa"/>
          </w:tcPr>
          <w:p w:rsidR="00DF777E" w:rsidRPr="00345786" w:rsidRDefault="00DF777E" w:rsidP="00DF777E">
            <w:pPr>
              <w:keepNext/>
              <w:keepLines/>
              <w:spacing w:after="0"/>
            </w:pPr>
          </w:p>
        </w:tc>
        <w:tc>
          <w:tcPr>
            <w:tcW w:w="2025" w:type="dxa"/>
          </w:tcPr>
          <w:p w:rsidR="00DF777E" w:rsidRPr="00345786" w:rsidRDefault="00DF777E" w:rsidP="00DF777E">
            <w:pPr>
              <w:keepNext/>
              <w:keepLines/>
              <w:spacing w:after="0"/>
            </w:pPr>
          </w:p>
        </w:tc>
        <w:tc>
          <w:tcPr>
            <w:tcW w:w="1981" w:type="dxa"/>
          </w:tcPr>
          <w:p w:rsidR="00DF777E" w:rsidRPr="00345786" w:rsidRDefault="00DF777E" w:rsidP="00DF777E">
            <w:pPr>
              <w:keepNext/>
              <w:keepLines/>
              <w:spacing w:after="0"/>
            </w:pPr>
            <w:r>
              <w:t>ND=LOD</w:t>
            </w:r>
          </w:p>
        </w:tc>
        <w:tc>
          <w:tcPr>
            <w:tcW w:w="1795" w:type="dxa"/>
          </w:tcPr>
          <w:p w:rsidR="00DF777E" w:rsidRPr="00345786" w:rsidRDefault="00DF777E" w:rsidP="00DF777E">
            <w:pPr>
              <w:keepNext/>
              <w:keepLines/>
              <w:tabs>
                <w:tab w:val="decimal" w:pos="657"/>
              </w:tabs>
              <w:spacing w:after="0"/>
            </w:pPr>
            <w:r w:rsidRPr="00345786">
              <w:t>1.69</w:t>
            </w:r>
          </w:p>
        </w:tc>
        <w:tc>
          <w:tcPr>
            <w:tcW w:w="1529" w:type="dxa"/>
          </w:tcPr>
          <w:p w:rsidR="00DF777E" w:rsidRPr="00345786" w:rsidRDefault="00DF777E" w:rsidP="00DF777E">
            <w:pPr>
              <w:keepNext/>
              <w:keepLines/>
              <w:tabs>
                <w:tab w:val="decimal" w:pos="567"/>
              </w:tabs>
              <w:spacing w:after="0"/>
            </w:pPr>
            <w:r w:rsidRPr="00345786">
              <w:t>3.39</w:t>
            </w:r>
          </w:p>
        </w:tc>
      </w:tr>
      <w:tr w:rsidR="00DF777E" w:rsidRPr="00345786" w:rsidTr="00E23DA4">
        <w:trPr>
          <w:cnfStyle w:val="000000100000" w:firstRow="0" w:lastRow="0" w:firstColumn="0" w:lastColumn="0" w:oddVBand="0" w:evenVBand="0" w:oddHBand="1" w:evenHBand="0" w:firstRowFirstColumn="0" w:firstRowLastColumn="0" w:lastRowFirstColumn="0" w:lastRowLastColumn="0"/>
        </w:trPr>
        <w:tc>
          <w:tcPr>
            <w:tcW w:w="1740" w:type="dxa"/>
          </w:tcPr>
          <w:p w:rsidR="00DF777E" w:rsidRPr="00345786" w:rsidRDefault="00DF777E" w:rsidP="00DF777E">
            <w:pPr>
              <w:keepNext/>
              <w:keepLines/>
              <w:spacing w:after="0"/>
            </w:pPr>
          </w:p>
        </w:tc>
        <w:tc>
          <w:tcPr>
            <w:tcW w:w="2025" w:type="dxa"/>
          </w:tcPr>
          <w:p w:rsidR="00DF777E" w:rsidRPr="00345786" w:rsidRDefault="00DF777E" w:rsidP="00DF777E">
            <w:pPr>
              <w:keepNext/>
              <w:keepLines/>
              <w:spacing w:after="0"/>
            </w:pPr>
            <w:r>
              <w:t>US FDA</w:t>
            </w:r>
          </w:p>
        </w:tc>
        <w:tc>
          <w:tcPr>
            <w:tcW w:w="1981" w:type="dxa"/>
          </w:tcPr>
          <w:p w:rsidR="00DF777E" w:rsidRPr="00345786" w:rsidRDefault="00DF777E" w:rsidP="00DF777E">
            <w:pPr>
              <w:keepNext/>
              <w:keepLines/>
              <w:spacing w:after="0"/>
            </w:pPr>
          </w:p>
        </w:tc>
        <w:tc>
          <w:tcPr>
            <w:tcW w:w="1795" w:type="dxa"/>
          </w:tcPr>
          <w:p w:rsidR="00DF777E" w:rsidRPr="00AD0C2A" w:rsidRDefault="00DF777E" w:rsidP="00DF777E">
            <w:pPr>
              <w:keepNext/>
              <w:keepLines/>
              <w:tabs>
                <w:tab w:val="decimal" w:pos="657"/>
              </w:tabs>
              <w:spacing w:after="0"/>
              <w:rPr>
                <w:rFonts w:cs="Arial"/>
                <w:color w:val="000000"/>
                <w:lang w:eastAsia="en-GB"/>
              </w:rPr>
            </w:pPr>
            <w:r>
              <w:rPr>
                <w:rFonts w:cs="Arial"/>
                <w:color w:val="000000"/>
              </w:rPr>
              <w:t>1.44</w:t>
            </w:r>
          </w:p>
        </w:tc>
        <w:tc>
          <w:tcPr>
            <w:tcW w:w="1529" w:type="dxa"/>
          </w:tcPr>
          <w:p w:rsidR="00DF777E" w:rsidRPr="00AD0C2A" w:rsidRDefault="00DF777E" w:rsidP="00DF777E">
            <w:pPr>
              <w:keepNext/>
              <w:keepLines/>
              <w:tabs>
                <w:tab w:val="decimal" w:pos="567"/>
              </w:tabs>
              <w:spacing w:after="0"/>
              <w:rPr>
                <w:rFonts w:cs="Arial"/>
                <w:color w:val="000000"/>
                <w:lang w:eastAsia="en-GB"/>
              </w:rPr>
            </w:pPr>
            <w:r>
              <w:rPr>
                <w:rFonts w:cs="Arial"/>
                <w:color w:val="000000"/>
              </w:rPr>
              <w:t>2.87</w:t>
            </w:r>
          </w:p>
        </w:tc>
      </w:tr>
      <w:tr w:rsidR="00DF777E" w:rsidRPr="00345786" w:rsidTr="00E23DA4">
        <w:trPr>
          <w:cnfStyle w:val="000000010000" w:firstRow="0" w:lastRow="0" w:firstColumn="0" w:lastColumn="0" w:oddVBand="0" w:evenVBand="0" w:oddHBand="0" w:evenHBand="1" w:firstRowFirstColumn="0" w:firstRowLastColumn="0" w:lastRowFirstColumn="0" w:lastRowLastColumn="0"/>
        </w:trPr>
        <w:tc>
          <w:tcPr>
            <w:tcW w:w="1740" w:type="dxa"/>
          </w:tcPr>
          <w:p w:rsidR="00DF777E" w:rsidRPr="00345786" w:rsidRDefault="00DF777E" w:rsidP="00DF777E">
            <w:pPr>
              <w:keepNext/>
              <w:keepLines/>
              <w:spacing w:after="0"/>
            </w:pPr>
            <w:r>
              <w:t>Glycidol</w:t>
            </w:r>
          </w:p>
        </w:tc>
        <w:tc>
          <w:tcPr>
            <w:tcW w:w="2025" w:type="dxa"/>
          </w:tcPr>
          <w:p w:rsidR="00DF777E" w:rsidRPr="00345786" w:rsidRDefault="00DF777E" w:rsidP="00DF777E">
            <w:pPr>
              <w:keepNext/>
              <w:keepLines/>
              <w:spacing w:after="0"/>
            </w:pPr>
            <w:r>
              <w:t>ESR</w:t>
            </w:r>
          </w:p>
        </w:tc>
        <w:tc>
          <w:tcPr>
            <w:tcW w:w="1981" w:type="dxa"/>
          </w:tcPr>
          <w:p w:rsidR="00DF777E" w:rsidRPr="00345786" w:rsidRDefault="00DF777E" w:rsidP="00DF777E">
            <w:pPr>
              <w:keepNext/>
              <w:keepLines/>
              <w:spacing w:after="0"/>
            </w:pPr>
            <w:r>
              <w:t>ND=0</w:t>
            </w:r>
          </w:p>
        </w:tc>
        <w:tc>
          <w:tcPr>
            <w:tcW w:w="1795" w:type="dxa"/>
          </w:tcPr>
          <w:p w:rsidR="00DF777E" w:rsidRPr="00345786" w:rsidRDefault="00DF777E" w:rsidP="00DF777E">
            <w:pPr>
              <w:keepNext/>
              <w:keepLines/>
              <w:tabs>
                <w:tab w:val="decimal" w:pos="657"/>
              </w:tabs>
              <w:spacing w:after="0"/>
            </w:pPr>
            <w:r>
              <w:rPr>
                <w:rFonts w:cs="Arial"/>
                <w:color w:val="000000"/>
              </w:rPr>
              <w:t>0.21</w:t>
            </w:r>
          </w:p>
        </w:tc>
        <w:tc>
          <w:tcPr>
            <w:tcW w:w="1529" w:type="dxa"/>
          </w:tcPr>
          <w:p w:rsidR="00DF777E" w:rsidRPr="00345786" w:rsidRDefault="00DF777E" w:rsidP="00DF777E">
            <w:pPr>
              <w:keepNext/>
              <w:keepLines/>
              <w:tabs>
                <w:tab w:val="decimal" w:pos="567"/>
              </w:tabs>
              <w:spacing w:after="0"/>
            </w:pPr>
            <w:r>
              <w:rPr>
                <w:rFonts w:cs="Arial"/>
                <w:color w:val="000000"/>
              </w:rPr>
              <w:t>0.42</w:t>
            </w:r>
          </w:p>
        </w:tc>
      </w:tr>
      <w:tr w:rsidR="00DF777E" w:rsidRPr="00345786" w:rsidTr="00E23DA4">
        <w:trPr>
          <w:cnfStyle w:val="000000100000" w:firstRow="0" w:lastRow="0" w:firstColumn="0" w:lastColumn="0" w:oddVBand="0" w:evenVBand="0" w:oddHBand="1" w:evenHBand="0" w:firstRowFirstColumn="0" w:firstRowLastColumn="0" w:lastRowFirstColumn="0" w:lastRowLastColumn="0"/>
        </w:trPr>
        <w:tc>
          <w:tcPr>
            <w:tcW w:w="1740" w:type="dxa"/>
          </w:tcPr>
          <w:p w:rsidR="00DF777E" w:rsidRPr="00345786" w:rsidRDefault="00DF777E" w:rsidP="00DF777E">
            <w:pPr>
              <w:keepNext/>
              <w:keepLines/>
              <w:spacing w:after="0"/>
            </w:pPr>
          </w:p>
        </w:tc>
        <w:tc>
          <w:tcPr>
            <w:tcW w:w="2025" w:type="dxa"/>
          </w:tcPr>
          <w:p w:rsidR="00DF777E" w:rsidRPr="00345786" w:rsidRDefault="00DF777E" w:rsidP="00DF777E">
            <w:pPr>
              <w:keepNext/>
              <w:keepLines/>
              <w:spacing w:after="0"/>
            </w:pPr>
          </w:p>
        </w:tc>
        <w:tc>
          <w:tcPr>
            <w:tcW w:w="1981" w:type="dxa"/>
          </w:tcPr>
          <w:p w:rsidR="00DF777E" w:rsidRPr="00345786" w:rsidRDefault="00DF777E" w:rsidP="00DF777E">
            <w:pPr>
              <w:keepNext/>
              <w:keepLines/>
              <w:spacing w:after="0"/>
            </w:pPr>
            <w:r>
              <w:t>ND=</w:t>
            </w:r>
            <w:r>
              <w:rPr>
                <w:rFonts w:cs="Arial"/>
              </w:rPr>
              <w:t>½</w:t>
            </w:r>
            <w:r>
              <w:t xml:space="preserve"> LOD</w:t>
            </w:r>
          </w:p>
        </w:tc>
        <w:tc>
          <w:tcPr>
            <w:tcW w:w="1795" w:type="dxa"/>
          </w:tcPr>
          <w:p w:rsidR="00DF777E" w:rsidRPr="00345786" w:rsidRDefault="00DF777E" w:rsidP="00DF777E">
            <w:pPr>
              <w:keepNext/>
              <w:keepLines/>
              <w:tabs>
                <w:tab w:val="decimal" w:pos="657"/>
              </w:tabs>
              <w:spacing w:after="0"/>
            </w:pPr>
            <w:r>
              <w:rPr>
                <w:rFonts w:cs="Arial"/>
                <w:color w:val="000000"/>
              </w:rPr>
              <w:t>0.79</w:t>
            </w:r>
          </w:p>
        </w:tc>
        <w:tc>
          <w:tcPr>
            <w:tcW w:w="1529" w:type="dxa"/>
          </w:tcPr>
          <w:p w:rsidR="00DF777E" w:rsidRPr="00345786" w:rsidRDefault="00DF777E" w:rsidP="00DF777E">
            <w:pPr>
              <w:keepNext/>
              <w:keepLines/>
              <w:tabs>
                <w:tab w:val="decimal" w:pos="567"/>
              </w:tabs>
              <w:spacing w:after="0"/>
            </w:pPr>
            <w:r>
              <w:rPr>
                <w:rFonts w:cs="Arial"/>
                <w:color w:val="000000"/>
              </w:rPr>
              <w:t>1.58</w:t>
            </w:r>
          </w:p>
        </w:tc>
      </w:tr>
      <w:tr w:rsidR="00DF777E" w:rsidRPr="00345786" w:rsidTr="00E23DA4">
        <w:trPr>
          <w:cnfStyle w:val="000000010000" w:firstRow="0" w:lastRow="0" w:firstColumn="0" w:lastColumn="0" w:oddVBand="0" w:evenVBand="0" w:oddHBand="0" w:evenHBand="1" w:firstRowFirstColumn="0" w:firstRowLastColumn="0" w:lastRowFirstColumn="0" w:lastRowLastColumn="0"/>
        </w:trPr>
        <w:tc>
          <w:tcPr>
            <w:tcW w:w="1740" w:type="dxa"/>
          </w:tcPr>
          <w:p w:rsidR="00DF777E" w:rsidRPr="00345786" w:rsidRDefault="00DF777E" w:rsidP="00DF777E">
            <w:pPr>
              <w:keepNext/>
              <w:keepLines/>
              <w:spacing w:after="0"/>
            </w:pPr>
          </w:p>
        </w:tc>
        <w:tc>
          <w:tcPr>
            <w:tcW w:w="2025" w:type="dxa"/>
          </w:tcPr>
          <w:p w:rsidR="00DF777E" w:rsidRPr="00345786" w:rsidRDefault="00DF777E" w:rsidP="00DF777E">
            <w:pPr>
              <w:keepNext/>
              <w:keepLines/>
              <w:spacing w:after="0"/>
            </w:pPr>
          </w:p>
        </w:tc>
        <w:tc>
          <w:tcPr>
            <w:tcW w:w="1981" w:type="dxa"/>
          </w:tcPr>
          <w:p w:rsidR="00DF777E" w:rsidRPr="00345786" w:rsidRDefault="00DF777E" w:rsidP="00DF777E">
            <w:pPr>
              <w:keepNext/>
              <w:keepLines/>
              <w:spacing w:after="0"/>
            </w:pPr>
            <w:r>
              <w:t>ND=LOD</w:t>
            </w:r>
          </w:p>
        </w:tc>
        <w:tc>
          <w:tcPr>
            <w:tcW w:w="1795" w:type="dxa"/>
          </w:tcPr>
          <w:p w:rsidR="00DF777E" w:rsidRPr="00345786" w:rsidRDefault="00DF777E" w:rsidP="00DF777E">
            <w:pPr>
              <w:keepNext/>
              <w:keepLines/>
              <w:tabs>
                <w:tab w:val="decimal" w:pos="657"/>
              </w:tabs>
              <w:spacing w:after="0"/>
            </w:pPr>
            <w:r>
              <w:rPr>
                <w:rFonts w:cs="Arial"/>
                <w:color w:val="000000"/>
              </w:rPr>
              <w:t>1.37</w:t>
            </w:r>
          </w:p>
        </w:tc>
        <w:tc>
          <w:tcPr>
            <w:tcW w:w="1529" w:type="dxa"/>
          </w:tcPr>
          <w:p w:rsidR="00DF777E" w:rsidRPr="00345786" w:rsidRDefault="00DF777E" w:rsidP="00DF777E">
            <w:pPr>
              <w:keepNext/>
              <w:keepLines/>
              <w:tabs>
                <w:tab w:val="decimal" w:pos="567"/>
              </w:tabs>
              <w:spacing w:after="0"/>
            </w:pPr>
            <w:r>
              <w:rPr>
                <w:rFonts w:cs="Arial"/>
                <w:color w:val="000000"/>
              </w:rPr>
              <w:t>2.75</w:t>
            </w:r>
          </w:p>
        </w:tc>
      </w:tr>
      <w:tr w:rsidR="00DF777E" w:rsidRPr="00345786" w:rsidTr="00E23DA4">
        <w:trPr>
          <w:cnfStyle w:val="000000100000" w:firstRow="0" w:lastRow="0" w:firstColumn="0" w:lastColumn="0" w:oddVBand="0" w:evenVBand="0" w:oddHBand="1" w:evenHBand="0" w:firstRowFirstColumn="0" w:firstRowLastColumn="0" w:lastRowFirstColumn="0" w:lastRowLastColumn="0"/>
        </w:trPr>
        <w:tc>
          <w:tcPr>
            <w:tcW w:w="1740" w:type="dxa"/>
          </w:tcPr>
          <w:p w:rsidR="00DF777E" w:rsidRPr="00345786" w:rsidRDefault="00DF777E" w:rsidP="00DF777E">
            <w:pPr>
              <w:keepNext/>
              <w:keepLines/>
              <w:spacing w:after="0"/>
            </w:pPr>
          </w:p>
        </w:tc>
        <w:tc>
          <w:tcPr>
            <w:tcW w:w="2025" w:type="dxa"/>
          </w:tcPr>
          <w:p w:rsidR="00DF777E" w:rsidRPr="00345786" w:rsidRDefault="00DF777E" w:rsidP="00DF777E">
            <w:pPr>
              <w:keepNext/>
              <w:keepLines/>
              <w:spacing w:after="0"/>
            </w:pPr>
            <w:r>
              <w:t>US FDA</w:t>
            </w:r>
          </w:p>
        </w:tc>
        <w:tc>
          <w:tcPr>
            <w:tcW w:w="1981" w:type="dxa"/>
          </w:tcPr>
          <w:p w:rsidR="00DF777E" w:rsidRPr="00345786" w:rsidRDefault="00DF777E" w:rsidP="00DF777E">
            <w:pPr>
              <w:keepNext/>
              <w:keepLines/>
              <w:spacing w:after="0"/>
            </w:pPr>
          </w:p>
        </w:tc>
        <w:tc>
          <w:tcPr>
            <w:tcW w:w="1795" w:type="dxa"/>
          </w:tcPr>
          <w:p w:rsidR="00DF777E" w:rsidRPr="00AD0C2A" w:rsidRDefault="00DF777E" w:rsidP="00DF777E">
            <w:pPr>
              <w:keepNext/>
              <w:keepLines/>
              <w:tabs>
                <w:tab w:val="decimal" w:pos="657"/>
              </w:tabs>
              <w:spacing w:after="0"/>
              <w:rPr>
                <w:rFonts w:cs="Arial"/>
                <w:color w:val="000000"/>
                <w:lang w:eastAsia="en-GB"/>
              </w:rPr>
            </w:pPr>
            <w:r>
              <w:rPr>
                <w:rFonts w:cs="Arial"/>
                <w:color w:val="000000"/>
              </w:rPr>
              <w:t>0.40</w:t>
            </w:r>
          </w:p>
        </w:tc>
        <w:tc>
          <w:tcPr>
            <w:tcW w:w="1529" w:type="dxa"/>
          </w:tcPr>
          <w:p w:rsidR="00DF777E" w:rsidRPr="00AD0C2A" w:rsidRDefault="00DF777E" w:rsidP="00DF777E">
            <w:pPr>
              <w:keepNext/>
              <w:keepLines/>
              <w:tabs>
                <w:tab w:val="decimal" w:pos="567"/>
              </w:tabs>
              <w:spacing w:after="0"/>
              <w:rPr>
                <w:rFonts w:cs="Arial"/>
                <w:color w:val="000000"/>
                <w:lang w:eastAsia="en-GB"/>
              </w:rPr>
            </w:pPr>
            <w:r>
              <w:rPr>
                <w:rFonts w:cs="Arial"/>
                <w:color w:val="000000"/>
              </w:rPr>
              <w:t>0.79</w:t>
            </w:r>
          </w:p>
        </w:tc>
      </w:tr>
    </w:tbl>
    <w:p w:rsidR="00DF777E" w:rsidRDefault="00DF777E" w:rsidP="00DF777E"/>
    <w:p w:rsidR="00DF777E" w:rsidRPr="00422D66" w:rsidRDefault="00E23DA4" w:rsidP="00DF777E">
      <w:pPr>
        <w:pStyle w:val="Heading2"/>
      </w:pPr>
      <w:bookmarkStart w:id="16" w:name="_Toc32242987"/>
      <w:bookmarkStart w:id="17" w:name="_Toc34209379"/>
      <w:r>
        <w:t>Risk characterisation</w:t>
      </w:r>
      <w:bookmarkEnd w:id="16"/>
      <w:bookmarkEnd w:id="17"/>
    </w:p>
    <w:p w:rsidR="00E23DA4" w:rsidRDefault="00E23DA4" w:rsidP="00E23DA4">
      <w:pPr>
        <w:pStyle w:val="Heading4"/>
      </w:pPr>
      <w:bookmarkStart w:id="18" w:name="_Toc34209380"/>
      <w:r w:rsidRPr="00422D66">
        <w:t>3-MCPD</w:t>
      </w:r>
      <w:bookmarkEnd w:id="18"/>
      <w:r>
        <w:t xml:space="preserve"> </w:t>
      </w:r>
    </w:p>
    <w:p w:rsidR="00DF777E" w:rsidRDefault="00DF777E" w:rsidP="00DF777E">
      <w:r>
        <w:t>The PMTDI set by JECFA for 3-MCPD is 4 μg/kg bw/day (JECFA 2017).</w:t>
      </w:r>
    </w:p>
    <w:p w:rsidR="00DF777E" w:rsidRDefault="00DF777E" w:rsidP="00DF777E">
      <w:r w:rsidRPr="00546137">
        <w:t xml:space="preserve">Using the ESR </w:t>
      </w:r>
      <w:r>
        <w:t>analytical dataset</w:t>
      </w:r>
      <w:r w:rsidRPr="00546137">
        <w:t xml:space="preserve">, the estimated </w:t>
      </w:r>
      <w:r>
        <w:t>dietary exposures to 3</w:t>
      </w:r>
      <w:r>
        <w:noBreakHyphen/>
      </w:r>
      <w:r w:rsidRPr="00546137">
        <w:t xml:space="preserve">MCPD from infant formula </w:t>
      </w:r>
      <w:r>
        <w:t xml:space="preserve">for 3 month old infants </w:t>
      </w:r>
      <w:r w:rsidRPr="00546137">
        <w:t xml:space="preserve">are </w:t>
      </w:r>
      <w:r>
        <w:t>25</w:t>
      </w:r>
      <w:r w:rsidRPr="00546137">
        <w:t xml:space="preserve"> – </w:t>
      </w:r>
      <w:r>
        <w:t>40% PMTDI at the mean</w:t>
      </w:r>
      <w:r w:rsidRPr="00546137">
        <w:t xml:space="preserve"> and </w:t>
      </w:r>
      <w:r>
        <w:t>45 – 85% PMTDI at the P90</w:t>
      </w:r>
      <w:r w:rsidRPr="00546137">
        <w:t xml:space="preserve">. The lower end of the range is for the </w:t>
      </w:r>
      <w:r>
        <w:t>ND</w:t>
      </w:r>
      <w:r w:rsidRPr="00546137">
        <w:t xml:space="preserve">=0 scenario; the upper end of the range is for the </w:t>
      </w:r>
      <w:r>
        <w:t>ND</w:t>
      </w:r>
      <w:r w:rsidRPr="00546137">
        <w:t>=LOD scenario.</w:t>
      </w:r>
    </w:p>
    <w:p w:rsidR="00DF777E" w:rsidRDefault="00DF777E" w:rsidP="00DF777E">
      <w:r w:rsidRPr="00546137">
        <w:t xml:space="preserve">Using the US FDA </w:t>
      </w:r>
      <w:r>
        <w:t>analytical dataset</w:t>
      </w:r>
      <w:r w:rsidRPr="00546137">
        <w:t xml:space="preserve">, the estimated </w:t>
      </w:r>
      <w:r>
        <w:t>dietary exposures to 3</w:t>
      </w:r>
      <w:r>
        <w:noBreakHyphen/>
      </w:r>
      <w:r w:rsidRPr="00546137">
        <w:t>MCPD from infant formula</w:t>
      </w:r>
      <w:r>
        <w:t xml:space="preserve"> for 3 month old infants</w:t>
      </w:r>
      <w:r w:rsidRPr="00546137">
        <w:t xml:space="preserve"> are</w:t>
      </w:r>
      <w:r>
        <w:t xml:space="preserve"> below the PMTDI:</w:t>
      </w:r>
      <w:r w:rsidRPr="00546137">
        <w:t xml:space="preserve"> </w:t>
      </w:r>
      <w:r>
        <w:t>35% PMTDI</w:t>
      </w:r>
      <w:r w:rsidRPr="00546137">
        <w:t xml:space="preserve"> </w:t>
      </w:r>
      <w:r>
        <w:t xml:space="preserve">at the mean </w:t>
      </w:r>
      <w:r w:rsidRPr="00546137">
        <w:t xml:space="preserve">and </w:t>
      </w:r>
      <w:r>
        <w:t>70% PMTDI at P90</w:t>
      </w:r>
      <w:r w:rsidRPr="00546137">
        <w:t>.</w:t>
      </w:r>
      <w:r w:rsidRPr="004641CF">
        <w:t xml:space="preserve"> </w:t>
      </w:r>
      <w:r w:rsidRPr="00546137">
        <w:t xml:space="preserve">The estimates using US FDA data </w:t>
      </w:r>
      <w:r>
        <w:t>are similar to the ESR</w:t>
      </w:r>
      <w:r w:rsidRPr="00546137">
        <w:t xml:space="preserve"> </w:t>
      </w:r>
      <w:r>
        <w:t>ND</w:t>
      </w:r>
      <w:r w:rsidRPr="00546137">
        <w:t>=½</w:t>
      </w:r>
      <w:r>
        <w:t> </w:t>
      </w:r>
      <w:r w:rsidRPr="00546137">
        <w:t xml:space="preserve">LOD </w:t>
      </w:r>
      <w:r>
        <w:t>scenario</w:t>
      </w:r>
      <w:r w:rsidRPr="00546137">
        <w:t xml:space="preserve"> estimates</w:t>
      </w:r>
      <w:r>
        <w:t>.</w:t>
      </w:r>
    </w:p>
    <w:p w:rsidR="00DF777E" w:rsidRDefault="00DF777E" w:rsidP="00DF777E">
      <w:r>
        <w:t xml:space="preserve">See </w:t>
      </w:r>
      <w:r>
        <w:fldChar w:fldCharType="begin"/>
      </w:r>
      <w:r>
        <w:instrText xml:space="preserve"> REF _Ref530662094 \h </w:instrText>
      </w:r>
      <w:r>
        <w:fldChar w:fldCharType="separate"/>
      </w:r>
      <w:r w:rsidR="00E73E1C">
        <w:t xml:space="preserve">Table </w:t>
      </w:r>
      <w:r w:rsidR="00E73E1C">
        <w:rPr>
          <w:noProof/>
        </w:rPr>
        <w:t>2</w:t>
      </w:r>
      <w:r>
        <w:fldChar w:fldCharType="end"/>
      </w:r>
      <w:r>
        <w:t xml:space="preserve"> for further details.</w:t>
      </w:r>
    </w:p>
    <w:p w:rsidR="00DF777E" w:rsidRDefault="00DF777E" w:rsidP="00DF777E">
      <w:r>
        <w:t>Estimated mean and P90 dietary exposures for 3 month old infants were below the PMTDI for all scenarios and analytical datasets assessed. Therefore exposures to 3-MCPD are not of health concern.</w:t>
      </w:r>
    </w:p>
    <w:p w:rsidR="00DF777E" w:rsidRDefault="00DF777E" w:rsidP="00DF777E"/>
    <w:p w:rsidR="00E23DA4" w:rsidRPr="00E23DA4" w:rsidRDefault="00DF777E" w:rsidP="00E23DA4">
      <w:pPr>
        <w:pStyle w:val="FSTableTitle"/>
        <w:keepNext/>
        <w:keepLines/>
      </w:pPr>
      <w:bookmarkStart w:id="19" w:name="_Ref530662094"/>
      <w:bookmarkStart w:id="20" w:name="_Toc531944162"/>
      <w:r>
        <w:lastRenderedPageBreak/>
        <w:t xml:space="preserve">Table </w:t>
      </w:r>
      <w:r>
        <w:rPr>
          <w:noProof/>
        </w:rPr>
        <w:fldChar w:fldCharType="begin"/>
      </w:r>
      <w:r>
        <w:rPr>
          <w:noProof/>
        </w:rPr>
        <w:instrText xml:space="preserve"> SEQ Table \* ARABIC </w:instrText>
      </w:r>
      <w:r>
        <w:rPr>
          <w:noProof/>
        </w:rPr>
        <w:fldChar w:fldCharType="separate"/>
      </w:r>
      <w:r w:rsidR="00E73E1C">
        <w:rPr>
          <w:noProof/>
        </w:rPr>
        <w:t>2</w:t>
      </w:r>
      <w:r>
        <w:rPr>
          <w:noProof/>
        </w:rPr>
        <w:fldChar w:fldCharType="end"/>
      </w:r>
      <w:bookmarkEnd w:id="19"/>
      <w:r>
        <w:t>: Estimated mean and P90 dietary exposures to 3-MCPD from infant formula for 3 month old infants, as a %PMTDI</w:t>
      </w:r>
      <w:bookmarkEnd w:id="20"/>
      <w:r w:rsidR="00E23DA4">
        <w:br/>
      </w:r>
    </w:p>
    <w:tbl>
      <w:tblPr>
        <w:tblStyle w:val="Table"/>
        <w:tblW w:w="5000" w:type="pct"/>
        <w:tblLook w:val="04A0" w:firstRow="1" w:lastRow="0" w:firstColumn="1" w:lastColumn="0" w:noHBand="0" w:noVBand="1"/>
        <w:tblDescription w:val="Estimated mean and P90 dietary exposures to 3-MCPD expressed as a percentage of the Provisional Maximum Tolerable Daily Intake (PMTDI_. All exposures are below the PMTDI."/>
      </w:tblPr>
      <w:tblGrid>
        <w:gridCol w:w="2208"/>
        <w:gridCol w:w="2405"/>
        <w:gridCol w:w="2429"/>
        <w:gridCol w:w="2028"/>
      </w:tblGrid>
      <w:tr w:rsidR="00DF777E" w:rsidRPr="00345786" w:rsidTr="00E23DA4">
        <w:trPr>
          <w:cnfStyle w:val="100000000000" w:firstRow="1" w:lastRow="0" w:firstColumn="0" w:lastColumn="0" w:oddVBand="0" w:evenVBand="0" w:oddHBand="0" w:evenHBand="0" w:firstRowFirstColumn="0" w:firstRowLastColumn="0" w:lastRowFirstColumn="0" w:lastRowLastColumn="0"/>
        </w:trPr>
        <w:tc>
          <w:tcPr>
            <w:tcW w:w="1217" w:type="pct"/>
            <w:shd w:val="clear" w:color="auto" w:fill="7F7F7F" w:themeFill="text1" w:themeFillTint="80"/>
          </w:tcPr>
          <w:p w:rsidR="00DF777E" w:rsidRPr="00345786" w:rsidRDefault="00DF777E" w:rsidP="00E23DA4">
            <w:pPr>
              <w:keepNext/>
              <w:keepLines/>
              <w:spacing w:after="120"/>
            </w:pPr>
          </w:p>
        </w:tc>
        <w:tc>
          <w:tcPr>
            <w:tcW w:w="1326" w:type="pct"/>
            <w:shd w:val="clear" w:color="auto" w:fill="7F7F7F" w:themeFill="text1" w:themeFillTint="80"/>
          </w:tcPr>
          <w:p w:rsidR="00DF777E" w:rsidRPr="00345786" w:rsidRDefault="00DF777E" w:rsidP="00E23DA4">
            <w:pPr>
              <w:keepNext/>
              <w:keepLines/>
              <w:spacing w:after="120"/>
            </w:pPr>
          </w:p>
        </w:tc>
        <w:tc>
          <w:tcPr>
            <w:tcW w:w="2457" w:type="pct"/>
            <w:gridSpan w:val="2"/>
            <w:shd w:val="clear" w:color="auto" w:fill="7F7F7F" w:themeFill="text1" w:themeFillTint="80"/>
          </w:tcPr>
          <w:p w:rsidR="00DF777E" w:rsidRDefault="00DF777E" w:rsidP="00E23DA4">
            <w:pPr>
              <w:keepNext/>
              <w:keepLines/>
              <w:spacing w:after="120"/>
              <w:jc w:val="center"/>
            </w:pPr>
            <w:r>
              <w:t>Dietary exposure</w:t>
            </w:r>
          </w:p>
          <w:p w:rsidR="00DF777E" w:rsidRDefault="00DF777E" w:rsidP="00E23DA4">
            <w:pPr>
              <w:keepNext/>
              <w:keepLines/>
              <w:spacing w:after="120"/>
              <w:jc w:val="center"/>
            </w:pPr>
            <w:r>
              <w:t>%PMTDI</w:t>
            </w:r>
          </w:p>
        </w:tc>
      </w:tr>
      <w:tr w:rsidR="00E23DA4" w:rsidRPr="00E23DA4" w:rsidTr="00E23DA4">
        <w:trPr>
          <w:cnfStyle w:val="000000100000" w:firstRow="0" w:lastRow="0" w:firstColumn="0" w:lastColumn="0" w:oddVBand="0" w:evenVBand="0" w:oddHBand="1" w:evenHBand="0" w:firstRowFirstColumn="0" w:firstRowLastColumn="0" w:lastRowFirstColumn="0" w:lastRowLastColumn="0"/>
        </w:trPr>
        <w:tc>
          <w:tcPr>
            <w:tcW w:w="1217" w:type="pct"/>
            <w:shd w:val="clear" w:color="auto" w:fill="7F7F7F" w:themeFill="text1" w:themeFillTint="80"/>
          </w:tcPr>
          <w:p w:rsidR="00DF777E" w:rsidRPr="00E23DA4" w:rsidRDefault="00DF777E" w:rsidP="00E23DA4">
            <w:pPr>
              <w:keepNext/>
              <w:keepLines/>
              <w:spacing w:after="120"/>
              <w:rPr>
                <w:color w:val="FFFFFF" w:themeColor="background1"/>
              </w:rPr>
            </w:pPr>
            <w:r w:rsidRPr="00E23DA4">
              <w:rPr>
                <w:color w:val="FFFFFF" w:themeColor="background1"/>
              </w:rPr>
              <w:t>Analytical dataset</w:t>
            </w:r>
            <w:r w:rsidRPr="00E23DA4">
              <w:rPr>
                <w:color w:val="FFFFFF" w:themeColor="background1"/>
              </w:rPr>
              <w:fldChar w:fldCharType="begin" w:fldLock="1"/>
            </w:r>
            <w:r w:rsidRPr="00E23DA4">
              <w:rPr>
                <w:color w:val="FFFFFF" w:themeColor="background1"/>
              </w:rPr>
              <w:instrText xml:space="preserve"> DOCPROPERTY bjHeaderBothDocProperty \* MERGEFORMAT </w:instrText>
            </w:r>
            <w:r w:rsidRPr="00E23DA4">
              <w:rPr>
                <w:color w:val="FFFFFF" w:themeColor="background1"/>
              </w:rPr>
              <w:fldChar w:fldCharType="end"/>
            </w:r>
          </w:p>
        </w:tc>
        <w:tc>
          <w:tcPr>
            <w:tcW w:w="1326" w:type="pct"/>
            <w:shd w:val="clear" w:color="auto" w:fill="7F7F7F" w:themeFill="text1" w:themeFillTint="80"/>
          </w:tcPr>
          <w:p w:rsidR="00DF777E" w:rsidRPr="00E23DA4" w:rsidRDefault="00DF777E" w:rsidP="00E23DA4">
            <w:pPr>
              <w:keepNext/>
              <w:keepLines/>
              <w:spacing w:after="120"/>
              <w:rPr>
                <w:color w:val="FFFFFF" w:themeColor="background1"/>
              </w:rPr>
            </w:pPr>
            <w:r w:rsidRPr="00E23DA4">
              <w:rPr>
                <w:color w:val="FFFFFF" w:themeColor="background1"/>
              </w:rPr>
              <w:t>Scenario</w:t>
            </w:r>
          </w:p>
        </w:tc>
        <w:tc>
          <w:tcPr>
            <w:tcW w:w="1339" w:type="pct"/>
            <w:shd w:val="clear" w:color="auto" w:fill="7F7F7F" w:themeFill="text1" w:themeFillTint="80"/>
          </w:tcPr>
          <w:p w:rsidR="00DF777E" w:rsidRPr="00E23DA4" w:rsidRDefault="00DF777E" w:rsidP="00E23DA4">
            <w:pPr>
              <w:keepNext/>
              <w:keepLines/>
              <w:spacing w:after="120"/>
              <w:jc w:val="center"/>
              <w:rPr>
                <w:color w:val="FFFFFF" w:themeColor="background1"/>
              </w:rPr>
            </w:pPr>
            <w:r w:rsidRPr="00E23DA4">
              <w:rPr>
                <w:color w:val="FFFFFF" w:themeColor="background1"/>
              </w:rPr>
              <w:t>Mean</w:t>
            </w:r>
          </w:p>
        </w:tc>
        <w:tc>
          <w:tcPr>
            <w:tcW w:w="1118" w:type="pct"/>
            <w:shd w:val="clear" w:color="auto" w:fill="7F7F7F" w:themeFill="text1" w:themeFillTint="80"/>
          </w:tcPr>
          <w:p w:rsidR="00DF777E" w:rsidRPr="00E23DA4" w:rsidRDefault="00DF777E" w:rsidP="00E23DA4">
            <w:pPr>
              <w:keepNext/>
              <w:keepLines/>
              <w:spacing w:after="120"/>
              <w:jc w:val="center"/>
              <w:rPr>
                <w:color w:val="FFFFFF" w:themeColor="background1"/>
              </w:rPr>
            </w:pPr>
            <w:r w:rsidRPr="00E23DA4">
              <w:rPr>
                <w:color w:val="FFFFFF" w:themeColor="background1"/>
              </w:rPr>
              <w:t>P90</w:t>
            </w:r>
          </w:p>
        </w:tc>
      </w:tr>
      <w:tr w:rsidR="00DF777E" w:rsidRPr="00345786" w:rsidTr="00E23DA4">
        <w:trPr>
          <w:cnfStyle w:val="000000010000" w:firstRow="0" w:lastRow="0" w:firstColumn="0" w:lastColumn="0" w:oddVBand="0" w:evenVBand="0" w:oddHBand="0" w:evenHBand="1" w:firstRowFirstColumn="0" w:firstRowLastColumn="0" w:lastRowFirstColumn="0" w:lastRowLastColumn="0"/>
        </w:trPr>
        <w:tc>
          <w:tcPr>
            <w:tcW w:w="1217" w:type="pct"/>
          </w:tcPr>
          <w:p w:rsidR="00DF777E" w:rsidRPr="00345786" w:rsidRDefault="00DF777E" w:rsidP="00E23DA4">
            <w:pPr>
              <w:keepNext/>
              <w:keepLines/>
              <w:spacing w:after="120"/>
            </w:pPr>
            <w:r>
              <w:t>ESR</w:t>
            </w:r>
          </w:p>
        </w:tc>
        <w:tc>
          <w:tcPr>
            <w:tcW w:w="1326" w:type="pct"/>
          </w:tcPr>
          <w:p w:rsidR="00DF777E" w:rsidRPr="00345786" w:rsidRDefault="00DF777E" w:rsidP="00E23DA4">
            <w:pPr>
              <w:keepNext/>
              <w:keepLines/>
              <w:spacing w:after="120"/>
            </w:pPr>
            <w:r>
              <w:t>ND=0</w:t>
            </w:r>
          </w:p>
        </w:tc>
        <w:tc>
          <w:tcPr>
            <w:tcW w:w="1339" w:type="pct"/>
          </w:tcPr>
          <w:p w:rsidR="00DF777E" w:rsidRPr="00345786" w:rsidRDefault="00DF777E" w:rsidP="00E23DA4">
            <w:pPr>
              <w:keepNext/>
              <w:keepLines/>
              <w:spacing w:after="120"/>
              <w:jc w:val="center"/>
            </w:pPr>
            <w:r>
              <w:rPr>
                <w:rFonts w:cs="Arial"/>
                <w:color w:val="000000"/>
              </w:rPr>
              <w:t>25</w:t>
            </w:r>
          </w:p>
        </w:tc>
        <w:tc>
          <w:tcPr>
            <w:tcW w:w="1118" w:type="pct"/>
          </w:tcPr>
          <w:p w:rsidR="00DF777E" w:rsidRPr="00345786" w:rsidRDefault="00DF777E" w:rsidP="00E23DA4">
            <w:pPr>
              <w:keepNext/>
              <w:keepLines/>
              <w:spacing w:after="120"/>
              <w:jc w:val="center"/>
            </w:pPr>
            <w:r>
              <w:rPr>
                <w:rFonts w:cs="Arial"/>
                <w:color w:val="000000"/>
              </w:rPr>
              <w:t>45</w:t>
            </w:r>
          </w:p>
        </w:tc>
      </w:tr>
      <w:tr w:rsidR="00DF777E" w:rsidRPr="00345786" w:rsidTr="00E23DA4">
        <w:trPr>
          <w:cnfStyle w:val="000000100000" w:firstRow="0" w:lastRow="0" w:firstColumn="0" w:lastColumn="0" w:oddVBand="0" w:evenVBand="0" w:oddHBand="1" w:evenHBand="0" w:firstRowFirstColumn="0" w:firstRowLastColumn="0" w:lastRowFirstColumn="0" w:lastRowLastColumn="0"/>
        </w:trPr>
        <w:tc>
          <w:tcPr>
            <w:tcW w:w="1217" w:type="pct"/>
          </w:tcPr>
          <w:p w:rsidR="00DF777E" w:rsidRPr="00345786" w:rsidRDefault="00DF777E" w:rsidP="00E23DA4">
            <w:pPr>
              <w:keepNext/>
              <w:keepLines/>
              <w:spacing w:after="120"/>
            </w:pPr>
          </w:p>
        </w:tc>
        <w:tc>
          <w:tcPr>
            <w:tcW w:w="1326" w:type="pct"/>
          </w:tcPr>
          <w:p w:rsidR="00DF777E" w:rsidRPr="00345786" w:rsidRDefault="00DF777E" w:rsidP="00E23DA4">
            <w:pPr>
              <w:keepNext/>
              <w:keepLines/>
              <w:spacing w:after="120"/>
            </w:pPr>
            <w:r>
              <w:t>ND=</w:t>
            </w:r>
            <w:r>
              <w:rPr>
                <w:rFonts w:cs="Arial"/>
              </w:rPr>
              <w:t>½</w:t>
            </w:r>
            <w:r>
              <w:t xml:space="preserve"> LOD</w:t>
            </w:r>
          </w:p>
        </w:tc>
        <w:tc>
          <w:tcPr>
            <w:tcW w:w="1339" w:type="pct"/>
          </w:tcPr>
          <w:p w:rsidR="00DF777E" w:rsidRPr="00345786" w:rsidRDefault="00DF777E" w:rsidP="00E23DA4">
            <w:pPr>
              <w:keepNext/>
              <w:keepLines/>
              <w:spacing w:after="120"/>
              <w:jc w:val="center"/>
            </w:pPr>
            <w:r>
              <w:rPr>
                <w:rFonts w:cs="Arial"/>
                <w:color w:val="000000"/>
              </w:rPr>
              <w:t>35</w:t>
            </w:r>
          </w:p>
        </w:tc>
        <w:tc>
          <w:tcPr>
            <w:tcW w:w="1118" w:type="pct"/>
          </w:tcPr>
          <w:p w:rsidR="00DF777E" w:rsidRPr="00345786" w:rsidRDefault="00DF777E" w:rsidP="00E23DA4">
            <w:pPr>
              <w:keepNext/>
              <w:keepLines/>
              <w:spacing w:after="120"/>
              <w:jc w:val="center"/>
            </w:pPr>
            <w:r>
              <w:rPr>
                <w:rFonts w:cs="Arial"/>
                <w:color w:val="000000"/>
              </w:rPr>
              <w:t>65</w:t>
            </w:r>
          </w:p>
        </w:tc>
      </w:tr>
      <w:tr w:rsidR="00DF777E" w:rsidRPr="00345786" w:rsidTr="00E23DA4">
        <w:trPr>
          <w:cnfStyle w:val="000000010000" w:firstRow="0" w:lastRow="0" w:firstColumn="0" w:lastColumn="0" w:oddVBand="0" w:evenVBand="0" w:oddHBand="0" w:evenHBand="1" w:firstRowFirstColumn="0" w:firstRowLastColumn="0" w:lastRowFirstColumn="0" w:lastRowLastColumn="0"/>
        </w:trPr>
        <w:tc>
          <w:tcPr>
            <w:tcW w:w="1217" w:type="pct"/>
          </w:tcPr>
          <w:p w:rsidR="00DF777E" w:rsidRPr="00345786" w:rsidRDefault="00DF777E" w:rsidP="00E23DA4">
            <w:pPr>
              <w:spacing w:after="120"/>
            </w:pPr>
          </w:p>
        </w:tc>
        <w:tc>
          <w:tcPr>
            <w:tcW w:w="1326" w:type="pct"/>
          </w:tcPr>
          <w:p w:rsidR="00DF777E" w:rsidRPr="00345786" w:rsidRDefault="00DF777E" w:rsidP="00E23DA4">
            <w:pPr>
              <w:spacing w:after="120"/>
            </w:pPr>
            <w:r>
              <w:t>ND=LOD</w:t>
            </w:r>
          </w:p>
        </w:tc>
        <w:tc>
          <w:tcPr>
            <w:tcW w:w="1339" w:type="pct"/>
          </w:tcPr>
          <w:p w:rsidR="00DF777E" w:rsidRPr="00345786" w:rsidRDefault="00DF777E" w:rsidP="00E23DA4">
            <w:pPr>
              <w:spacing w:after="120"/>
              <w:jc w:val="center"/>
            </w:pPr>
            <w:r>
              <w:rPr>
                <w:rFonts w:cs="Arial"/>
                <w:color w:val="000000"/>
              </w:rPr>
              <w:t>40</w:t>
            </w:r>
          </w:p>
        </w:tc>
        <w:tc>
          <w:tcPr>
            <w:tcW w:w="1118" w:type="pct"/>
          </w:tcPr>
          <w:p w:rsidR="00DF777E" w:rsidRPr="00345786" w:rsidRDefault="00DF777E" w:rsidP="00E23DA4">
            <w:pPr>
              <w:spacing w:after="120"/>
              <w:jc w:val="center"/>
            </w:pPr>
            <w:r>
              <w:rPr>
                <w:rFonts w:cs="Arial"/>
                <w:color w:val="000000"/>
              </w:rPr>
              <w:t>85</w:t>
            </w:r>
          </w:p>
        </w:tc>
      </w:tr>
      <w:tr w:rsidR="00DF777E" w:rsidRPr="00345786" w:rsidTr="00E23DA4">
        <w:trPr>
          <w:cnfStyle w:val="000000100000" w:firstRow="0" w:lastRow="0" w:firstColumn="0" w:lastColumn="0" w:oddVBand="0" w:evenVBand="0" w:oddHBand="1" w:evenHBand="0" w:firstRowFirstColumn="0" w:firstRowLastColumn="0" w:lastRowFirstColumn="0" w:lastRowLastColumn="0"/>
        </w:trPr>
        <w:tc>
          <w:tcPr>
            <w:tcW w:w="1217" w:type="pct"/>
          </w:tcPr>
          <w:p w:rsidR="00DF777E" w:rsidRPr="00345786" w:rsidRDefault="00DF777E" w:rsidP="00E23DA4">
            <w:pPr>
              <w:spacing w:after="120"/>
            </w:pPr>
            <w:r>
              <w:t>US FDA</w:t>
            </w:r>
          </w:p>
        </w:tc>
        <w:tc>
          <w:tcPr>
            <w:tcW w:w="1326" w:type="pct"/>
          </w:tcPr>
          <w:p w:rsidR="00DF777E" w:rsidRPr="00345786" w:rsidRDefault="00DF777E" w:rsidP="00E23DA4">
            <w:pPr>
              <w:spacing w:after="120"/>
            </w:pPr>
          </w:p>
        </w:tc>
        <w:tc>
          <w:tcPr>
            <w:tcW w:w="1339" w:type="pct"/>
          </w:tcPr>
          <w:p w:rsidR="00DF777E" w:rsidRPr="00AD0C2A" w:rsidRDefault="00DF777E" w:rsidP="00E23DA4">
            <w:pPr>
              <w:spacing w:after="120"/>
              <w:jc w:val="center"/>
              <w:rPr>
                <w:rFonts w:cs="Arial"/>
                <w:color w:val="000000"/>
                <w:lang w:eastAsia="en-GB"/>
              </w:rPr>
            </w:pPr>
            <w:r w:rsidRPr="00A61AA9">
              <w:rPr>
                <w:rFonts w:cs="Arial"/>
                <w:color w:val="000000"/>
                <w:lang w:eastAsia="en-GB"/>
              </w:rPr>
              <w:t>35</w:t>
            </w:r>
          </w:p>
        </w:tc>
        <w:tc>
          <w:tcPr>
            <w:tcW w:w="1118" w:type="pct"/>
          </w:tcPr>
          <w:p w:rsidR="00DF777E" w:rsidRPr="00AD0C2A" w:rsidRDefault="00DF777E" w:rsidP="00E23DA4">
            <w:pPr>
              <w:spacing w:after="120"/>
              <w:jc w:val="center"/>
              <w:rPr>
                <w:rFonts w:cs="Arial"/>
                <w:color w:val="000000"/>
                <w:lang w:eastAsia="en-GB"/>
              </w:rPr>
            </w:pPr>
            <w:r>
              <w:rPr>
                <w:rFonts w:cs="Arial"/>
                <w:color w:val="000000"/>
                <w:lang w:eastAsia="en-GB"/>
              </w:rPr>
              <w:t>70</w:t>
            </w:r>
          </w:p>
        </w:tc>
      </w:tr>
    </w:tbl>
    <w:p w:rsidR="00DF777E" w:rsidRDefault="00DF777E" w:rsidP="00DF777E"/>
    <w:p w:rsidR="00DF777E" w:rsidRDefault="00DF777E" w:rsidP="00E23DA4">
      <w:pPr>
        <w:pStyle w:val="Heading4"/>
      </w:pPr>
      <w:bookmarkStart w:id="21" w:name="_Toc32242988"/>
      <w:bookmarkStart w:id="22" w:name="_Toc34209381"/>
      <w:r>
        <w:t>Glycidol</w:t>
      </w:r>
      <w:bookmarkEnd w:id="21"/>
      <w:bookmarkEnd w:id="22"/>
    </w:p>
    <w:p w:rsidR="00DF777E" w:rsidRDefault="00DF777E" w:rsidP="00DF777E">
      <w:pPr>
        <w:keepLines/>
      </w:pPr>
      <w:r>
        <w:t>There is no health based guidance value for glycidol set by JECFA, therefore estimated dietary exposures have been compared to the BMDL</w:t>
      </w:r>
      <w:r w:rsidRPr="008F5F51">
        <w:rPr>
          <w:vertAlign w:val="subscript"/>
        </w:rPr>
        <w:t>10</w:t>
      </w:r>
      <w:r>
        <w:t xml:space="preserve"> of 2.4 mg/kg bw/day for a Margin of Exposure (MOE) estimate</w:t>
      </w:r>
      <w:r>
        <w:rPr>
          <w:rStyle w:val="FootnoteReference"/>
        </w:rPr>
        <w:footnoteReference w:id="6"/>
      </w:r>
      <w:r>
        <w:t xml:space="preserve"> (JECFA 2017).</w:t>
      </w:r>
    </w:p>
    <w:p w:rsidR="00DF777E" w:rsidRPr="00A63BCF" w:rsidRDefault="00DF777E" w:rsidP="00DF777E">
      <w:r w:rsidRPr="00A63BCF">
        <w:t>Using the ESR</w:t>
      </w:r>
      <w:r>
        <w:t xml:space="preserve"> analytical dataset</w:t>
      </w:r>
      <w:r w:rsidRPr="00A63BCF">
        <w:t>, the estimated mean and P90 dietary expos</w:t>
      </w:r>
      <w:r>
        <w:t>ures to glycidol</w:t>
      </w:r>
      <w:r w:rsidRPr="00A63BCF">
        <w:t xml:space="preserve"> from infant formula</w:t>
      </w:r>
      <w:r>
        <w:t xml:space="preserve"> for 3 month old infants</w:t>
      </w:r>
      <w:r w:rsidRPr="00A63BCF">
        <w:t xml:space="preserve"> give M</w:t>
      </w:r>
      <w:r>
        <w:t>O</w:t>
      </w:r>
      <w:r w:rsidRPr="00A63BCF">
        <w:t>E</w:t>
      </w:r>
      <w:r>
        <w:t>s</w:t>
      </w:r>
      <w:r w:rsidRPr="00A63BCF">
        <w:t xml:space="preserve"> of 1,700 – 12,000 at the mean and 900 – 5,800 at the P90. The lower end of the range is for the ND=LOD scenario; the upper end of the </w:t>
      </w:r>
      <w:r>
        <w:t>range is for the ND=0 scenario.</w:t>
      </w:r>
    </w:p>
    <w:p w:rsidR="00DF777E" w:rsidRPr="00A63BCF" w:rsidRDefault="00DF777E" w:rsidP="00DF777E">
      <w:r w:rsidRPr="00A63BCF">
        <w:t xml:space="preserve">Using the US FDA </w:t>
      </w:r>
      <w:r>
        <w:t>analytical</w:t>
      </w:r>
      <w:r w:rsidRPr="00A63BCF">
        <w:t xml:space="preserve"> data</w:t>
      </w:r>
      <w:r>
        <w:t>set</w:t>
      </w:r>
      <w:r w:rsidRPr="00A63BCF">
        <w:t>, the estimated mean</w:t>
      </w:r>
      <w:r>
        <w:t xml:space="preserve"> and P90 dietary exposures to glycidol</w:t>
      </w:r>
      <w:r w:rsidRPr="00A63BCF">
        <w:t xml:space="preserve"> from infant formula for 3 month old infants </w:t>
      </w:r>
      <w:r>
        <w:t xml:space="preserve">give </w:t>
      </w:r>
      <w:r w:rsidRPr="00A63BCF">
        <w:t>M</w:t>
      </w:r>
      <w:r>
        <w:t>O</w:t>
      </w:r>
      <w:r w:rsidRPr="00A63BCF">
        <w:t>E</w:t>
      </w:r>
      <w:r>
        <w:t>s</w:t>
      </w:r>
      <w:r w:rsidRPr="00A63BCF">
        <w:t xml:space="preserve"> of 6,100 and 3,000, respectively.</w:t>
      </w:r>
      <w:r>
        <w:t xml:space="preserve"> </w:t>
      </w:r>
      <w:r w:rsidRPr="00A63BCF">
        <w:t xml:space="preserve">See </w:t>
      </w:r>
      <w:r w:rsidRPr="00A63BCF">
        <w:fldChar w:fldCharType="begin"/>
      </w:r>
      <w:r w:rsidRPr="00A63BCF">
        <w:instrText xml:space="preserve"> REF _Ref530662571 \h  \* MERGEFORMAT </w:instrText>
      </w:r>
      <w:r w:rsidRPr="00A63BCF">
        <w:fldChar w:fldCharType="separate"/>
      </w:r>
      <w:r w:rsidR="00E73E1C" w:rsidRPr="00A63BCF">
        <w:t>Table</w:t>
      </w:r>
      <w:r w:rsidR="00E73E1C">
        <w:t xml:space="preserve"> </w:t>
      </w:r>
      <w:r w:rsidR="00E73E1C">
        <w:rPr>
          <w:noProof/>
        </w:rPr>
        <w:t>3</w:t>
      </w:r>
      <w:r w:rsidRPr="00A63BCF">
        <w:fldChar w:fldCharType="end"/>
      </w:r>
      <w:r w:rsidRPr="00A63BCF">
        <w:t xml:space="preserve"> for further details.</w:t>
      </w:r>
    </w:p>
    <w:p w:rsidR="00DF777E" w:rsidRPr="00E66924" w:rsidRDefault="00DF777E" w:rsidP="00DF777E">
      <w:r>
        <w:t>With the exception of the mean exposure for the ESR ND=0 scenario, t</w:t>
      </w:r>
      <w:r w:rsidRPr="00D7458A">
        <w:t xml:space="preserve">he MOEs </w:t>
      </w:r>
      <w:r>
        <w:t xml:space="preserve">for </w:t>
      </w:r>
      <w:r w:rsidRPr="00D7458A">
        <w:t xml:space="preserve">glycidol, at the mean and P90 </w:t>
      </w:r>
      <w:r>
        <w:t xml:space="preserve">estimated </w:t>
      </w:r>
      <w:r w:rsidRPr="00D7458A">
        <w:t>dietary exposures were generally low for a compound that is genotoxic and carcinogenic, and within the range considered to be of possible co</w:t>
      </w:r>
      <w:r>
        <w:t>ncern to human health by JECFA.</w:t>
      </w:r>
    </w:p>
    <w:p w:rsidR="00DF777E" w:rsidRDefault="00DF777E" w:rsidP="00DF777E">
      <w:r w:rsidRPr="002E2A2F">
        <w:t>While the MOEs are low, FSANZ notes that they are comparable to those observed internationally and that the benefits of continuing to provide formula to infants far outweighs any potential health concerns associated with low levels of these contaminants in some formula products. Infant formula is the only safe alternative to breast milk for in</w:t>
      </w:r>
      <w:r>
        <w:t>fants under six months of age.</w:t>
      </w:r>
    </w:p>
    <w:p w:rsidR="00DF777E" w:rsidRDefault="00DF777E" w:rsidP="00DF777E">
      <w:pPr>
        <w:pStyle w:val="FSTableTitle"/>
        <w:keepNext/>
        <w:keepLines/>
        <w:rPr>
          <w:bCs/>
          <w:highlight w:val="yellow"/>
        </w:rPr>
      </w:pPr>
      <w:bookmarkStart w:id="23" w:name="_Ref530662571"/>
      <w:bookmarkStart w:id="24" w:name="_Toc531944163"/>
      <w:r w:rsidRPr="00A63BCF">
        <w:lastRenderedPageBreak/>
        <w:t>Table</w:t>
      </w:r>
      <w:r>
        <w:t xml:space="preserve"> </w:t>
      </w:r>
      <w:r>
        <w:rPr>
          <w:noProof/>
        </w:rPr>
        <w:fldChar w:fldCharType="begin"/>
      </w:r>
      <w:r>
        <w:rPr>
          <w:noProof/>
        </w:rPr>
        <w:instrText xml:space="preserve"> SEQ Table \* ARABIC </w:instrText>
      </w:r>
      <w:r>
        <w:rPr>
          <w:noProof/>
        </w:rPr>
        <w:fldChar w:fldCharType="separate"/>
      </w:r>
      <w:r w:rsidR="00E73E1C">
        <w:rPr>
          <w:noProof/>
        </w:rPr>
        <w:t>3</w:t>
      </w:r>
      <w:r>
        <w:rPr>
          <w:noProof/>
        </w:rPr>
        <w:fldChar w:fldCharType="end"/>
      </w:r>
      <w:bookmarkEnd w:id="23"/>
      <w:r>
        <w:t>: Estimated mean and P90 dietary exposures to glycidol from infant formula for 3 month old infants, expressed as a Margin of Exposure (MOE</w:t>
      </w:r>
      <w:bookmarkEnd w:id="24"/>
      <w:r>
        <w:t>)</w:t>
      </w:r>
      <w:r w:rsidR="00E23DA4">
        <w:br/>
      </w:r>
    </w:p>
    <w:tbl>
      <w:tblPr>
        <w:tblStyle w:val="Table"/>
        <w:tblW w:w="5000" w:type="pct"/>
        <w:tblLook w:val="04A0" w:firstRow="1" w:lastRow="0" w:firstColumn="1" w:lastColumn="0" w:noHBand="0" w:noVBand="1"/>
        <w:tblDescription w:val="Estimated mean and P90 dietary exposures to glycidol expressed as a Margin of Exposure (MoE) for the ESR and US FDA analytical datasets. All exposures are below a MoE of 10,000 with the exception of the ESR ND=0 dataset which is not expected to be a scenario that is likely to occur."/>
      </w:tblPr>
      <w:tblGrid>
        <w:gridCol w:w="2208"/>
        <w:gridCol w:w="2405"/>
        <w:gridCol w:w="2429"/>
        <w:gridCol w:w="2028"/>
      </w:tblGrid>
      <w:tr w:rsidR="00DF777E" w:rsidRPr="00345786" w:rsidTr="00E23DA4">
        <w:trPr>
          <w:cnfStyle w:val="100000000000" w:firstRow="1" w:lastRow="0" w:firstColumn="0" w:lastColumn="0" w:oddVBand="0" w:evenVBand="0" w:oddHBand="0" w:evenHBand="0" w:firstRowFirstColumn="0" w:firstRowLastColumn="0" w:lastRowFirstColumn="0" w:lastRowLastColumn="0"/>
        </w:trPr>
        <w:tc>
          <w:tcPr>
            <w:tcW w:w="1217" w:type="pct"/>
            <w:shd w:val="clear" w:color="auto" w:fill="7F7F7F" w:themeFill="text1" w:themeFillTint="80"/>
          </w:tcPr>
          <w:p w:rsidR="00DF777E" w:rsidRPr="00345786" w:rsidRDefault="00DF777E" w:rsidP="00E23DA4">
            <w:pPr>
              <w:keepNext/>
              <w:keepLines/>
              <w:spacing w:after="120"/>
            </w:pPr>
          </w:p>
        </w:tc>
        <w:tc>
          <w:tcPr>
            <w:tcW w:w="1326" w:type="pct"/>
            <w:shd w:val="clear" w:color="auto" w:fill="7F7F7F" w:themeFill="text1" w:themeFillTint="80"/>
          </w:tcPr>
          <w:p w:rsidR="00DF777E" w:rsidRPr="00345786" w:rsidRDefault="00DF777E" w:rsidP="00E23DA4">
            <w:pPr>
              <w:keepNext/>
              <w:keepLines/>
              <w:spacing w:after="120"/>
            </w:pPr>
          </w:p>
        </w:tc>
        <w:tc>
          <w:tcPr>
            <w:tcW w:w="2457" w:type="pct"/>
            <w:gridSpan w:val="2"/>
            <w:shd w:val="clear" w:color="auto" w:fill="7F7F7F" w:themeFill="text1" w:themeFillTint="80"/>
          </w:tcPr>
          <w:p w:rsidR="00DF777E" w:rsidRDefault="00DF777E" w:rsidP="00E23DA4">
            <w:pPr>
              <w:keepNext/>
              <w:keepLines/>
              <w:spacing w:after="120"/>
              <w:jc w:val="center"/>
            </w:pPr>
            <w:r>
              <w:t>Margin of Exposure</w:t>
            </w:r>
          </w:p>
        </w:tc>
      </w:tr>
      <w:tr w:rsidR="00E23DA4" w:rsidRPr="00E23DA4" w:rsidTr="00E23DA4">
        <w:trPr>
          <w:cnfStyle w:val="000000100000" w:firstRow="0" w:lastRow="0" w:firstColumn="0" w:lastColumn="0" w:oddVBand="0" w:evenVBand="0" w:oddHBand="1" w:evenHBand="0" w:firstRowFirstColumn="0" w:firstRowLastColumn="0" w:lastRowFirstColumn="0" w:lastRowLastColumn="0"/>
        </w:trPr>
        <w:tc>
          <w:tcPr>
            <w:tcW w:w="1217" w:type="pct"/>
            <w:shd w:val="clear" w:color="auto" w:fill="7F7F7F" w:themeFill="text1" w:themeFillTint="80"/>
          </w:tcPr>
          <w:p w:rsidR="00DF777E" w:rsidRPr="00E23DA4" w:rsidRDefault="00DF777E" w:rsidP="00E23DA4">
            <w:pPr>
              <w:keepNext/>
              <w:keepLines/>
              <w:spacing w:after="120"/>
              <w:rPr>
                <w:color w:val="FFFFFF" w:themeColor="background1"/>
              </w:rPr>
            </w:pPr>
            <w:r w:rsidRPr="00E23DA4">
              <w:rPr>
                <w:color w:val="FFFFFF" w:themeColor="background1"/>
              </w:rPr>
              <w:t>Analytical Dataset</w:t>
            </w:r>
          </w:p>
        </w:tc>
        <w:tc>
          <w:tcPr>
            <w:tcW w:w="1326" w:type="pct"/>
            <w:shd w:val="clear" w:color="auto" w:fill="7F7F7F" w:themeFill="text1" w:themeFillTint="80"/>
          </w:tcPr>
          <w:p w:rsidR="00DF777E" w:rsidRPr="00E23DA4" w:rsidRDefault="00DF777E" w:rsidP="00E23DA4">
            <w:pPr>
              <w:keepNext/>
              <w:keepLines/>
              <w:spacing w:after="120"/>
              <w:rPr>
                <w:color w:val="FFFFFF" w:themeColor="background1"/>
              </w:rPr>
            </w:pPr>
            <w:r w:rsidRPr="00E23DA4">
              <w:rPr>
                <w:color w:val="FFFFFF" w:themeColor="background1"/>
              </w:rPr>
              <w:t>Scenario</w:t>
            </w:r>
          </w:p>
        </w:tc>
        <w:tc>
          <w:tcPr>
            <w:tcW w:w="1339" w:type="pct"/>
            <w:shd w:val="clear" w:color="auto" w:fill="7F7F7F" w:themeFill="text1" w:themeFillTint="80"/>
          </w:tcPr>
          <w:p w:rsidR="00DF777E" w:rsidRPr="00E23DA4" w:rsidRDefault="00DF777E" w:rsidP="00E23DA4">
            <w:pPr>
              <w:keepNext/>
              <w:keepLines/>
              <w:spacing w:after="120"/>
              <w:jc w:val="center"/>
              <w:rPr>
                <w:color w:val="FFFFFF" w:themeColor="background1"/>
              </w:rPr>
            </w:pPr>
            <w:r w:rsidRPr="00E23DA4">
              <w:rPr>
                <w:color w:val="FFFFFF" w:themeColor="background1"/>
              </w:rPr>
              <w:t>Mean</w:t>
            </w:r>
          </w:p>
        </w:tc>
        <w:tc>
          <w:tcPr>
            <w:tcW w:w="1118" w:type="pct"/>
            <w:shd w:val="clear" w:color="auto" w:fill="7F7F7F" w:themeFill="text1" w:themeFillTint="80"/>
          </w:tcPr>
          <w:p w:rsidR="00DF777E" w:rsidRPr="00E23DA4" w:rsidRDefault="00DF777E" w:rsidP="00E23DA4">
            <w:pPr>
              <w:keepNext/>
              <w:keepLines/>
              <w:spacing w:after="120"/>
              <w:jc w:val="center"/>
              <w:rPr>
                <w:color w:val="FFFFFF" w:themeColor="background1"/>
              </w:rPr>
            </w:pPr>
            <w:r w:rsidRPr="00E23DA4">
              <w:rPr>
                <w:color w:val="FFFFFF" w:themeColor="background1"/>
              </w:rPr>
              <w:t>P90</w:t>
            </w:r>
          </w:p>
        </w:tc>
      </w:tr>
      <w:tr w:rsidR="00DF777E" w:rsidRPr="00345786" w:rsidTr="00E23DA4">
        <w:trPr>
          <w:cnfStyle w:val="000000010000" w:firstRow="0" w:lastRow="0" w:firstColumn="0" w:lastColumn="0" w:oddVBand="0" w:evenVBand="0" w:oddHBand="0" w:evenHBand="1" w:firstRowFirstColumn="0" w:firstRowLastColumn="0" w:lastRowFirstColumn="0" w:lastRowLastColumn="0"/>
        </w:trPr>
        <w:tc>
          <w:tcPr>
            <w:tcW w:w="1217" w:type="pct"/>
          </w:tcPr>
          <w:p w:rsidR="00DF777E" w:rsidRPr="00345786" w:rsidRDefault="00DF777E" w:rsidP="00E23DA4">
            <w:pPr>
              <w:keepNext/>
              <w:keepLines/>
              <w:spacing w:after="120"/>
            </w:pPr>
            <w:r>
              <w:t>ESR</w:t>
            </w:r>
          </w:p>
        </w:tc>
        <w:tc>
          <w:tcPr>
            <w:tcW w:w="1326" w:type="pct"/>
          </w:tcPr>
          <w:p w:rsidR="00DF777E" w:rsidRPr="00345786" w:rsidRDefault="00DF777E" w:rsidP="00E23DA4">
            <w:pPr>
              <w:keepNext/>
              <w:keepLines/>
              <w:spacing w:after="120"/>
            </w:pPr>
            <w:r>
              <w:t>ND=0</w:t>
            </w:r>
          </w:p>
        </w:tc>
        <w:tc>
          <w:tcPr>
            <w:tcW w:w="1339" w:type="pct"/>
          </w:tcPr>
          <w:p w:rsidR="00DF777E" w:rsidRPr="00345786" w:rsidRDefault="00DF777E" w:rsidP="00E23DA4">
            <w:pPr>
              <w:keepNext/>
              <w:keepLines/>
              <w:tabs>
                <w:tab w:val="decimal" w:pos="1512"/>
              </w:tabs>
              <w:spacing w:after="120"/>
            </w:pPr>
            <w:r>
              <w:rPr>
                <w:rFonts w:cs="Arial"/>
                <w:color w:val="000000"/>
              </w:rPr>
              <w:t>12,000</w:t>
            </w:r>
          </w:p>
        </w:tc>
        <w:tc>
          <w:tcPr>
            <w:tcW w:w="1118" w:type="pct"/>
          </w:tcPr>
          <w:p w:rsidR="00DF777E" w:rsidRPr="00345786" w:rsidRDefault="00DF777E" w:rsidP="00E23DA4">
            <w:pPr>
              <w:keepNext/>
              <w:keepLines/>
              <w:tabs>
                <w:tab w:val="decimal" w:pos="1209"/>
              </w:tabs>
              <w:spacing w:after="120"/>
            </w:pPr>
            <w:r>
              <w:rPr>
                <w:rFonts w:cs="Arial"/>
                <w:color w:val="000000"/>
              </w:rPr>
              <w:t>5,800</w:t>
            </w:r>
          </w:p>
        </w:tc>
      </w:tr>
      <w:tr w:rsidR="00DF777E" w:rsidRPr="00345786" w:rsidTr="00E23DA4">
        <w:trPr>
          <w:cnfStyle w:val="000000100000" w:firstRow="0" w:lastRow="0" w:firstColumn="0" w:lastColumn="0" w:oddVBand="0" w:evenVBand="0" w:oddHBand="1" w:evenHBand="0" w:firstRowFirstColumn="0" w:firstRowLastColumn="0" w:lastRowFirstColumn="0" w:lastRowLastColumn="0"/>
        </w:trPr>
        <w:tc>
          <w:tcPr>
            <w:tcW w:w="1217" w:type="pct"/>
          </w:tcPr>
          <w:p w:rsidR="00DF777E" w:rsidRPr="00345786" w:rsidRDefault="00DF777E" w:rsidP="00E23DA4">
            <w:pPr>
              <w:keepNext/>
              <w:keepLines/>
              <w:spacing w:after="120"/>
            </w:pPr>
          </w:p>
        </w:tc>
        <w:tc>
          <w:tcPr>
            <w:tcW w:w="1326" w:type="pct"/>
          </w:tcPr>
          <w:p w:rsidR="00DF777E" w:rsidRPr="00345786" w:rsidRDefault="00DF777E" w:rsidP="00E23DA4">
            <w:pPr>
              <w:keepNext/>
              <w:keepLines/>
              <w:spacing w:after="120"/>
            </w:pPr>
            <w:r>
              <w:t>ND=</w:t>
            </w:r>
            <w:r>
              <w:rPr>
                <w:rFonts w:cs="Arial"/>
              </w:rPr>
              <w:t>½</w:t>
            </w:r>
            <w:r>
              <w:t xml:space="preserve"> LOD</w:t>
            </w:r>
          </w:p>
        </w:tc>
        <w:tc>
          <w:tcPr>
            <w:tcW w:w="1339" w:type="pct"/>
          </w:tcPr>
          <w:p w:rsidR="00DF777E" w:rsidRPr="00345786" w:rsidRDefault="00DF777E" w:rsidP="00E23DA4">
            <w:pPr>
              <w:keepNext/>
              <w:keepLines/>
              <w:tabs>
                <w:tab w:val="decimal" w:pos="1512"/>
              </w:tabs>
              <w:spacing w:after="120"/>
            </w:pPr>
            <w:r>
              <w:rPr>
                <w:rFonts w:cs="Arial"/>
                <w:color w:val="000000"/>
              </w:rPr>
              <w:t>3,000</w:t>
            </w:r>
          </w:p>
        </w:tc>
        <w:tc>
          <w:tcPr>
            <w:tcW w:w="1118" w:type="pct"/>
          </w:tcPr>
          <w:p w:rsidR="00DF777E" w:rsidRPr="00345786" w:rsidRDefault="00DF777E" w:rsidP="00E23DA4">
            <w:pPr>
              <w:keepNext/>
              <w:keepLines/>
              <w:tabs>
                <w:tab w:val="decimal" w:pos="1209"/>
              </w:tabs>
              <w:spacing w:after="120"/>
            </w:pPr>
            <w:r>
              <w:rPr>
                <w:rFonts w:cs="Arial"/>
                <w:color w:val="000000"/>
              </w:rPr>
              <w:t>1,500</w:t>
            </w:r>
          </w:p>
        </w:tc>
      </w:tr>
      <w:tr w:rsidR="00DF777E" w:rsidRPr="00345786" w:rsidTr="00E23DA4">
        <w:trPr>
          <w:cnfStyle w:val="000000010000" w:firstRow="0" w:lastRow="0" w:firstColumn="0" w:lastColumn="0" w:oddVBand="0" w:evenVBand="0" w:oddHBand="0" w:evenHBand="1" w:firstRowFirstColumn="0" w:firstRowLastColumn="0" w:lastRowFirstColumn="0" w:lastRowLastColumn="0"/>
        </w:trPr>
        <w:tc>
          <w:tcPr>
            <w:tcW w:w="1217" w:type="pct"/>
          </w:tcPr>
          <w:p w:rsidR="00DF777E" w:rsidRPr="00345786" w:rsidRDefault="00DF777E" w:rsidP="00E23DA4">
            <w:pPr>
              <w:keepNext/>
              <w:keepLines/>
              <w:spacing w:after="120"/>
            </w:pPr>
          </w:p>
        </w:tc>
        <w:tc>
          <w:tcPr>
            <w:tcW w:w="1326" w:type="pct"/>
          </w:tcPr>
          <w:p w:rsidR="00DF777E" w:rsidRPr="00345786" w:rsidRDefault="00DF777E" w:rsidP="00E23DA4">
            <w:pPr>
              <w:keepNext/>
              <w:keepLines/>
              <w:spacing w:after="120"/>
            </w:pPr>
            <w:r>
              <w:t>ND=LOD</w:t>
            </w:r>
          </w:p>
        </w:tc>
        <w:tc>
          <w:tcPr>
            <w:tcW w:w="1339" w:type="pct"/>
          </w:tcPr>
          <w:p w:rsidR="00DF777E" w:rsidRPr="00345786" w:rsidRDefault="00DF777E" w:rsidP="00E23DA4">
            <w:pPr>
              <w:keepNext/>
              <w:keepLines/>
              <w:tabs>
                <w:tab w:val="decimal" w:pos="1512"/>
              </w:tabs>
              <w:spacing w:after="120"/>
            </w:pPr>
            <w:r>
              <w:rPr>
                <w:rFonts w:cs="Arial"/>
                <w:color w:val="000000"/>
              </w:rPr>
              <w:t>1,700</w:t>
            </w:r>
          </w:p>
        </w:tc>
        <w:tc>
          <w:tcPr>
            <w:tcW w:w="1118" w:type="pct"/>
          </w:tcPr>
          <w:p w:rsidR="00DF777E" w:rsidRPr="00345786" w:rsidRDefault="00DF777E" w:rsidP="00E23DA4">
            <w:pPr>
              <w:keepNext/>
              <w:keepLines/>
              <w:tabs>
                <w:tab w:val="decimal" w:pos="1209"/>
              </w:tabs>
              <w:spacing w:after="120"/>
            </w:pPr>
            <w:r>
              <w:rPr>
                <w:rFonts w:cs="Arial"/>
                <w:color w:val="000000"/>
              </w:rPr>
              <w:t>900</w:t>
            </w:r>
          </w:p>
        </w:tc>
      </w:tr>
      <w:tr w:rsidR="00DF777E" w:rsidRPr="00345786" w:rsidTr="00E23DA4">
        <w:trPr>
          <w:cnfStyle w:val="000000100000" w:firstRow="0" w:lastRow="0" w:firstColumn="0" w:lastColumn="0" w:oddVBand="0" w:evenVBand="0" w:oddHBand="1" w:evenHBand="0" w:firstRowFirstColumn="0" w:firstRowLastColumn="0" w:lastRowFirstColumn="0" w:lastRowLastColumn="0"/>
        </w:trPr>
        <w:tc>
          <w:tcPr>
            <w:tcW w:w="1217" w:type="pct"/>
          </w:tcPr>
          <w:p w:rsidR="00DF777E" w:rsidRPr="00345786" w:rsidRDefault="00DF777E" w:rsidP="00E23DA4">
            <w:pPr>
              <w:keepNext/>
              <w:keepLines/>
              <w:spacing w:after="120"/>
            </w:pPr>
            <w:r>
              <w:t>US FDA</w:t>
            </w:r>
          </w:p>
        </w:tc>
        <w:tc>
          <w:tcPr>
            <w:tcW w:w="1326" w:type="pct"/>
          </w:tcPr>
          <w:p w:rsidR="00DF777E" w:rsidRPr="00345786" w:rsidRDefault="00DF777E" w:rsidP="00E23DA4">
            <w:pPr>
              <w:keepNext/>
              <w:keepLines/>
              <w:spacing w:after="120"/>
            </w:pPr>
          </w:p>
        </w:tc>
        <w:tc>
          <w:tcPr>
            <w:tcW w:w="1339" w:type="pct"/>
          </w:tcPr>
          <w:p w:rsidR="00DF777E" w:rsidRPr="00AD0C2A" w:rsidRDefault="00DF777E" w:rsidP="00E23DA4">
            <w:pPr>
              <w:keepNext/>
              <w:keepLines/>
              <w:tabs>
                <w:tab w:val="decimal" w:pos="1512"/>
              </w:tabs>
              <w:spacing w:after="120"/>
              <w:rPr>
                <w:rFonts w:cs="Arial"/>
                <w:color w:val="000000"/>
                <w:lang w:eastAsia="en-GB"/>
              </w:rPr>
            </w:pPr>
            <w:r>
              <w:rPr>
                <w:rFonts w:cs="Arial"/>
                <w:color w:val="000000"/>
                <w:lang w:eastAsia="en-GB"/>
              </w:rPr>
              <w:t>6,100</w:t>
            </w:r>
          </w:p>
        </w:tc>
        <w:tc>
          <w:tcPr>
            <w:tcW w:w="1118" w:type="pct"/>
          </w:tcPr>
          <w:p w:rsidR="00DF777E" w:rsidRPr="00AD0C2A" w:rsidRDefault="00DF777E" w:rsidP="00E23DA4">
            <w:pPr>
              <w:keepNext/>
              <w:keepLines/>
              <w:tabs>
                <w:tab w:val="decimal" w:pos="1209"/>
              </w:tabs>
              <w:spacing w:after="120"/>
              <w:rPr>
                <w:rFonts w:cs="Arial"/>
                <w:color w:val="000000"/>
                <w:lang w:eastAsia="en-GB"/>
              </w:rPr>
            </w:pPr>
            <w:r>
              <w:rPr>
                <w:rFonts w:cs="Arial"/>
                <w:color w:val="000000"/>
                <w:lang w:eastAsia="en-GB"/>
              </w:rPr>
              <w:t>3,000</w:t>
            </w:r>
          </w:p>
        </w:tc>
      </w:tr>
    </w:tbl>
    <w:p w:rsidR="00DF777E" w:rsidRDefault="00DF777E" w:rsidP="00DF777E">
      <w:pPr>
        <w:pStyle w:val="CitaviBibliographyEntry"/>
      </w:pPr>
    </w:p>
    <w:p w:rsidR="00DF777E" w:rsidRDefault="00DF777E" w:rsidP="00E23DA4">
      <w:pPr>
        <w:pStyle w:val="Heading2"/>
      </w:pPr>
      <w:bookmarkStart w:id="25" w:name="_Toc32242989"/>
      <w:bookmarkStart w:id="26" w:name="_Toc34209382"/>
      <w:r>
        <w:t>Risk management and next steps</w:t>
      </w:r>
      <w:bookmarkEnd w:id="25"/>
      <w:bookmarkEnd w:id="26"/>
    </w:p>
    <w:p w:rsidR="00DF777E" w:rsidRDefault="00DF777E" w:rsidP="00DF777E">
      <w:pPr>
        <w:tabs>
          <w:tab w:val="left" w:pos="567"/>
        </w:tabs>
        <w:rPr>
          <w:rFonts w:eastAsia="Calibri"/>
          <w:lang w:eastAsia="en-AU"/>
        </w:rPr>
      </w:pPr>
      <w:r>
        <w:rPr>
          <w:rFonts w:eastAsia="Calibri"/>
          <w:lang w:eastAsia="en-AU"/>
        </w:rPr>
        <w:t>Since these contaminants were identified, industry and food safety bodies around the world have been working to reduce their occurrence in foods. There are a number of risk management measures in place, including a Toolbox developed to help industry reduce levels.</w:t>
      </w:r>
    </w:p>
    <w:p w:rsidR="00DF777E" w:rsidRDefault="00DF777E" w:rsidP="00DF777E">
      <w:r w:rsidRPr="00D430A0">
        <w:t>FSANZ and NZFS were involved in developing the Codex Code of Practice for the reduction of 3-MCPD esters and glycidyl esters in refined oils and food products made with refined oils. This Code of Practice was adopted in 2019. Th</w:t>
      </w:r>
      <w:r>
        <w:t>e</w:t>
      </w:r>
      <w:r w:rsidRPr="00D430A0">
        <w:t xml:space="preserve"> Code of Practice sets out explicit guidance for producers and users to reduce the presence of 3-MCPD and glycidyl esters in refined oils, such as rapeseed, soya bean, sunflower, safflower, walnut and especially palm oils. This will ensure the production of a safe product to protect consumer health and ensure trade flow of refined oils by producing countries.</w:t>
      </w:r>
    </w:p>
    <w:p w:rsidR="00DF777E" w:rsidRPr="0010195B" w:rsidRDefault="00DF777E" w:rsidP="00DF777E">
      <w:r w:rsidRPr="0010195B">
        <w:t xml:space="preserve">Over recent years many methods have been developed to reduce 3-MCPD esters and </w:t>
      </w:r>
      <w:r>
        <w:t>g</w:t>
      </w:r>
      <w:r w:rsidRPr="0010195B">
        <w:t xml:space="preserve">lycidyl esters in the production of vegetable fats and oils. Industry are encouraged to continue reducing levels to as low as reasonably achievable (ALARA) by adopting an </w:t>
      </w:r>
      <w:hyperlink r:id="rId17" w:history="1">
        <w:r w:rsidRPr="00B64EA4">
          <w:rPr>
            <w:rStyle w:val="Hyperlink"/>
          </w:rPr>
          <w:t>Industry Toolbox</w:t>
        </w:r>
      </w:hyperlink>
      <w:r w:rsidRPr="0010195B">
        <w:t xml:space="preserve"> (BLL and FoodDrink Europe). The </w:t>
      </w:r>
      <w:r>
        <w:t>T</w:t>
      </w:r>
      <w:r w:rsidRPr="0010195B">
        <w:t>oolbox provides a number of</w:t>
      </w:r>
      <w:r>
        <w:t xml:space="preserve"> strategies</w:t>
      </w:r>
      <w:r w:rsidRPr="0010195B">
        <w:t xml:space="preserve"> that can be used across all stages of the supply</w:t>
      </w:r>
      <w:r>
        <w:t xml:space="preserve"> and manufacture</w:t>
      </w:r>
      <w:r w:rsidRPr="0010195B">
        <w:t xml:space="preserve"> to mitigate the occurrence of </w:t>
      </w:r>
      <w:r w:rsidRPr="00805429">
        <w:t xml:space="preserve">3-MCPD esters and </w:t>
      </w:r>
      <w:r>
        <w:t>g</w:t>
      </w:r>
      <w:r w:rsidRPr="00805429">
        <w:t>lycidyl esters</w:t>
      </w:r>
      <w:r>
        <w:t>. FSANZ has liaised with industry to ensure industry are aware of the measures in the Toolbox and are working to encourage an ongoing reduction in the potential levels in products.</w:t>
      </w:r>
    </w:p>
    <w:p w:rsidR="00DF777E" w:rsidRPr="0010195B" w:rsidRDefault="00DF777E" w:rsidP="00DF777E">
      <w:pPr>
        <w:rPr>
          <w:rFonts w:eastAsia="Calibri"/>
        </w:rPr>
      </w:pPr>
      <w:r w:rsidRPr="0010195B">
        <w:t>FSANZ is also collaborating with international agencies, sharing data and information, with a view to identifying further mitigation measures.</w:t>
      </w:r>
    </w:p>
    <w:p w:rsidR="00DF777E" w:rsidRDefault="00DF777E" w:rsidP="00DF777E">
      <w:r>
        <w:br w:type="page"/>
      </w:r>
    </w:p>
    <w:p w:rsidR="00DF777E" w:rsidRDefault="00DF777E" w:rsidP="00E23DA4">
      <w:pPr>
        <w:pStyle w:val="Heading4"/>
      </w:pPr>
      <w:bookmarkStart w:id="27" w:name="_Toc32242990"/>
      <w:bookmarkStart w:id="28" w:name="_Toc34209383"/>
      <w:r>
        <w:lastRenderedPageBreak/>
        <w:t>References</w:t>
      </w:r>
      <w:bookmarkEnd w:id="27"/>
      <w:bookmarkEnd w:id="28"/>
    </w:p>
    <w:p w:rsidR="00DF777E" w:rsidRDefault="00DF777E" w:rsidP="00DF777E">
      <w:pPr>
        <w:pStyle w:val="CitaviBibliographyEntry"/>
      </w:pPr>
      <w:bookmarkStart w:id="29" w:name="_CTVL001417e8bd3553a4800a04ae409df1a16a8"/>
      <w:bookmarkStart w:id="30" w:name="_CTVL00186b62d582d1043788111f47c1e800f8e"/>
      <w:r>
        <w:t xml:space="preserve">European Commission (2018) </w:t>
      </w:r>
      <w:r w:rsidRPr="00681F49">
        <w:t>Commission Regulation (EU) 2018/290 of 26 February 2018 amending Regulation (EC) No 1881/2006 as regards maximum levels of glycidyl fatty acid esters in vegetable oils and fats, infant formula, follow-on formula and foods for special medical purposes intended for infants and young children</w:t>
      </w:r>
      <w:r>
        <w:t xml:space="preserve">. Official Journal of the European Union. L 55/27. Available online at </w:t>
      </w:r>
      <w:hyperlink r:id="rId18" w:history="1">
        <w:r w:rsidRPr="00F03700">
          <w:rPr>
            <w:rStyle w:val="Hyperlink"/>
          </w:rPr>
          <w:t>https://eur-lex.europa.eu/legal-content/EN/TXT/PDF/?uri=CELEX:32018R0290&amp;from=EN</w:t>
        </w:r>
      </w:hyperlink>
      <w:r>
        <w:t xml:space="preserve"> </w:t>
      </w:r>
    </w:p>
    <w:p w:rsidR="00DF777E" w:rsidRDefault="00DF777E" w:rsidP="00DF777E">
      <w:pPr>
        <w:pStyle w:val="CitaviBibliographyEntry"/>
      </w:pPr>
      <w:r>
        <w:t xml:space="preserve">Food Standards Australia New Zealand (2009): Principles and Practices of Dietary Exposure Assessment for Food Regulatory Purposes. Food Standards Australia New Zealand. Available online at </w:t>
      </w:r>
      <w:hyperlink r:id="rId19" w:history="1">
        <w:r w:rsidRPr="004B539F">
          <w:rPr>
            <w:rStyle w:val="Hyperlink"/>
          </w:rPr>
          <w:t>http://www.foodstandards.gov.au/science/exposure/documents/Principles%20_%20practices%20exposure%20assessment%202009.pdf</w:t>
        </w:r>
      </w:hyperlink>
      <w:r>
        <w:t xml:space="preserve"> </w:t>
      </w:r>
    </w:p>
    <w:bookmarkEnd w:id="29"/>
    <w:p w:rsidR="00DF777E" w:rsidRDefault="00DF777E" w:rsidP="00DF777E">
      <w:pPr>
        <w:pStyle w:val="CitaviBibliographyEntry"/>
      </w:pPr>
      <w:r>
        <w:t xml:space="preserve">Food Standards Australia New Zealand (2016): AUSNUT 2011-13 Food nutrient database. Food Standards Australia New Zealand. Available online at </w:t>
      </w:r>
      <w:hyperlink r:id="rId20" w:history="1">
        <w:r w:rsidRPr="004B539F">
          <w:rPr>
            <w:rStyle w:val="Hyperlink"/>
          </w:rPr>
          <w:t>http://www.foodstandards.gov.au/science/monitoringnutrients/ausnut/ausnutdatafiles/pages/foodnutrient.aspx</w:t>
        </w:r>
      </w:hyperlink>
      <w:r>
        <w:t xml:space="preserve"> </w:t>
      </w:r>
    </w:p>
    <w:p w:rsidR="00DF777E" w:rsidRDefault="00DF777E" w:rsidP="00DF777E">
      <w:pPr>
        <w:pStyle w:val="CitaviBibliographyEntry"/>
      </w:pPr>
      <w:r>
        <w:t xml:space="preserve">JECFA (2017): Joint FAO/WHO Expert Committee on Food Additives Eighty-third meeting Evaluation of certain contaminants in food: Eighty-third report of the Joint FAO/WHO Expert Committee on Food Additives. WHO Technical Report Series No. 1002. WHO Press. Geneva. Available online at </w:t>
      </w:r>
      <w:hyperlink r:id="rId21" w:anchor="page=88" w:history="1">
        <w:r w:rsidRPr="005207DE">
          <w:rPr>
            <w:rStyle w:val="Hyperlink"/>
          </w:rPr>
          <w:t>http://apps.who.int/iris/bitstream/10665/254893/1/9789241210027-eng.pdf?ua=1#page=88</w:t>
        </w:r>
      </w:hyperlink>
      <w:r w:rsidRPr="00196A31">
        <w:t>"&gt;</w:t>
      </w:r>
      <w:r>
        <w:t xml:space="preserve"> </w:t>
      </w:r>
    </w:p>
    <w:p w:rsidR="00DF777E" w:rsidRDefault="00DF777E" w:rsidP="00DF777E">
      <w:pPr>
        <w:pStyle w:val="CitaviBibliographyEntry"/>
      </w:pPr>
      <w:r>
        <w:t xml:space="preserve">JECFA (2018): Safety Evaluation of certain contaminants in food. Prepared by the eighty-third meeting of the Joint FAO/WHO Expert Committee on Food Additives (JECFA). WHO Food Additive Series: 74. Available online at </w:t>
      </w:r>
      <w:hyperlink r:id="rId22" w:anchor="page=583" w:history="1">
        <w:r w:rsidRPr="00076423">
          <w:rPr>
            <w:rStyle w:val="Hyperlink"/>
          </w:rPr>
          <w:t>http://apps.who.int/iris/bitstream/handle/10665/276868/9789241660747-eng.pdf?ua=1#page=583</w:t>
        </w:r>
      </w:hyperlink>
      <w:r w:rsidRPr="00F25621">
        <w:t>"&gt;</w:t>
      </w:r>
    </w:p>
    <w:p w:rsidR="00DF777E" w:rsidRDefault="00DF777E" w:rsidP="00DF777E">
      <w:pPr>
        <w:pStyle w:val="CitaviBibliographyEntry"/>
      </w:pPr>
      <w:bookmarkStart w:id="31" w:name="_CTVL0017111d608cc9a4020a0f28a0da399c980"/>
      <w:bookmarkEnd w:id="30"/>
      <w:r>
        <w:t xml:space="preserve">United Nations University; World Health Organization; Food and Agriculture Organization of the United Nations (2004): Human energy requirements. Report of a joint FAO/WHO/UNU expert consultation : Rome, 17-24 October 2001. Rome: United Nations University (FAO food and nutrition technical report series, 1813-3923, 1). Available online at </w:t>
      </w:r>
      <w:hyperlink r:id="rId23" w:history="1">
        <w:r w:rsidRPr="004B539F">
          <w:rPr>
            <w:rStyle w:val="Hyperlink"/>
          </w:rPr>
          <w:t>http://www.fao.org/docrep/007/y5686e/y5686e00.htm</w:t>
        </w:r>
      </w:hyperlink>
      <w:r>
        <w:t xml:space="preserve"> </w:t>
      </w:r>
    </w:p>
    <w:p w:rsidR="00DF777E" w:rsidRDefault="00DF777E" w:rsidP="00DF777E">
      <w:pPr>
        <w:pStyle w:val="CitaviBibliographyEntry"/>
      </w:pPr>
      <w:bookmarkStart w:id="32" w:name="_CTVL0014b2613f3e7dd40d3a2c743f83dbb1b2b"/>
      <w:bookmarkEnd w:id="31"/>
      <w:r>
        <w:t xml:space="preserve">World Health Organization (2006): WHO child growth standards. Length/height-for-age, weight-for-age, weight-for-length, weight-for-height and body mass index-for-age : methods and development /  World Health Organization. Geneva: World Health Organization. Available online at </w:t>
      </w:r>
      <w:hyperlink r:id="rId24" w:history="1">
        <w:r w:rsidRPr="004B539F">
          <w:rPr>
            <w:rStyle w:val="Hyperlink"/>
          </w:rPr>
          <w:t>http://www.who.int/childgrowth/standards/Technical%5Freport.pdf</w:t>
        </w:r>
      </w:hyperlink>
      <w:r>
        <w:t xml:space="preserve"> </w:t>
      </w:r>
      <w:bookmarkEnd w:id="32"/>
    </w:p>
    <w:p w:rsidR="00DF777E" w:rsidRDefault="00DF777E" w:rsidP="00DF777E">
      <w:pPr>
        <w:pStyle w:val="CitaviBibliographyEntry"/>
        <w:keepLines/>
      </w:pPr>
      <w:r>
        <w:t xml:space="preserve">World Health Organization (2018): GEMS/Food contaminant database. Available online at </w:t>
      </w:r>
      <w:hyperlink r:id="rId25" w:history="1">
        <w:r w:rsidRPr="00F03700">
          <w:rPr>
            <w:rStyle w:val="Hyperlink"/>
          </w:rPr>
          <w:t>https://extranet.who.int/gemsfood/Search.aspx?mode=2&amp;searchtype=0&amp;viewtype=0&amp;contaminant=3+MCPD+fatty+acid+esters%2c3+MCPD+free+++bound%2cGlycidol%2cGlycidyl+fatty+acid+esters&amp;foodcategory=18%2c19</w:t>
        </w:r>
      </w:hyperlink>
      <w:r>
        <w:t xml:space="preserve"> </w:t>
      </w:r>
    </w:p>
    <w:p w:rsidR="00DF777E" w:rsidRPr="000939E5" w:rsidRDefault="00DF777E" w:rsidP="00DF777E">
      <w:pPr>
        <w:pStyle w:val="CitaviBibliographyEntry"/>
      </w:pPr>
      <w:r>
        <w:t>World Health Organization; United Nations Environment Programme; Global Environmental Monitoring System (1985): Guidelines for the study of dietary intakes of chemical contaminants. Geneva: World Health Organization (WHO offset publication, no.87).</w:t>
      </w:r>
    </w:p>
    <w:p w:rsidR="00DF777E" w:rsidRDefault="00DF777E" w:rsidP="00DF777E"/>
    <w:p w:rsidR="00DF777E" w:rsidRPr="00F763EE" w:rsidRDefault="00DF777E" w:rsidP="00DF777E">
      <w:pPr>
        <w:rPr>
          <w:bCs/>
        </w:rPr>
      </w:pPr>
      <w:r w:rsidRPr="00F763EE">
        <w:br w:type="page"/>
      </w:r>
    </w:p>
    <w:p w:rsidR="00DF777E" w:rsidRPr="00394A59" w:rsidRDefault="00DF777E" w:rsidP="00E23DA4">
      <w:pPr>
        <w:pStyle w:val="Heading2"/>
      </w:pPr>
      <w:bookmarkStart w:id="33" w:name="_Toc32242991"/>
      <w:bookmarkStart w:id="34" w:name="_Toc34209384"/>
      <w:r>
        <w:lastRenderedPageBreak/>
        <w:t xml:space="preserve">Appendix 1 – </w:t>
      </w:r>
      <w:r w:rsidRPr="005D61D8">
        <w:t>Approach to estimating dietary exposures to</w:t>
      </w:r>
      <w:r>
        <w:t xml:space="preserve"> 3</w:t>
      </w:r>
      <w:r>
        <w:noBreakHyphen/>
        <w:t>MCPD and glycidol</w:t>
      </w:r>
      <w:bookmarkEnd w:id="33"/>
      <w:bookmarkEnd w:id="34"/>
    </w:p>
    <w:p w:rsidR="00DF777E" w:rsidRPr="00517724" w:rsidRDefault="00DF777E" w:rsidP="00DF777E">
      <w:pPr>
        <w:rPr>
          <w:lang w:eastAsia="en-GB"/>
        </w:rPr>
      </w:pPr>
      <w:r>
        <w:rPr>
          <w:lang w:eastAsia="en-GB"/>
        </w:rPr>
        <w:t xml:space="preserve">A dietary </w:t>
      </w:r>
      <w:r w:rsidRPr="00517724">
        <w:rPr>
          <w:lang w:eastAsia="en-GB"/>
        </w:rPr>
        <w:t>e</w:t>
      </w:r>
      <w:r>
        <w:rPr>
          <w:lang w:eastAsia="en-GB"/>
        </w:rPr>
        <w:t>xposure</w:t>
      </w:r>
      <w:r w:rsidRPr="00517724">
        <w:rPr>
          <w:lang w:eastAsia="en-GB"/>
        </w:rPr>
        <w:t xml:space="preserve"> assessment is the process of estimating how much of a food chemical a population, or population sub group, consumes. Dietary</w:t>
      </w:r>
      <w:r>
        <w:rPr>
          <w:lang w:eastAsia="en-GB"/>
        </w:rPr>
        <w:t xml:space="preserve"> </w:t>
      </w:r>
      <w:r w:rsidRPr="00517724">
        <w:rPr>
          <w:lang w:eastAsia="en-GB"/>
        </w:rPr>
        <w:t>e</w:t>
      </w:r>
      <w:r>
        <w:rPr>
          <w:lang w:eastAsia="en-GB"/>
        </w:rPr>
        <w:t>xposure to</w:t>
      </w:r>
      <w:r w:rsidRPr="00517724">
        <w:rPr>
          <w:lang w:eastAsia="en-GB"/>
        </w:rPr>
        <w:t xml:space="preserve"> food chemicals is estimated by combining food consumption data with food chemical concentration data</w:t>
      </w:r>
      <w:r>
        <w:rPr>
          <w:lang w:eastAsia="en-GB"/>
        </w:rPr>
        <w:t xml:space="preserve"> (see </w:t>
      </w:r>
      <w:r>
        <w:rPr>
          <w:lang w:eastAsia="en-GB"/>
        </w:rPr>
        <w:fldChar w:fldCharType="begin"/>
      </w:r>
      <w:r>
        <w:rPr>
          <w:lang w:eastAsia="en-GB"/>
        </w:rPr>
        <w:instrText xml:space="preserve"> REF _Ref530728001 \h </w:instrText>
      </w:r>
      <w:r>
        <w:rPr>
          <w:lang w:eastAsia="en-GB"/>
        </w:rPr>
      </w:r>
      <w:r>
        <w:rPr>
          <w:lang w:eastAsia="en-GB"/>
        </w:rPr>
        <w:fldChar w:fldCharType="separate"/>
      </w:r>
      <w:r w:rsidR="00E73E1C" w:rsidRPr="0085640E">
        <w:t xml:space="preserve">Equation </w:t>
      </w:r>
      <w:r w:rsidR="00E73E1C">
        <w:rPr>
          <w:noProof/>
        </w:rPr>
        <w:t>1</w:t>
      </w:r>
      <w:r>
        <w:rPr>
          <w:lang w:eastAsia="en-GB"/>
        </w:rPr>
        <w:fldChar w:fldCharType="end"/>
      </w:r>
      <w:r>
        <w:rPr>
          <w:lang w:eastAsia="en-GB"/>
        </w:rPr>
        <w:t>).</w:t>
      </w:r>
    </w:p>
    <w:p w:rsidR="00DF777E" w:rsidRPr="0085640E" w:rsidRDefault="00DF777E" w:rsidP="00DF777E">
      <w:pPr>
        <w:pStyle w:val="FSTableFigureHeading"/>
      </w:pPr>
      <w:bookmarkStart w:id="35" w:name="_Ref530728001"/>
      <w:r w:rsidRPr="0085640E">
        <w:t xml:space="preserve">Equation </w:t>
      </w:r>
      <w:r>
        <w:rPr>
          <w:noProof/>
        </w:rPr>
        <w:fldChar w:fldCharType="begin"/>
      </w:r>
      <w:r>
        <w:rPr>
          <w:noProof/>
        </w:rPr>
        <w:instrText xml:space="preserve"> SEQ Equation \* ARABIC </w:instrText>
      </w:r>
      <w:r>
        <w:rPr>
          <w:noProof/>
        </w:rPr>
        <w:fldChar w:fldCharType="separate"/>
      </w:r>
      <w:r w:rsidR="00E73E1C">
        <w:rPr>
          <w:noProof/>
        </w:rPr>
        <w:t>1</w:t>
      </w:r>
      <w:r>
        <w:rPr>
          <w:noProof/>
        </w:rPr>
        <w:fldChar w:fldCharType="end"/>
      </w:r>
      <w:bookmarkEnd w:id="35"/>
      <w:r w:rsidRPr="0085640E">
        <w:t xml:space="preserve">: </w:t>
      </w:r>
      <w:r>
        <w:t>Dietary exposure calculation</w:t>
      </w:r>
    </w:p>
    <w:p w:rsidR="00DF777E" w:rsidRPr="00517724" w:rsidRDefault="00DF777E" w:rsidP="00DF777E">
      <w:pPr>
        <w:pBdr>
          <w:top w:val="single" w:sz="4" w:space="1" w:color="auto"/>
          <w:left w:val="single" w:sz="4" w:space="4" w:color="auto"/>
          <w:bottom w:val="single" w:sz="4" w:space="1" w:color="auto"/>
          <w:right w:val="single" w:sz="4" w:space="4" w:color="auto"/>
        </w:pBdr>
        <w:rPr>
          <w:i/>
          <w:lang w:eastAsia="en-GB"/>
        </w:rPr>
      </w:pPr>
      <w:r w:rsidRPr="00517724">
        <w:rPr>
          <w:i/>
          <w:lang w:eastAsia="en-GB"/>
        </w:rPr>
        <w:t>Dietary e</w:t>
      </w:r>
      <w:r>
        <w:rPr>
          <w:i/>
          <w:lang w:eastAsia="en-GB"/>
        </w:rPr>
        <w:t>xposure</w:t>
      </w:r>
      <w:r w:rsidRPr="00517724">
        <w:rPr>
          <w:i/>
          <w:lang w:eastAsia="en-GB"/>
        </w:rPr>
        <w:t xml:space="preserve"> = food chemical concentration x food consumption</w:t>
      </w:r>
    </w:p>
    <w:p w:rsidR="00DF777E" w:rsidRPr="00517724" w:rsidRDefault="00DF777E" w:rsidP="00DF777E">
      <w:r w:rsidRPr="00517724">
        <w:t>An overview of how dietary e</w:t>
      </w:r>
      <w:r>
        <w:t>xposure</w:t>
      </w:r>
      <w:r w:rsidRPr="00517724">
        <w:t xml:space="preserve"> assessments are conducted and their place in </w:t>
      </w:r>
      <w:r>
        <w:t xml:space="preserve">the FSANZ Risk Analysis Process </w:t>
      </w:r>
      <w:r w:rsidRPr="00517724">
        <w:t>is provided on the FSANZ website at:</w:t>
      </w:r>
    </w:p>
    <w:p w:rsidR="00DF777E" w:rsidRPr="00517724" w:rsidRDefault="000B340F" w:rsidP="00DF777E">
      <w:hyperlink r:id="rId26" w:history="1">
        <w:r w:rsidR="00DF777E" w:rsidRPr="00517724">
          <w:rPr>
            <w:rStyle w:val="Hyperlink"/>
          </w:rPr>
          <w:t>http://www.foodstandards.gov.au/science/riskanalysis/Pages/default.aspx</w:t>
        </w:r>
      </w:hyperlink>
      <w:r w:rsidR="00DF777E">
        <w:t xml:space="preserve">. </w:t>
      </w:r>
      <w:r w:rsidR="00DF777E" w:rsidRPr="00517724">
        <w:t>Further detailed information on conducting dietary e</w:t>
      </w:r>
      <w:r w:rsidR="00DF777E">
        <w:t>xposure</w:t>
      </w:r>
      <w:r w:rsidR="00DF777E" w:rsidRPr="00517724">
        <w:t xml:space="preserve"> assessments at FSANZ is provided in </w:t>
      </w:r>
      <w:r w:rsidR="00DF777E" w:rsidRPr="00517724">
        <w:rPr>
          <w:i/>
        </w:rPr>
        <w:t xml:space="preserve">Principles and Practices of Dietary Exposure Assessment for Food Regulatory </w:t>
      </w:r>
      <w:r w:rsidR="00DF777E" w:rsidRPr="00AB7AB7">
        <w:rPr>
          <w:i/>
        </w:rPr>
        <w:t>Purposes (Food Standards Australia New Zealand 2009)</w:t>
      </w:r>
      <w:r w:rsidR="00DF777E" w:rsidRPr="003C335C">
        <w:t xml:space="preserve">, </w:t>
      </w:r>
      <w:r w:rsidR="00DF777E" w:rsidRPr="00517724">
        <w:t xml:space="preserve">available at: </w:t>
      </w:r>
      <w:hyperlink r:id="rId27" w:history="1">
        <w:r w:rsidR="00DF777E" w:rsidRPr="00517724">
          <w:rPr>
            <w:rStyle w:val="Hyperlink"/>
          </w:rPr>
          <w:t>http://www.foodstandards.gov.au/science/exposure/documents/Principles%20_%20practices%20exposure%20assessment%202009.pdf</w:t>
        </w:r>
      </w:hyperlink>
      <w:r w:rsidR="00DF777E">
        <w:rPr>
          <w:rStyle w:val="Hyperlink"/>
        </w:rPr>
        <w:t>.</w:t>
      </w:r>
      <w:r w:rsidR="00DF777E" w:rsidRPr="00517724">
        <w:t xml:space="preserve"> </w:t>
      </w:r>
    </w:p>
    <w:p w:rsidR="00DF777E" w:rsidRPr="00482FD5" w:rsidRDefault="00DF777E" w:rsidP="00E23DA4">
      <w:pPr>
        <w:pStyle w:val="Heading4"/>
      </w:pPr>
      <w:bookmarkStart w:id="36" w:name="_Toc32242992"/>
      <w:bookmarkStart w:id="37" w:name="_Toc34209385"/>
      <w:r>
        <w:t>Population group(s)</w:t>
      </w:r>
      <w:bookmarkEnd w:id="36"/>
      <w:bookmarkEnd w:id="37"/>
    </w:p>
    <w:p w:rsidR="00DF777E" w:rsidRDefault="00DF777E" w:rsidP="00DF777E">
      <w:pPr>
        <w:keepNext/>
      </w:pPr>
      <w:r>
        <w:t>The analysed food in this study is infant formula, with sampled products including those that are suitable from 0-12 months of age. Consequently, the population group that was included in the dietary exposure assessment was infants. The specific population group assessed was infants who are exclusively formula-fed: infants aged 3 months. This allows an assessment of 3-MCPD and glycidol dietary exposures from infant formula without the contribution of consumption of solid foods. In addition, consumption amounts of infant formula for older infants up to 12 months of age tend to be lower as the proportion of solid food in the diet increases, as does body weight.</w:t>
      </w:r>
    </w:p>
    <w:p w:rsidR="00E23DA4" w:rsidRDefault="00E23DA4">
      <w:pPr>
        <w:spacing w:after="0"/>
        <w:rPr>
          <w:rFonts w:eastAsia="Times New Roman" w:cs="Times New Roman"/>
          <w:b/>
          <w:color w:val="0E495D"/>
          <w:sz w:val="26"/>
          <w:szCs w:val="26"/>
        </w:rPr>
      </w:pPr>
      <w:bookmarkStart w:id="38" w:name="_Toc32242993"/>
      <w:r>
        <w:br w:type="page"/>
      </w:r>
    </w:p>
    <w:p w:rsidR="00DF777E" w:rsidRPr="00482FD5" w:rsidRDefault="00DF777E" w:rsidP="00E23DA4">
      <w:pPr>
        <w:pStyle w:val="Heading4"/>
      </w:pPr>
      <w:bookmarkStart w:id="39" w:name="_Toc34209386"/>
      <w:r>
        <w:lastRenderedPageBreak/>
        <w:t>Food consumption data used</w:t>
      </w:r>
      <w:bookmarkEnd w:id="38"/>
      <w:bookmarkEnd w:id="39"/>
    </w:p>
    <w:p w:rsidR="00DF777E" w:rsidRPr="0034774B" w:rsidRDefault="00DF777E" w:rsidP="00DF777E">
      <w:r>
        <w:t>As there a</w:t>
      </w:r>
      <w:r w:rsidRPr="0034774B">
        <w:t xml:space="preserve">re no </w:t>
      </w:r>
      <w:r>
        <w:t xml:space="preserve">data available from the 2011-12 Australian National Nutrition and Physical Activity Survey (2011-12 </w:t>
      </w:r>
      <w:r w:rsidRPr="0034774B">
        <w:t>NNPAS</w:t>
      </w:r>
      <w:r>
        <w:t xml:space="preserve">) or the </w:t>
      </w:r>
      <w:r w:rsidRPr="0034774B">
        <w:t>New Zealand National Ch</w:t>
      </w:r>
      <w:r>
        <w:t>ildren’s Nutrition Survey (2002 </w:t>
      </w:r>
      <w:r w:rsidRPr="0034774B">
        <w:t xml:space="preserve">NZNNS) for children aged less than 2 years, </w:t>
      </w:r>
      <w:r>
        <w:t xml:space="preserve">a </w:t>
      </w:r>
      <w:r w:rsidRPr="0034774B">
        <w:t xml:space="preserve">model diet </w:t>
      </w:r>
      <w:r>
        <w:t>was</w:t>
      </w:r>
      <w:r w:rsidRPr="0034774B">
        <w:t xml:space="preserve"> constructed to estimate dietary </w:t>
      </w:r>
      <w:r>
        <w:t>exposures to 3-MCPD and glycidol</w:t>
      </w:r>
      <w:r w:rsidRPr="0034774B">
        <w:t xml:space="preserve"> </w:t>
      </w:r>
      <w:r>
        <w:t>in infants</w:t>
      </w:r>
      <w:r w:rsidRPr="0034774B">
        <w:t xml:space="preserve"> aged 3</w:t>
      </w:r>
      <w:r>
        <w:t> </w:t>
      </w:r>
      <w:r w:rsidRPr="0034774B">
        <w:t>months</w:t>
      </w:r>
      <w:r>
        <w:t>.</w:t>
      </w:r>
    </w:p>
    <w:p w:rsidR="00DF777E" w:rsidRDefault="00DF777E" w:rsidP="00DF777E">
      <w:r w:rsidRPr="00987DFD">
        <w:t xml:space="preserve">As the </w:t>
      </w:r>
      <w:r>
        <w:t xml:space="preserve">3 month old infant </w:t>
      </w:r>
      <w:r w:rsidRPr="00987DFD">
        <w:t xml:space="preserve">model diet </w:t>
      </w:r>
      <w:r>
        <w:t>is</w:t>
      </w:r>
      <w:r w:rsidRPr="00987DFD">
        <w:t xml:space="preserve"> based on mean food consumption amounts only, a distribution of food consumption was not available and hence, a distribution of </w:t>
      </w:r>
      <w:r>
        <w:t>3-MCPD and glycidol dietary exposures</w:t>
      </w:r>
      <w:r w:rsidRPr="00987DFD">
        <w:t xml:space="preserve"> was</w:t>
      </w:r>
      <w:r>
        <w:t xml:space="preserve"> not</w:t>
      </w:r>
      <w:r w:rsidRPr="00987DFD">
        <w:t xml:space="preserve"> able to be produced. Therefore, the 90</w:t>
      </w:r>
      <w:r w:rsidRPr="00987DFD">
        <w:rPr>
          <w:vertAlign w:val="superscript"/>
        </w:rPr>
        <w:t>th</w:t>
      </w:r>
      <w:r w:rsidRPr="00987DFD">
        <w:t xml:space="preserve"> percentile dietary </w:t>
      </w:r>
      <w:r>
        <w:t>exposur</w:t>
      </w:r>
      <w:r w:rsidRPr="00987DFD">
        <w:t>es were estimated using the calculation shown in</w:t>
      </w:r>
      <w:r>
        <w:t xml:space="preserve"> </w:t>
      </w:r>
      <w:r>
        <w:fldChar w:fldCharType="begin"/>
      </w:r>
      <w:r>
        <w:instrText xml:space="preserve"> REF _Ref309891255 \h </w:instrText>
      </w:r>
      <w:r>
        <w:fldChar w:fldCharType="separate"/>
      </w:r>
      <w:r w:rsidR="00E73E1C" w:rsidRPr="0085640E">
        <w:t xml:space="preserve">Equation </w:t>
      </w:r>
      <w:r w:rsidR="00E73E1C">
        <w:rPr>
          <w:noProof/>
        </w:rPr>
        <w:t>2</w:t>
      </w:r>
      <w:r>
        <w:fldChar w:fldCharType="end"/>
      </w:r>
      <w:r w:rsidRPr="00987DFD">
        <w:t>.</w:t>
      </w:r>
    </w:p>
    <w:p w:rsidR="00DF777E" w:rsidRPr="0085640E" w:rsidRDefault="00DF777E" w:rsidP="00DF777E">
      <w:pPr>
        <w:pStyle w:val="FSTableFigureHeading"/>
      </w:pPr>
      <w:bookmarkStart w:id="40" w:name="_Ref309891255"/>
      <w:bookmarkStart w:id="41" w:name="_Ref309891259"/>
      <w:r w:rsidRPr="0085640E">
        <w:t xml:space="preserve">Equation </w:t>
      </w:r>
      <w:r>
        <w:rPr>
          <w:noProof/>
        </w:rPr>
        <w:fldChar w:fldCharType="begin"/>
      </w:r>
      <w:r>
        <w:rPr>
          <w:noProof/>
        </w:rPr>
        <w:instrText xml:space="preserve"> SEQ Equation \* ARABIC </w:instrText>
      </w:r>
      <w:r>
        <w:rPr>
          <w:noProof/>
        </w:rPr>
        <w:fldChar w:fldCharType="separate"/>
      </w:r>
      <w:r w:rsidR="00E73E1C">
        <w:rPr>
          <w:noProof/>
        </w:rPr>
        <w:t>2</w:t>
      </w:r>
      <w:r>
        <w:rPr>
          <w:noProof/>
        </w:rPr>
        <w:fldChar w:fldCharType="end"/>
      </w:r>
      <w:bookmarkEnd w:id="40"/>
      <w:r w:rsidRPr="0085640E">
        <w:t>: 90</w:t>
      </w:r>
      <w:r w:rsidRPr="0085640E">
        <w:rPr>
          <w:vertAlign w:val="superscript"/>
        </w:rPr>
        <w:t>th</w:t>
      </w:r>
      <w:r w:rsidRPr="0085640E">
        <w:t xml:space="preserve"> percentile dietary exposure calculation for the </w:t>
      </w:r>
      <w:r>
        <w:t xml:space="preserve">3 month old </w:t>
      </w:r>
      <w:r w:rsidRPr="0085640E">
        <w:t>infant model diet</w:t>
      </w:r>
      <w:bookmarkEnd w:id="41"/>
    </w:p>
    <w:p w:rsidR="00DF777E" w:rsidRPr="0085640E" w:rsidRDefault="00DF777E" w:rsidP="00DF777E">
      <w:pPr>
        <w:keepNext/>
        <w:keepLines/>
      </w:pPr>
      <w:r w:rsidRPr="0085640E">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635</wp:posOffset>
                </wp:positionV>
                <wp:extent cx="4810125" cy="483235"/>
                <wp:effectExtent l="0" t="0" r="28575" b="1206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483235"/>
                        </a:xfrm>
                        <a:prstGeom prst="rect">
                          <a:avLst/>
                        </a:prstGeom>
                        <a:solidFill>
                          <a:srgbClr val="FFFFFF"/>
                        </a:solidFill>
                        <a:ln w="9525">
                          <a:solidFill>
                            <a:srgbClr val="000000"/>
                          </a:solidFill>
                          <a:miter lim="800000"/>
                          <a:headEnd/>
                          <a:tailEnd/>
                        </a:ln>
                      </wps:spPr>
                      <wps:txbx>
                        <w:txbxContent>
                          <w:p w:rsidR="00DF777E" w:rsidRDefault="00DF777E" w:rsidP="00DF777E">
                            <w:pPr>
                              <w:spacing w:before="200"/>
                              <w:jc w:val="center"/>
                            </w:pPr>
                            <w:r w:rsidRPr="00054BCE">
                              <w:t>90</w:t>
                            </w:r>
                            <w:r w:rsidRPr="00054BCE">
                              <w:rPr>
                                <w:vertAlign w:val="superscript"/>
                              </w:rPr>
                              <w:t>th</w:t>
                            </w:r>
                            <w:r w:rsidRPr="00054BCE">
                              <w:t xml:space="preserve"> percentile exposure = mean exposure x 2</w:t>
                            </w:r>
                            <w:r w:rsidRPr="00054BCE">
                              <w:rPr>
                                <w:vertAlign w:val="superscript"/>
                              </w:rPr>
                              <w:t>*</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pt;margin-top:.05pt;width:378.75pt;height:38.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qUIgIAAEUEAAAOAAAAZHJzL2Uyb0RvYy54bWysU9tu2zAMfR+wfxD0vthxkzU14hRdugwD&#10;ugvQ7gNkWY6FSaImKbG7ry8lu1l2wR6G6UEQRero8JBcXw9akaNwXoKp6HyWUyIMh0aafUW/POxe&#10;rSjxgZmGKTCioo/C0+vNyxfr3paigA5UIxxBEOPL3la0C8GWWeZ5JzTzM7DCoLMFp1lA0+2zxrEe&#10;0bXKijx/nfXgGuuAC+/x9nZ00k3Cb1vBw6e29SIQVVHkFtLu0l7HPdusWbl3zHaSTzTYP7DQTBr8&#10;9AR1ywIjByd/g9KSO/DQhhkHnUHbSi5SDpjNPP8lm/uOWZFyQXG8Pcnk/x8s/3j87IhssHaXlBim&#10;sUYPYgjkDQykiPL01pcYdW8xLgx4jaEpVW/vgH/1xMC2Y2YvbpyDvhOsQXrz+DI7ezri+AhS9x+g&#10;wW/YIUACGlqno3aoBkF0LNPjqTSRCsfLxWqez4slJRx9i9VFcbFMX7Dy+bV1PrwToEk8VNRh6RM6&#10;O975ENmw8jkkfuZByWYnlUqG29db5ciRYZvs0prQfwpThvQVvVoij79D5Gn9CULLgP2upK7o6hTE&#10;yijbW9OkbgxMqvGMlJWZdIzSjSKGoR6mutTQPKKiDsa+xjnEQwfuOyU99nRF/bcDc4IS9d5gVa7m&#10;i0UcgmQslpcFGu7cU597mOEIVdFAyXjchjQ4MXUDN1i9ViZhY5lHJhNX7NWk9zRXcRjO7RT1Y/o3&#10;TwAAAP//AwBQSwMEFAAGAAgAAAAhAL7m1zXaAAAABAEAAA8AAABkcnMvZG93bnJldi54bWxMjsFO&#10;wzAQRO9I/IO1SFwQdSglaUOcCiGB4AYFwdWNt0mEvQ62m4a/Z3uC2+zMaPZV68lZMWKIvScFV7MM&#10;BFLjTU+tgve3h8sliJg0GW09oYIfjLCuT08qXRp/oFccN6kVPEKx1Aq6lIZSyth06HSc+QGJs50P&#10;Tic+QytN0Aced1bOsyyXTvfEHzo94H2Hzddm7xQsF0/jZ3y+fvlo8p1dpYtifPwOSp2fTXe3IBJO&#10;6a8MR3xGh5qZtn5PJgqrYMG9oys4K26KFYgti3wOsq7kf/j6FwAA//8DAFBLAQItABQABgAIAAAA&#10;IQC2gziS/gAAAOEBAAATAAAAAAAAAAAAAAAAAAAAAABbQ29udGVudF9UeXBlc10ueG1sUEsBAi0A&#10;FAAGAAgAAAAhADj9If/WAAAAlAEAAAsAAAAAAAAAAAAAAAAALwEAAF9yZWxzLy5yZWxzUEsBAi0A&#10;FAAGAAgAAAAhAI44KpQiAgAARQQAAA4AAAAAAAAAAAAAAAAALgIAAGRycy9lMm9Eb2MueG1sUEsB&#10;Ai0AFAAGAAgAAAAhAL7m1zXaAAAABAEAAA8AAAAAAAAAAAAAAAAAfAQAAGRycy9kb3ducmV2Lnht&#10;bFBLBQYAAAAABAAEAPMAAACDBQAAAAA=&#10;">
                <v:textbox>
                  <w:txbxContent>
                    <w:p w:rsidR="00DF777E" w:rsidRDefault="00DF777E" w:rsidP="00DF777E">
                      <w:pPr>
                        <w:spacing w:before="200"/>
                        <w:jc w:val="center"/>
                      </w:pPr>
                      <w:r w:rsidRPr="00054BCE">
                        <w:t>90</w:t>
                      </w:r>
                      <w:r w:rsidRPr="00054BCE">
                        <w:rPr>
                          <w:vertAlign w:val="superscript"/>
                        </w:rPr>
                        <w:t>th</w:t>
                      </w:r>
                      <w:r w:rsidRPr="00054BCE">
                        <w:t xml:space="preserve"> percentile exposure = mean exposure x 2</w:t>
                      </w:r>
                      <w:r w:rsidRPr="00054BCE">
                        <w:rPr>
                          <w:vertAlign w:val="superscript"/>
                        </w:rPr>
                        <w:t>*</w:t>
                      </w:r>
                    </w:p>
                  </w:txbxContent>
                </v:textbox>
                <w10:wrap type="square"/>
              </v:shape>
            </w:pict>
          </mc:Fallback>
        </mc:AlternateContent>
      </w:r>
    </w:p>
    <w:p w:rsidR="00DF777E" w:rsidRPr="00B248BF" w:rsidRDefault="00DF777E" w:rsidP="00B248BF">
      <w:pPr>
        <w:keepNext/>
        <w:keepLines/>
        <w:spacing w:before="100" w:beforeAutospacing="1"/>
        <w:ind w:left="3402" w:right="1415"/>
        <w:jc w:val="center"/>
        <w:rPr>
          <w:sz w:val="16"/>
          <w:szCs w:val="16"/>
        </w:rPr>
      </w:pPr>
      <w:r w:rsidRPr="00B248BF">
        <w:rPr>
          <w:sz w:val="16"/>
          <w:szCs w:val="16"/>
        </w:rPr>
        <w:t xml:space="preserve">* (World Health Organization et al. 1985) </w:t>
      </w:r>
    </w:p>
    <w:p w:rsidR="00B248BF" w:rsidRDefault="00B248BF" w:rsidP="00B248BF">
      <w:pPr>
        <w:pStyle w:val="Heading4"/>
      </w:pPr>
      <w:bookmarkStart w:id="42" w:name="_Toc32242994"/>
      <w:bookmarkStart w:id="43" w:name="_Toc34209387"/>
      <w:r>
        <w:t>How the 3 month old infant diet was constructed</w:t>
      </w:r>
      <w:bookmarkEnd w:id="42"/>
      <w:bookmarkEnd w:id="43"/>
      <w:r w:rsidRPr="0034774B">
        <w:t xml:space="preserve"> </w:t>
      </w:r>
    </w:p>
    <w:p w:rsidR="00DF777E" w:rsidRDefault="00DF777E" w:rsidP="00DF777E">
      <w:pPr>
        <w:keepNext/>
        <w:keepLines/>
      </w:pPr>
      <w:r w:rsidRPr="0034774B">
        <w:t>The recommended energy intake for a three-month-old boy</w:t>
      </w:r>
      <w:r>
        <w:t xml:space="preserve"> (343 </w:t>
      </w:r>
      <w:r w:rsidRPr="0034774B">
        <w:t>kJ/kg bw/day</w:t>
      </w:r>
      <w:r>
        <w:t>)</w:t>
      </w:r>
      <w:r w:rsidRPr="00AB7AB7">
        <w:t xml:space="preserve"> (United Nations University et al. 2004) and the 50</w:t>
      </w:r>
      <w:r w:rsidRPr="00AB7AB7">
        <w:rPr>
          <w:vertAlign w:val="superscript"/>
        </w:rPr>
        <w:t>th</w:t>
      </w:r>
      <w:r>
        <w:t xml:space="preserve"> </w:t>
      </w:r>
      <w:r w:rsidRPr="00AB7AB7">
        <w:t>percentile weight (6.4 kg) (World Health Organization 2006</w:t>
      </w:r>
      <w:r>
        <w:t>) for the same age and sex were</w:t>
      </w:r>
      <w:r w:rsidRPr="0034774B">
        <w:t xml:space="preserve"> used as the basis for the model diet</w:t>
      </w:r>
      <w:r>
        <w:t xml:space="preserve"> for 3 month old infants</w:t>
      </w:r>
      <w:r w:rsidRPr="0034774B">
        <w:t xml:space="preserve">. Boys’ weights were used because boys tend to be heavier than girls at the same age and therefore have higher </w:t>
      </w:r>
      <w:r>
        <w:t xml:space="preserve">overall </w:t>
      </w:r>
      <w:r w:rsidRPr="0034774B">
        <w:t xml:space="preserve">energy and food requirements. </w:t>
      </w:r>
      <w:r>
        <w:t>The entire energy requirement in the 3 month old infant diet is derived from infant formula. The body weight of 6.4 kg was used to estimate dietary exposures for 3 month old infants on a body weight basis.</w:t>
      </w:r>
    </w:p>
    <w:p w:rsidR="00DF777E" w:rsidRDefault="00DF777E" w:rsidP="00DF777E">
      <w:pPr>
        <w:rPr>
          <w:lang w:eastAsia="en-AU"/>
        </w:rPr>
      </w:pPr>
      <w:r>
        <w:rPr>
          <w:lang w:eastAsia="en-AU"/>
        </w:rPr>
        <w:t xml:space="preserve">The energy content of infant formula is required for the calculation of the amount of infant formula in the model diet for infants aged 3 months. The latest nutrient data set published for Australian foods (AUSNUT), does not contain energy concentrations for infant formula, only for </w:t>
      </w:r>
      <w:r w:rsidRPr="003034F6">
        <w:rPr>
          <w:i/>
          <w:lang w:eastAsia="en-AU"/>
        </w:rPr>
        <w:t>Infant formula, 6-12 months, prepared with water</w:t>
      </w:r>
      <w:r>
        <w:rPr>
          <w:lang w:eastAsia="en-AU"/>
        </w:rPr>
        <w:t xml:space="preserve"> </w:t>
      </w:r>
      <w:r w:rsidRPr="00AB7AB7">
        <w:t>(Food Standards Australia New Zealand 2016)</w:t>
      </w:r>
      <w:r>
        <w:rPr>
          <w:lang w:eastAsia="en-AU"/>
        </w:rPr>
        <w:t>. Therefore, an average of the labelled energy concentrations from the sampled infant formula products was examined and assumed to be 280 kJ/100 ml. This derived energy concentration was used in the calculation of the amount of infant formula consumed by 3 month old infants: 785 grams infant formula per day.</w:t>
      </w:r>
    </w:p>
    <w:p w:rsidR="00DF777E" w:rsidRPr="00482FD5" w:rsidRDefault="00DF777E" w:rsidP="00B248BF">
      <w:pPr>
        <w:pStyle w:val="Heading4"/>
      </w:pPr>
      <w:bookmarkStart w:id="44" w:name="_Toc32242995"/>
      <w:bookmarkStart w:id="45" w:name="_Toc34209388"/>
      <w:bookmarkStart w:id="46" w:name="_Toc269201841"/>
      <w:bookmarkStart w:id="47" w:name="_Toc360028619"/>
      <w:bookmarkStart w:id="48" w:name="_Toc415041927"/>
      <w:r>
        <w:t>C</w:t>
      </w:r>
      <w:r w:rsidRPr="00482FD5">
        <w:t xml:space="preserve">oncentrations of </w:t>
      </w:r>
      <w:r>
        <w:t>3-MCPD and glycidol</w:t>
      </w:r>
      <w:bookmarkEnd w:id="44"/>
      <w:bookmarkEnd w:id="45"/>
    </w:p>
    <w:p w:rsidR="00DF777E" w:rsidRDefault="00DF777E" w:rsidP="00DF777E">
      <w:pPr>
        <w:keepNext/>
        <w:keepLines/>
      </w:pPr>
      <w:bookmarkStart w:id="49" w:name="_Ref503361600"/>
      <w:bookmarkStart w:id="50" w:name="_Ref507052566"/>
      <w:r>
        <w:t>The same i</w:t>
      </w:r>
      <w:r w:rsidRPr="00A67353">
        <w:t xml:space="preserve">nfant formula samples were analysed for 3-MCPD and glycidol by </w:t>
      </w:r>
      <w:r>
        <w:t xml:space="preserve">two laboratories; </w:t>
      </w:r>
      <w:r w:rsidRPr="00A67353">
        <w:t xml:space="preserve">ESR and the US FDA. </w:t>
      </w:r>
      <w:r>
        <w:t>The analyses by the two laboratories are considered to be two separate datasets for the purposes of dietary exposure assessment.</w:t>
      </w:r>
      <w:r w:rsidRPr="007449DE">
        <w:t xml:space="preserve"> </w:t>
      </w:r>
      <w:r>
        <w:t>This enables a comparison to be made between the dietary exposures estimates made using each of the two datasets</w:t>
      </w:r>
      <w:r w:rsidRPr="00A67353">
        <w:t>.</w:t>
      </w:r>
    </w:p>
    <w:p w:rsidR="00DF777E" w:rsidRPr="00A67353" w:rsidRDefault="00DF777E" w:rsidP="00DF777E">
      <w:r w:rsidRPr="00A67353">
        <w:t xml:space="preserve">All analytical results provided by the US FDA were quantified (i.e. above the limit of detection (LOD)) for both 3-MCPD </w:t>
      </w:r>
      <w:r>
        <w:t xml:space="preserve">(56/56 samples) </w:t>
      </w:r>
      <w:r w:rsidRPr="00A67353">
        <w:t>and glycidol</w:t>
      </w:r>
      <w:r>
        <w:t xml:space="preserve"> (56/56 samples)</w:t>
      </w:r>
      <w:r w:rsidRPr="00A67353">
        <w:t xml:space="preserve">. </w:t>
      </w:r>
      <w:r>
        <w:t>In contrast, t</w:t>
      </w:r>
      <w:r w:rsidRPr="00A67353">
        <w:t>hirty-eight of the 56 samples analysed by ESR for 3-MCPD and 54 of the 56 samples analysed f</w:t>
      </w:r>
      <w:r>
        <w:t>or glycidol were below the LOD.</w:t>
      </w:r>
    </w:p>
    <w:p w:rsidR="00DF777E" w:rsidRPr="00A67353" w:rsidRDefault="00DF777E" w:rsidP="00DF777E"/>
    <w:p w:rsidR="00DF777E" w:rsidRPr="00F11D7B" w:rsidRDefault="00DF777E" w:rsidP="00DF777E">
      <w:pPr>
        <w:spacing w:after="120"/>
      </w:pPr>
      <w:r w:rsidRPr="00B9239B">
        <w:lastRenderedPageBreak/>
        <w:t xml:space="preserve">Due </w:t>
      </w:r>
      <w:r>
        <w:t>to there being</w:t>
      </w:r>
      <w:r w:rsidRPr="00B9239B">
        <w:t xml:space="preserve"> </w:t>
      </w:r>
      <w:r>
        <w:t>analytical</w:t>
      </w:r>
      <w:r w:rsidRPr="00B9239B">
        <w:t xml:space="preserve"> results</w:t>
      </w:r>
      <w:r>
        <w:t xml:space="preserve"> below the LOD</w:t>
      </w:r>
      <w:r w:rsidRPr="00B9239B">
        <w:t xml:space="preserve"> for both 3-MCPD and glycidol in the ESR dataset, three se</w:t>
      </w:r>
      <w:r>
        <w:t>parate scenarios (bounds) were examined where not detected concentrations were assigned a numerical concentration in order for a mean concentration to be derived. The three scenarios were as follows:</w:t>
      </w:r>
    </w:p>
    <w:tbl>
      <w:tblPr>
        <w:tblStyle w:val="Table"/>
        <w:tblW w:w="0" w:type="auto"/>
        <w:tblLook w:val="04A0" w:firstRow="1" w:lastRow="0" w:firstColumn="1" w:lastColumn="0" w:noHBand="0" w:noVBand="1"/>
      </w:tblPr>
      <w:tblGrid>
        <w:gridCol w:w="3823"/>
        <w:gridCol w:w="2217"/>
        <w:gridCol w:w="3020"/>
      </w:tblGrid>
      <w:tr w:rsidR="00DF777E" w:rsidRPr="00F11D7B" w:rsidTr="00B248BF">
        <w:trPr>
          <w:cnfStyle w:val="100000000000" w:firstRow="1" w:lastRow="0" w:firstColumn="0" w:lastColumn="0" w:oddVBand="0" w:evenVBand="0" w:oddHBand="0" w:evenHBand="0" w:firstRowFirstColumn="0" w:firstRowLastColumn="0" w:lastRowFirstColumn="0" w:lastRowLastColumn="0"/>
        </w:trPr>
        <w:tc>
          <w:tcPr>
            <w:tcW w:w="3823" w:type="dxa"/>
          </w:tcPr>
          <w:p w:rsidR="00DF777E" w:rsidRPr="00F11D7B" w:rsidRDefault="00DF777E" w:rsidP="00B248BF">
            <w:pPr>
              <w:spacing w:after="120"/>
              <w:rPr>
                <w:b w:val="0"/>
              </w:rPr>
            </w:pPr>
            <w:r w:rsidRPr="00F11D7B">
              <w:rPr>
                <w:b w:val="0"/>
              </w:rPr>
              <w:t>Assumption</w:t>
            </w:r>
          </w:p>
        </w:tc>
        <w:tc>
          <w:tcPr>
            <w:tcW w:w="2217" w:type="dxa"/>
          </w:tcPr>
          <w:p w:rsidR="00DF777E" w:rsidRPr="00F11D7B" w:rsidRDefault="00DF777E" w:rsidP="00B248BF">
            <w:pPr>
              <w:spacing w:after="120"/>
              <w:rPr>
                <w:b w:val="0"/>
              </w:rPr>
            </w:pPr>
            <w:r w:rsidRPr="00F11D7B">
              <w:rPr>
                <w:b w:val="0"/>
              </w:rPr>
              <w:t>Bound</w:t>
            </w:r>
          </w:p>
        </w:tc>
        <w:tc>
          <w:tcPr>
            <w:tcW w:w="3020" w:type="dxa"/>
          </w:tcPr>
          <w:p w:rsidR="00DF777E" w:rsidRPr="00F11D7B" w:rsidRDefault="00DF777E" w:rsidP="00B248BF">
            <w:pPr>
              <w:spacing w:after="120"/>
              <w:rPr>
                <w:b w:val="0"/>
              </w:rPr>
            </w:pPr>
            <w:r w:rsidRPr="00F11D7B">
              <w:rPr>
                <w:b w:val="0"/>
              </w:rPr>
              <w:t>Scenario name</w:t>
            </w:r>
          </w:p>
        </w:tc>
      </w:tr>
      <w:tr w:rsidR="00DF777E" w:rsidTr="00B248BF">
        <w:trPr>
          <w:cnfStyle w:val="000000100000" w:firstRow="0" w:lastRow="0" w:firstColumn="0" w:lastColumn="0" w:oddVBand="0" w:evenVBand="0" w:oddHBand="1" w:evenHBand="0" w:firstRowFirstColumn="0" w:firstRowLastColumn="0" w:lastRowFirstColumn="0" w:lastRowLastColumn="0"/>
        </w:trPr>
        <w:tc>
          <w:tcPr>
            <w:tcW w:w="3823" w:type="dxa"/>
          </w:tcPr>
          <w:p w:rsidR="00DF777E" w:rsidRDefault="00DF777E" w:rsidP="00B248BF">
            <w:pPr>
              <w:spacing w:after="120"/>
            </w:pPr>
            <w:r>
              <w:t>Not detected equals zero</w:t>
            </w:r>
          </w:p>
        </w:tc>
        <w:tc>
          <w:tcPr>
            <w:tcW w:w="2217" w:type="dxa"/>
          </w:tcPr>
          <w:p w:rsidR="00DF777E" w:rsidRDefault="00DF777E" w:rsidP="00B248BF">
            <w:pPr>
              <w:spacing w:after="120"/>
            </w:pPr>
            <w:r>
              <w:t>Lower bound</w:t>
            </w:r>
          </w:p>
        </w:tc>
        <w:tc>
          <w:tcPr>
            <w:tcW w:w="3020" w:type="dxa"/>
          </w:tcPr>
          <w:p w:rsidR="00DF777E" w:rsidRDefault="00DF777E" w:rsidP="00B248BF">
            <w:pPr>
              <w:spacing w:after="120"/>
            </w:pPr>
            <w:r>
              <w:t>ND=0</w:t>
            </w:r>
          </w:p>
        </w:tc>
      </w:tr>
      <w:tr w:rsidR="00DF777E" w:rsidTr="00B248BF">
        <w:trPr>
          <w:cnfStyle w:val="000000010000" w:firstRow="0" w:lastRow="0" w:firstColumn="0" w:lastColumn="0" w:oddVBand="0" w:evenVBand="0" w:oddHBand="0" w:evenHBand="1" w:firstRowFirstColumn="0" w:firstRowLastColumn="0" w:lastRowFirstColumn="0" w:lastRowLastColumn="0"/>
        </w:trPr>
        <w:tc>
          <w:tcPr>
            <w:tcW w:w="3823" w:type="dxa"/>
          </w:tcPr>
          <w:p w:rsidR="00DF777E" w:rsidRDefault="00DF777E" w:rsidP="00B248BF">
            <w:pPr>
              <w:spacing w:after="120"/>
            </w:pPr>
            <w:r>
              <w:t>Not detected equals half the LOD</w:t>
            </w:r>
          </w:p>
        </w:tc>
        <w:tc>
          <w:tcPr>
            <w:tcW w:w="2217" w:type="dxa"/>
          </w:tcPr>
          <w:p w:rsidR="00DF777E" w:rsidRDefault="00DF777E" w:rsidP="00B248BF">
            <w:pPr>
              <w:spacing w:after="120"/>
            </w:pPr>
            <w:r>
              <w:t>Middle bound</w:t>
            </w:r>
          </w:p>
        </w:tc>
        <w:tc>
          <w:tcPr>
            <w:tcW w:w="3020" w:type="dxa"/>
          </w:tcPr>
          <w:p w:rsidR="00DF777E" w:rsidRDefault="00DF777E" w:rsidP="00B248BF">
            <w:pPr>
              <w:spacing w:after="120"/>
            </w:pPr>
            <w:r>
              <w:t>ND= ½ LOD</w:t>
            </w:r>
          </w:p>
        </w:tc>
      </w:tr>
      <w:tr w:rsidR="00DF777E" w:rsidTr="00B248BF">
        <w:trPr>
          <w:cnfStyle w:val="000000100000" w:firstRow="0" w:lastRow="0" w:firstColumn="0" w:lastColumn="0" w:oddVBand="0" w:evenVBand="0" w:oddHBand="1" w:evenHBand="0" w:firstRowFirstColumn="0" w:firstRowLastColumn="0" w:lastRowFirstColumn="0" w:lastRowLastColumn="0"/>
        </w:trPr>
        <w:tc>
          <w:tcPr>
            <w:tcW w:w="3823" w:type="dxa"/>
          </w:tcPr>
          <w:p w:rsidR="00DF777E" w:rsidRDefault="00DF777E" w:rsidP="00B248BF">
            <w:pPr>
              <w:spacing w:after="120"/>
            </w:pPr>
            <w:r>
              <w:t>Not detected equals the LOD</w:t>
            </w:r>
          </w:p>
        </w:tc>
        <w:tc>
          <w:tcPr>
            <w:tcW w:w="2217" w:type="dxa"/>
          </w:tcPr>
          <w:p w:rsidR="00DF777E" w:rsidRDefault="00DF777E" w:rsidP="00B248BF">
            <w:pPr>
              <w:spacing w:after="120"/>
            </w:pPr>
            <w:r>
              <w:t>Upper bound</w:t>
            </w:r>
          </w:p>
        </w:tc>
        <w:tc>
          <w:tcPr>
            <w:tcW w:w="3020" w:type="dxa"/>
          </w:tcPr>
          <w:p w:rsidR="00DF777E" w:rsidRDefault="00DF777E" w:rsidP="00B248BF">
            <w:pPr>
              <w:spacing w:after="120"/>
            </w:pPr>
            <w:r>
              <w:t>ND = LOD</w:t>
            </w:r>
          </w:p>
        </w:tc>
      </w:tr>
    </w:tbl>
    <w:p w:rsidR="00DF777E" w:rsidRDefault="00DF777E" w:rsidP="00DF777E"/>
    <w:p w:rsidR="00DF777E" w:rsidRDefault="00DF777E" w:rsidP="00DF777E">
      <w:r w:rsidRPr="00A67353">
        <w:t xml:space="preserve">The dietary exposure estimates represent a range between the lower bound (ND=0) and the upper bound (ND=LOD). The upper bound is highly protective </w:t>
      </w:r>
      <w:r>
        <w:t xml:space="preserve">of consumers </w:t>
      </w:r>
      <w:r w:rsidRPr="00A67353">
        <w:t xml:space="preserve">as it </w:t>
      </w:r>
      <w:r>
        <w:t>assumes that the component is always present at a concentration equivalent to the LOD if there is no detection</w:t>
      </w:r>
      <w:r w:rsidR="00B248BF">
        <w:t>.</w:t>
      </w:r>
    </w:p>
    <w:p w:rsidR="00DF777E" w:rsidRDefault="00DF777E" w:rsidP="00DF777E">
      <w:r>
        <w:t>As there were no non-detections in the US FDA dataset, no ‘bound’ needed to be derived and a single mean concentration was calculated for both 3-MCPD and glycidol.</w:t>
      </w:r>
    </w:p>
    <w:p w:rsidR="00DF777E" w:rsidRDefault="00DF777E" w:rsidP="00DF777E">
      <w:r w:rsidRPr="006B55D2">
        <w:t>Analytical results for 3-MCPD and glycidol were reported as mg/kg of fat. Label data for each individual sample was used to convert the analytical values from a ‘fat basis’ to an ‘as consumed’ infant formula basis. This included using the label reported value for the percent of fat in the formula and the amount of water specified on each label to make up that specific</w:t>
      </w:r>
      <w:r>
        <w:t xml:space="preserve"> formula. Following this calculation, mean analytical results were derived for use in the dietary exposure assessments (see </w:t>
      </w:r>
      <w:r w:rsidR="00185F59">
        <w:t>Table 1</w:t>
      </w:r>
      <w:r>
        <w:fldChar w:fldCharType="begin"/>
      </w:r>
      <w:r>
        <w:instrText xml:space="preserve"> REF _Ref530675787 \h </w:instrText>
      </w:r>
      <w:r>
        <w:fldChar w:fldCharType="end"/>
      </w:r>
      <w:r>
        <w:t>).</w:t>
      </w:r>
    </w:p>
    <w:p w:rsidR="00DF777E" w:rsidRDefault="00DF777E" w:rsidP="00DF777E">
      <w:pPr>
        <w:pStyle w:val="FSTableTitle"/>
        <w:rPr>
          <w:bCs/>
          <w:highlight w:val="yellow"/>
        </w:rPr>
      </w:pPr>
      <w:bookmarkStart w:id="51" w:name="_Ref530675787"/>
      <w:bookmarkStart w:id="52" w:name="_Ref532505562"/>
      <w:bookmarkStart w:id="53" w:name="_Toc531944157"/>
      <w:bookmarkEnd w:id="49"/>
      <w:bookmarkEnd w:id="50"/>
      <w:bookmarkEnd w:id="51"/>
      <w:r>
        <w:t>Table A1.</w:t>
      </w:r>
      <w:r>
        <w:rPr>
          <w:noProof/>
        </w:rPr>
        <w:fldChar w:fldCharType="begin"/>
      </w:r>
      <w:r>
        <w:rPr>
          <w:noProof/>
        </w:rPr>
        <w:instrText xml:space="preserve"> SEQ Table_A1. \* ARABIC </w:instrText>
      </w:r>
      <w:r>
        <w:rPr>
          <w:noProof/>
        </w:rPr>
        <w:fldChar w:fldCharType="separate"/>
      </w:r>
      <w:r w:rsidR="00E73E1C">
        <w:rPr>
          <w:noProof/>
        </w:rPr>
        <w:t>1</w:t>
      </w:r>
      <w:r>
        <w:rPr>
          <w:noProof/>
        </w:rPr>
        <w:fldChar w:fldCharType="end"/>
      </w:r>
      <w:bookmarkEnd w:id="52"/>
      <w:r>
        <w:t xml:space="preserve"> Mean concentrations of 3-MCPD and glycidol in infant formula (as consumed)</w:t>
      </w:r>
      <w:bookmarkEnd w:id="53"/>
      <w:r>
        <w:t xml:space="preserve"> as used in the dietary exposure assessment</w:t>
      </w:r>
      <w:r w:rsidR="00B248BF">
        <w:br/>
      </w:r>
    </w:p>
    <w:tbl>
      <w:tblPr>
        <w:tblStyle w:val="Table"/>
        <w:tblW w:w="0" w:type="auto"/>
        <w:tblLayout w:type="fixed"/>
        <w:tblLook w:val="04A0" w:firstRow="1" w:lastRow="0" w:firstColumn="1" w:lastColumn="0" w:noHBand="0" w:noVBand="1"/>
        <w:tblDescription w:val="Mean concentrations of 3-MCPD and glycicol in 'as prepared' infant formula for the ESR analytical dataset and the US FDA dataset. Concentrations are in ug per kg infant formula units."/>
      </w:tblPr>
      <w:tblGrid>
        <w:gridCol w:w="2694"/>
        <w:gridCol w:w="1627"/>
        <w:gridCol w:w="2327"/>
        <w:gridCol w:w="2422"/>
      </w:tblGrid>
      <w:tr w:rsidR="00DF777E" w:rsidRPr="00F8291B" w:rsidTr="00B248BF">
        <w:trPr>
          <w:cnfStyle w:val="100000000000" w:firstRow="1" w:lastRow="0" w:firstColumn="0" w:lastColumn="0" w:oddVBand="0" w:evenVBand="0" w:oddHBand="0" w:evenHBand="0" w:firstRowFirstColumn="0" w:firstRowLastColumn="0" w:lastRowFirstColumn="0" w:lastRowLastColumn="0"/>
          <w:trHeight w:val="300"/>
        </w:trPr>
        <w:tc>
          <w:tcPr>
            <w:tcW w:w="2694" w:type="dxa"/>
            <w:noWrap/>
            <w:hideMark/>
          </w:tcPr>
          <w:p w:rsidR="00DF777E" w:rsidRPr="00F8291B" w:rsidRDefault="00DF777E" w:rsidP="00DF777E">
            <w:pPr>
              <w:keepNext/>
              <w:keepLines/>
              <w:rPr>
                <w:rFonts w:cs="Arial"/>
                <w:lang w:eastAsia="en-GB"/>
              </w:rPr>
            </w:pPr>
          </w:p>
        </w:tc>
        <w:tc>
          <w:tcPr>
            <w:tcW w:w="1627" w:type="dxa"/>
            <w:noWrap/>
            <w:hideMark/>
          </w:tcPr>
          <w:p w:rsidR="00DF777E" w:rsidRPr="00F8291B" w:rsidRDefault="00DF777E" w:rsidP="00DF777E">
            <w:pPr>
              <w:keepNext/>
              <w:keepLines/>
              <w:rPr>
                <w:rFonts w:cs="Arial"/>
                <w:lang w:eastAsia="en-GB"/>
              </w:rPr>
            </w:pPr>
          </w:p>
        </w:tc>
        <w:tc>
          <w:tcPr>
            <w:tcW w:w="4749" w:type="dxa"/>
            <w:gridSpan w:val="2"/>
            <w:noWrap/>
            <w:hideMark/>
          </w:tcPr>
          <w:p w:rsidR="00DF777E" w:rsidRPr="00F8291B" w:rsidRDefault="00DF777E" w:rsidP="00DF777E">
            <w:pPr>
              <w:keepNext/>
              <w:keepLines/>
              <w:jc w:val="center"/>
              <w:rPr>
                <w:rFonts w:cs="Arial"/>
                <w:lang w:eastAsia="en-GB"/>
              </w:rPr>
            </w:pPr>
            <w:r>
              <w:rPr>
                <w:rFonts w:cs="Arial"/>
                <w:lang w:eastAsia="en-GB"/>
              </w:rPr>
              <w:t>Concentration (</w:t>
            </w:r>
            <w:r w:rsidRPr="00F8291B">
              <w:rPr>
                <w:rFonts w:cs="Arial"/>
                <w:lang w:eastAsia="en-GB"/>
              </w:rPr>
              <w:t>μg / kg formula</w:t>
            </w:r>
            <w:r>
              <w:rPr>
                <w:rFonts w:cs="Arial"/>
                <w:lang w:eastAsia="en-GB"/>
              </w:rPr>
              <w:t>)</w:t>
            </w:r>
          </w:p>
        </w:tc>
      </w:tr>
      <w:tr w:rsidR="00DF777E" w:rsidRPr="00F8291B" w:rsidTr="00B248BF">
        <w:trPr>
          <w:cnfStyle w:val="000000100000" w:firstRow="0" w:lastRow="0" w:firstColumn="0" w:lastColumn="0" w:oddVBand="0" w:evenVBand="0" w:oddHBand="1" w:evenHBand="0" w:firstRowFirstColumn="0" w:firstRowLastColumn="0" w:lastRowFirstColumn="0" w:lastRowLastColumn="0"/>
          <w:trHeight w:val="300"/>
        </w:trPr>
        <w:tc>
          <w:tcPr>
            <w:tcW w:w="2694" w:type="dxa"/>
            <w:noWrap/>
            <w:hideMark/>
          </w:tcPr>
          <w:p w:rsidR="00DF777E" w:rsidRPr="00F8291B" w:rsidRDefault="00DF777E" w:rsidP="00DF777E">
            <w:pPr>
              <w:keepNext/>
              <w:keepLines/>
              <w:rPr>
                <w:rFonts w:cs="Arial"/>
                <w:lang w:eastAsia="en-GB"/>
              </w:rPr>
            </w:pPr>
            <w:r>
              <w:rPr>
                <w:rFonts w:cs="Arial"/>
                <w:lang w:eastAsia="en-GB"/>
              </w:rPr>
              <w:t>Analytical dataset</w:t>
            </w:r>
          </w:p>
        </w:tc>
        <w:tc>
          <w:tcPr>
            <w:tcW w:w="1627" w:type="dxa"/>
            <w:noWrap/>
            <w:hideMark/>
          </w:tcPr>
          <w:p w:rsidR="00DF777E" w:rsidRPr="00F8291B" w:rsidRDefault="00DF777E" w:rsidP="00DF777E">
            <w:pPr>
              <w:keepNext/>
              <w:keepLines/>
              <w:rPr>
                <w:rFonts w:cs="Arial"/>
                <w:lang w:eastAsia="en-GB"/>
              </w:rPr>
            </w:pPr>
            <w:r w:rsidRPr="00F8291B">
              <w:rPr>
                <w:rFonts w:cs="Arial"/>
                <w:lang w:eastAsia="en-GB"/>
              </w:rPr>
              <w:t>Scenario</w:t>
            </w:r>
          </w:p>
        </w:tc>
        <w:tc>
          <w:tcPr>
            <w:tcW w:w="2327" w:type="dxa"/>
            <w:noWrap/>
            <w:hideMark/>
          </w:tcPr>
          <w:p w:rsidR="00DF777E" w:rsidRPr="00F8291B" w:rsidRDefault="00DF777E" w:rsidP="00DF777E">
            <w:pPr>
              <w:keepNext/>
              <w:keepLines/>
              <w:jc w:val="center"/>
              <w:rPr>
                <w:rFonts w:cs="Arial"/>
                <w:lang w:eastAsia="en-GB"/>
              </w:rPr>
            </w:pPr>
            <w:r w:rsidRPr="00F8291B">
              <w:rPr>
                <w:rFonts w:cs="Arial"/>
                <w:lang w:eastAsia="en-GB"/>
              </w:rPr>
              <w:t>3-MCPD</w:t>
            </w:r>
          </w:p>
        </w:tc>
        <w:tc>
          <w:tcPr>
            <w:tcW w:w="2422" w:type="dxa"/>
            <w:noWrap/>
            <w:hideMark/>
          </w:tcPr>
          <w:p w:rsidR="00DF777E" w:rsidRPr="00F8291B" w:rsidRDefault="00DF777E" w:rsidP="00DF777E">
            <w:pPr>
              <w:keepNext/>
              <w:keepLines/>
              <w:jc w:val="center"/>
              <w:rPr>
                <w:rFonts w:cs="Arial"/>
                <w:lang w:eastAsia="en-GB"/>
              </w:rPr>
            </w:pPr>
            <w:r w:rsidRPr="00F8291B">
              <w:rPr>
                <w:rFonts w:cs="Arial"/>
                <w:lang w:eastAsia="en-GB"/>
              </w:rPr>
              <w:t>Glycidol</w:t>
            </w:r>
          </w:p>
        </w:tc>
      </w:tr>
      <w:tr w:rsidR="00DF777E" w:rsidRPr="00F8291B" w:rsidTr="00B248BF">
        <w:trPr>
          <w:cnfStyle w:val="000000010000" w:firstRow="0" w:lastRow="0" w:firstColumn="0" w:lastColumn="0" w:oddVBand="0" w:evenVBand="0" w:oddHBand="0" w:evenHBand="1" w:firstRowFirstColumn="0" w:firstRowLastColumn="0" w:lastRowFirstColumn="0" w:lastRowLastColumn="0"/>
          <w:trHeight w:val="300"/>
        </w:trPr>
        <w:tc>
          <w:tcPr>
            <w:tcW w:w="2694" w:type="dxa"/>
            <w:noWrap/>
            <w:hideMark/>
          </w:tcPr>
          <w:p w:rsidR="00DF777E" w:rsidRPr="00F8291B" w:rsidRDefault="00DF777E" w:rsidP="00DF777E">
            <w:pPr>
              <w:keepNext/>
              <w:keepLines/>
              <w:rPr>
                <w:rFonts w:cs="Arial"/>
                <w:color w:val="000000"/>
                <w:lang w:eastAsia="en-GB"/>
              </w:rPr>
            </w:pPr>
            <w:r w:rsidRPr="00F8291B">
              <w:rPr>
                <w:rFonts w:cs="Arial"/>
                <w:color w:val="000000"/>
                <w:lang w:eastAsia="en-GB"/>
              </w:rPr>
              <w:t>ESR</w:t>
            </w:r>
          </w:p>
        </w:tc>
        <w:tc>
          <w:tcPr>
            <w:tcW w:w="1627" w:type="dxa"/>
            <w:noWrap/>
            <w:hideMark/>
          </w:tcPr>
          <w:p w:rsidR="00DF777E" w:rsidRPr="00F8291B" w:rsidRDefault="00DF777E" w:rsidP="00DF777E">
            <w:pPr>
              <w:keepNext/>
              <w:keepLines/>
              <w:rPr>
                <w:rFonts w:cs="Arial"/>
                <w:color w:val="000000"/>
                <w:lang w:eastAsia="en-GB"/>
              </w:rPr>
            </w:pPr>
            <w:r>
              <w:rPr>
                <w:rFonts w:cs="Arial"/>
                <w:color w:val="000000"/>
                <w:lang w:eastAsia="en-GB"/>
              </w:rPr>
              <w:t>ND</w:t>
            </w:r>
            <w:r w:rsidRPr="00F8291B">
              <w:rPr>
                <w:rFonts w:cs="Arial"/>
                <w:color w:val="000000"/>
                <w:lang w:eastAsia="en-GB"/>
              </w:rPr>
              <w:t>=0</w:t>
            </w:r>
          </w:p>
        </w:tc>
        <w:tc>
          <w:tcPr>
            <w:tcW w:w="2327" w:type="dxa"/>
            <w:noWrap/>
            <w:hideMark/>
          </w:tcPr>
          <w:p w:rsidR="00DF777E" w:rsidRPr="00F8291B" w:rsidRDefault="00DF777E" w:rsidP="00DF777E">
            <w:pPr>
              <w:keepNext/>
              <w:keepLines/>
              <w:tabs>
                <w:tab w:val="decimal" w:pos="962"/>
              </w:tabs>
              <w:rPr>
                <w:rFonts w:cs="Arial"/>
                <w:color w:val="000000"/>
                <w:lang w:eastAsia="en-GB"/>
              </w:rPr>
            </w:pPr>
            <w:r w:rsidRPr="00F8291B">
              <w:rPr>
                <w:rFonts w:cs="Arial"/>
                <w:color w:val="000000"/>
                <w:lang w:eastAsia="en-GB"/>
              </w:rPr>
              <w:t>7.</w:t>
            </w:r>
            <w:r>
              <w:rPr>
                <w:rFonts w:cs="Arial"/>
                <w:color w:val="000000"/>
                <w:lang w:eastAsia="en-GB"/>
              </w:rPr>
              <w:t>6</w:t>
            </w:r>
          </w:p>
        </w:tc>
        <w:tc>
          <w:tcPr>
            <w:tcW w:w="2422" w:type="dxa"/>
            <w:noWrap/>
            <w:hideMark/>
          </w:tcPr>
          <w:p w:rsidR="00DF777E" w:rsidRPr="00F8291B" w:rsidRDefault="00DF777E" w:rsidP="00DF777E">
            <w:pPr>
              <w:keepNext/>
              <w:keepLines/>
              <w:tabs>
                <w:tab w:val="decimal" w:pos="1047"/>
              </w:tabs>
              <w:rPr>
                <w:rFonts w:cs="Arial"/>
                <w:color w:val="000000"/>
                <w:lang w:eastAsia="en-GB"/>
              </w:rPr>
            </w:pPr>
            <w:r w:rsidRPr="00F8291B">
              <w:rPr>
                <w:rFonts w:cs="Arial"/>
                <w:color w:val="000000"/>
                <w:lang w:eastAsia="en-GB"/>
              </w:rPr>
              <w:t>1</w:t>
            </w:r>
            <w:r>
              <w:rPr>
                <w:rFonts w:cs="Arial"/>
                <w:color w:val="000000"/>
                <w:lang w:eastAsia="en-GB"/>
              </w:rPr>
              <w:t>.</w:t>
            </w:r>
            <w:r w:rsidRPr="00F8291B">
              <w:rPr>
                <w:rFonts w:cs="Arial"/>
                <w:color w:val="000000"/>
                <w:lang w:eastAsia="en-GB"/>
              </w:rPr>
              <w:t>7</w:t>
            </w:r>
          </w:p>
        </w:tc>
      </w:tr>
      <w:tr w:rsidR="00DF777E" w:rsidRPr="00F8291B" w:rsidTr="00B248BF">
        <w:trPr>
          <w:cnfStyle w:val="000000100000" w:firstRow="0" w:lastRow="0" w:firstColumn="0" w:lastColumn="0" w:oddVBand="0" w:evenVBand="0" w:oddHBand="1" w:evenHBand="0" w:firstRowFirstColumn="0" w:firstRowLastColumn="0" w:lastRowFirstColumn="0" w:lastRowLastColumn="0"/>
          <w:trHeight w:val="300"/>
        </w:trPr>
        <w:tc>
          <w:tcPr>
            <w:tcW w:w="2694" w:type="dxa"/>
            <w:noWrap/>
            <w:hideMark/>
          </w:tcPr>
          <w:p w:rsidR="00DF777E" w:rsidRPr="00F8291B" w:rsidRDefault="00DF777E" w:rsidP="00DF777E">
            <w:pPr>
              <w:keepNext/>
              <w:keepLines/>
              <w:jc w:val="right"/>
              <w:rPr>
                <w:rFonts w:cs="Arial"/>
                <w:color w:val="000000"/>
                <w:lang w:eastAsia="en-GB"/>
              </w:rPr>
            </w:pPr>
          </w:p>
        </w:tc>
        <w:tc>
          <w:tcPr>
            <w:tcW w:w="1627" w:type="dxa"/>
            <w:noWrap/>
            <w:hideMark/>
          </w:tcPr>
          <w:p w:rsidR="00DF777E" w:rsidRPr="00F8291B" w:rsidRDefault="00DF777E" w:rsidP="00DF777E">
            <w:pPr>
              <w:keepNext/>
              <w:keepLines/>
              <w:rPr>
                <w:rFonts w:cs="Arial"/>
                <w:color w:val="000000"/>
                <w:lang w:eastAsia="en-GB"/>
              </w:rPr>
            </w:pPr>
            <w:r>
              <w:rPr>
                <w:rFonts w:cs="Arial"/>
                <w:color w:val="000000"/>
                <w:lang w:eastAsia="en-GB"/>
              </w:rPr>
              <w:t>ND</w:t>
            </w:r>
            <w:r w:rsidRPr="00F8291B">
              <w:rPr>
                <w:rFonts w:cs="Arial"/>
                <w:color w:val="000000"/>
                <w:lang w:eastAsia="en-GB"/>
              </w:rPr>
              <w:t>=½ LOD</w:t>
            </w:r>
          </w:p>
        </w:tc>
        <w:tc>
          <w:tcPr>
            <w:tcW w:w="2327" w:type="dxa"/>
            <w:noWrap/>
            <w:hideMark/>
          </w:tcPr>
          <w:p w:rsidR="00DF777E" w:rsidRPr="00F8291B" w:rsidRDefault="00DF777E" w:rsidP="00DF777E">
            <w:pPr>
              <w:keepNext/>
              <w:keepLines/>
              <w:tabs>
                <w:tab w:val="decimal" w:pos="962"/>
              </w:tabs>
              <w:rPr>
                <w:rFonts w:cs="Arial"/>
                <w:color w:val="000000"/>
                <w:lang w:eastAsia="en-GB"/>
              </w:rPr>
            </w:pPr>
            <w:r w:rsidRPr="00F8291B">
              <w:rPr>
                <w:rFonts w:cs="Arial"/>
                <w:color w:val="000000"/>
                <w:lang w:eastAsia="en-GB"/>
              </w:rPr>
              <w:t>10.7</w:t>
            </w:r>
          </w:p>
        </w:tc>
        <w:tc>
          <w:tcPr>
            <w:tcW w:w="2422" w:type="dxa"/>
            <w:noWrap/>
            <w:hideMark/>
          </w:tcPr>
          <w:p w:rsidR="00DF777E" w:rsidRPr="00F8291B" w:rsidRDefault="00DF777E" w:rsidP="00DF777E">
            <w:pPr>
              <w:keepNext/>
              <w:keepLines/>
              <w:tabs>
                <w:tab w:val="decimal" w:pos="1047"/>
              </w:tabs>
              <w:rPr>
                <w:rFonts w:cs="Arial"/>
                <w:color w:val="000000"/>
                <w:lang w:eastAsia="en-GB"/>
              </w:rPr>
            </w:pPr>
            <w:r>
              <w:rPr>
                <w:rFonts w:cs="Arial"/>
                <w:color w:val="000000"/>
                <w:lang w:eastAsia="en-GB"/>
              </w:rPr>
              <w:t>6.5</w:t>
            </w:r>
          </w:p>
        </w:tc>
      </w:tr>
      <w:tr w:rsidR="00DF777E" w:rsidRPr="00F8291B" w:rsidTr="00B248BF">
        <w:trPr>
          <w:cnfStyle w:val="000000010000" w:firstRow="0" w:lastRow="0" w:firstColumn="0" w:lastColumn="0" w:oddVBand="0" w:evenVBand="0" w:oddHBand="0" w:evenHBand="1" w:firstRowFirstColumn="0" w:firstRowLastColumn="0" w:lastRowFirstColumn="0" w:lastRowLastColumn="0"/>
          <w:trHeight w:val="300"/>
        </w:trPr>
        <w:tc>
          <w:tcPr>
            <w:tcW w:w="2694" w:type="dxa"/>
            <w:noWrap/>
            <w:hideMark/>
          </w:tcPr>
          <w:p w:rsidR="00DF777E" w:rsidRPr="00F8291B" w:rsidRDefault="00DF777E" w:rsidP="00DF777E">
            <w:pPr>
              <w:jc w:val="right"/>
              <w:rPr>
                <w:rFonts w:cs="Arial"/>
                <w:color w:val="000000"/>
                <w:lang w:eastAsia="en-GB"/>
              </w:rPr>
            </w:pPr>
          </w:p>
        </w:tc>
        <w:tc>
          <w:tcPr>
            <w:tcW w:w="1627" w:type="dxa"/>
            <w:noWrap/>
            <w:hideMark/>
          </w:tcPr>
          <w:p w:rsidR="00DF777E" w:rsidRPr="00F8291B" w:rsidRDefault="00DF777E" w:rsidP="00DF777E">
            <w:pPr>
              <w:rPr>
                <w:rFonts w:cs="Arial"/>
                <w:color w:val="000000"/>
                <w:lang w:eastAsia="en-GB"/>
              </w:rPr>
            </w:pPr>
            <w:r>
              <w:rPr>
                <w:rFonts w:cs="Arial"/>
                <w:color w:val="000000"/>
                <w:lang w:eastAsia="en-GB"/>
              </w:rPr>
              <w:t>ND</w:t>
            </w:r>
            <w:r w:rsidRPr="00F8291B">
              <w:rPr>
                <w:rFonts w:cs="Arial"/>
                <w:color w:val="000000"/>
                <w:lang w:eastAsia="en-GB"/>
              </w:rPr>
              <w:t>=LOD</w:t>
            </w:r>
          </w:p>
        </w:tc>
        <w:tc>
          <w:tcPr>
            <w:tcW w:w="2327" w:type="dxa"/>
            <w:noWrap/>
            <w:hideMark/>
          </w:tcPr>
          <w:p w:rsidR="00DF777E" w:rsidRPr="00F8291B" w:rsidRDefault="00DF777E" w:rsidP="00DF777E">
            <w:pPr>
              <w:tabs>
                <w:tab w:val="decimal" w:pos="962"/>
              </w:tabs>
              <w:rPr>
                <w:rFonts w:cs="Arial"/>
                <w:color w:val="000000"/>
                <w:lang w:eastAsia="en-GB"/>
              </w:rPr>
            </w:pPr>
            <w:r w:rsidRPr="00F8291B">
              <w:rPr>
                <w:rFonts w:cs="Arial"/>
                <w:color w:val="000000"/>
                <w:lang w:eastAsia="en-GB"/>
              </w:rPr>
              <w:t>13.8</w:t>
            </w:r>
          </w:p>
        </w:tc>
        <w:tc>
          <w:tcPr>
            <w:tcW w:w="2422" w:type="dxa"/>
            <w:noWrap/>
            <w:hideMark/>
          </w:tcPr>
          <w:p w:rsidR="00DF777E" w:rsidRPr="00F8291B" w:rsidRDefault="00DF777E" w:rsidP="00DF777E">
            <w:pPr>
              <w:tabs>
                <w:tab w:val="decimal" w:pos="1047"/>
              </w:tabs>
              <w:rPr>
                <w:rFonts w:cs="Arial"/>
                <w:color w:val="000000"/>
                <w:lang w:eastAsia="en-GB"/>
              </w:rPr>
            </w:pPr>
            <w:r w:rsidRPr="00F8291B">
              <w:rPr>
                <w:rFonts w:cs="Arial"/>
                <w:color w:val="000000"/>
                <w:lang w:eastAsia="en-GB"/>
              </w:rPr>
              <w:t>11</w:t>
            </w:r>
            <w:r>
              <w:rPr>
                <w:rFonts w:cs="Arial"/>
                <w:color w:val="000000"/>
                <w:lang w:eastAsia="en-GB"/>
              </w:rPr>
              <w:t>.</w:t>
            </w:r>
            <w:r w:rsidRPr="00F8291B">
              <w:rPr>
                <w:rFonts w:cs="Arial"/>
                <w:color w:val="000000"/>
                <w:lang w:eastAsia="en-GB"/>
              </w:rPr>
              <w:t>2</w:t>
            </w:r>
          </w:p>
        </w:tc>
      </w:tr>
      <w:tr w:rsidR="00DF777E" w:rsidRPr="00F8291B" w:rsidTr="00B248BF">
        <w:trPr>
          <w:cnfStyle w:val="000000100000" w:firstRow="0" w:lastRow="0" w:firstColumn="0" w:lastColumn="0" w:oddVBand="0" w:evenVBand="0" w:oddHBand="1" w:evenHBand="0" w:firstRowFirstColumn="0" w:firstRowLastColumn="0" w:lastRowFirstColumn="0" w:lastRowLastColumn="0"/>
          <w:trHeight w:val="300"/>
        </w:trPr>
        <w:tc>
          <w:tcPr>
            <w:tcW w:w="2694" w:type="dxa"/>
            <w:noWrap/>
            <w:hideMark/>
          </w:tcPr>
          <w:p w:rsidR="00DF777E" w:rsidRPr="00F8291B" w:rsidRDefault="00DF777E" w:rsidP="00DF777E">
            <w:pPr>
              <w:rPr>
                <w:rFonts w:cs="Arial"/>
                <w:color w:val="000000"/>
                <w:lang w:eastAsia="en-GB"/>
              </w:rPr>
            </w:pPr>
            <w:r w:rsidRPr="00F8291B">
              <w:rPr>
                <w:rFonts w:cs="Arial"/>
                <w:color w:val="000000"/>
                <w:lang w:eastAsia="en-GB"/>
              </w:rPr>
              <w:t>US FDA</w:t>
            </w:r>
          </w:p>
        </w:tc>
        <w:tc>
          <w:tcPr>
            <w:tcW w:w="1627" w:type="dxa"/>
            <w:noWrap/>
            <w:hideMark/>
          </w:tcPr>
          <w:p w:rsidR="00DF777E" w:rsidRPr="00F8291B" w:rsidRDefault="00DF777E" w:rsidP="00DF777E">
            <w:pPr>
              <w:rPr>
                <w:rFonts w:cs="Arial"/>
                <w:color w:val="000000"/>
                <w:lang w:eastAsia="en-GB"/>
              </w:rPr>
            </w:pPr>
          </w:p>
        </w:tc>
        <w:tc>
          <w:tcPr>
            <w:tcW w:w="2327" w:type="dxa"/>
            <w:noWrap/>
            <w:hideMark/>
          </w:tcPr>
          <w:p w:rsidR="00DF777E" w:rsidRPr="00F8291B" w:rsidRDefault="00DF777E" w:rsidP="00DF777E">
            <w:pPr>
              <w:tabs>
                <w:tab w:val="decimal" w:pos="962"/>
              </w:tabs>
              <w:rPr>
                <w:rFonts w:cs="Arial"/>
                <w:color w:val="000000"/>
                <w:lang w:eastAsia="en-GB"/>
              </w:rPr>
            </w:pPr>
            <w:r w:rsidRPr="00F8291B">
              <w:rPr>
                <w:rFonts w:cs="Arial"/>
                <w:color w:val="000000"/>
                <w:lang w:eastAsia="en-GB"/>
              </w:rPr>
              <w:t>11.7</w:t>
            </w:r>
          </w:p>
        </w:tc>
        <w:tc>
          <w:tcPr>
            <w:tcW w:w="2422" w:type="dxa"/>
            <w:noWrap/>
            <w:hideMark/>
          </w:tcPr>
          <w:p w:rsidR="00DF777E" w:rsidRPr="00F8291B" w:rsidRDefault="00DF777E" w:rsidP="00DF777E">
            <w:pPr>
              <w:tabs>
                <w:tab w:val="decimal" w:pos="1047"/>
              </w:tabs>
              <w:rPr>
                <w:rFonts w:cs="Arial"/>
                <w:color w:val="000000"/>
                <w:lang w:eastAsia="en-GB"/>
              </w:rPr>
            </w:pPr>
            <w:r w:rsidRPr="00F8291B">
              <w:rPr>
                <w:rFonts w:cs="Arial"/>
                <w:color w:val="000000"/>
                <w:lang w:eastAsia="en-GB"/>
              </w:rPr>
              <w:t>3</w:t>
            </w:r>
            <w:r>
              <w:rPr>
                <w:rFonts w:cs="Arial"/>
                <w:color w:val="000000"/>
                <w:lang w:eastAsia="en-GB"/>
              </w:rPr>
              <w:t>.</w:t>
            </w:r>
            <w:r w:rsidRPr="00F8291B">
              <w:rPr>
                <w:rFonts w:cs="Arial"/>
                <w:color w:val="000000"/>
                <w:lang w:eastAsia="en-GB"/>
              </w:rPr>
              <w:t>2</w:t>
            </w:r>
          </w:p>
        </w:tc>
      </w:tr>
    </w:tbl>
    <w:p w:rsidR="00DF777E" w:rsidRDefault="00DF777E" w:rsidP="00DF777E">
      <w:pPr>
        <w:ind w:left="567" w:hanging="567"/>
        <w:rPr>
          <w:bCs/>
          <w:sz w:val="18"/>
        </w:rPr>
      </w:pPr>
      <w:r w:rsidRPr="00B1605B">
        <w:rPr>
          <w:b/>
          <w:bCs/>
          <w:sz w:val="18"/>
        </w:rPr>
        <w:t>Note:</w:t>
      </w:r>
      <w:r>
        <w:rPr>
          <w:bCs/>
          <w:sz w:val="18"/>
        </w:rPr>
        <w:tab/>
      </w:r>
    </w:p>
    <w:p w:rsidR="00DF777E" w:rsidRPr="00F11D7B" w:rsidRDefault="00DF777E" w:rsidP="00DF777E">
      <w:pPr>
        <w:pStyle w:val="ListParagraph"/>
        <w:widowControl w:val="0"/>
        <w:numPr>
          <w:ilvl w:val="0"/>
          <w:numId w:val="21"/>
        </w:numPr>
        <w:spacing w:after="0"/>
        <w:rPr>
          <w:bCs/>
          <w:sz w:val="18"/>
        </w:rPr>
      </w:pPr>
      <w:r>
        <w:rPr>
          <w:sz w:val="18"/>
        </w:rPr>
        <w:t>1 litre of infant formula is equ</w:t>
      </w:r>
      <w:r w:rsidRPr="00B1605B">
        <w:rPr>
          <w:sz w:val="18"/>
        </w:rPr>
        <w:t>al to 1</w:t>
      </w:r>
      <w:r>
        <w:rPr>
          <w:sz w:val="18"/>
        </w:rPr>
        <w:t>,050 </w:t>
      </w:r>
      <w:r w:rsidRPr="00B1605B">
        <w:rPr>
          <w:sz w:val="18"/>
        </w:rPr>
        <w:t>gram</w:t>
      </w:r>
      <w:r>
        <w:rPr>
          <w:sz w:val="18"/>
        </w:rPr>
        <w:t>s</w:t>
      </w:r>
      <w:r w:rsidRPr="00B1605B">
        <w:rPr>
          <w:sz w:val="18"/>
        </w:rPr>
        <w:t>.</w:t>
      </w:r>
    </w:p>
    <w:p w:rsidR="00DF777E" w:rsidRPr="00F11D7B" w:rsidRDefault="00DF777E" w:rsidP="00DF777E"/>
    <w:p w:rsidR="00DF777E" w:rsidRPr="00A83B3C" w:rsidRDefault="00DF777E" w:rsidP="00B248BF">
      <w:pPr>
        <w:pStyle w:val="Heading4"/>
      </w:pPr>
      <w:bookmarkStart w:id="54" w:name="_Toc32242996"/>
      <w:bookmarkStart w:id="55" w:name="_Toc34209389"/>
      <w:r w:rsidRPr="00A83B3C">
        <w:lastRenderedPageBreak/>
        <w:t>Assumptions</w:t>
      </w:r>
      <w:r>
        <w:t>,</w:t>
      </w:r>
      <w:r w:rsidRPr="00A83B3C">
        <w:t xml:space="preserve"> limitations </w:t>
      </w:r>
      <w:r>
        <w:t xml:space="preserve">and uncertainties in </w:t>
      </w:r>
      <w:r w:rsidRPr="00A83B3C">
        <w:t xml:space="preserve">the </w:t>
      </w:r>
      <w:r>
        <w:t>d</w:t>
      </w:r>
      <w:r w:rsidRPr="00A83B3C">
        <w:t xml:space="preserve">ietary </w:t>
      </w:r>
      <w:r>
        <w:t>exposure</w:t>
      </w:r>
      <w:r w:rsidRPr="00A83B3C">
        <w:t xml:space="preserve"> </w:t>
      </w:r>
      <w:r>
        <w:t>a</w:t>
      </w:r>
      <w:r w:rsidRPr="00A83B3C">
        <w:t>ssessment</w:t>
      </w:r>
      <w:bookmarkEnd w:id="54"/>
      <w:bookmarkEnd w:id="55"/>
    </w:p>
    <w:p w:rsidR="00DF777E" w:rsidRPr="00730981" w:rsidRDefault="00DF777E" w:rsidP="00DF777E">
      <w:pPr>
        <w:keepNext/>
        <w:keepLines/>
      </w:pPr>
      <w:r w:rsidRPr="00730981">
        <w:t xml:space="preserve">The aim of the </w:t>
      </w:r>
      <w:r>
        <w:t xml:space="preserve">dietary exposure assessment </w:t>
      </w:r>
      <w:r w:rsidRPr="00730981">
        <w:t xml:space="preserve">was to make </w:t>
      </w:r>
      <w:r>
        <w:t xml:space="preserve">the most </w:t>
      </w:r>
      <w:r w:rsidRPr="00730981">
        <w:t xml:space="preserve">realistic </w:t>
      </w:r>
      <w:r>
        <w:t>estimat</w:t>
      </w:r>
      <w:r w:rsidRPr="00730981">
        <w:t xml:space="preserve">ion of dietary </w:t>
      </w:r>
      <w:r>
        <w:t>exposures</w:t>
      </w:r>
      <w:r w:rsidRPr="0058527C">
        <w:t xml:space="preserve"> </w:t>
      </w:r>
      <w:r>
        <w:t xml:space="preserve">to 3-MCPD and glycidol as </w:t>
      </w:r>
      <w:r w:rsidRPr="00730981">
        <w:t xml:space="preserve">possible. However, where significant uncertainties in the data existed, assumptions </w:t>
      </w:r>
      <w:r>
        <w:t xml:space="preserve">that are protective of consumers </w:t>
      </w:r>
      <w:r w:rsidRPr="00730981">
        <w:t>were used to ensure that</w:t>
      </w:r>
      <w:r>
        <w:t xml:space="preserve"> </w:t>
      </w:r>
      <w:r w:rsidRPr="00730981">
        <w:t xml:space="preserve">the </w:t>
      </w:r>
      <w:r>
        <w:t>estimated</w:t>
      </w:r>
      <w:r w:rsidRPr="00730981">
        <w:t xml:space="preserve"> dietary </w:t>
      </w:r>
      <w:r>
        <w:t xml:space="preserve">exposure </w:t>
      </w:r>
      <w:r w:rsidRPr="00730981">
        <w:t xml:space="preserve">was not an underestimate of </w:t>
      </w:r>
      <w:r>
        <w:t>exposure and vulnerable populations are adequately protected.</w:t>
      </w:r>
    </w:p>
    <w:p w:rsidR="00DF777E" w:rsidRPr="002102C2" w:rsidRDefault="00DF777E" w:rsidP="00DF777E">
      <w:pPr>
        <w:keepNext/>
        <w:keepLines/>
        <w:spacing w:after="120"/>
      </w:pPr>
      <w:r w:rsidRPr="002102C2">
        <w:t xml:space="preserve">Assumptions made in the dietary </w:t>
      </w:r>
      <w:r>
        <w:t>exposure</w:t>
      </w:r>
      <w:r w:rsidRPr="002102C2">
        <w:t xml:space="preserve"> assessment included:</w:t>
      </w:r>
    </w:p>
    <w:p w:rsidR="00DF777E" w:rsidRDefault="00DF777E" w:rsidP="00DF777E">
      <w:pPr>
        <w:pStyle w:val="FSBullet1"/>
        <w:keepNext/>
        <w:keepLines/>
        <w:numPr>
          <w:ilvl w:val="0"/>
          <w:numId w:val="17"/>
        </w:numPr>
        <w:spacing w:after="60"/>
      </w:pPr>
      <w:r w:rsidRPr="00CE1D15">
        <w:t xml:space="preserve">Unless otherwise specified, </w:t>
      </w:r>
      <w:r>
        <w:t>‘as consumed’ infant formula, on average,</w:t>
      </w:r>
      <w:r w:rsidRPr="00CE1D15">
        <w:t xml:space="preserve"> contain</w:t>
      </w:r>
      <w:r>
        <w:t>s</w:t>
      </w:r>
      <w:r w:rsidRPr="00CE1D15">
        <w:t xml:space="preserve"> </w:t>
      </w:r>
      <w:r>
        <w:t xml:space="preserve">3-MCPD and glycidol </w:t>
      </w:r>
      <w:r w:rsidRPr="00CE1D15">
        <w:t>at the concentrations specified in</w:t>
      </w:r>
      <w:r>
        <w:t xml:space="preserve"> </w:t>
      </w:r>
      <w:r w:rsidR="00F451D4">
        <w:t>Table A 1</w:t>
      </w:r>
      <w:r>
        <w:fldChar w:fldCharType="begin"/>
      </w:r>
      <w:r>
        <w:instrText xml:space="preserve"> REF _Ref530675787 \h </w:instrText>
      </w:r>
      <w:r>
        <w:fldChar w:fldCharType="end"/>
      </w:r>
      <w:r>
        <w:t>.1</w:t>
      </w:r>
    </w:p>
    <w:p w:rsidR="00DF777E" w:rsidRPr="00635DFF" w:rsidRDefault="00DF777E" w:rsidP="00DF777E">
      <w:pPr>
        <w:pStyle w:val="FSBullet1"/>
        <w:numPr>
          <w:ilvl w:val="0"/>
          <w:numId w:val="17"/>
        </w:numPr>
        <w:spacing w:after="60"/>
      </w:pPr>
      <w:r>
        <w:t>In the calculation of 3-MCPD and glycidol concentrations in infant formula, 1 litre of infant formula equals 1,050 grams</w:t>
      </w:r>
    </w:p>
    <w:p w:rsidR="00DF777E" w:rsidRDefault="00DF777E" w:rsidP="00DF777E">
      <w:pPr>
        <w:pStyle w:val="FSBullet1"/>
        <w:numPr>
          <w:ilvl w:val="0"/>
          <w:numId w:val="17"/>
        </w:numPr>
        <w:spacing w:after="60"/>
      </w:pPr>
      <w:r>
        <w:t>infants aged 3 </w:t>
      </w:r>
      <w:r w:rsidRPr="00F20106">
        <w:t>months are exclusively infant formula fed</w:t>
      </w:r>
      <w:r>
        <w:t xml:space="preserve"> and there i</w:t>
      </w:r>
      <w:r w:rsidRPr="002102C2">
        <w:t xml:space="preserve">s no contribution to </w:t>
      </w:r>
      <w:r>
        <w:t xml:space="preserve">3-MCPD or glycidol dietary exposures </w:t>
      </w:r>
      <w:r w:rsidRPr="002102C2">
        <w:t xml:space="preserve">through </w:t>
      </w:r>
      <w:r>
        <w:t>foods and beverages other than infant formula</w:t>
      </w:r>
    </w:p>
    <w:p w:rsidR="00DF777E" w:rsidRPr="00AC4D0D" w:rsidRDefault="00DF777E" w:rsidP="00DF777E">
      <w:pPr>
        <w:pStyle w:val="FSBullet1"/>
        <w:numPr>
          <w:ilvl w:val="0"/>
          <w:numId w:val="17"/>
        </w:numPr>
        <w:spacing w:after="0"/>
      </w:pPr>
      <w:r>
        <w:t>the mean x 2 is a reasonable representation of a 90</w:t>
      </w:r>
      <w:r w:rsidRPr="00AC4D0D">
        <w:rPr>
          <w:vertAlign w:val="superscript"/>
        </w:rPr>
        <w:t>th</w:t>
      </w:r>
      <w:r>
        <w:t xml:space="preserve"> percentile</w:t>
      </w:r>
    </w:p>
    <w:p w:rsidR="00DF777E" w:rsidRDefault="00DF777E" w:rsidP="00DF777E">
      <w:pPr>
        <w:pStyle w:val="FSBullet1"/>
        <w:numPr>
          <w:ilvl w:val="0"/>
          <w:numId w:val="17"/>
        </w:numPr>
        <w:spacing w:after="60"/>
      </w:pPr>
      <w:r>
        <w:t>there i</w:t>
      </w:r>
      <w:r w:rsidRPr="002102C2">
        <w:t xml:space="preserve">s no contribution to </w:t>
      </w:r>
      <w:r>
        <w:t xml:space="preserve">3-MCPD and glycidol dietary exposures </w:t>
      </w:r>
      <w:r w:rsidRPr="002102C2">
        <w:t>through the use of complementary or other medicines</w:t>
      </w:r>
      <w:r>
        <w:t xml:space="preserve"> (e.g. fish oil supplements)</w:t>
      </w:r>
    </w:p>
    <w:p w:rsidR="00DF777E" w:rsidRDefault="00DF777E" w:rsidP="00DF777E">
      <w:pPr>
        <w:pStyle w:val="FSBullet1"/>
        <w:numPr>
          <w:ilvl w:val="0"/>
          <w:numId w:val="17"/>
        </w:numPr>
        <w:spacing w:after="60"/>
      </w:pPr>
      <w:r>
        <w:t xml:space="preserve">the GEMS/Food contaminants database concentrations for </w:t>
      </w:r>
      <w:r>
        <w:rPr>
          <w:i/>
        </w:rPr>
        <w:t>3-MCPD fatty acid esters</w:t>
      </w:r>
      <w:r>
        <w:t xml:space="preserve"> and </w:t>
      </w:r>
      <w:r>
        <w:rPr>
          <w:i/>
        </w:rPr>
        <w:t>glycidyl fatty acid esters</w:t>
      </w:r>
      <w:r>
        <w:t xml:space="preserve"> are in the form of 3-MCPD and glycidol</w:t>
      </w:r>
    </w:p>
    <w:p w:rsidR="00DF777E" w:rsidRDefault="00DF777E" w:rsidP="00DF777E">
      <w:pPr>
        <w:pStyle w:val="FSBullet1"/>
        <w:numPr>
          <w:ilvl w:val="0"/>
          <w:numId w:val="17"/>
        </w:numPr>
        <w:spacing w:after="60"/>
        <w:rPr>
          <w:lang w:eastAsia="en-GB"/>
        </w:rPr>
      </w:pPr>
      <w:r>
        <w:rPr>
          <w:lang w:eastAsia="en-GB"/>
        </w:rPr>
        <w:t xml:space="preserve">the </w:t>
      </w:r>
      <w:r>
        <w:t xml:space="preserve">GEMS/Food contaminants database terms </w:t>
      </w:r>
      <w:r w:rsidRPr="0031429A">
        <w:rPr>
          <w:lang w:eastAsia="en-GB"/>
        </w:rPr>
        <w:t xml:space="preserve">‘as </w:t>
      </w:r>
      <w:r w:rsidRPr="0031429A">
        <w:t>consumed’</w:t>
      </w:r>
      <w:r w:rsidRPr="0031429A">
        <w:rPr>
          <w:lang w:eastAsia="en-GB"/>
        </w:rPr>
        <w:t xml:space="preserve"> and ‘as is’ </w:t>
      </w:r>
      <w:r>
        <w:rPr>
          <w:lang w:eastAsia="en-GB"/>
        </w:rPr>
        <w:t xml:space="preserve">for infant formula powder </w:t>
      </w:r>
      <w:r w:rsidRPr="0031429A">
        <w:rPr>
          <w:lang w:eastAsia="en-GB"/>
        </w:rPr>
        <w:t>refer to the dry powder</w:t>
      </w:r>
    </w:p>
    <w:p w:rsidR="00DF777E" w:rsidRDefault="00DF777E" w:rsidP="00DF777E">
      <w:pPr>
        <w:pStyle w:val="FSBullet1"/>
        <w:numPr>
          <w:ilvl w:val="0"/>
          <w:numId w:val="17"/>
        </w:numPr>
        <w:spacing w:after="60"/>
      </w:pPr>
      <w:r>
        <w:t>dietary exposures for 3 </w:t>
      </w:r>
      <w:r w:rsidRPr="005C727D">
        <w:t>month old infants can be compared with the dietary exposures from JECFA for 0-12 month old infants</w:t>
      </w:r>
      <w:r>
        <w:t>, noting that different age groups are used in these assessments</w:t>
      </w:r>
    </w:p>
    <w:p w:rsidR="00DF777E" w:rsidRPr="00377898" w:rsidRDefault="00DF777E" w:rsidP="00DF777E">
      <w:pPr>
        <w:pStyle w:val="FSBullet1"/>
        <w:numPr>
          <w:ilvl w:val="0"/>
          <w:numId w:val="17"/>
        </w:numPr>
        <w:spacing w:after="60"/>
      </w:pPr>
      <w:r>
        <w:t>Analyses for 3-MCPD fatty acid esters and glycidyl fatty acid esters conducted between 2010 and 2015 are able to be compared with the analyses from the NZFS study (for both ESR and US FDA analytical datasets).</w:t>
      </w:r>
    </w:p>
    <w:p w:rsidR="00DF777E" w:rsidRPr="00CF3CF6" w:rsidRDefault="00B248BF" w:rsidP="00DF777E">
      <w:pPr>
        <w:pStyle w:val="CommentText"/>
        <w:rPr>
          <w:sz w:val="22"/>
          <w:szCs w:val="22"/>
        </w:rPr>
      </w:pPr>
      <w:r>
        <w:rPr>
          <w:sz w:val="22"/>
          <w:szCs w:val="22"/>
          <w:lang w:bidi="ar-SA"/>
        </w:rPr>
        <w:br/>
      </w:r>
      <w:r w:rsidR="00DF777E">
        <w:rPr>
          <w:sz w:val="22"/>
          <w:szCs w:val="22"/>
          <w:lang w:bidi="ar-SA"/>
        </w:rPr>
        <w:t xml:space="preserve">In relation to limitations, it is noted that this is a snap-shot survey with a </w:t>
      </w:r>
      <w:r w:rsidR="00DF777E">
        <w:rPr>
          <w:noProof/>
          <w:sz w:val="22"/>
          <w:szCs w:val="22"/>
        </w:rPr>
        <w:t>non-representative</w:t>
      </w:r>
      <w:r w:rsidR="00DF777E" w:rsidRPr="00CF3CF6">
        <w:rPr>
          <w:noProof/>
          <w:sz w:val="22"/>
          <w:szCs w:val="22"/>
        </w:rPr>
        <w:t xml:space="preserve"> sample</w:t>
      </w:r>
      <w:r w:rsidR="00DF777E">
        <w:rPr>
          <w:noProof/>
          <w:sz w:val="22"/>
          <w:szCs w:val="22"/>
        </w:rPr>
        <w:t xml:space="preserve"> of infant formula. Therefore, there are not enough data points to be able to determine </w:t>
      </w:r>
      <w:r w:rsidR="00DF777E" w:rsidRPr="00CF3CF6">
        <w:rPr>
          <w:noProof/>
          <w:sz w:val="22"/>
          <w:szCs w:val="22"/>
        </w:rPr>
        <w:t>distr</w:t>
      </w:r>
      <w:r w:rsidR="00DF777E">
        <w:rPr>
          <w:noProof/>
          <w:sz w:val="22"/>
          <w:szCs w:val="22"/>
        </w:rPr>
        <w:t>i</w:t>
      </w:r>
      <w:r w:rsidR="00DF777E" w:rsidRPr="00CF3CF6">
        <w:rPr>
          <w:noProof/>
          <w:sz w:val="22"/>
          <w:szCs w:val="22"/>
        </w:rPr>
        <w:t>butions</w:t>
      </w:r>
      <w:r w:rsidR="00DF777E">
        <w:rPr>
          <w:noProof/>
          <w:sz w:val="22"/>
          <w:szCs w:val="22"/>
        </w:rPr>
        <w:t xml:space="preserve"> of the concentrations of the contaminants examined</w:t>
      </w:r>
      <w:r w:rsidR="00DF777E" w:rsidRPr="00CF3CF6">
        <w:rPr>
          <w:noProof/>
          <w:sz w:val="22"/>
          <w:szCs w:val="22"/>
        </w:rPr>
        <w:t xml:space="preserve"> within brands or </w:t>
      </w:r>
      <w:r w:rsidR="00DF777E">
        <w:rPr>
          <w:noProof/>
          <w:sz w:val="22"/>
          <w:szCs w:val="22"/>
        </w:rPr>
        <w:t xml:space="preserve">specific types of </w:t>
      </w:r>
      <w:r w:rsidR="00DF777E" w:rsidRPr="00CF3CF6">
        <w:rPr>
          <w:noProof/>
          <w:sz w:val="22"/>
          <w:szCs w:val="22"/>
        </w:rPr>
        <w:t>products.</w:t>
      </w:r>
      <w:r w:rsidR="00DF777E">
        <w:rPr>
          <w:noProof/>
          <w:sz w:val="22"/>
          <w:szCs w:val="22"/>
        </w:rPr>
        <w:t xml:space="preserve"> As such, the data can only be used as a whole with all samples combined to determine summary contaminant concentrations.</w:t>
      </w:r>
    </w:p>
    <w:p w:rsidR="00DF777E" w:rsidRPr="00CF3CF6" w:rsidRDefault="00DF777E" w:rsidP="00DF777E"/>
    <w:bookmarkEnd w:id="46"/>
    <w:bookmarkEnd w:id="47"/>
    <w:bookmarkEnd w:id="48"/>
    <w:p w:rsidR="00DF777E" w:rsidRDefault="00DF777E" w:rsidP="00DF777E">
      <w:r>
        <w:br w:type="page"/>
      </w:r>
    </w:p>
    <w:p w:rsidR="00DF777E" w:rsidRPr="00394A59" w:rsidRDefault="00DF777E" w:rsidP="00B248BF">
      <w:pPr>
        <w:pStyle w:val="Heading2"/>
      </w:pPr>
      <w:bookmarkStart w:id="56" w:name="_Toc32242997"/>
      <w:bookmarkStart w:id="57" w:name="_Toc34209390"/>
      <w:r>
        <w:lastRenderedPageBreak/>
        <w:t>Appendix 2 – Comparison of analytical concentrations with international concentration data and regulations</w:t>
      </w:r>
      <w:bookmarkEnd w:id="56"/>
      <w:bookmarkEnd w:id="57"/>
    </w:p>
    <w:p w:rsidR="00DF777E" w:rsidRDefault="00DF777E" w:rsidP="00DF777E">
      <w:pPr>
        <w:pStyle w:val="ESRBodyText"/>
        <w:rPr>
          <w:lang w:val="en-AU"/>
        </w:rPr>
      </w:pPr>
      <w:r>
        <w:t>ESR undertook a comparison of the analytical results for infant formula from the current survey with concentrations of 3-MCPD and glycidol from studies reported in the literature.</w:t>
      </w:r>
      <w:r>
        <w:rPr>
          <w:lang w:val="en-AU"/>
        </w:rPr>
        <w:t xml:space="preserve"> ESR observed levels of 3-MCPD are similar to average results found in international </w:t>
      </w:r>
      <w:r w:rsidRPr="00625E97">
        <w:rPr>
          <w:lang w:val="en-AU"/>
        </w:rPr>
        <w:t>surveys</w:t>
      </w:r>
      <w:r>
        <w:rPr>
          <w:lang w:val="en-AU"/>
        </w:rPr>
        <w:t xml:space="preserve">; levels of glycidyl esters </w:t>
      </w:r>
      <w:r w:rsidRPr="007C3045">
        <w:rPr>
          <w:lang w:val="en-AU"/>
        </w:rPr>
        <w:t xml:space="preserve">are, on average, at the low end of those found in studies conducted on samples sourced </w:t>
      </w:r>
      <w:r>
        <w:rPr>
          <w:lang w:val="en-AU"/>
        </w:rPr>
        <w:t>overseas.</w:t>
      </w:r>
    </w:p>
    <w:p w:rsidR="00DF777E" w:rsidRDefault="00DF777E" w:rsidP="00DF777E">
      <w:pPr>
        <w:pStyle w:val="ESRBodyText"/>
        <w:rPr>
          <w:rFonts w:eastAsiaTheme="majorEastAsia" w:cstheme="majorBidi"/>
          <w:szCs w:val="24"/>
        </w:rPr>
      </w:pPr>
      <w:r>
        <w:rPr>
          <w:lang w:val="en-AU"/>
        </w:rPr>
        <w:t>FSANZ also undertook a comparison of the results with international regulatory limits, and a comparison with international concentration data in the GEMS/Food contaminants database (available on the World Health Organization (WHO) website).</w:t>
      </w:r>
    </w:p>
    <w:p w:rsidR="00DF777E" w:rsidRDefault="00DF777E" w:rsidP="00B248BF">
      <w:pPr>
        <w:pStyle w:val="Heading4"/>
      </w:pPr>
      <w:bookmarkStart w:id="58" w:name="_Toc32242998"/>
      <w:bookmarkStart w:id="59" w:name="_Toc34209391"/>
      <w:r>
        <w:t>Comparison with European Union regulatory limits</w:t>
      </w:r>
      <w:bookmarkEnd w:id="58"/>
      <w:bookmarkEnd w:id="59"/>
    </w:p>
    <w:p w:rsidR="00DF777E" w:rsidRDefault="00DF777E" w:rsidP="00DF777E">
      <w:pPr>
        <w:keepNext/>
        <w:keepLines/>
      </w:pPr>
      <w:r>
        <w:t>The European Union (EU) regulatory limit for glycidyl esters (as glycidol) in i</w:t>
      </w:r>
      <w:r w:rsidRPr="00BC1AF1">
        <w:t>nfant formula, follow-on formula and foods for special medical purposes intended for infants and young children (liquid)</w:t>
      </w:r>
      <w:r>
        <w:t xml:space="preserve"> is 6.0 μg/kg (as of 1July 2019) </w:t>
      </w:r>
      <w:r w:rsidRPr="006D4E47">
        <w:t>(European</w:t>
      </w:r>
      <w:r>
        <w:t xml:space="preserve"> Commission 2018). While the mean concentration of glycidol from the US FDA analytical dataset (3.2 μg/kg) is below this limit, a small number of infant formula samples (3 / 56) had glycidol concentrations above the 6.0 μg/kg limit.</w:t>
      </w:r>
    </w:p>
    <w:p w:rsidR="00DF777E" w:rsidRDefault="00DF777E" w:rsidP="00DF777E">
      <w:r>
        <w:t>There is no EU regulatory limit for 3-MCPD in infant formula.</w:t>
      </w:r>
    </w:p>
    <w:p w:rsidR="00DF777E" w:rsidRDefault="00DF777E" w:rsidP="00B248BF">
      <w:pPr>
        <w:pStyle w:val="Heading4"/>
      </w:pPr>
      <w:bookmarkStart w:id="60" w:name="_Toc32242999"/>
      <w:bookmarkStart w:id="61" w:name="_Toc34209392"/>
      <w:r>
        <w:t>Comparison with international concentration data</w:t>
      </w:r>
      <w:bookmarkEnd w:id="60"/>
      <w:bookmarkEnd w:id="61"/>
    </w:p>
    <w:p w:rsidR="00DF777E" w:rsidRPr="00F451D4" w:rsidRDefault="00DF777E" w:rsidP="00F451D4">
      <w:pPr>
        <w:spacing w:after="0"/>
      </w:pPr>
      <w:r>
        <w:t xml:space="preserve">For the NZFS infant formula analysis, analytical results for 3-MCPD and glycidol were reported by both labs as mg/kg of fat. An analysis of the fat content of the infant formula powder was also available. This fat concentration of each infant formula powder sample was used to convert the analytical values from a ‘fat basis’ to a ‘infant formula powder’ basis. Following this calculation, mean analytical results were derived (see </w:t>
      </w:r>
      <w:r>
        <w:fldChar w:fldCharType="begin"/>
      </w:r>
      <w:r>
        <w:instrText xml:space="preserve"> REF _Ref532506505 \h </w:instrText>
      </w:r>
      <w:r>
        <w:fldChar w:fldCharType="separate"/>
      </w:r>
      <w:r w:rsidR="00E73E1C">
        <w:t>Table A2.</w:t>
      </w:r>
      <w:r w:rsidR="00E73E1C">
        <w:rPr>
          <w:noProof/>
        </w:rPr>
        <w:t>1</w:t>
      </w:r>
      <w:r>
        <w:fldChar w:fldCharType="end"/>
      </w:r>
      <w:r>
        <w:t xml:space="preserve">) for comparison with international infant formula powders. This was only conducted for the US FDA data set because it used a lower LOD and all samples had detectable concentrations. Where concentration data were available on an ‘as consumed’ formula basis, comparisons </w:t>
      </w:r>
      <w:bookmarkStart w:id="62" w:name="_GoBack"/>
      <w:bookmarkEnd w:id="62"/>
      <w:r>
        <w:t>were also made with international data.</w:t>
      </w:r>
    </w:p>
    <w:p w:rsidR="00DF777E" w:rsidRDefault="00DF777E" w:rsidP="00DF777E"/>
    <w:p w:rsidR="00B248BF" w:rsidRDefault="00B248BF">
      <w:pPr>
        <w:spacing w:after="0"/>
        <w:rPr>
          <w:rFonts w:eastAsia="Times New Roman"/>
          <w:b/>
          <w:color w:val="auto"/>
          <w:szCs w:val="24"/>
          <w:lang w:val="en-GB" w:bidi="en-US"/>
        </w:rPr>
      </w:pPr>
      <w:bookmarkStart w:id="63" w:name="_Ref531089031"/>
      <w:bookmarkStart w:id="64" w:name="_Ref532506505"/>
      <w:bookmarkStart w:id="65" w:name="_Toc531944158"/>
      <w:bookmarkEnd w:id="63"/>
      <w:r>
        <w:br w:type="page"/>
      </w:r>
    </w:p>
    <w:p w:rsidR="00DF777E" w:rsidRDefault="00DF777E" w:rsidP="00DF777E">
      <w:pPr>
        <w:pStyle w:val="FSTableTitle"/>
        <w:rPr>
          <w:bCs/>
          <w:highlight w:val="yellow"/>
        </w:rPr>
      </w:pPr>
      <w:r>
        <w:lastRenderedPageBreak/>
        <w:t>Table A2.</w:t>
      </w:r>
      <w:r>
        <w:rPr>
          <w:noProof/>
        </w:rPr>
        <w:fldChar w:fldCharType="begin"/>
      </w:r>
      <w:r>
        <w:rPr>
          <w:noProof/>
        </w:rPr>
        <w:instrText xml:space="preserve"> SEQ Table_A2. \* ARABIC </w:instrText>
      </w:r>
      <w:r>
        <w:rPr>
          <w:noProof/>
        </w:rPr>
        <w:fldChar w:fldCharType="separate"/>
      </w:r>
      <w:r w:rsidR="00E73E1C">
        <w:rPr>
          <w:noProof/>
        </w:rPr>
        <w:t>1</w:t>
      </w:r>
      <w:r>
        <w:rPr>
          <w:noProof/>
        </w:rPr>
        <w:fldChar w:fldCharType="end"/>
      </w:r>
      <w:bookmarkEnd w:id="64"/>
      <w:r>
        <w:t>: 3-MCPD and glycidol concentrations in ‘as prepared’ infant formula and infant formula powder, using the US FDA analytical dataset</w:t>
      </w:r>
      <w:bookmarkEnd w:id="65"/>
      <w:r w:rsidR="00B248BF">
        <w:br/>
      </w:r>
    </w:p>
    <w:tbl>
      <w:tblPr>
        <w:tblStyle w:val="Table"/>
        <w:tblW w:w="0" w:type="auto"/>
        <w:tblLayout w:type="fixed"/>
        <w:tblLook w:val="04A0" w:firstRow="1" w:lastRow="0" w:firstColumn="1" w:lastColumn="0" w:noHBand="0" w:noVBand="1"/>
        <w:tblDescription w:val="Mean, 50th percentile and range of concentrations of 3-MCPD and glycicol in 'as prepared' infant formula and infant formula powder for the US FDA dataset. Concentrations are in ug per kg infant formula powder units."/>
      </w:tblPr>
      <w:tblGrid>
        <w:gridCol w:w="1134"/>
        <w:gridCol w:w="1984"/>
        <w:gridCol w:w="1984"/>
        <w:gridCol w:w="1984"/>
        <w:gridCol w:w="1984"/>
      </w:tblGrid>
      <w:tr w:rsidR="00B248BF" w:rsidRPr="00B248BF" w:rsidTr="00B248BF">
        <w:trPr>
          <w:cnfStyle w:val="100000000000" w:firstRow="1" w:lastRow="0" w:firstColumn="0" w:lastColumn="0" w:oddVBand="0" w:evenVBand="0" w:oddHBand="0" w:evenHBand="0" w:firstRowFirstColumn="0" w:firstRowLastColumn="0" w:lastRowFirstColumn="0" w:lastRowLastColumn="0"/>
          <w:trHeight w:val="300"/>
        </w:trPr>
        <w:tc>
          <w:tcPr>
            <w:tcW w:w="1134" w:type="dxa"/>
            <w:shd w:val="clear" w:color="auto" w:fill="7F7F7F" w:themeFill="text1" w:themeFillTint="80"/>
          </w:tcPr>
          <w:p w:rsidR="00DF777E" w:rsidRPr="00B248BF" w:rsidRDefault="00DF777E" w:rsidP="00B248BF">
            <w:pPr>
              <w:keepNext/>
              <w:keepLines/>
              <w:spacing w:after="120"/>
              <w:rPr>
                <w:rFonts w:cs="Arial"/>
                <w:lang w:eastAsia="en-GB"/>
              </w:rPr>
            </w:pPr>
          </w:p>
        </w:tc>
        <w:tc>
          <w:tcPr>
            <w:tcW w:w="7936" w:type="dxa"/>
            <w:gridSpan w:val="4"/>
            <w:shd w:val="clear" w:color="auto" w:fill="7F7F7F" w:themeFill="text1" w:themeFillTint="80"/>
            <w:noWrap/>
            <w:hideMark/>
          </w:tcPr>
          <w:p w:rsidR="00DF777E" w:rsidRPr="00B248BF" w:rsidRDefault="00DF777E" w:rsidP="00B248BF">
            <w:pPr>
              <w:keepNext/>
              <w:keepLines/>
              <w:spacing w:after="120"/>
              <w:jc w:val="center"/>
              <w:rPr>
                <w:rFonts w:cs="Arial"/>
                <w:lang w:eastAsia="en-GB"/>
              </w:rPr>
            </w:pPr>
            <w:r w:rsidRPr="00B248BF">
              <w:rPr>
                <w:rFonts w:cs="Arial"/>
                <w:lang w:eastAsia="en-GB"/>
              </w:rPr>
              <w:t>US FDA analytical concentration (μg / kg)</w:t>
            </w:r>
          </w:p>
        </w:tc>
      </w:tr>
      <w:tr w:rsidR="00B248BF" w:rsidRPr="00B248BF" w:rsidTr="00B248BF">
        <w:trPr>
          <w:cnfStyle w:val="000000100000" w:firstRow="0" w:lastRow="0" w:firstColumn="0" w:lastColumn="0" w:oddVBand="0" w:evenVBand="0" w:oddHBand="1" w:evenHBand="0" w:firstRowFirstColumn="0" w:firstRowLastColumn="0" w:lastRowFirstColumn="0" w:lastRowLastColumn="0"/>
          <w:trHeight w:val="300"/>
        </w:trPr>
        <w:tc>
          <w:tcPr>
            <w:tcW w:w="1134" w:type="dxa"/>
            <w:shd w:val="clear" w:color="auto" w:fill="7F7F7F" w:themeFill="text1" w:themeFillTint="80"/>
          </w:tcPr>
          <w:p w:rsidR="00DF777E" w:rsidRPr="00B248BF" w:rsidRDefault="00DF777E" w:rsidP="00B248BF">
            <w:pPr>
              <w:keepNext/>
              <w:keepLines/>
              <w:spacing w:after="120"/>
              <w:rPr>
                <w:rFonts w:cs="Arial"/>
                <w:color w:val="FFFFFF" w:themeColor="background1"/>
                <w:lang w:eastAsia="en-GB"/>
              </w:rPr>
            </w:pPr>
          </w:p>
        </w:tc>
        <w:tc>
          <w:tcPr>
            <w:tcW w:w="3968" w:type="dxa"/>
            <w:gridSpan w:val="2"/>
            <w:shd w:val="clear" w:color="auto" w:fill="7F7F7F" w:themeFill="text1" w:themeFillTint="80"/>
            <w:noWrap/>
          </w:tcPr>
          <w:p w:rsidR="00DF777E" w:rsidRPr="00B248BF" w:rsidRDefault="00DF777E" w:rsidP="00B248BF">
            <w:pPr>
              <w:keepNext/>
              <w:keepLines/>
              <w:spacing w:after="120"/>
              <w:jc w:val="center"/>
              <w:rPr>
                <w:rFonts w:cs="Arial"/>
                <w:color w:val="FFFFFF" w:themeColor="background1"/>
                <w:lang w:eastAsia="en-GB"/>
              </w:rPr>
            </w:pPr>
            <w:r w:rsidRPr="00B248BF">
              <w:rPr>
                <w:rFonts w:cs="Arial"/>
                <w:color w:val="FFFFFF" w:themeColor="background1"/>
                <w:lang w:eastAsia="en-GB"/>
              </w:rPr>
              <w:t>3-MCPD</w:t>
            </w:r>
          </w:p>
        </w:tc>
        <w:tc>
          <w:tcPr>
            <w:tcW w:w="3968" w:type="dxa"/>
            <w:gridSpan w:val="2"/>
            <w:shd w:val="clear" w:color="auto" w:fill="7F7F7F" w:themeFill="text1" w:themeFillTint="80"/>
          </w:tcPr>
          <w:p w:rsidR="00DF777E" w:rsidRPr="00B248BF" w:rsidRDefault="00DF777E" w:rsidP="00B248BF">
            <w:pPr>
              <w:keepNext/>
              <w:keepLines/>
              <w:spacing w:after="120"/>
              <w:jc w:val="center"/>
              <w:rPr>
                <w:rFonts w:cs="Arial"/>
                <w:color w:val="FFFFFF" w:themeColor="background1"/>
                <w:lang w:eastAsia="en-GB"/>
              </w:rPr>
            </w:pPr>
            <w:r w:rsidRPr="00B248BF">
              <w:rPr>
                <w:rFonts w:cs="Arial"/>
                <w:color w:val="FFFFFF" w:themeColor="background1"/>
                <w:lang w:eastAsia="en-GB"/>
              </w:rPr>
              <w:t>Glycidol</w:t>
            </w:r>
          </w:p>
        </w:tc>
      </w:tr>
      <w:tr w:rsidR="00B248BF" w:rsidRPr="00B248BF" w:rsidTr="00B248BF">
        <w:trPr>
          <w:cnfStyle w:val="000000010000" w:firstRow="0" w:lastRow="0" w:firstColumn="0" w:lastColumn="0" w:oddVBand="0" w:evenVBand="0" w:oddHBand="0" w:evenHBand="1" w:firstRowFirstColumn="0" w:firstRowLastColumn="0" w:lastRowFirstColumn="0" w:lastRowLastColumn="0"/>
          <w:trHeight w:val="300"/>
        </w:trPr>
        <w:tc>
          <w:tcPr>
            <w:tcW w:w="1134" w:type="dxa"/>
            <w:shd w:val="clear" w:color="auto" w:fill="7F7F7F" w:themeFill="text1" w:themeFillTint="80"/>
          </w:tcPr>
          <w:p w:rsidR="00DF777E" w:rsidRPr="00B248BF" w:rsidRDefault="00DF777E" w:rsidP="00B248BF">
            <w:pPr>
              <w:keepNext/>
              <w:keepLines/>
              <w:spacing w:after="120"/>
              <w:rPr>
                <w:rFonts w:cs="Arial"/>
                <w:color w:val="FFFFFF" w:themeColor="background1"/>
                <w:lang w:eastAsia="en-GB"/>
              </w:rPr>
            </w:pPr>
          </w:p>
        </w:tc>
        <w:tc>
          <w:tcPr>
            <w:tcW w:w="1984" w:type="dxa"/>
            <w:shd w:val="clear" w:color="auto" w:fill="7F7F7F" w:themeFill="text1" w:themeFillTint="80"/>
            <w:noWrap/>
          </w:tcPr>
          <w:p w:rsidR="00DF777E" w:rsidRPr="00B248BF" w:rsidRDefault="00DF777E" w:rsidP="00B248BF">
            <w:pPr>
              <w:keepNext/>
              <w:keepLines/>
              <w:spacing w:after="120"/>
              <w:jc w:val="center"/>
              <w:rPr>
                <w:rFonts w:cs="Arial"/>
                <w:color w:val="FFFFFF" w:themeColor="background1"/>
                <w:lang w:eastAsia="en-GB"/>
              </w:rPr>
            </w:pPr>
            <w:r w:rsidRPr="00B248BF">
              <w:rPr>
                <w:rFonts w:cs="Arial"/>
                <w:color w:val="FFFFFF" w:themeColor="background1"/>
                <w:lang w:eastAsia="en-GB"/>
              </w:rPr>
              <w:t>As consumed</w:t>
            </w:r>
          </w:p>
        </w:tc>
        <w:tc>
          <w:tcPr>
            <w:tcW w:w="1984" w:type="dxa"/>
            <w:shd w:val="clear" w:color="auto" w:fill="7F7F7F" w:themeFill="text1" w:themeFillTint="80"/>
          </w:tcPr>
          <w:p w:rsidR="00DF777E" w:rsidRPr="00B248BF" w:rsidRDefault="00DF777E" w:rsidP="00B248BF">
            <w:pPr>
              <w:keepNext/>
              <w:keepLines/>
              <w:spacing w:after="120"/>
              <w:jc w:val="center"/>
              <w:rPr>
                <w:rFonts w:cs="Arial"/>
                <w:color w:val="FFFFFF" w:themeColor="background1"/>
                <w:lang w:eastAsia="en-GB"/>
              </w:rPr>
            </w:pPr>
            <w:r w:rsidRPr="00B248BF">
              <w:rPr>
                <w:rFonts w:cs="Arial"/>
                <w:color w:val="FFFFFF" w:themeColor="background1"/>
                <w:lang w:eastAsia="en-GB"/>
              </w:rPr>
              <w:t>Powder</w:t>
            </w:r>
          </w:p>
        </w:tc>
        <w:tc>
          <w:tcPr>
            <w:tcW w:w="1984" w:type="dxa"/>
            <w:shd w:val="clear" w:color="auto" w:fill="7F7F7F" w:themeFill="text1" w:themeFillTint="80"/>
          </w:tcPr>
          <w:p w:rsidR="00DF777E" w:rsidRPr="00B248BF" w:rsidRDefault="00DF777E" w:rsidP="00B248BF">
            <w:pPr>
              <w:keepNext/>
              <w:keepLines/>
              <w:spacing w:after="120"/>
              <w:jc w:val="center"/>
              <w:rPr>
                <w:rFonts w:cs="Arial"/>
                <w:color w:val="FFFFFF" w:themeColor="background1"/>
                <w:lang w:eastAsia="en-GB"/>
              </w:rPr>
            </w:pPr>
            <w:r w:rsidRPr="00B248BF">
              <w:rPr>
                <w:rFonts w:cs="Arial"/>
                <w:color w:val="FFFFFF" w:themeColor="background1"/>
                <w:lang w:eastAsia="en-GB"/>
              </w:rPr>
              <w:t>As consumed</w:t>
            </w:r>
          </w:p>
        </w:tc>
        <w:tc>
          <w:tcPr>
            <w:tcW w:w="1984" w:type="dxa"/>
            <w:shd w:val="clear" w:color="auto" w:fill="7F7F7F" w:themeFill="text1" w:themeFillTint="80"/>
          </w:tcPr>
          <w:p w:rsidR="00DF777E" w:rsidRPr="00B248BF" w:rsidRDefault="00DF777E" w:rsidP="00B248BF">
            <w:pPr>
              <w:keepNext/>
              <w:keepLines/>
              <w:spacing w:after="120"/>
              <w:jc w:val="center"/>
              <w:rPr>
                <w:rFonts w:cs="Arial"/>
                <w:color w:val="FFFFFF" w:themeColor="background1"/>
                <w:lang w:eastAsia="en-GB"/>
              </w:rPr>
            </w:pPr>
            <w:r w:rsidRPr="00B248BF">
              <w:rPr>
                <w:rFonts w:cs="Arial"/>
                <w:color w:val="FFFFFF" w:themeColor="background1"/>
                <w:lang w:eastAsia="en-GB"/>
              </w:rPr>
              <w:t>Powder</w:t>
            </w:r>
          </w:p>
        </w:tc>
      </w:tr>
      <w:tr w:rsidR="00DF777E" w:rsidRPr="00F8291B" w:rsidTr="00B248BF">
        <w:trPr>
          <w:cnfStyle w:val="000000100000" w:firstRow="0" w:lastRow="0" w:firstColumn="0" w:lastColumn="0" w:oddVBand="0" w:evenVBand="0" w:oddHBand="1" w:evenHBand="0" w:firstRowFirstColumn="0" w:firstRowLastColumn="0" w:lastRowFirstColumn="0" w:lastRowLastColumn="0"/>
          <w:trHeight w:val="300"/>
        </w:trPr>
        <w:tc>
          <w:tcPr>
            <w:tcW w:w="1134" w:type="dxa"/>
          </w:tcPr>
          <w:p w:rsidR="00DF777E" w:rsidRDefault="00DF777E" w:rsidP="00B248BF">
            <w:pPr>
              <w:keepNext/>
              <w:keepLines/>
              <w:spacing w:after="120"/>
              <w:rPr>
                <w:rFonts w:cs="Arial"/>
                <w:color w:val="000000"/>
                <w:lang w:eastAsia="en-GB"/>
              </w:rPr>
            </w:pPr>
            <w:r>
              <w:rPr>
                <w:rFonts w:cs="Arial"/>
                <w:color w:val="000000"/>
                <w:lang w:eastAsia="en-GB"/>
              </w:rPr>
              <w:t>Mean</w:t>
            </w:r>
          </w:p>
        </w:tc>
        <w:tc>
          <w:tcPr>
            <w:tcW w:w="1984" w:type="dxa"/>
            <w:noWrap/>
          </w:tcPr>
          <w:p w:rsidR="00DF777E" w:rsidRPr="00F8291B" w:rsidRDefault="00DF777E" w:rsidP="00B248BF">
            <w:pPr>
              <w:keepNext/>
              <w:keepLines/>
              <w:tabs>
                <w:tab w:val="decimal" w:pos="921"/>
              </w:tabs>
              <w:spacing w:after="120"/>
              <w:rPr>
                <w:rFonts w:cs="Arial"/>
                <w:color w:val="000000"/>
                <w:lang w:eastAsia="en-GB"/>
              </w:rPr>
            </w:pPr>
            <w:r>
              <w:rPr>
                <w:rFonts w:cs="Arial"/>
                <w:color w:val="000000"/>
                <w:lang w:eastAsia="en-GB"/>
              </w:rPr>
              <w:t>11.7</w:t>
            </w:r>
          </w:p>
        </w:tc>
        <w:tc>
          <w:tcPr>
            <w:tcW w:w="1984" w:type="dxa"/>
          </w:tcPr>
          <w:p w:rsidR="00DF777E" w:rsidRDefault="00DF777E" w:rsidP="00B248BF">
            <w:pPr>
              <w:keepNext/>
              <w:keepLines/>
              <w:tabs>
                <w:tab w:val="decimal" w:pos="921"/>
              </w:tabs>
              <w:spacing w:after="120"/>
              <w:rPr>
                <w:rFonts w:cs="Arial"/>
                <w:color w:val="000000"/>
                <w:lang w:eastAsia="en-GB"/>
              </w:rPr>
            </w:pPr>
            <w:r>
              <w:rPr>
                <w:rFonts w:cs="Arial"/>
                <w:color w:val="000000"/>
                <w:lang w:eastAsia="en-GB"/>
              </w:rPr>
              <w:t>89.8</w:t>
            </w:r>
          </w:p>
        </w:tc>
        <w:tc>
          <w:tcPr>
            <w:tcW w:w="1984" w:type="dxa"/>
          </w:tcPr>
          <w:p w:rsidR="00DF777E" w:rsidRDefault="00DF777E" w:rsidP="00B248BF">
            <w:pPr>
              <w:keepNext/>
              <w:keepLines/>
              <w:tabs>
                <w:tab w:val="decimal" w:pos="921"/>
              </w:tabs>
              <w:spacing w:after="120"/>
              <w:rPr>
                <w:rFonts w:cs="Arial"/>
                <w:color w:val="000000"/>
                <w:lang w:eastAsia="en-GB"/>
              </w:rPr>
            </w:pPr>
            <w:r>
              <w:rPr>
                <w:rFonts w:cs="Arial"/>
                <w:color w:val="000000"/>
                <w:lang w:eastAsia="en-GB"/>
              </w:rPr>
              <w:t>3.2</w:t>
            </w:r>
          </w:p>
        </w:tc>
        <w:tc>
          <w:tcPr>
            <w:tcW w:w="1984" w:type="dxa"/>
          </w:tcPr>
          <w:p w:rsidR="00DF777E" w:rsidRDefault="00DF777E" w:rsidP="00B248BF">
            <w:pPr>
              <w:keepNext/>
              <w:keepLines/>
              <w:tabs>
                <w:tab w:val="decimal" w:pos="921"/>
              </w:tabs>
              <w:spacing w:after="120"/>
              <w:rPr>
                <w:rFonts w:cs="Arial"/>
                <w:color w:val="000000"/>
                <w:lang w:eastAsia="en-GB"/>
              </w:rPr>
            </w:pPr>
            <w:r>
              <w:rPr>
                <w:rFonts w:cs="Arial"/>
                <w:color w:val="000000"/>
                <w:lang w:eastAsia="en-GB"/>
              </w:rPr>
              <w:t>24.9</w:t>
            </w:r>
          </w:p>
        </w:tc>
      </w:tr>
      <w:tr w:rsidR="00DF777E" w:rsidRPr="00F8291B" w:rsidTr="00B248BF">
        <w:trPr>
          <w:cnfStyle w:val="000000010000" w:firstRow="0" w:lastRow="0" w:firstColumn="0" w:lastColumn="0" w:oddVBand="0" w:evenVBand="0" w:oddHBand="0" w:evenHBand="1" w:firstRowFirstColumn="0" w:firstRowLastColumn="0" w:lastRowFirstColumn="0" w:lastRowLastColumn="0"/>
          <w:trHeight w:val="300"/>
        </w:trPr>
        <w:tc>
          <w:tcPr>
            <w:tcW w:w="1134" w:type="dxa"/>
          </w:tcPr>
          <w:p w:rsidR="00DF777E" w:rsidRDefault="00DF777E" w:rsidP="00B248BF">
            <w:pPr>
              <w:keepNext/>
              <w:keepLines/>
              <w:spacing w:after="120"/>
              <w:rPr>
                <w:rFonts w:cs="Arial"/>
                <w:color w:val="000000"/>
                <w:lang w:eastAsia="en-GB"/>
              </w:rPr>
            </w:pPr>
            <w:r>
              <w:rPr>
                <w:rFonts w:cs="Arial"/>
                <w:color w:val="000000"/>
                <w:lang w:eastAsia="en-GB"/>
              </w:rPr>
              <w:t>P50</w:t>
            </w:r>
          </w:p>
        </w:tc>
        <w:tc>
          <w:tcPr>
            <w:tcW w:w="1984" w:type="dxa"/>
            <w:noWrap/>
          </w:tcPr>
          <w:p w:rsidR="00DF777E" w:rsidRPr="00F8291B" w:rsidRDefault="00DF777E" w:rsidP="00B248BF">
            <w:pPr>
              <w:keepNext/>
              <w:keepLines/>
              <w:tabs>
                <w:tab w:val="decimal" w:pos="921"/>
              </w:tabs>
              <w:spacing w:after="120"/>
              <w:rPr>
                <w:rFonts w:cs="Arial"/>
                <w:color w:val="000000"/>
                <w:lang w:eastAsia="en-GB"/>
              </w:rPr>
            </w:pPr>
            <w:r>
              <w:rPr>
                <w:rFonts w:cs="Arial"/>
                <w:color w:val="000000"/>
                <w:lang w:eastAsia="en-GB"/>
              </w:rPr>
              <w:t>7.7</w:t>
            </w:r>
          </w:p>
        </w:tc>
        <w:tc>
          <w:tcPr>
            <w:tcW w:w="1984" w:type="dxa"/>
          </w:tcPr>
          <w:p w:rsidR="00DF777E" w:rsidRDefault="00DF777E" w:rsidP="00B248BF">
            <w:pPr>
              <w:keepNext/>
              <w:keepLines/>
              <w:tabs>
                <w:tab w:val="decimal" w:pos="921"/>
              </w:tabs>
              <w:spacing w:after="120"/>
              <w:rPr>
                <w:rFonts w:cs="Arial"/>
                <w:color w:val="000000"/>
                <w:lang w:eastAsia="en-GB"/>
              </w:rPr>
            </w:pPr>
            <w:r>
              <w:rPr>
                <w:rFonts w:cs="Arial"/>
                <w:color w:val="000000"/>
                <w:lang w:eastAsia="en-GB"/>
              </w:rPr>
              <w:t>60.3</w:t>
            </w:r>
          </w:p>
        </w:tc>
        <w:tc>
          <w:tcPr>
            <w:tcW w:w="1984" w:type="dxa"/>
          </w:tcPr>
          <w:p w:rsidR="00DF777E" w:rsidRDefault="00DF777E" w:rsidP="00B248BF">
            <w:pPr>
              <w:keepNext/>
              <w:keepLines/>
              <w:tabs>
                <w:tab w:val="decimal" w:pos="921"/>
              </w:tabs>
              <w:spacing w:after="120"/>
              <w:rPr>
                <w:rFonts w:cs="Arial"/>
                <w:color w:val="000000"/>
                <w:lang w:eastAsia="en-GB"/>
              </w:rPr>
            </w:pPr>
            <w:r>
              <w:rPr>
                <w:rFonts w:cs="Arial"/>
                <w:color w:val="000000"/>
                <w:lang w:eastAsia="en-GB"/>
              </w:rPr>
              <w:t>1.6</w:t>
            </w:r>
          </w:p>
        </w:tc>
        <w:tc>
          <w:tcPr>
            <w:tcW w:w="1984" w:type="dxa"/>
          </w:tcPr>
          <w:p w:rsidR="00DF777E" w:rsidRDefault="00DF777E" w:rsidP="00B248BF">
            <w:pPr>
              <w:keepNext/>
              <w:keepLines/>
              <w:tabs>
                <w:tab w:val="decimal" w:pos="921"/>
              </w:tabs>
              <w:spacing w:after="120"/>
              <w:rPr>
                <w:rFonts w:cs="Arial"/>
                <w:color w:val="000000"/>
                <w:lang w:eastAsia="en-GB"/>
              </w:rPr>
            </w:pPr>
            <w:r>
              <w:rPr>
                <w:rFonts w:cs="Arial"/>
                <w:color w:val="000000"/>
                <w:lang w:eastAsia="en-GB"/>
              </w:rPr>
              <w:t>12.1</w:t>
            </w:r>
          </w:p>
        </w:tc>
      </w:tr>
      <w:tr w:rsidR="00DF777E" w:rsidRPr="00F8291B" w:rsidTr="00B248BF">
        <w:trPr>
          <w:cnfStyle w:val="000000100000" w:firstRow="0" w:lastRow="0" w:firstColumn="0" w:lastColumn="0" w:oddVBand="0" w:evenVBand="0" w:oddHBand="1" w:evenHBand="0" w:firstRowFirstColumn="0" w:firstRowLastColumn="0" w:lastRowFirstColumn="0" w:lastRowLastColumn="0"/>
          <w:trHeight w:val="300"/>
        </w:trPr>
        <w:tc>
          <w:tcPr>
            <w:tcW w:w="1134" w:type="dxa"/>
          </w:tcPr>
          <w:p w:rsidR="00DF777E" w:rsidRDefault="00DF777E" w:rsidP="00B248BF">
            <w:pPr>
              <w:keepNext/>
              <w:keepLines/>
              <w:spacing w:after="120"/>
              <w:rPr>
                <w:rFonts w:cs="Arial"/>
                <w:color w:val="000000"/>
                <w:lang w:eastAsia="en-GB"/>
              </w:rPr>
            </w:pPr>
            <w:r>
              <w:rPr>
                <w:rFonts w:cs="Arial"/>
                <w:color w:val="000000"/>
                <w:lang w:eastAsia="en-GB"/>
              </w:rPr>
              <w:t>Range</w:t>
            </w:r>
          </w:p>
        </w:tc>
        <w:tc>
          <w:tcPr>
            <w:tcW w:w="1984" w:type="dxa"/>
            <w:noWrap/>
          </w:tcPr>
          <w:p w:rsidR="00DF777E" w:rsidRPr="00F8291B" w:rsidRDefault="00DF777E" w:rsidP="00B248BF">
            <w:pPr>
              <w:keepNext/>
              <w:keepLines/>
              <w:spacing w:after="120"/>
              <w:jc w:val="center"/>
              <w:rPr>
                <w:rFonts w:cs="Arial"/>
                <w:color w:val="000000"/>
                <w:lang w:eastAsia="en-GB"/>
              </w:rPr>
            </w:pPr>
            <w:r>
              <w:rPr>
                <w:rFonts w:cs="Arial"/>
                <w:color w:val="000000"/>
                <w:lang w:eastAsia="en-GB"/>
              </w:rPr>
              <w:t>0.6 – 81.1</w:t>
            </w:r>
          </w:p>
        </w:tc>
        <w:tc>
          <w:tcPr>
            <w:tcW w:w="1984" w:type="dxa"/>
          </w:tcPr>
          <w:p w:rsidR="00DF777E" w:rsidRDefault="00DF777E" w:rsidP="00B248BF">
            <w:pPr>
              <w:keepNext/>
              <w:keepLines/>
              <w:spacing w:after="120"/>
              <w:jc w:val="center"/>
              <w:rPr>
                <w:rFonts w:cs="Arial"/>
                <w:color w:val="000000"/>
                <w:lang w:eastAsia="en-GB"/>
              </w:rPr>
            </w:pPr>
            <w:r>
              <w:rPr>
                <w:rFonts w:cs="Arial"/>
                <w:color w:val="000000"/>
                <w:lang w:eastAsia="en-GB"/>
              </w:rPr>
              <w:t>4.7 – 645</w:t>
            </w:r>
          </w:p>
        </w:tc>
        <w:tc>
          <w:tcPr>
            <w:tcW w:w="1984" w:type="dxa"/>
          </w:tcPr>
          <w:p w:rsidR="00DF777E" w:rsidRDefault="00DF777E" w:rsidP="00B248BF">
            <w:pPr>
              <w:keepNext/>
              <w:keepLines/>
              <w:spacing w:after="120"/>
              <w:jc w:val="center"/>
              <w:rPr>
                <w:rFonts w:cs="Arial"/>
                <w:color w:val="000000"/>
                <w:lang w:eastAsia="en-GB"/>
              </w:rPr>
            </w:pPr>
            <w:r>
              <w:rPr>
                <w:rFonts w:cs="Arial"/>
                <w:color w:val="000000"/>
                <w:lang w:eastAsia="en-GB"/>
              </w:rPr>
              <w:t>0 – 58.6</w:t>
            </w:r>
          </w:p>
        </w:tc>
        <w:tc>
          <w:tcPr>
            <w:tcW w:w="1984" w:type="dxa"/>
          </w:tcPr>
          <w:p w:rsidR="00DF777E" w:rsidRDefault="00DF777E" w:rsidP="00B248BF">
            <w:pPr>
              <w:keepNext/>
              <w:keepLines/>
              <w:spacing w:after="120"/>
              <w:jc w:val="center"/>
              <w:rPr>
                <w:rFonts w:cs="Arial"/>
                <w:color w:val="000000"/>
                <w:lang w:eastAsia="en-GB"/>
              </w:rPr>
            </w:pPr>
            <w:r>
              <w:rPr>
                <w:rFonts w:cs="Arial"/>
                <w:color w:val="000000"/>
                <w:lang w:eastAsia="en-GB"/>
              </w:rPr>
              <w:t>0 – 466</w:t>
            </w:r>
          </w:p>
        </w:tc>
      </w:tr>
    </w:tbl>
    <w:p w:rsidR="00DF777E" w:rsidRPr="00457277" w:rsidRDefault="00DF777E" w:rsidP="00DF777E">
      <w:pPr>
        <w:rPr>
          <w:sz w:val="18"/>
        </w:rPr>
      </w:pPr>
      <w:r w:rsidRPr="00457277">
        <w:rPr>
          <w:b/>
          <w:sz w:val="18"/>
        </w:rPr>
        <w:t xml:space="preserve">Note: </w:t>
      </w:r>
      <w:r w:rsidRPr="00457277">
        <w:rPr>
          <w:sz w:val="18"/>
        </w:rPr>
        <w:t>all 56 analysed samples had quantified concentrations of 3-MCPD and glycidol (i.e. there were no ND results)</w:t>
      </w:r>
      <w:r>
        <w:rPr>
          <w:sz w:val="18"/>
        </w:rPr>
        <w:t>.</w:t>
      </w:r>
    </w:p>
    <w:p w:rsidR="00DF777E" w:rsidRDefault="00DF777E" w:rsidP="00DF777E">
      <w:pPr>
        <w:keepNext/>
        <w:keepLines/>
      </w:pPr>
      <w:r>
        <w:t>JECFA used the GEMS/Food contaminants database to derive summary 3-MCPD and glycidol concentrations for use in its assessment at its eighty-third meeting in 2016 (JECFA 2017).</w:t>
      </w:r>
      <w:r w:rsidRPr="00427E38">
        <w:t xml:space="preserve"> </w:t>
      </w:r>
      <w:r>
        <w:t>Summary concentration data were published in the monograph from the meeting (JECFA, 2018) and are included in the discussion further below.</w:t>
      </w:r>
    </w:p>
    <w:p w:rsidR="00DF777E" w:rsidRDefault="00DF777E" w:rsidP="00DF777E">
      <w:r>
        <w:t>FSANZ used the GEMS/Food contaminants database available on the WHO website (World Health Organization 2018) for this analysis. The final data to derive summary concentrations of 3-MCPD and glycidol in infant formula included in this analysis may differ to that used by JECFA in their assessment for a number of reasons. For example, the number of fields and some other detailed information provided in the publically available dataset may differ compared to the complete database and raw data available to JECFA.</w:t>
      </w:r>
      <w:r w:rsidRPr="00B26FA3">
        <w:t xml:space="preserve"> </w:t>
      </w:r>
      <w:r>
        <w:t>For data available in the GEMS/Foods contaminants database, 3-MCPD fatty acid esters analyses were conducted between 2010 and 2015, with the analyses for glycidyl fatty acid esters being conducted between 2012 and 2015, and the years of data analysed may have differed between FSANZ and JECFA. Data cleaning and editing, and data exclusions may have also been different depending on the purposes of the assessments.</w:t>
      </w:r>
    </w:p>
    <w:p w:rsidR="00DF777E" w:rsidRDefault="00DF777E" w:rsidP="00DF777E">
      <w:r>
        <w:t>Analytical methods have changed over time, and mitigation to decrease levels of 3-MCPD and glycidyl esters has also been occurring over time. Based on this and the assumptions and limitations noted above, a comparison of the survey results and international datasets can only provide a guide to the similarities in concentrations.</w:t>
      </w:r>
    </w:p>
    <w:p w:rsidR="00DF777E" w:rsidRDefault="00DF777E" w:rsidP="00DF777E">
      <w:r>
        <w:t xml:space="preserve">Concentrations of 3-MCPD were provided in the GEMS/Food contaminants database as </w:t>
      </w:r>
      <w:r>
        <w:rPr>
          <w:i/>
        </w:rPr>
        <w:t>3-MCPD fatty acid esters</w:t>
      </w:r>
      <w:r>
        <w:t xml:space="preserve"> and glycidol as </w:t>
      </w:r>
      <w:r>
        <w:rPr>
          <w:i/>
        </w:rPr>
        <w:t>glycidyl fatty acid esters</w:t>
      </w:r>
      <w:r>
        <w:t>. It was not known to FSANZ from the level of detail available in the publically available dataset what the analytical method was or whether the free and esterified forms are expressed as 3-MCPD and glycidol or whether free forms have been converted to the esterified form. For the purposes of comparison with the US FDA analytical dataset, FSANZ assumed that the GEMS/Foods contaminants database concentrations are in the form of 3-MCPD and glycidol.</w:t>
      </w:r>
    </w:p>
    <w:p w:rsidR="00DF777E" w:rsidRDefault="00DF777E" w:rsidP="00DF777E">
      <w:r>
        <w:t xml:space="preserve">The results from the FSANZ analysis of the GEMS/Food contaminants database data are summarised in </w:t>
      </w:r>
      <w:r>
        <w:fldChar w:fldCharType="begin"/>
      </w:r>
      <w:r>
        <w:instrText xml:space="preserve"> REF _Ref532506639 \h </w:instrText>
      </w:r>
      <w:r>
        <w:fldChar w:fldCharType="separate"/>
      </w:r>
      <w:r w:rsidR="00E73E1C">
        <w:t>Table A2.</w:t>
      </w:r>
      <w:r w:rsidR="00E73E1C">
        <w:rPr>
          <w:noProof/>
        </w:rPr>
        <w:t>2</w:t>
      </w:r>
      <w:r>
        <w:fldChar w:fldCharType="end"/>
      </w:r>
      <w:r>
        <w:t xml:space="preserve"> for 3-MCPD and </w:t>
      </w:r>
      <w:r>
        <w:fldChar w:fldCharType="begin"/>
      </w:r>
      <w:r>
        <w:instrText xml:space="preserve"> REF _Ref532506666 \h </w:instrText>
      </w:r>
      <w:r>
        <w:fldChar w:fldCharType="separate"/>
      </w:r>
      <w:r w:rsidR="00E73E1C">
        <w:t>Table A2.</w:t>
      </w:r>
      <w:r w:rsidR="00E73E1C">
        <w:rPr>
          <w:noProof/>
        </w:rPr>
        <w:t>3</w:t>
      </w:r>
      <w:r>
        <w:fldChar w:fldCharType="end"/>
      </w:r>
      <w:r>
        <w:t xml:space="preserve"> for glycidol.</w:t>
      </w:r>
    </w:p>
    <w:p w:rsidR="00B248BF" w:rsidRDefault="00B248BF">
      <w:pPr>
        <w:spacing w:after="0"/>
        <w:rPr>
          <w:rFonts w:eastAsia="Times New Roman" w:cs="Times New Roman"/>
          <w:b/>
          <w:color w:val="0E495D"/>
          <w:sz w:val="26"/>
          <w:szCs w:val="26"/>
        </w:rPr>
      </w:pPr>
      <w:r>
        <w:br w:type="page"/>
      </w:r>
    </w:p>
    <w:p w:rsidR="00DF777E" w:rsidRDefault="00DF777E" w:rsidP="00DF777E">
      <w:pPr>
        <w:pStyle w:val="Heading4"/>
      </w:pPr>
      <w:bookmarkStart w:id="66" w:name="_Toc34209393"/>
      <w:r>
        <w:lastRenderedPageBreak/>
        <w:t>3-MCPD</w:t>
      </w:r>
      <w:bookmarkEnd w:id="66"/>
    </w:p>
    <w:p w:rsidR="00DF777E" w:rsidRDefault="00DF777E" w:rsidP="00DF777E">
      <w:r>
        <w:t>The mean concentration of 3-MCPD in infant formula powder from the samples purchased in Australia and New Zealand (approx. 90 μg/kg) is lower than that for Hong Kong SAR (112 μg/kg) and Brazil (136 μg/kg). Since mean concentrations can be influenced by outliers in the data, median / P50 concentrations were also examined. The P50 concentration of 3-MCPD in samples purchased in Australia and New Zealand (approx. 60 μg/kg) is lower than that for Hong Kong SAR (87 μg/kg) and Brazil (115 μg/kg).</w:t>
      </w:r>
    </w:p>
    <w:p w:rsidR="00DF777E" w:rsidRDefault="00DF777E" w:rsidP="00DF777E">
      <w:pPr>
        <w:autoSpaceDE w:val="0"/>
        <w:autoSpaceDN w:val="0"/>
        <w:adjustRightInd w:val="0"/>
      </w:pPr>
      <w:r>
        <w:t xml:space="preserve">For concentrations of 3-MCPD in infant formula prepared ready for consumption, the mean concentration in Australian and New Zealand samples was 11.7 μg/kg. JECFA reported the mean </w:t>
      </w:r>
      <w:r w:rsidRPr="00BE7A87">
        <w:t>3-MCPD ester concentrations</w:t>
      </w:r>
      <w:r>
        <w:t xml:space="preserve"> (expressed as 3-MCPD equivalents)</w:t>
      </w:r>
      <w:r w:rsidRPr="00BE7A87">
        <w:t xml:space="preserve"> in</w:t>
      </w:r>
      <w:r>
        <w:t xml:space="preserve"> </w:t>
      </w:r>
      <w:r w:rsidRPr="00BE7A87">
        <w:t>infant formulas or follow-on formulas</w:t>
      </w:r>
      <w:r>
        <w:t xml:space="preserve"> that were used in the JECFA dietary exposure calculations in an ‘as consumed’ form. Mean concentrations ranged between not detected and 51 µg/kg. The concentrations for the non-European countries assessed (</w:t>
      </w:r>
      <w:r w:rsidRPr="00BE7A87">
        <w:t>Brazil, Canada, Japan</w:t>
      </w:r>
      <w:r>
        <w:t xml:space="preserve"> </w:t>
      </w:r>
      <w:r w:rsidRPr="00BE7A87">
        <w:t>and the USA</w:t>
      </w:r>
      <w:r>
        <w:t>) had means in the range of 19-51 µg/kg. The mean concentrations reported by JECFA for specific European countries (France, Germany, Greece, Italy, the Netherlands, Spain) were all &lt;1 µg/kg.</w:t>
      </w:r>
      <w:r w:rsidRPr="00B171D0">
        <w:t xml:space="preserve"> </w:t>
      </w:r>
      <w:r>
        <w:t>The JECFA assessment only considered data from 2012 to 2016 from the GEMS/Food contaminants database.</w:t>
      </w:r>
    </w:p>
    <w:p w:rsidR="00DF777E" w:rsidRDefault="00DF777E" w:rsidP="00DF777E">
      <w:pPr>
        <w:autoSpaceDE w:val="0"/>
        <w:autoSpaceDN w:val="0"/>
        <w:adjustRightInd w:val="0"/>
      </w:pPr>
      <w:r>
        <w:t xml:space="preserve">From the FSANZ analysis of the GEMS/Food contaminants database for formulas as consumed, the mean concentrations in the Canadian infant formula samples was 40 μg/kg, and for samples for the World </w:t>
      </w:r>
      <w:r w:rsidRPr="00161DC3">
        <w:t xml:space="preserve">Health Organization (WHO) European Region (i.e. no specific </w:t>
      </w:r>
      <w:r w:rsidRPr="001F78F7">
        <w:t xml:space="preserve">country identified) was 649 μg/kg; both higher than Australian and New Zealand samples. </w:t>
      </w:r>
      <w:r>
        <w:t>The m</w:t>
      </w:r>
      <w:r w:rsidRPr="001F78F7">
        <w:t>edian concentration for Australia and New Zealand formulas ready to consume was 7.7 μg/kg, which was lower than</w:t>
      </w:r>
      <w:r>
        <w:t xml:space="preserve"> </w:t>
      </w:r>
      <w:r w:rsidRPr="001F78F7">
        <w:t>those for the Canadian infant formula samples (28 μg/kg)</w:t>
      </w:r>
      <w:r>
        <w:t xml:space="preserve"> and the </w:t>
      </w:r>
      <w:r w:rsidRPr="001F78F7">
        <w:t>WHO European Region samples (62 μg/kg).</w:t>
      </w:r>
    </w:p>
    <w:p w:rsidR="00DF777E" w:rsidRDefault="00DF777E" w:rsidP="00DF777E">
      <w:pPr>
        <w:pStyle w:val="Heading4"/>
      </w:pPr>
      <w:bookmarkStart w:id="67" w:name="_Toc34209394"/>
      <w:r>
        <w:t>Glycidol</w:t>
      </w:r>
      <w:bookmarkEnd w:id="67"/>
    </w:p>
    <w:p w:rsidR="00DF777E" w:rsidRDefault="00DF777E" w:rsidP="00DF777E">
      <w:r>
        <w:t>The mean concentration of glycidol in infant formula powder samples purchased in Australia and New Zealand (24.9 μg/kg) is lower than that for samples from Brazil (195 μg/kg) in the GEMS/Food contaminants database. Since mean concentrations can be influenced by outliers in the data, median / P50 concentrations were also examined. The P50 concentration of glycidol in samples purchased in Australia and New Zealand (12.1 μg/kg) was lower than that for samples from Brazil (155 μg/kg).</w:t>
      </w:r>
    </w:p>
    <w:p w:rsidR="00DF777E" w:rsidRDefault="00DF777E" w:rsidP="00DF777E">
      <w:r w:rsidRPr="00232C9A">
        <w:t>The mean concentration in infant formula samples as consumed for Australia and New Zealand was 3.2 μg/kg. JECFA reported concentration data from their assessment from the GEMS/Food contaminants database (Brazil, Canada, Japan, USA) to be means between 5</w:t>
      </w:r>
      <w:r>
        <w:t> </w:t>
      </w:r>
      <w:r w:rsidRPr="00232C9A">
        <w:t>and 35 μg/kg, with an additional two published studies from Europe with means of between 11 and 17 μg/kg. From the FSANZ analysis of the GEMS/Food contaminants database for formulas as consumed, the mean concentrations in the Canadian infant formula samples</w:t>
      </w:r>
      <w:r>
        <w:t xml:space="preserve"> was 16.5 μg/kg and for WHO European Region was 41.4 μg/kg. The median concentration for Australia and New Zealand samples was 1.6 μg/kg and from the GEMS data were not detected for Canada and 13.5 μg/kg for the WHO European Region samples.</w:t>
      </w:r>
    </w:p>
    <w:p w:rsidR="00B248BF" w:rsidRDefault="00B248BF">
      <w:pPr>
        <w:spacing w:after="0"/>
        <w:rPr>
          <w:rFonts w:eastAsia="Calibri" w:cs="Times New Roman"/>
          <w:b/>
          <w:color w:val="0E495D"/>
          <w:sz w:val="38"/>
          <w:szCs w:val="38"/>
        </w:rPr>
      </w:pPr>
      <w:bookmarkStart w:id="68" w:name="_Toc32243000"/>
      <w:r>
        <w:br w:type="page"/>
      </w:r>
    </w:p>
    <w:p w:rsidR="00DF777E" w:rsidRDefault="00DF777E" w:rsidP="00B248BF">
      <w:pPr>
        <w:pStyle w:val="Heading4"/>
      </w:pPr>
      <w:bookmarkStart w:id="69" w:name="_Toc34209395"/>
      <w:r>
        <w:lastRenderedPageBreak/>
        <w:t>Conclusion</w:t>
      </w:r>
      <w:bookmarkEnd w:id="68"/>
      <w:bookmarkEnd w:id="69"/>
    </w:p>
    <w:p w:rsidR="00B248BF" w:rsidRDefault="00DF777E" w:rsidP="00B248BF">
      <w:pPr>
        <w:sectPr w:rsidR="00B248BF" w:rsidSect="00DF777E">
          <w:pgSz w:w="11906" w:h="16838"/>
          <w:pgMar w:top="1418" w:right="1418" w:bottom="1418" w:left="1418" w:header="709" w:footer="709" w:gutter="0"/>
          <w:cols w:space="708"/>
          <w:docGrid w:linePitch="360"/>
        </w:sectPr>
      </w:pPr>
      <w:r>
        <w:t>Based on the evaluation of ESR’s comparison of concentration data from this survey with international concentrations from some available literature, and the FSANZ comparison of the concentration data with international data from the GEMS/Food Contaminants Database, FSANZ concludes that the results from this survey for both 3-MCPD and glycidol in infant formula are within the range of those found internationally.</w:t>
      </w:r>
    </w:p>
    <w:p w:rsidR="00DF777E" w:rsidRDefault="00DF777E" w:rsidP="00DF777E">
      <w:pPr>
        <w:pStyle w:val="FSTableTitle"/>
        <w:keepNext/>
        <w:keepLines/>
      </w:pPr>
      <w:bookmarkStart w:id="70" w:name="_Ref531096172"/>
      <w:bookmarkStart w:id="71" w:name="_Ref532506639"/>
      <w:bookmarkStart w:id="72" w:name="_Toc531944159"/>
      <w:bookmarkEnd w:id="70"/>
      <w:r>
        <w:lastRenderedPageBreak/>
        <w:t>Table A2.</w:t>
      </w:r>
      <w:r>
        <w:rPr>
          <w:noProof/>
        </w:rPr>
        <w:fldChar w:fldCharType="begin"/>
      </w:r>
      <w:r>
        <w:rPr>
          <w:noProof/>
        </w:rPr>
        <w:instrText xml:space="preserve"> SEQ Table_A2. \* ARABIC </w:instrText>
      </w:r>
      <w:r>
        <w:rPr>
          <w:noProof/>
        </w:rPr>
        <w:fldChar w:fldCharType="separate"/>
      </w:r>
      <w:r w:rsidR="00E73E1C">
        <w:rPr>
          <w:noProof/>
        </w:rPr>
        <w:t>2</w:t>
      </w:r>
      <w:r>
        <w:rPr>
          <w:noProof/>
        </w:rPr>
        <w:fldChar w:fldCharType="end"/>
      </w:r>
      <w:bookmarkEnd w:id="71"/>
      <w:r>
        <w:t>: International 3-MCPD concentrations in infant formula, as derived by FSANZ using the GEMS/Food contaminants database</w:t>
      </w:r>
      <w:bookmarkEnd w:id="72"/>
    </w:p>
    <w:p w:rsidR="00B248BF" w:rsidRPr="00B248BF" w:rsidRDefault="00B248BF" w:rsidP="00B248BF">
      <w:pPr>
        <w:rPr>
          <w:highlight w:val="yellow"/>
          <w:lang w:val="en-GB" w:bidi="en-US"/>
        </w:rPr>
      </w:pPr>
    </w:p>
    <w:tbl>
      <w:tblPr>
        <w:tblStyle w:val="Table"/>
        <w:tblW w:w="12109" w:type="dxa"/>
        <w:tblLayout w:type="fixed"/>
        <w:tblLook w:val="04A0" w:firstRow="1" w:lastRow="0" w:firstColumn="1" w:lastColumn="0" w:noHBand="0" w:noVBand="1"/>
        <w:tblDescription w:val="Mean concentrations of 3-MCPD and glycicol in 'as prepared' infant formula for the ESR analytical dataset and the US FDA dataset. Concentrations are in ug per kg infant formula units."/>
      </w:tblPr>
      <w:tblGrid>
        <w:gridCol w:w="1985"/>
        <w:gridCol w:w="2410"/>
        <w:gridCol w:w="1701"/>
        <w:gridCol w:w="1701"/>
        <w:gridCol w:w="1437"/>
        <w:gridCol w:w="1437"/>
        <w:gridCol w:w="1438"/>
      </w:tblGrid>
      <w:tr w:rsidR="00B248BF" w:rsidRPr="00B248BF" w:rsidTr="00B248BF">
        <w:trPr>
          <w:cnfStyle w:val="100000000000" w:firstRow="1" w:lastRow="0" w:firstColumn="0" w:lastColumn="0" w:oddVBand="0" w:evenVBand="0" w:oddHBand="0" w:evenHBand="0" w:firstRowFirstColumn="0" w:firstRowLastColumn="0" w:lastRowFirstColumn="0" w:lastRowLastColumn="0"/>
          <w:trHeight w:val="300"/>
        </w:trPr>
        <w:tc>
          <w:tcPr>
            <w:tcW w:w="1985" w:type="dxa"/>
            <w:shd w:val="clear" w:color="auto" w:fill="7F7F7F" w:themeFill="text1" w:themeFillTint="80"/>
            <w:noWrap/>
            <w:hideMark/>
          </w:tcPr>
          <w:p w:rsidR="00DF777E" w:rsidRPr="00B248BF" w:rsidRDefault="00DF777E" w:rsidP="00B248BF">
            <w:pPr>
              <w:keepNext/>
              <w:keepLines/>
              <w:spacing w:after="120"/>
              <w:rPr>
                <w:rFonts w:cs="Arial"/>
                <w:lang w:eastAsia="en-GB"/>
              </w:rPr>
            </w:pPr>
          </w:p>
        </w:tc>
        <w:tc>
          <w:tcPr>
            <w:tcW w:w="2410" w:type="dxa"/>
            <w:shd w:val="clear" w:color="auto" w:fill="7F7F7F" w:themeFill="text1" w:themeFillTint="80"/>
            <w:noWrap/>
            <w:hideMark/>
          </w:tcPr>
          <w:p w:rsidR="00DF777E" w:rsidRPr="00B248BF" w:rsidRDefault="00DF777E" w:rsidP="00B248BF">
            <w:pPr>
              <w:keepNext/>
              <w:keepLines/>
              <w:spacing w:after="120"/>
              <w:rPr>
                <w:rFonts w:cs="Arial"/>
                <w:lang w:eastAsia="en-GB"/>
              </w:rPr>
            </w:pPr>
          </w:p>
        </w:tc>
        <w:tc>
          <w:tcPr>
            <w:tcW w:w="1701" w:type="dxa"/>
            <w:shd w:val="clear" w:color="auto" w:fill="7F7F7F" w:themeFill="text1" w:themeFillTint="80"/>
          </w:tcPr>
          <w:p w:rsidR="00DF777E" w:rsidRPr="00B248BF" w:rsidRDefault="00DF777E" w:rsidP="00B248BF">
            <w:pPr>
              <w:keepNext/>
              <w:keepLines/>
              <w:spacing w:after="120"/>
              <w:jc w:val="center"/>
              <w:rPr>
                <w:rFonts w:cs="Arial"/>
                <w:lang w:eastAsia="en-GB"/>
              </w:rPr>
            </w:pPr>
          </w:p>
        </w:tc>
        <w:tc>
          <w:tcPr>
            <w:tcW w:w="1701" w:type="dxa"/>
            <w:shd w:val="clear" w:color="auto" w:fill="7F7F7F" w:themeFill="text1" w:themeFillTint="80"/>
          </w:tcPr>
          <w:p w:rsidR="00DF777E" w:rsidRPr="00B248BF" w:rsidRDefault="00DF777E" w:rsidP="00B248BF">
            <w:pPr>
              <w:keepNext/>
              <w:keepLines/>
              <w:spacing w:after="120"/>
              <w:jc w:val="center"/>
              <w:rPr>
                <w:rFonts w:cs="Arial"/>
                <w:lang w:eastAsia="en-GB"/>
              </w:rPr>
            </w:pPr>
          </w:p>
        </w:tc>
        <w:tc>
          <w:tcPr>
            <w:tcW w:w="4312" w:type="dxa"/>
            <w:gridSpan w:val="3"/>
            <w:shd w:val="clear" w:color="auto" w:fill="7F7F7F" w:themeFill="text1" w:themeFillTint="80"/>
            <w:noWrap/>
            <w:hideMark/>
          </w:tcPr>
          <w:p w:rsidR="00DF777E" w:rsidRPr="00B248BF" w:rsidRDefault="00DF777E" w:rsidP="00B248BF">
            <w:pPr>
              <w:keepNext/>
              <w:keepLines/>
              <w:spacing w:after="120"/>
              <w:jc w:val="center"/>
              <w:rPr>
                <w:rFonts w:cs="Arial"/>
                <w:lang w:eastAsia="en-GB"/>
              </w:rPr>
            </w:pPr>
            <w:r w:rsidRPr="00B248BF">
              <w:rPr>
                <w:rFonts w:cs="Arial"/>
                <w:lang w:eastAsia="en-GB"/>
              </w:rPr>
              <w:t>3-MCPD fatty acid esters concentration (μg / kg)</w:t>
            </w:r>
            <w:r w:rsidRPr="00B248BF">
              <w:rPr>
                <w:rFonts w:cs="Arial"/>
                <w:sz w:val="28"/>
                <w:vertAlign w:val="superscript"/>
                <w:lang w:eastAsia="en-GB"/>
              </w:rPr>
              <w:t>*</w:t>
            </w:r>
            <w:r w:rsidRPr="00B248BF">
              <w:rPr>
                <w:rFonts w:cs="Arial"/>
                <w:sz w:val="28"/>
                <w:vertAlign w:val="superscript"/>
                <w:lang w:eastAsia="en-GB"/>
              </w:rPr>
              <w:sym w:font="Wingdings" w:char="F0A9"/>
            </w:r>
          </w:p>
        </w:tc>
      </w:tr>
      <w:tr w:rsidR="00B248BF" w:rsidRPr="00B248BF" w:rsidTr="00B248BF">
        <w:trPr>
          <w:cnfStyle w:val="000000100000" w:firstRow="0" w:lastRow="0" w:firstColumn="0" w:lastColumn="0" w:oddVBand="0" w:evenVBand="0" w:oddHBand="1" w:evenHBand="0" w:firstRowFirstColumn="0" w:firstRowLastColumn="0" w:lastRowFirstColumn="0" w:lastRowLastColumn="0"/>
          <w:trHeight w:val="300"/>
        </w:trPr>
        <w:tc>
          <w:tcPr>
            <w:tcW w:w="1985" w:type="dxa"/>
            <w:shd w:val="clear" w:color="auto" w:fill="7F7F7F" w:themeFill="text1" w:themeFillTint="80"/>
            <w:noWrap/>
          </w:tcPr>
          <w:p w:rsidR="00DF777E" w:rsidRPr="00B248BF" w:rsidRDefault="00DF777E" w:rsidP="00B248BF">
            <w:pPr>
              <w:keepNext/>
              <w:keepLines/>
              <w:spacing w:after="120"/>
              <w:rPr>
                <w:rFonts w:cs="Arial"/>
                <w:color w:val="FFFFFF" w:themeColor="background1"/>
                <w:lang w:eastAsia="en-GB"/>
              </w:rPr>
            </w:pPr>
            <w:r w:rsidRPr="00B248BF">
              <w:rPr>
                <w:rFonts w:cs="Arial"/>
                <w:color w:val="FFFFFF" w:themeColor="background1"/>
                <w:lang w:eastAsia="en-GB"/>
              </w:rPr>
              <w:t>Country</w:t>
            </w:r>
          </w:p>
        </w:tc>
        <w:tc>
          <w:tcPr>
            <w:tcW w:w="2410" w:type="dxa"/>
            <w:shd w:val="clear" w:color="auto" w:fill="7F7F7F" w:themeFill="text1" w:themeFillTint="80"/>
            <w:noWrap/>
          </w:tcPr>
          <w:p w:rsidR="00DF777E" w:rsidRPr="00B248BF" w:rsidRDefault="00DF777E" w:rsidP="00B248BF">
            <w:pPr>
              <w:keepNext/>
              <w:keepLines/>
              <w:spacing w:after="120"/>
              <w:rPr>
                <w:rFonts w:cs="Arial"/>
                <w:color w:val="FFFFFF" w:themeColor="background1"/>
                <w:lang w:eastAsia="en-GB"/>
              </w:rPr>
            </w:pPr>
            <w:r w:rsidRPr="00B248BF">
              <w:rPr>
                <w:rFonts w:cs="Arial"/>
                <w:color w:val="FFFFFF" w:themeColor="background1"/>
                <w:lang w:eastAsia="en-GB"/>
              </w:rPr>
              <w:t>Food</w:t>
            </w:r>
          </w:p>
        </w:tc>
        <w:tc>
          <w:tcPr>
            <w:tcW w:w="1701" w:type="dxa"/>
            <w:shd w:val="clear" w:color="auto" w:fill="7F7F7F" w:themeFill="text1" w:themeFillTint="80"/>
          </w:tcPr>
          <w:p w:rsidR="00DF777E" w:rsidRPr="00B248BF" w:rsidRDefault="00DF777E" w:rsidP="00B248BF">
            <w:pPr>
              <w:keepNext/>
              <w:keepLines/>
              <w:spacing w:after="120"/>
              <w:rPr>
                <w:rFonts w:cs="Arial"/>
                <w:color w:val="FFFFFF" w:themeColor="background1"/>
                <w:lang w:eastAsia="en-GB"/>
              </w:rPr>
            </w:pPr>
            <w:r w:rsidRPr="00B248BF">
              <w:rPr>
                <w:rFonts w:cs="Arial"/>
                <w:color w:val="FFFFFF" w:themeColor="background1"/>
                <w:lang w:eastAsia="en-GB"/>
              </w:rPr>
              <w:t>Form of food</w:t>
            </w:r>
            <w:r w:rsidRPr="00B248BF">
              <w:rPr>
                <w:rFonts w:cs="Arial"/>
                <w:color w:val="FFFFFF" w:themeColor="background1"/>
                <w:vertAlign w:val="superscript"/>
                <w:lang w:eastAsia="en-GB"/>
              </w:rPr>
              <w:sym w:font="Wingdings" w:char="F074"/>
            </w:r>
          </w:p>
        </w:tc>
        <w:tc>
          <w:tcPr>
            <w:tcW w:w="1701" w:type="dxa"/>
            <w:shd w:val="clear" w:color="auto" w:fill="7F7F7F" w:themeFill="text1" w:themeFillTint="80"/>
          </w:tcPr>
          <w:p w:rsidR="00DF777E" w:rsidRPr="00B248BF" w:rsidRDefault="00DF777E" w:rsidP="00B248BF">
            <w:pPr>
              <w:keepNext/>
              <w:keepLines/>
              <w:spacing w:after="120"/>
              <w:jc w:val="center"/>
              <w:rPr>
                <w:rFonts w:cs="Arial"/>
                <w:color w:val="FFFFFF" w:themeColor="background1"/>
                <w:lang w:eastAsia="en-GB"/>
              </w:rPr>
            </w:pPr>
            <w:r w:rsidRPr="00B248BF">
              <w:rPr>
                <w:rFonts w:cs="Arial"/>
                <w:color w:val="FFFFFF" w:themeColor="background1"/>
                <w:lang w:eastAsia="en-GB"/>
              </w:rPr>
              <w:t>No. samples</w:t>
            </w:r>
          </w:p>
        </w:tc>
        <w:tc>
          <w:tcPr>
            <w:tcW w:w="1437" w:type="dxa"/>
            <w:shd w:val="clear" w:color="auto" w:fill="7F7F7F" w:themeFill="text1" w:themeFillTint="80"/>
            <w:noWrap/>
            <w:hideMark/>
          </w:tcPr>
          <w:p w:rsidR="00DF777E" w:rsidRPr="00B248BF" w:rsidRDefault="00DF777E" w:rsidP="00B248BF">
            <w:pPr>
              <w:keepNext/>
              <w:keepLines/>
              <w:spacing w:after="120"/>
              <w:jc w:val="center"/>
              <w:rPr>
                <w:rFonts w:cs="Arial"/>
                <w:color w:val="FFFFFF" w:themeColor="background1"/>
                <w:lang w:eastAsia="en-GB"/>
              </w:rPr>
            </w:pPr>
            <w:r w:rsidRPr="00B248BF">
              <w:rPr>
                <w:rFonts w:cs="Arial"/>
                <w:color w:val="FFFFFF" w:themeColor="background1"/>
                <w:lang w:eastAsia="en-GB"/>
              </w:rPr>
              <w:t>Mean</w:t>
            </w:r>
          </w:p>
        </w:tc>
        <w:tc>
          <w:tcPr>
            <w:tcW w:w="1437" w:type="dxa"/>
            <w:shd w:val="clear" w:color="auto" w:fill="7F7F7F" w:themeFill="text1" w:themeFillTint="80"/>
            <w:noWrap/>
            <w:hideMark/>
          </w:tcPr>
          <w:p w:rsidR="00DF777E" w:rsidRPr="00B248BF" w:rsidRDefault="00DF777E" w:rsidP="00B248BF">
            <w:pPr>
              <w:keepNext/>
              <w:keepLines/>
              <w:spacing w:after="120"/>
              <w:jc w:val="center"/>
              <w:rPr>
                <w:rFonts w:cs="Arial"/>
                <w:color w:val="FFFFFF" w:themeColor="background1"/>
                <w:lang w:eastAsia="en-GB"/>
              </w:rPr>
            </w:pPr>
            <w:r w:rsidRPr="00B248BF">
              <w:rPr>
                <w:rFonts w:cs="Arial"/>
                <w:color w:val="FFFFFF" w:themeColor="background1"/>
                <w:lang w:eastAsia="en-GB"/>
              </w:rPr>
              <w:t>P50</w:t>
            </w:r>
          </w:p>
        </w:tc>
        <w:tc>
          <w:tcPr>
            <w:tcW w:w="1438" w:type="dxa"/>
            <w:shd w:val="clear" w:color="auto" w:fill="7F7F7F" w:themeFill="text1" w:themeFillTint="80"/>
          </w:tcPr>
          <w:p w:rsidR="00DF777E" w:rsidRPr="00B248BF" w:rsidRDefault="00DF777E" w:rsidP="00B248BF">
            <w:pPr>
              <w:keepNext/>
              <w:keepLines/>
              <w:spacing w:after="120"/>
              <w:jc w:val="center"/>
              <w:rPr>
                <w:rFonts w:cs="Arial"/>
                <w:color w:val="FFFFFF" w:themeColor="background1"/>
                <w:lang w:eastAsia="en-GB"/>
              </w:rPr>
            </w:pPr>
            <w:r w:rsidRPr="00B248BF">
              <w:rPr>
                <w:rFonts w:cs="Arial"/>
                <w:color w:val="FFFFFF" w:themeColor="background1"/>
                <w:lang w:eastAsia="en-GB"/>
              </w:rPr>
              <w:t>Range</w:t>
            </w:r>
          </w:p>
        </w:tc>
      </w:tr>
      <w:tr w:rsidR="00DF777E" w:rsidRPr="00F8291B" w:rsidTr="00B248BF">
        <w:trPr>
          <w:cnfStyle w:val="000000010000" w:firstRow="0" w:lastRow="0" w:firstColumn="0" w:lastColumn="0" w:oddVBand="0" w:evenVBand="0" w:oddHBand="0" w:evenHBand="1" w:firstRowFirstColumn="0" w:firstRowLastColumn="0" w:lastRowFirstColumn="0" w:lastRowLastColumn="0"/>
          <w:trHeight w:val="300"/>
        </w:trPr>
        <w:tc>
          <w:tcPr>
            <w:tcW w:w="1985" w:type="dxa"/>
            <w:noWrap/>
          </w:tcPr>
          <w:p w:rsidR="00DF777E" w:rsidRPr="00F82DCD" w:rsidRDefault="00DF777E" w:rsidP="00B248BF">
            <w:pPr>
              <w:keepNext/>
              <w:keepLines/>
              <w:spacing w:after="120"/>
              <w:rPr>
                <w:rFonts w:cs="Arial"/>
                <w:color w:val="000000"/>
                <w:lang w:eastAsia="en-GB"/>
              </w:rPr>
            </w:pPr>
            <w:r w:rsidRPr="00F82DCD">
              <w:rPr>
                <w:rFonts w:cs="Arial"/>
                <w:color w:val="000000"/>
                <w:lang w:eastAsia="en-GB"/>
              </w:rPr>
              <w:t>WHO European Region</w:t>
            </w:r>
          </w:p>
        </w:tc>
        <w:tc>
          <w:tcPr>
            <w:tcW w:w="2410" w:type="dxa"/>
            <w:noWrap/>
          </w:tcPr>
          <w:p w:rsidR="00DF777E" w:rsidRPr="00F82DCD" w:rsidRDefault="00DF777E" w:rsidP="00B248BF">
            <w:pPr>
              <w:keepNext/>
              <w:keepLines/>
              <w:spacing w:after="120"/>
              <w:rPr>
                <w:rFonts w:cs="Arial"/>
                <w:color w:val="000000"/>
                <w:lang w:eastAsia="en-GB"/>
              </w:rPr>
            </w:pPr>
            <w:r w:rsidRPr="00F82DCD">
              <w:rPr>
                <w:rFonts w:cs="Arial"/>
              </w:rPr>
              <w:t>Infant formulae powder</w:t>
            </w:r>
          </w:p>
        </w:tc>
        <w:tc>
          <w:tcPr>
            <w:tcW w:w="1701" w:type="dxa"/>
          </w:tcPr>
          <w:p w:rsidR="00DF777E" w:rsidRPr="00F82DCD" w:rsidRDefault="00DF777E" w:rsidP="00B248BF">
            <w:pPr>
              <w:keepNext/>
              <w:keepLines/>
              <w:spacing w:after="120"/>
              <w:rPr>
                <w:rFonts w:cs="Arial"/>
                <w:color w:val="000000"/>
                <w:lang w:eastAsia="en-GB"/>
              </w:rPr>
            </w:pPr>
            <w:r w:rsidRPr="00F82DCD">
              <w:rPr>
                <w:rFonts w:cs="Arial"/>
                <w:color w:val="000000"/>
                <w:lang w:eastAsia="en-GB"/>
              </w:rPr>
              <w:t>‘As consumed’</w:t>
            </w:r>
          </w:p>
        </w:tc>
        <w:tc>
          <w:tcPr>
            <w:tcW w:w="1701" w:type="dxa"/>
          </w:tcPr>
          <w:p w:rsidR="00DF777E" w:rsidRPr="00F82DCD" w:rsidRDefault="00DF777E" w:rsidP="00B248BF">
            <w:pPr>
              <w:keepNext/>
              <w:keepLines/>
              <w:tabs>
                <w:tab w:val="decimal" w:pos="742"/>
              </w:tabs>
              <w:spacing w:after="120"/>
              <w:rPr>
                <w:rFonts w:cs="Arial"/>
                <w:color w:val="000000"/>
                <w:lang w:eastAsia="en-GB"/>
              </w:rPr>
            </w:pPr>
            <w:r w:rsidRPr="00F82DCD">
              <w:rPr>
                <w:rFonts w:cs="Arial"/>
                <w:color w:val="000000"/>
                <w:lang w:eastAsia="en-GB"/>
              </w:rPr>
              <w:t>49</w:t>
            </w:r>
          </w:p>
        </w:tc>
        <w:tc>
          <w:tcPr>
            <w:tcW w:w="1437" w:type="dxa"/>
            <w:noWrap/>
          </w:tcPr>
          <w:p w:rsidR="00DF777E" w:rsidRPr="00F82DCD" w:rsidRDefault="00DF777E" w:rsidP="00B248BF">
            <w:pPr>
              <w:keepNext/>
              <w:keepLines/>
              <w:tabs>
                <w:tab w:val="decimal" w:pos="782"/>
              </w:tabs>
              <w:spacing w:after="120"/>
              <w:rPr>
                <w:rFonts w:cs="Arial"/>
                <w:color w:val="000000"/>
                <w:lang w:eastAsia="en-GB"/>
              </w:rPr>
            </w:pPr>
            <w:r w:rsidRPr="00F82DCD">
              <w:rPr>
                <w:rFonts w:cs="Arial"/>
                <w:color w:val="000000"/>
                <w:lang w:eastAsia="en-GB"/>
              </w:rPr>
              <w:t>649</w:t>
            </w:r>
          </w:p>
        </w:tc>
        <w:tc>
          <w:tcPr>
            <w:tcW w:w="1437" w:type="dxa"/>
            <w:noWrap/>
          </w:tcPr>
          <w:p w:rsidR="00DF777E" w:rsidRPr="00F82DCD" w:rsidRDefault="00DF777E" w:rsidP="00B248BF">
            <w:pPr>
              <w:keepNext/>
              <w:keepLines/>
              <w:tabs>
                <w:tab w:val="decimal" w:pos="726"/>
              </w:tabs>
              <w:spacing w:after="120"/>
              <w:rPr>
                <w:rFonts w:cs="Arial"/>
                <w:color w:val="000000"/>
                <w:lang w:eastAsia="en-GB"/>
              </w:rPr>
            </w:pPr>
            <w:r w:rsidRPr="00F82DCD">
              <w:rPr>
                <w:rFonts w:cs="Arial"/>
                <w:color w:val="000000"/>
                <w:lang w:eastAsia="en-GB"/>
              </w:rPr>
              <w:t>62</w:t>
            </w:r>
          </w:p>
        </w:tc>
        <w:tc>
          <w:tcPr>
            <w:tcW w:w="1438" w:type="dxa"/>
          </w:tcPr>
          <w:p w:rsidR="00DF777E" w:rsidRPr="00F82DCD" w:rsidRDefault="00DF777E" w:rsidP="00B248BF">
            <w:pPr>
              <w:keepNext/>
              <w:keepLines/>
              <w:spacing w:after="120"/>
              <w:jc w:val="center"/>
              <w:rPr>
                <w:rFonts w:cs="Arial"/>
                <w:color w:val="000000"/>
                <w:lang w:eastAsia="en-GB"/>
              </w:rPr>
            </w:pPr>
            <w:r w:rsidRPr="00F82DCD">
              <w:rPr>
                <w:rFonts w:cs="Arial"/>
                <w:color w:val="000000"/>
                <w:lang w:eastAsia="en-GB"/>
              </w:rPr>
              <w:t>ND – 3,030</w:t>
            </w:r>
          </w:p>
        </w:tc>
      </w:tr>
      <w:tr w:rsidR="00DF777E" w:rsidRPr="00F8291B" w:rsidTr="00B248BF">
        <w:trPr>
          <w:cnfStyle w:val="000000100000" w:firstRow="0" w:lastRow="0" w:firstColumn="0" w:lastColumn="0" w:oddVBand="0" w:evenVBand="0" w:oddHBand="1" w:evenHBand="0" w:firstRowFirstColumn="0" w:firstRowLastColumn="0" w:lastRowFirstColumn="0" w:lastRowLastColumn="0"/>
          <w:trHeight w:val="300"/>
        </w:trPr>
        <w:tc>
          <w:tcPr>
            <w:tcW w:w="1985" w:type="dxa"/>
            <w:noWrap/>
          </w:tcPr>
          <w:p w:rsidR="00DF777E" w:rsidRPr="00F82DCD" w:rsidRDefault="00DF777E" w:rsidP="00B248BF">
            <w:pPr>
              <w:keepNext/>
              <w:keepLines/>
              <w:spacing w:after="120"/>
              <w:rPr>
                <w:rFonts w:cs="Arial"/>
                <w:color w:val="000000"/>
                <w:lang w:eastAsia="en-GB"/>
              </w:rPr>
            </w:pPr>
            <w:r w:rsidRPr="00F82DCD">
              <w:rPr>
                <w:rFonts w:cs="Arial"/>
                <w:color w:val="000000"/>
                <w:lang w:eastAsia="en-GB"/>
              </w:rPr>
              <w:t>Canada</w:t>
            </w:r>
          </w:p>
        </w:tc>
        <w:tc>
          <w:tcPr>
            <w:tcW w:w="2410" w:type="dxa"/>
            <w:noWrap/>
          </w:tcPr>
          <w:p w:rsidR="00DF777E" w:rsidRPr="00F82DCD" w:rsidRDefault="00DF777E" w:rsidP="00B248BF">
            <w:pPr>
              <w:keepNext/>
              <w:keepLines/>
              <w:spacing w:after="120"/>
              <w:rPr>
                <w:rFonts w:cs="Arial"/>
                <w:color w:val="000000"/>
                <w:lang w:eastAsia="en-GB"/>
              </w:rPr>
            </w:pPr>
            <w:r w:rsidRPr="00F82DCD">
              <w:rPr>
                <w:rFonts w:cs="Arial"/>
              </w:rPr>
              <w:t>Infant formulae powder</w:t>
            </w:r>
          </w:p>
        </w:tc>
        <w:tc>
          <w:tcPr>
            <w:tcW w:w="1701" w:type="dxa"/>
          </w:tcPr>
          <w:p w:rsidR="00DF777E" w:rsidRPr="00F82DCD" w:rsidRDefault="00DF777E" w:rsidP="00B248BF">
            <w:pPr>
              <w:keepNext/>
              <w:keepLines/>
              <w:spacing w:after="120"/>
              <w:rPr>
                <w:rFonts w:cs="Arial"/>
                <w:color w:val="000000"/>
                <w:lang w:eastAsia="en-GB"/>
              </w:rPr>
            </w:pPr>
            <w:r w:rsidRPr="00F82DCD">
              <w:rPr>
                <w:rFonts w:cs="Arial"/>
                <w:color w:val="000000"/>
                <w:lang w:eastAsia="en-GB"/>
              </w:rPr>
              <w:t>‘As consumed’</w:t>
            </w:r>
          </w:p>
        </w:tc>
        <w:tc>
          <w:tcPr>
            <w:tcW w:w="1701" w:type="dxa"/>
          </w:tcPr>
          <w:p w:rsidR="00DF777E" w:rsidRPr="00F82DCD" w:rsidRDefault="00DF777E" w:rsidP="00B248BF">
            <w:pPr>
              <w:keepNext/>
              <w:keepLines/>
              <w:tabs>
                <w:tab w:val="decimal" w:pos="742"/>
              </w:tabs>
              <w:spacing w:after="120"/>
              <w:rPr>
                <w:rFonts w:cs="Arial"/>
                <w:color w:val="000000"/>
                <w:lang w:eastAsia="en-GB"/>
              </w:rPr>
            </w:pPr>
            <w:r w:rsidRPr="00F82DCD">
              <w:rPr>
                <w:rFonts w:cs="Arial"/>
                <w:color w:val="000000"/>
                <w:lang w:eastAsia="en-GB"/>
              </w:rPr>
              <w:t>21</w:t>
            </w:r>
          </w:p>
        </w:tc>
        <w:tc>
          <w:tcPr>
            <w:tcW w:w="1437" w:type="dxa"/>
            <w:noWrap/>
          </w:tcPr>
          <w:p w:rsidR="00DF777E" w:rsidRPr="00F82DCD" w:rsidRDefault="00DF777E" w:rsidP="00B248BF">
            <w:pPr>
              <w:keepNext/>
              <w:keepLines/>
              <w:tabs>
                <w:tab w:val="decimal" w:pos="782"/>
              </w:tabs>
              <w:spacing w:after="120"/>
              <w:rPr>
                <w:rFonts w:cs="Arial"/>
                <w:color w:val="000000"/>
                <w:lang w:eastAsia="en-GB"/>
              </w:rPr>
            </w:pPr>
            <w:r w:rsidRPr="00F82DCD">
              <w:rPr>
                <w:rFonts w:cs="Arial"/>
                <w:color w:val="000000"/>
                <w:lang w:eastAsia="en-GB"/>
              </w:rPr>
              <w:t>40</w:t>
            </w:r>
          </w:p>
        </w:tc>
        <w:tc>
          <w:tcPr>
            <w:tcW w:w="1437" w:type="dxa"/>
            <w:noWrap/>
          </w:tcPr>
          <w:p w:rsidR="00DF777E" w:rsidRPr="00F82DCD" w:rsidRDefault="00DF777E" w:rsidP="00B248BF">
            <w:pPr>
              <w:keepNext/>
              <w:keepLines/>
              <w:tabs>
                <w:tab w:val="decimal" w:pos="726"/>
              </w:tabs>
              <w:spacing w:after="120"/>
              <w:rPr>
                <w:rFonts w:cs="Arial"/>
                <w:color w:val="000000"/>
                <w:lang w:eastAsia="en-GB"/>
              </w:rPr>
            </w:pPr>
            <w:r w:rsidRPr="00F82DCD">
              <w:rPr>
                <w:rFonts w:cs="Arial"/>
                <w:color w:val="000000"/>
                <w:lang w:eastAsia="en-GB"/>
              </w:rPr>
              <w:t>28</w:t>
            </w:r>
          </w:p>
        </w:tc>
        <w:tc>
          <w:tcPr>
            <w:tcW w:w="1438" w:type="dxa"/>
          </w:tcPr>
          <w:p w:rsidR="00DF777E" w:rsidRPr="00F82DCD" w:rsidRDefault="00DF777E" w:rsidP="00B248BF">
            <w:pPr>
              <w:keepNext/>
              <w:keepLines/>
              <w:spacing w:after="120"/>
              <w:jc w:val="center"/>
              <w:rPr>
                <w:rFonts w:cs="Arial"/>
                <w:color w:val="000000"/>
                <w:lang w:eastAsia="en-GB"/>
              </w:rPr>
            </w:pPr>
            <w:r w:rsidRPr="00F82DCD">
              <w:rPr>
                <w:rFonts w:cs="Arial"/>
                <w:color w:val="000000"/>
                <w:lang w:eastAsia="en-GB"/>
              </w:rPr>
              <w:t>0 – 89</w:t>
            </w:r>
          </w:p>
        </w:tc>
      </w:tr>
      <w:tr w:rsidR="00DF777E" w:rsidRPr="00F8291B" w:rsidTr="00B248BF">
        <w:trPr>
          <w:cnfStyle w:val="000000010000" w:firstRow="0" w:lastRow="0" w:firstColumn="0" w:lastColumn="0" w:oddVBand="0" w:evenVBand="0" w:oddHBand="0" w:evenHBand="1" w:firstRowFirstColumn="0" w:firstRowLastColumn="0" w:lastRowFirstColumn="0" w:lastRowLastColumn="0"/>
          <w:trHeight w:val="300"/>
        </w:trPr>
        <w:tc>
          <w:tcPr>
            <w:tcW w:w="1985" w:type="dxa"/>
            <w:noWrap/>
          </w:tcPr>
          <w:p w:rsidR="00DF777E" w:rsidRPr="00F82DCD" w:rsidRDefault="00DF777E" w:rsidP="00B248BF">
            <w:pPr>
              <w:keepNext/>
              <w:keepLines/>
              <w:spacing w:after="120"/>
              <w:rPr>
                <w:rFonts w:cs="Arial"/>
                <w:color w:val="000000"/>
                <w:lang w:eastAsia="en-GB"/>
              </w:rPr>
            </w:pPr>
            <w:r>
              <w:rPr>
                <w:rFonts w:cs="Arial"/>
                <w:color w:val="000000"/>
                <w:lang w:eastAsia="en-GB"/>
              </w:rPr>
              <w:t>Brazil</w:t>
            </w:r>
          </w:p>
        </w:tc>
        <w:tc>
          <w:tcPr>
            <w:tcW w:w="2410" w:type="dxa"/>
            <w:noWrap/>
          </w:tcPr>
          <w:p w:rsidR="00DF777E" w:rsidRPr="00F82DCD" w:rsidRDefault="00DF777E" w:rsidP="00B248BF">
            <w:pPr>
              <w:keepNext/>
              <w:keepLines/>
              <w:spacing w:after="120"/>
              <w:rPr>
                <w:rFonts w:cs="Arial"/>
              </w:rPr>
            </w:pPr>
            <w:r>
              <w:rPr>
                <w:rFonts w:cs="Arial"/>
              </w:rPr>
              <w:t>Infant formulae powder</w:t>
            </w:r>
          </w:p>
        </w:tc>
        <w:tc>
          <w:tcPr>
            <w:tcW w:w="1701" w:type="dxa"/>
          </w:tcPr>
          <w:p w:rsidR="00DF777E" w:rsidRPr="00F82DCD" w:rsidRDefault="00DF777E" w:rsidP="00B248BF">
            <w:pPr>
              <w:keepNext/>
              <w:keepLines/>
              <w:spacing w:after="120"/>
              <w:rPr>
                <w:rFonts w:cs="Arial"/>
                <w:color w:val="000000"/>
                <w:lang w:eastAsia="en-GB"/>
              </w:rPr>
            </w:pPr>
            <w:r>
              <w:rPr>
                <w:rFonts w:cs="Arial"/>
                <w:color w:val="000000"/>
                <w:lang w:eastAsia="en-GB"/>
              </w:rPr>
              <w:t>‘As is’</w:t>
            </w:r>
          </w:p>
        </w:tc>
        <w:tc>
          <w:tcPr>
            <w:tcW w:w="1701" w:type="dxa"/>
          </w:tcPr>
          <w:p w:rsidR="00DF777E" w:rsidRPr="00F82DCD" w:rsidRDefault="00DF777E" w:rsidP="00B248BF">
            <w:pPr>
              <w:keepNext/>
              <w:keepLines/>
              <w:tabs>
                <w:tab w:val="decimal" w:pos="742"/>
              </w:tabs>
              <w:spacing w:after="120"/>
              <w:rPr>
                <w:rFonts w:cs="Arial"/>
                <w:color w:val="000000"/>
                <w:lang w:eastAsia="en-GB"/>
              </w:rPr>
            </w:pPr>
            <w:r>
              <w:rPr>
                <w:rFonts w:cs="Arial"/>
                <w:color w:val="000000"/>
                <w:lang w:eastAsia="en-GB"/>
              </w:rPr>
              <w:t>40</w:t>
            </w:r>
          </w:p>
        </w:tc>
        <w:tc>
          <w:tcPr>
            <w:tcW w:w="1437" w:type="dxa"/>
            <w:noWrap/>
          </w:tcPr>
          <w:p w:rsidR="00DF777E" w:rsidRPr="00F82DCD" w:rsidRDefault="00DF777E" w:rsidP="00B248BF">
            <w:pPr>
              <w:keepNext/>
              <w:keepLines/>
              <w:tabs>
                <w:tab w:val="decimal" w:pos="782"/>
              </w:tabs>
              <w:spacing w:after="120"/>
              <w:rPr>
                <w:rFonts w:cs="Arial"/>
                <w:color w:val="000000"/>
                <w:lang w:eastAsia="en-GB"/>
              </w:rPr>
            </w:pPr>
            <w:r>
              <w:rPr>
                <w:rFonts w:cs="Arial"/>
                <w:color w:val="000000"/>
                <w:lang w:eastAsia="en-GB"/>
              </w:rPr>
              <w:t>136</w:t>
            </w:r>
          </w:p>
        </w:tc>
        <w:tc>
          <w:tcPr>
            <w:tcW w:w="1437" w:type="dxa"/>
            <w:noWrap/>
          </w:tcPr>
          <w:p w:rsidR="00DF777E" w:rsidRPr="00F82DCD" w:rsidRDefault="00DF777E" w:rsidP="00B248BF">
            <w:pPr>
              <w:keepNext/>
              <w:keepLines/>
              <w:tabs>
                <w:tab w:val="decimal" w:pos="726"/>
              </w:tabs>
              <w:spacing w:after="120"/>
              <w:rPr>
                <w:rFonts w:cs="Arial"/>
                <w:color w:val="000000"/>
                <w:lang w:eastAsia="en-GB"/>
              </w:rPr>
            </w:pPr>
            <w:r>
              <w:rPr>
                <w:rFonts w:cs="Arial"/>
                <w:color w:val="000000"/>
                <w:lang w:eastAsia="en-GB"/>
              </w:rPr>
              <w:t>115</w:t>
            </w:r>
          </w:p>
        </w:tc>
        <w:tc>
          <w:tcPr>
            <w:tcW w:w="1438" w:type="dxa"/>
          </w:tcPr>
          <w:p w:rsidR="00DF777E" w:rsidRPr="00F82DCD" w:rsidRDefault="00DF777E" w:rsidP="00B248BF">
            <w:pPr>
              <w:keepNext/>
              <w:keepLines/>
              <w:spacing w:after="120"/>
              <w:jc w:val="center"/>
              <w:rPr>
                <w:rFonts w:cs="Arial"/>
                <w:color w:val="000000"/>
                <w:lang w:eastAsia="en-GB"/>
              </w:rPr>
            </w:pPr>
            <w:r>
              <w:rPr>
                <w:rFonts w:cs="Arial"/>
                <w:color w:val="000000"/>
                <w:lang w:eastAsia="en-GB"/>
              </w:rPr>
              <w:t xml:space="preserve">ND </w:t>
            </w:r>
            <w:r w:rsidRPr="00F82DCD">
              <w:rPr>
                <w:rFonts w:cs="Arial"/>
                <w:color w:val="000000"/>
                <w:lang w:eastAsia="en-GB"/>
              </w:rPr>
              <w:t>–</w:t>
            </w:r>
            <w:r>
              <w:rPr>
                <w:rFonts w:cs="Arial"/>
                <w:color w:val="000000"/>
                <w:lang w:eastAsia="en-GB"/>
              </w:rPr>
              <w:t xml:space="preserve"> 600</w:t>
            </w:r>
          </w:p>
        </w:tc>
      </w:tr>
      <w:tr w:rsidR="00DF777E" w:rsidRPr="00F8291B" w:rsidTr="00B248BF">
        <w:trPr>
          <w:cnfStyle w:val="000000100000" w:firstRow="0" w:lastRow="0" w:firstColumn="0" w:lastColumn="0" w:oddVBand="0" w:evenVBand="0" w:oddHBand="1" w:evenHBand="0" w:firstRowFirstColumn="0" w:firstRowLastColumn="0" w:lastRowFirstColumn="0" w:lastRowLastColumn="0"/>
          <w:trHeight w:val="300"/>
        </w:trPr>
        <w:tc>
          <w:tcPr>
            <w:tcW w:w="1985" w:type="dxa"/>
            <w:noWrap/>
          </w:tcPr>
          <w:p w:rsidR="00DF777E" w:rsidRPr="00F82DCD" w:rsidRDefault="00DF777E" w:rsidP="00B248BF">
            <w:pPr>
              <w:keepNext/>
              <w:keepLines/>
              <w:spacing w:after="120"/>
              <w:rPr>
                <w:rFonts w:cs="Arial"/>
                <w:color w:val="000000"/>
                <w:lang w:eastAsia="en-GB"/>
              </w:rPr>
            </w:pPr>
            <w:r w:rsidRPr="00F82DCD">
              <w:rPr>
                <w:rFonts w:cs="Arial"/>
                <w:color w:val="000000"/>
                <w:lang w:eastAsia="en-GB"/>
              </w:rPr>
              <w:t>Hong Kong SAR</w:t>
            </w:r>
          </w:p>
        </w:tc>
        <w:tc>
          <w:tcPr>
            <w:tcW w:w="2410" w:type="dxa"/>
            <w:noWrap/>
          </w:tcPr>
          <w:p w:rsidR="00DF777E" w:rsidRPr="00F82DCD" w:rsidRDefault="00DF777E" w:rsidP="00B248BF">
            <w:pPr>
              <w:keepNext/>
              <w:keepLines/>
              <w:spacing w:after="120"/>
              <w:rPr>
                <w:rFonts w:cs="Arial"/>
                <w:color w:val="000000"/>
                <w:lang w:eastAsia="en-GB"/>
              </w:rPr>
            </w:pPr>
            <w:r w:rsidRPr="00F82DCD">
              <w:rPr>
                <w:rFonts w:cs="Arial"/>
              </w:rPr>
              <w:t>Infant formulae powder</w:t>
            </w:r>
          </w:p>
        </w:tc>
        <w:tc>
          <w:tcPr>
            <w:tcW w:w="1701" w:type="dxa"/>
          </w:tcPr>
          <w:p w:rsidR="00DF777E" w:rsidRPr="00F82DCD" w:rsidRDefault="00DF777E" w:rsidP="00B248BF">
            <w:pPr>
              <w:keepNext/>
              <w:keepLines/>
              <w:spacing w:after="120"/>
              <w:rPr>
                <w:rFonts w:cs="Arial"/>
                <w:color w:val="000000"/>
                <w:lang w:eastAsia="en-GB"/>
              </w:rPr>
            </w:pPr>
            <w:r w:rsidRPr="00F82DCD">
              <w:rPr>
                <w:rFonts w:cs="Arial"/>
                <w:color w:val="000000"/>
                <w:lang w:eastAsia="en-GB"/>
              </w:rPr>
              <w:t>‘As is’</w:t>
            </w:r>
          </w:p>
        </w:tc>
        <w:tc>
          <w:tcPr>
            <w:tcW w:w="1701" w:type="dxa"/>
          </w:tcPr>
          <w:p w:rsidR="00DF777E" w:rsidRPr="00F82DCD" w:rsidRDefault="00DF777E" w:rsidP="00B248BF">
            <w:pPr>
              <w:keepNext/>
              <w:keepLines/>
              <w:tabs>
                <w:tab w:val="decimal" w:pos="742"/>
              </w:tabs>
              <w:spacing w:after="120"/>
              <w:rPr>
                <w:rFonts w:cs="Arial"/>
                <w:color w:val="000000"/>
                <w:lang w:eastAsia="en-GB"/>
              </w:rPr>
            </w:pPr>
            <w:r w:rsidRPr="00F82DCD">
              <w:rPr>
                <w:rFonts w:cs="Arial"/>
                <w:color w:val="000000"/>
                <w:lang w:eastAsia="en-GB"/>
              </w:rPr>
              <w:t>9</w:t>
            </w:r>
          </w:p>
        </w:tc>
        <w:tc>
          <w:tcPr>
            <w:tcW w:w="1437" w:type="dxa"/>
            <w:noWrap/>
          </w:tcPr>
          <w:p w:rsidR="00DF777E" w:rsidRPr="00F82DCD" w:rsidRDefault="00DF777E" w:rsidP="00B248BF">
            <w:pPr>
              <w:keepNext/>
              <w:keepLines/>
              <w:tabs>
                <w:tab w:val="decimal" w:pos="782"/>
              </w:tabs>
              <w:spacing w:after="120"/>
              <w:rPr>
                <w:rFonts w:cs="Arial"/>
                <w:color w:val="000000"/>
                <w:lang w:eastAsia="en-GB"/>
              </w:rPr>
            </w:pPr>
            <w:r w:rsidRPr="00F82DCD">
              <w:rPr>
                <w:rFonts w:cs="Arial"/>
                <w:color w:val="000000"/>
                <w:lang w:eastAsia="en-GB"/>
              </w:rPr>
              <w:t>112</w:t>
            </w:r>
          </w:p>
        </w:tc>
        <w:tc>
          <w:tcPr>
            <w:tcW w:w="1437" w:type="dxa"/>
            <w:noWrap/>
          </w:tcPr>
          <w:p w:rsidR="00DF777E" w:rsidRPr="00F82DCD" w:rsidRDefault="00DF777E" w:rsidP="00B248BF">
            <w:pPr>
              <w:keepNext/>
              <w:keepLines/>
              <w:tabs>
                <w:tab w:val="decimal" w:pos="726"/>
              </w:tabs>
              <w:spacing w:after="120"/>
              <w:rPr>
                <w:rFonts w:cs="Arial"/>
                <w:color w:val="000000"/>
                <w:lang w:eastAsia="en-GB"/>
              </w:rPr>
            </w:pPr>
            <w:r w:rsidRPr="00F82DCD">
              <w:rPr>
                <w:rFonts w:cs="Arial"/>
                <w:color w:val="000000"/>
                <w:lang w:eastAsia="en-GB"/>
              </w:rPr>
              <w:t>87</w:t>
            </w:r>
          </w:p>
        </w:tc>
        <w:tc>
          <w:tcPr>
            <w:tcW w:w="1438" w:type="dxa"/>
          </w:tcPr>
          <w:p w:rsidR="00DF777E" w:rsidRPr="00F82DCD" w:rsidRDefault="00DF777E" w:rsidP="00B248BF">
            <w:pPr>
              <w:keepNext/>
              <w:keepLines/>
              <w:spacing w:after="120"/>
              <w:jc w:val="center"/>
              <w:rPr>
                <w:rFonts w:cs="Arial"/>
                <w:color w:val="000000"/>
                <w:lang w:eastAsia="en-GB"/>
              </w:rPr>
            </w:pPr>
            <w:r w:rsidRPr="00F82DCD">
              <w:rPr>
                <w:rFonts w:cs="Arial"/>
                <w:color w:val="000000"/>
                <w:lang w:eastAsia="en-GB"/>
              </w:rPr>
              <w:t>26 – 290</w:t>
            </w:r>
          </w:p>
        </w:tc>
      </w:tr>
    </w:tbl>
    <w:p w:rsidR="00DF777E" w:rsidRDefault="00DF777E" w:rsidP="00B248BF">
      <w:pPr>
        <w:keepNext/>
        <w:keepLines/>
        <w:spacing w:after="120"/>
        <w:ind w:left="567" w:hanging="567"/>
        <w:rPr>
          <w:bCs/>
          <w:sz w:val="18"/>
        </w:rPr>
      </w:pPr>
      <w:r w:rsidRPr="00C632A6">
        <w:rPr>
          <w:bCs/>
        </w:rPr>
        <w:t>*</w:t>
      </w:r>
      <w:r>
        <w:rPr>
          <w:bCs/>
          <w:sz w:val="18"/>
        </w:rPr>
        <w:tab/>
        <w:t>The GEMS/Food contaminants database uses the assumption that ND=0.</w:t>
      </w:r>
    </w:p>
    <w:p w:rsidR="00DF777E" w:rsidRDefault="00DF777E" w:rsidP="00B248BF">
      <w:pPr>
        <w:keepNext/>
        <w:keepLines/>
        <w:spacing w:after="120"/>
        <w:ind w:left="567" w:hanging="567"/>
        <w:rPr>
          <w:bCs/>
          <w:sz w:val="18"/>
          <w:szCs w:val="18"/>
        </w:rPr>
      </w:pPr>
      <w:r>
        <w:rPr>
          <w:vertAlign w:val="superscript"/>
          <w:lang w:eastAsia="en-GB"/>
        </w:rPr>
        <w:sym w:font="Wingdings" w:char="F0A9"/>
      </w:r>
      <w:r>
        <w:rPr>
          <w:vertAlign w:val="superscript"/>
          <w:lang w:eastAsia="en-GB"/>
        </w:rPr>
        <w:tab/>
      </w:r>
      <w:r>
        <w:rPr>
          <w:sz w:val="18"/>
          <w:szCs w:val="18"/>
          <w:lang w:eastAsia="en-GB"/>
        </w:rPr>
        <w:t>A</w:t>
      </w:r>
      <w:r w:rsidRPr="00CB71FF">
        <w:rPr>
          <w:sz w:val="18"/>
          <w:szCs w:val="18"/>
          <w:lang w:eastAsia="en-GB"/>
        </w:rPr>
        <w:t xml:space="preserve">ssumed that </w:t>
      </w:r>
      <w:r w:rsidRPr="00CB71FF">
        <w:rPr>
          <w:bCs/>
          <w:sz w:val="18"/>
          <w:szCs w:val="18"/>
        </w:rPr>
        <w:t xml:space="preserve">free and esterified 3-MCPD </w:t>
      </w:r>
      <w:r>
        <w:rPr>
          <w:bCs/>
          <w:sz w:val="18"/>
          <w:szCs w:val="18"/>
        </w:rPr>
        <w:t>are</w:t>
      </w:r>
      <w:r w:rsidRPr="00CB71FF">
        <w:rPr>
          <w:bCs/>
          <w:sz w:val="18"/>
          <w:szCs w:val="18"/>
        </w:rPr>
        <w:t xml:space="preserve"> expressed </w:t>
      </w:r>
      <w:r>
        <w:rPr>
          <w:bCs/>
          <w:sz w:val="18"/>
          <w:szCs w:val="18"/>
        </w:rPr>
        <w:t>as</w:t>
      </w:r>
      <w:r w:rsidRPr="00CB71FF">
        <w:rPr>
          <w:bCs/>
          <w:sz w:val="18"/>
          <w:szCs w:val="18"/>
        </w:rPr>
        <w:t xml:space="preserve"> the free form</w:t>
      </w:r>
      <w:r>
        <w:rPr>
          <w:bCs/>
          <w:sz w:val="18"/>
          <w:szCs w:val="18"/>
        </w:rPr>
        <w:t>.</w:t>
      </w:r>
    </w:p>
    <w:p w:rsidR="00DF777E" w:rsidRPr="00CB71FF" w:rsidRDefault="00DF777E" w:rsidP="00B248BF">
      <w:pPr>
        <w:keepNext/>
        <w:keepLines/>
        <w:spacing w:after="120"/>
        <w:ind w:left="567" w:hanging="567"/>
        <w:rPr>
          <w:bCs/>
          <w:sz w:val="18"/>
          <w:szCs w:val="18"/>
        </w:rPr>
      </w:pPr>
      <w:r w:rsidRPr="0031429A">
        <w:rPr>
          <w:vertAlign w:val="superscript"/>
          <w:lang w:eastAsia="en-GB"/>
        </w:rPr>
        <w:sym w:font="Wingdings" w:char="F074"/>
      </w:r>
      <w:r>
        <w:rPr>
          <w:vertAlign w:val="superscript"/>
          <w:lang w:eastAsia="en-GB"/>
        </w:rPr>
        <w:tab/>
      </w:r>
      <w:r>
        <w:rPr>
          <w:sz w:val="18"/>
          <w:lang w:eastAsia="en-GB"/>
        </w:rPr>
        <w:t>A</w:t>
      </w:r>
      <w:r w:rsidRPr="0031429A">
        <w:rPr>
          <w:sz w:val="18"/>
          <w:lang w:eastAsia="en-GB"/>
        </w:rPr>
        <w:t xml:space="preserve">ssumed that ‘as consumed’ </w:t>
      </w:r>
      <w:r>
        <w:rPr>
          <w:sz w:val="18"/>
          <w:lang w:eastAsia="en-GB"/>
        </w:rPr>
        <w:t xml:space="preserve">refers to made up ready to drink </w:t>
      </w:r>
      <w:r w:rsidRPr="0031429A">
        <w:rPr>
          <w:sz w:val="18"/>
          <w:lang w:eastAsia="en-GB"/>
        </w:rPr>
        <w:t>and ‘as is’ refer</w:t>
      </w:r>
      <w:r>
        <w:rPr>
          <w:sz w:val="18"/>
          <w:lang w:eastAsia="en-GB"/>
        </w:rPr>
        <w:t>s</w:t>
      </w:r>
      <w:r w:rsidRPr="0031429A">
        <w:rPr>
          <w:sz w:val="18"/>
          <w:lang w:eastAsia="en-GB"/>
        </w:rPr>
        <w:t xml:space="preserve"> to the dry infant formula powder</w:t>
      </w:r>
      <w:r>
        <w:rPr>
          <w:sz w:val="18"/>
          <w:lang w:eastAsia="en-GB"/>
        </w:rPr>
        <w:t>.</w:t>
      </w:r>
    </w:p>
    <w:p w:rsidR="00DF777E" w:rsidRPr="00CB71FF" w:rsidRDefault="00DF777E" w:rsidP="00DF777E"/>
    <w:p w:rsidR="00DF777E" w:rsidRDefault="00DF777E" w:rsidP="00DF777E">
      <w:pPr>
        <w:pStyle w:val="FSTableTitle"/>
        <w:keepNext/>
        <w:keepLines/>
        <w:rPr>
          <w:bCs/>
          <w:highlight w:val="yellow"/>
        </w:rPr>
      </w:pPr>
      <w:bookmarkStart w:id="73" w:name="_Ref531096175"/>
      <w:bookmarkStart w:id="74" w:name="_Ref532506666"/>
      <w:bookmarkStart w:id="75" w:name="_Toc531944160"/>
      <w:bookmarkEnd w:id="73"/>
      <w:r>
        <w:lastRenderedPageBreak/>
        <w:t>Table A2.</w:t>
      </w:r>
      <w:r>
        <w:rPr>
          <w:noProof/>
        </w:rPr>
        <w:fldChar w:fldCharType="begin"/>
      </w:r>
      <w:r>
        <w:rPr>
          <w:noProof/>
        </w:rPr>
        <w:instrText xml:space="preserve"> SEQ Table_A2. \* ARABIC </w:instrText>
      </w:r>
      <w:r>
        <w:rPr>
          <w:noProof/>
        </w:rPr>
        <w:fldChar w:fldCharType="separate"/>
      </w:r>
      <w:r w:rsidR="00E73E1C">
        <w:rPr>
          <w:noProof/>
        </w:rPr>
        <w:t>3</w:t>
      </w:r>
      <w:r>
        <w:rPr>
          <w:noProof/>
        </w:rPr>
        <w:fldChar w:fldCharType="end"/>
      </w:r>
      <w:bookmarkEnd w:id="74"/>
      <w:r>
        <w:t>: International Glycidyl fatty acid esters</w:t>
      </w:r>
      <w:r w:rsidRPr="00846479">
        <w:rPr>
          <w:sz w:val="28"/>
          <w:szCs w:val="22"/>
          <w:vertAlign w:val="superscript"/>
          <w:lang w:eastAsia="en-GB" w:bidi="ar-SA"/>
        </w:rPr>
        <w:sym w:font="Wingdings" w:char="F0A9"/>
      </w:r>
      <w:r>
        <w:t xml:space="preserve"> concentrations in infant formula, as derived by FSANZ using the GEMS/Food contaminants database</w:t>
      </w:r>
      <w:bookmarkEnd w:id="75"/>
      <w:r w:rsidR="00B248BF">
        <w:br/>
      </w:r>
    </w:p>
    <w:tbl>
      <w:tblPr>
        <w:tblStyle w:val="Table"/>
        <w:tblW w:w="0" w:type="auto"/>
        <w:tblLayout w:type="fixed"/>
        <w:tblLook w:val="04A0" w:firstRow="1" w:lastRow="0" w:firstColumn="1" w:lastColumn="0" w:noHBand="0" w:noVBand="1"/>
        <w:tblDescription w:val="Mean concentrations of 3-MCPD and glycicol in 'as prepared' infant formula for the ESR analytical dataset and the US FDA dataset. Concentrations are in ug per kg infant formula units."/>
      </w:tblPr>
      <w:tblGrid>
        <w:gridCol w:w="1985"/>
        <w:gridCol w:w="2410"/>
        <w:gridCol w:w="1701"/>
        <w:gridCol w:w="1559"/>
        <w:gridCol w:w="1548"/>
        <w:gridCol w:w="1549"/>
        <w:gridCol w:w="1549"/>
      </w:tblGrid>
      <w:tr w:rsidR="00B248BF" w:rsidRPr="00B248BF" w:rsidTr="00B248BF">
        <w:trPr>
          <w:cnfStyle w:val="100000000000" w:firstRow="1" w:lastRow="0" w:firstColumn="0" w:lastColumn="0" w:oddVBand="0" w:evenVBand="0" w:oddHBand="0" w:evenHBand="0" w:firstRowFirstColumn="0" w:firstRowLastColumn="0" w:lastRowFirstColumn="0" w:lastRowLastColumn="0"/>
          <w:trHeight w:val="300"/>
        </w:trPr>
        <w:tc>
          <w:tcPr>
            <w:tcW w:w="1985" w:type="dxa"/>
            <w:shd w:val="clear" w:color="auto" w:fill="7F7F7F" w:themeFill="text1" w:themeFillTint="80"/>
            <w:noWrap/>
            <w:hideMark/>
          </w:tcPr>
          <w:p w:rsidR="00DF777E" w:rsidRPr="00B248BF" w:rsidRDefault="00DF777E" w:rsidP="00B248BF">
            <w:pPr>
              <w:keepNext/>
              <w:keepLines/>
              <w:spacing w:after="120"/>
              <w:rPr>
                <w:rFonts w:cs="Arial"/>
                <w:lang w:eastAsia="en-GB"/>
              </w:rPr>
            </w:pPr>
          </w:p>
        </w:tc>
        <w:tc>
          <w:tcPr>
            <w:tcW w:w="2410" w:type="dxa"/>
            <w:shd w:val="clear" w:color="auto" w:fill="7F7F7F" w:themeFill="text1" w:themeFillTint="80"/>
            <w:noWrap/>
            <w:hideMark/>
          </w:tcPr>
          <w:p w:rsidR="00DF777E" w:rsidRPr="00B248BF" w:rsidRDefault="00DF777E" w:rsidP="00B248BF">
            <w:pPr>
              <w:keepNext/>
              <w:keepLines/>
              <w:spacing w:after="120"/>
              <w:rPr>
                <w:rFonts w:cs="Arial"/>
                <w:lang w:eastAsia="en-GB"/>
              </w:rPr>
            </w:pPr>
          </w:p>
        </w:tc>
        <w:tc>
          <w:tcPr>
            <w:tcW w:w="1701" w:type="dxa"/>
            <w:shd w:val="clear" w:color="auto" w:fill="7F7F7F" w:themeFill="text1" w:themeFillTint="80"/>
          </w:tcPr>
          <w:p w:rsidR="00DF777E" w:rsidRPr="00B248BF" w:rsidRDefault="00DF777E" w:rsidP="00B248BF">
            <w:pPr>
              <w:keepNext/>
              <w:keepLines/>
              <w:spacing w:after="120"/>
              <w:jc w:val="center"/>
              <w:rPr>
                <w:rFonts w:cs="Arial"/>
                <w:lang w:eastAsia="en-GB"/>
              </w:rPr>
            </w:pPr>
          </w:p>
        </w:tc>
        <w:tc>
          <w:tcPr>
            <w:tcW w:w="1559" w:type="dxa"/>
            <w:shd w:val="clear" w:color="auto" w:fill="7F7F7F" w:themeFill="text1" w:themeFillTint="80"/>
          </w:tcPr>
          <w:p w:rsidR="00DF777E" w:rsidRPr="00B248BF" w:rsidRDefault="00DF777E" w:rsidP="00B248BF">
            <w:pPr>
              <w:keepNext/>
              <w:keepLines/>
              <w:spacing w:after="120"/>
              <w:jc w:val="center"/>
              <w:rPr>
                <w:rFonts w:cs="Arial"/>
                <w:lang w:eastAsia="en-GB"/>
              </w:rPr>
            </w:pPr>
          </w:p>
        </w:tc>
        <w:tc>
          <w:tcPr>
            <w:tcW w:w="4646" w:type="dxa"/>
            <w:gridSpan w:val="3"/>
            <w:shd w:val="clear" w:color="auto" w:fill="7F7F7F" w:themeFill="text1" w:themeFillTint="80"/>
            <w:noWrap/>
            <w:hideMark/>
          </w:tcPr>
          <w:p w:rsidR="00DF777E" w:rsidRPr="00B248BF" w:rsidRDefault="00DF777E" w:rsidP="00B248BF">
            <w:pPr>
              <w:keepNext/>
              <w:keepLines/>
              <w:spacing w:after="120"/>
              <w:jc w:val="center"/>
              <w:rPr>
                <w:rFonts w:cs="Arial"/>
                <w:b w:val="0"/>
                <w:vertAlign w:val="superscript"/>
                <w:lang w:eastAsia="en-GB"/>
              </w:rPr>
            </w:pPr>
            <w:r w:rsidRPr="00B248BF">
              <w:rPr>
                <w:rFonts w:cs="Arial"/>
                <w:lang w:eastAsia="en-GB"/>
              </w:rPr>
              <w:t>Glycidyl fatty acid esters concentration (μg / kg)</w:t>
            </w:r>
            <w:r w:rsidRPr="00B248BF">
              <w:rPr>
                <w:rFonts w:cs="Arial"/>
                <w:sz w:val="28"/>
                <w:vertAlign w:val="superscript"/>
                <w:lang w:eastAsia="en-GB"/>
              </w:rPr>
              <w:t>*</w:t>
            </w:r>
            <w:r w:rsidRPr="00B248BF">
              <w:rPr>
                <w:rFonts w:cs="Arial"/>
                <w:sz w:val="28"/>
                <w:vertAlign w:val="superscript"/>
                <w:lang w:eastAsia="en-GB"/>
              </w:rPr>
              <w:sym w:font="Wingdings" w:char="F0A9"/>
            </w:r>
          </w:p>
        </w:tc>
      </w:tr>
      <w:tr w:rsidR="00B248BF" w:rsidRPr="00B248BF" w:rsidTr="00B248BF">
        <w:trPr>
          <w:cnfStyle w:val="000000100000" w:firstRow="0" w:lastRow="0" w:firstColumn="0" w:lastColumn="0" w:oddVBand="0" w:evenVBand="0" w:oddHBand="1" w:evenHBand="0" w:firstRowFirstColumn="0" w:firstRowLastColumn="0" w:lastRowFirstColumn="0" w:lastRowLastColumn="0"/>
          <w:trHeight w:val="300"/>
        </w:trPr>
        <w:tc>
          <w:tcPr>
            <w:tcW w:w="1985" w:type="dxa"/>
            <w:shd w:val="clear" w:color="auto" w:fill="7F7F7F" w:themeFill="text1" w:themeFillTint="80"/>
            <w:noWrap/>
          </w:tcPr>
          <w:p w:rsidR="00DF777E" w:rsidRPr="00B248BF" w:rsidRDefault="00DF777E" w:rsidP="00B248BF">
            <w:pPr>
              <w:keepNext/>
              <w:keepLines/>
              <w:spacing w:after="120"/>
              <w:rPr>
                <w:rFonts w:cs="Arial"/>
                <w:color w:val="FFFFFF" w:themeColor="background1"/>
                <w:lang w:eastAsia="en-GB"/>
              </w:rPr>
            </w:pPr>
            <w:r w:rsidRPr="00B248BF">
              <w:rPr>
                <w:rFonts w:cs="Arial"/>
                <w:color w:val="FFFFFF" w:themeColor="background1"/>
                <w:lang w:eastAsia="en-GB"/>
              </w:rPr>
              <w:t>Country</w:t>
            </w:r>
          </w:p>
        </w:tc>
        <w:tc>
          <w:tcPr>
            <w:tcW w:w="2410" w:type="dxa"/>
            <w:shd w:val="clear" w:color="auto" w:fill="7F7F7F" w:themeFill="text1" w:themeFillTint="80"/>
            <w:noWrap/>
          </w:tcPr>
          <w:p w:rsidR="00DF777E" w:rsidRPr="00B248BF" w:rsidRDefault="00DF777E" w:rsidP="00B248BF">
            <w:pPr>
              <w:keepNext/>
              <w:keepLines/>
              <w:spacing w:after="120"/>
              <w:rPr>
                <w:rFonts w:cs="Arial"/>
                <w:color w:val="FFFFFF" w:themeColor="background1"/>
                <w:lang w:eastAsia="en-GB"/>
              </w:rPr>
            </w:pPr>
            <w:r w:rsidRPr="00B248BF">
              <w:rPr>
                <w:rFonts w:cs="Arial"/>
                <w:color w:val="FFFFFF" w:themeColor="background1"/>
                <w:lang w:eastAsia="en-GB"/>
              </w:rPr>
              <w:t>Food</w:t>
            </w:r>
          </w:p>
        </w:tc>
        <w:tc>
          <w:tcPr>
            <w:tcW w:w="1701" w:type="dxa"/>
            <w:shd w:val="clear" w:color="auto" w:fill="7F7F7F" w:themeFill="text1" w:themeFillTint="80"/>
          </w:tcPr>
          <w:p w:rsidR="00DF777E" w:rsidRPr="00B248BF" w:rsidRDefault="00DF777E" w:rsidP="00B248BF">
            <w:pPr>
              <w:keepNext/>
              <w:keepLines/>
              <w:spacing w:after="120"/>
              <w:rPr>
                <w:rFonts w:cs="Arial"/>
                <w:color w:val="FFFFFF" w:themeColor="background1"/>
                <w:lang w:eastAsia="en-GB"/>
              </w:rPr>
            </w:pPr>
            <w:r w:rsidRPr="00B248BF">
              <w:rPr>
                <w:rFonts w:cs="Arial"/>
                <w:color w:val="FFFFFF" w:themeColor="background1"/>
                <w:lang w:eastAsia="en-GB"/>
              </w:rPr>
              <w:t>Form of food</w:t>
            </w:r>
            <w:r w:rsidRPr="00B248BF">
              <w:rPr>
                <w:rFonts w:cs="Arial"/>
                <w:color w:val="FFFFFF" w:themeColor="background1"/>
                <w:vertAlign w:val="superscript"/>
                <w:lang w:eastAsia="en-GB"/>
              </w:rPr>
              <w:sym w:font="Wingdings" w:char="F074"/>
            </w:r>
          </w:p>
        </w:tc>
        <w:tc>
          <w:tcPr>
            <w:tcW w:w="1559" w:type="dxa"/>
            <w:shd w:val="clear" w:color="auto" w:fill="7F7F7F" w:themeFill="text1" w:themeFillTint="80"/>
          </w:tcPr>
          <w:p w:rsidR="00DF777E" w:rsidRPr="00B248BF" w:rsidRDefault="00DF777E" w:rsidP="00B248BF">
            <w:pPr>
              <w:keepNext/>
              <w:keepLines/>
              <w:spacing w:after="120"/>
              <w:jc w:val="center"/>
              <w:rPr>
                <w:rFonts w:cs="Arial"/>
                <w:color w:val="FFFFFF" w:themeColor="background1"/>
                <w:lang w:eastAsia="en-GB"/>
              </w:rPr>
            </w:pPr>
            <w:r w:rsidRPr="00B248BF">
              <w:rPr>
                <w:rFonts w:cs="Arial"/>
                <w:color w:val="FFFFFF" w:themeColor="background1"/>
                <w:lang w:eastAsia="en-GB"/>
              </w:rPr>
              <w:t>No. samples</w:t>
            </w:r>
          </w:p>
        </w:tc>
        <w:tc>
          <w:tcPr>
            <w:tcW w:w="1548" w:type="dxa"/>
            <w:shd w:val="clear" w:color="auto" w:fill="7F7F7F" w:themeFill="text1" w:themeFillTint="80"/>
            <w:noWrap/>
            <w:hideMark/>
          </w:tcPr>
          <w:p w:rsidR="00DF777E" w:rsidRPr="00B248BF" w:rsidRDefault="00DF777E" w:rsidP="00B248BF">
            <w:pPr>
              <w:keepNext/>
              <w:keepLines/>
              <w:spacing w:after="120"/>
              <w:jc w:val="center"/>
              <w:rPr>
                <w:rFonts w:cs="Arial"/>
                <w:color w:val="FFFFFF" w:themeColor="background1"/>
                <w:lang w:eastAsia="en-GB"/>
              </w:rPr>
            </w:pPr>
            <w:r w:rsidRPr="00B248BF">
              <w:rPr>
                <w:rFonts w:cs="Arial"/>
                <w:color w:val="FFFFFF" w:themeColor="background1"/>
                <w:lang w:eastAsia="en-GB"/>
              </w:rPr>
              <w:t>Mean</w:t>
            </w:r>
          </w:p>
        </w:tc>
        <w:tc>
          <w:tcPr>
            <w:tcW w:w="1549" w:type="dxa"/>
            <w:shd w:val="clear" w:color="auto" w:fill="7F7F7F" w:themeFill="text1" w:themeFillTint="80"/>
            <w:noWrap/>
            <w:hideMark/>
          </w:tcPr>
          <w:p w:rsidR="00DF777E" w:rsidRPr="00B248BF" w:rsidRDefault="00DF777E" w:rsidP="00B248BF">
            <w:pPr>
              <w:keepNext/>
              <w:keepLines/>
              <w:spacing w:after="120"/>
              <w:jc w:val="center"/>
              <w:rPr>
                <w:rFonts w:cs="Arial"/>
                <w:color w:val="FFFFFF" w:themeColor="background1"/>
                <w:lang w:eastAsia="en-GB"/>
              </w:rPr>
            </w:pPr>
            <w:r w:rsidRPr="00B248BF">
              <w:rPr>
                <w:rFonts w:cs="Arial"/>
                <w:color w:val="FFFFFF" w:themeColor="background1"/>
                <w:lang w:eastAsia="en-GB"/>
              </w:rPr>
              <w:t>P50</w:t>
            </w:r>
          </w:p>
        </w:tc>
        <w:tc>
          <w:tcPr>
            <w:tcW w:w="1549" w:type="dxa"/>
            <w:shd w:val="clear" w:color="auto" w:fill="7F7F7F" w:themeFill="text1" w:themeFillTint="80"/>
          </w:tcPr>
          <w:p w:rsidR="00DF777E" w:rsidRPr="00B248BF" w:rsidRDefault="00DF777E" w:rsidP="00B248BF">
            <w:pPr>
              <w:keepNext/>
              <w:keepLines/>
              <w:spacing w:after="120"/>
              <w:jc w:val="center"/>
              <w:rPr>
                <w:rFonts w:cs="Arial"/>
                <w:color w:val="FFFFFF" w:themeColor="background1"/>
                <w:lang w:eastAsia="en-GB"/>
              </w:rPr>
            </w:pPr>
            <w:r w:rsidRPr="00B248BF">
              <w:rPr>
                <w:rFonts w:cs="Arial"/>
                <w:color w:val="FFFFFF" w:themeColor="background1"/>
                <w:lang w:eastAsia="en-GB"/>
              </w:rPr>
              <w:t>Range</w:t>
            </w:r>
          </w:p>
        </w:tc>
      </w:tr>
      <w:tr w:rsidR="00DF777E" w:rsidRPr="00F8291B" w:rsidTr="00B248BF">
        <w:trPr>
          <w:cnfStyle w:val="000000010000" w:firstRow="0" w:lastRow="0" w:firstColumn="0" w:lastColumn="0" w:oddVBand="0" w:evenVBand="0" w:oddHBand="0" w:evenHBand="1" w:firstRowFirstColumn="0" w:firstRowLastColumn="0" w:lastRowFirstColumn="0" w:lastRowLastColumn="0"/>
          <w:trHeight w:val="300"/>
        </w:trPr>
        <w:tc>
          <w:tcPr>
            <w:tcW w:w="1985" w:type="dxa"/>
            <w:noWrap/>
          </w:tcPr>
          <w:p w:rsidR="00DF777E" w:rsidRPr="00846479" w:rsidRDefault="00DF777E" w:rsidP="00A04C6C">
            <w:pPr>
              <w:keepNext/>
              <w:keepLines/>
              <w:spacing w:after="120"/>
              <w:rPr>
                <w:rFonts w:cs="Arial"/>
                <w:color w:val="000000"/>
                <w:lang w:eastAsia="en-GB"/>
              </w:rPr>
            </w:pPr>
            <w:r w:rsidRPr="00846479">
              <w:rPr>
                <w:rFonts w:cs="Arial"/>
                <w:color w:val="000000"/>
                <w:lang w:eastAsia="en-GB"/>
              </w:rPr>
              <w:t>WHO European Region</w:t>
            </w:r>
          </w:p>
        </w:tc>
        <w:tc>
          <w:tcPr>
            <w:tcW w:w="2410" w:type="dxa"/>
            <w:noWrap/>
          </w:tcPr>
          <w:p w:rsidR="00DF777E" w:rsidRPr="00846479" w:rsidRDefault="00DF777E" w:rsidP="00A04C6C">
            <w:pPr>
              <w:keepNext/>
              <w:keepLines/>
              <w:spacing w:after="120"/>
              <w:rPr>
                <w:rFonts w:cs="Arial"/>
                <w:color w:val="000000"/>
                <w:lang w:eastAsia="en-GB"/>
              </w:rPr>
            </w:pPr>
            <w:r w:rsidRPr="00846479">
              <w:rPr>
                <w:rFonts w:cs="Arial"/>
              </w:rPr>
              <w:t>Infant formulae powder</w:t>
            </w:r>
          </w:p>
        </w:tc>
        <w:tc>
          <w:tcPr>
            <w:tcW w:w="1701" w:type="dxa"/>
          </w:tcPr>
          <w:p w:rsidR="00DF777E" w:rsidRPr="00846479" w:rsidRDefault="00DF777E" w:rsidP="00A04C6C">
            <w:pPr>
              <w:keepNext/>
              <w:keepLines/>
              <w:spacing w:after="120"/>
              <w:rPr>
                <w:rFonts w:cs="Arial"/>
                <w:color w:val="000000"/>
                <w:lang w:eastAsia="en-GB"/>
              </w:rPr>
            </w:pPr>
            <w:r w:rsidRPr="00846479">
              <w:rPr>
                <w:rFonts w:cs="Arial"/>
                <w:color w:val="000000"/>
                <w:lang w:eastAsia="en-GB"/>
              </w:rPr>
              <w:t>‘As consumed’</w:t>
            </w:r>
          </w:p>
        </w:tc>
        <w:tc>
          <w:tcPr>
            <w:tcW w:w="1559" w:type="dxa"/>
          </w:tcPr>
          <w:p w:rsidR="00DF777E" w:rsidRPr="00846479" w:rsidRDefault="00DF777E" w:rsidP="00A04C6C">
            <w:pPr>
              <w:keepNext/>
              <w:keepLines/>
              <w:tabs>
                <w:tab w:val="decimal" w:pos="662"/>
              </w:tabs>
              <w:spacing w:after="120"/>
              <w:rPr>
                <w:rFonts w:cs="Arial"/>
                <w:color w:val="000000"/>
                <w:lang w:eastAsia="en-GB"/>
              </w:rPr>
            </w:pPr>
            <w:r w:rsidRPr="00846479">
              <w:rPr>
                <w:rFonts w:cs="Arial"/>
                <w:color w:val="000000"/>
                <w:lang w:eastAsia="en-GB"/>
              </w:rPr>
              <w:t>17</w:t>
            </w:r>
          </w:p>
        </w:tc>
        <w:tc>
          <w:tcPr>
            <w:tcW w:w="1548" w:type="dxa"/>
            <w:noWrap/>
          </w:tcPr>
          <w:p w:rsidR="00DF777E" w:rsidRPr="00846479" w:rsidRDefault="00DF777E" w:rsidP="00A04C6C">
            <w:pPr>
              <w:keepNext/>
              <w:keepLines/>
              <w:spacing w:after="120"/>
              <w:ind w:left="457"/>
              <w:rPr>
                <w:rFonts w:cs="Arial"/>
                <w:color w:val="000000"/>
                <w:lang w:eastAsia="en-GB"/>
              </w:rPr>
            </w:pPr>
            <w:r w:rsidRPr="00846479">
              <w:rPr>
                <w:rFonts w:cs="Arial"/>
                <w:color w:val="000000"/>
                <w:lang w:eastAsia="en-GB"/>
              </w:rPr>
              <w:t>41.4</w:t>
            </w:r>
          </w:p>
        </w:tc>
        <w:tc>
          <w:tcPr>
            <w:tcW w:w="1549" w:type="dxa"/>
            <w:noWrap/>
          </w:tcPr>
          <w:p w:rsidR="00DF777E" w:rsidRPr="00846479" w:rsidRDefault="00DF777E" w:rsidP="00A04C6C">
            <w:pPr>
              <w:keepNext/>
              <w:keepLines/>
              <w:spacing w:after="120"/>
              <w:ind w:left="470"/>
              <w:rPr>
                <w:rFonts w:cs="Arial"/>
                <w:color w:val="000000"/>
                <w:lang w:eastAsia="en-GB"/>
              </w:rPr>
            </w:pPr>
            <w:r w:rsidRPr="00846479">
              <w:rPr>
                <w:rFonts w:cs="Arial"/>
                <w:color w:val="000000"/>
                <w:lang w:eastAsia="en-GB"/>
              </w:rPr>
              <w:t>13.5</w:t>
            </w:r>
          </w:p>
        </w:tc>
        <w:tc>
          <w:tcPr>
            <w:tcW w:w="1549" w:type="dxa"/>
          </w:tcPr>
          <w:p w:rsidR="00DF777E" w:rsidRPr="00846479" w:rsidRDefault="00DF777E" w:rsidP="00A04C6C">
            <w:pPr>
              <w:keepNext/>
              <w:keepLines/>
              <w:spacing w:after="120"/>
              <w:rPr>
                <w:rFonts w:cs="Arial"/>
                <w:color w:val="000000"/>
                <w:lang w:eastAsia="en-GB"/>
              </w:rPr>
            </w:pPr>
            <w:r w:rsidRPr="00846479">
              <w:rPr>
                <w:rFonts w:cs="Arial"/>
                <w:color w:val="000000"/>
                <w:lang w:eastAsia="en-GB"/>
              </w:rPr>
              <w:t>ND – 134</w:t>
            </w:r>
          </w:p>
        </w:tc>
      </w:tr>
      <w:tr w:rsidR="00DF777E" w:rsidRPr="00F8291B" w:rsidTr="00B248BF">
        <w:trPr>
          <w:cnfStyle w:val="000000100000" w:firstRow="0" w:lastRow="0" w:firstColumn="0" w:lastColumn="0" w:oddVBand="0" w:evenVBand="0" w:oddHBand="1" w:evenHBand="0" w:firstRowFirstColumn="0" w:firstRowLastColumn="0" w:lastRowFirstColumn="0" w:lastRowLastColumn="0"/>
          <w:trHeight w:val="300"/>
        </w:trPr>
        <w:tc>
          <w:tcPr>
            <w:tcW w:w="1985" w:type="dxa"/>
            <w:noWrap/>
          </w:tcPr>
          <w:p w:rsidR="00DF777E" w:rsidRPr="00846479" w:rsidRDefault="00DF777E" w:rsidP="00A04C6C">
            <w:pPr>
              <w:keepNext/>
              <w:keepLines/>
              <w:spacing w:after="120"/>
              <w:rPr>
                <w:rFonts w:cs="Arial"/>
                <w:color w:val="000000"/>
                <w:lang w:eastAsia="en-GB"/>
              </w:rPr>
            </w:pPr>
            <w:r w:rsidRPr="00846479">
              <w:rPr>
                <w:rFonts w:cs="Arial"/>
                <w:color w:val="000000"/>
                <w:lang w:eastAsia="en-GB"/>
              </w:rPr>
              <w:t>Canada</w:t>
            </w:r>
          </w:p>
        </w:tc>
        <w:tc>
          <w:tcPr>
            <w:tcW w:w="2410" w:type="dxa"/>
            <w:noWrap/>
          </w:tcPr>
          <w:p w:rsidR="00DF777E" w:rsidRPr="00846479" w:rsidRDefault="00DF777E" w:rsidP="00A04C6C">
            <w:pPr>
              <w:keepNext/>
              <w:keepLines/>
              <w:spacing w:after="120"/>
              <w:rPr>
                <w:rFonts w:cs="Arial"/>
                <w:color w:val="000000"/>
                <w:lang w:eastAsia="en-GB"/>
              </w:rPr>
            </w:pPr>
            <w:r w:rsidRPr="00846479">
              <w:rPr>
                <w:rFonts w:cs="Arial"/>
              </w:rPr>
              <w:t>Infant formulae powder</w:t>
            </w:r>
          </w:p>
        </w:tc>
        <w:tc>
          <w:tcPr>
            <w:tcW w:w="1701" w:type="dxa"/>
          </w:tcPr>
          <w:p w:rsidR="00DF777E" w:rsidRPr="00846479" w:rsidRDefault="00DF777E" w:rsidP="00A04C6C">
            <w:pPr>
              <w:keepNext/>
              <w:keepLines/>
              <w:spacing w:after="120"/>
              <w:rPr>
                <w:rFonts w:cs="Arial"/>
                <w:color w:val="000000"/>
                <w:lang w:eastAsia="en-GB"/>
              </w:rPr>
            </w:pPr>
            <w:r w:rsidRPr="00846479">
              <w:rPr>
                <w:rFonts w:cs="Arial"/>
                <w:color w:val="000000"/>
                <w:lang w:eastAsia="en-GB"/>
              </w:rPr>
              <w:t>‘As consumed’</w:t>
            </w:r>
          </w:p>
        </w:tc>
        <w:tc>
          <w:tcPr>
            <w:tcW w:w="1559" w:type="dxa"/>
          </w:tcPr>
          <w:p w:rsidR="00DF777E" w:rsidRPr="00846479" w:rsidRDefault="00DF777E" w:rsidP="00A04C6C">
            <w:pPr>
              <w:keepNext/>
              <w:keepLines/>
              <w:tabs>
                <w:tab w:val="decimal" w:pos="662"/>
              </w:tabs>
              <w:spacing w:after="120"/>
              <w:rPr>
                <w:rFonts w:cs="Arial"/>
                <w:color w:val="000000"/>
                <w:lang w:eastAsia="en-GB"/>
              </w:rPr>
            </w:pPr>
            <w:r w:rsidRPr="00846479">
              <w:rPr>
                <w:rFonts w:cs="Arial"/>
                <w:color w:val="000000"/>
                <w:lang w:eastAsia="en-GB"/>
              </w:rPr>
              <w:t>20</w:t>
            </w:r>
          </w:p>
        </w:tc>
        <w:tc>
          <w:tcPr>
            <w:tcW w:w="1548" w:type="dxa"/>
            <w:noWrap/>
          </w:tcPr>
          <w:p w:rsidR="00DF777E" w:rsidRPr="00846479" w:rsidRDefault="00DF777E" w:rsidP="00A04C6C">
            <w:pPr>
              <w:keepNext/>
              <w:keepLines/>
              <w:spacing w:after="120"/>
              <w:ind w:left="457"/>
              <w:rPr>
                <w:rFonts w:cs="Arial"/>
                <w:color w:val="000000"/>
                <w:lang w:eastAsia="en-GB"/>
              </w:rPr>
            </w:pPr>
            <w:r w:rsidRPr="00846479">
              <w:rPr>
                <w:rFonts w:cs="Arial"/>
                <w:color w:val="000000"/>
                <w:lang w:eastAsia="en-GB"/>
              </w:rPr>
              <w:t>16.5</w:t>
            </w:r>
          </w:p>
        </w:tc>
        <w:tc>
          <w:tcPr>
            <w:tcW w:w="1549" w:type="dxa"/>
            <w:noWrap/>
          </w:tcPr>
          <w:p w:rsidR="00DF777E" w:rsidRPr="00846479" w:rsidRDefault="00DF777E" w:rsidP="00A04C6C">
            <w:pPr>
              <w:keepNext/>
              <w:keepLines/>
              <w:spacing w:after="120"/>
              <w:ind w:left="470"/>
              <w:rPr>
                <w:rFonts w:cs="Arial"/>
                <w:color w:val="000000"/>
                <w:lang w:eastAsia="en-GB"/>
              </w:rPr>
            </w:pPr>
            <w:r w:rsidRPr="00846479">
              <w:rPr>
                <w:rFonts w:cs="Arial"/>
                <w:color w:val="000000"/>
                <w:lang w:eastAsia="en-GB"/>
              </w:rPr>
              <w:t>ND</w:t>
            </w:r>
          </w:p>
        </w:tc>
        <w:tc>
          <w:tcPr>
            <w:tcW w:w="1549" w:type="dxa"/>
          </w:tcPr>
          <w:p w:rsidR="00DF777E" w:rsidRPr="00846479" w:rsidRDefault="00DF777E" w:rsidP="00A04C6C">
            <w:pPr>
              <w:keepNext/>
              <w:keepLines/>
              <w:spacing w:after="120"/>
              <w:rPr>
                <w:rFonts w:cs="Arial"/>
                <w:color w:val="000000"/>
                <w:lang w:eastAsia="en-GB"/>
              </w:rPr>
            </w:pPr>
            <w:r w:rsidRPr="00846479">
              <w:rPr>
                <w:rFonts w:cs="Arial"/>
                <w:color w:val="000000"/>
                <w:lang w:eastAsia="en-GB"/>
              </w:rPr>
              <w:t>ND – 70</w:t>
            </w:r>
          </w:p>
        </w:tc>
      </w:tr>
      <w:tr w:rsidR="00DF777E" w:rsidRPr="00F8291B" w:rsidTr="00B248BF">
        <w:trPr>
          <w:cnfStyle w:val="000000010000" w:firstRow="0" w:lastRow="0" w:firstColumn="0" w:lastColumn="0" w:oddVBand="0" w:evenVBand="0" w:oddHBand="0" w:evenHBand="1" w:firstRowFirstColumn="0" w:firstRowLastColumn="0" w:lastRowFirstColumn="0" w:lastRowLastColumn="0"/>
          <w:trHeight w:val="300"/>
        </w:trPr>
        <w:tc>
          <w:tcPr>
            <w:tcW w:w="1985" w:type="dxa"/>
            <w:noWrap/>
          </w:tcPr>
          <w:p w:rsidR="00DF777E" w:rsidRPr="00846479" w:rsidRDefault="00DF777E" w:rsidP="00A04C6C">
            <w:pPr>
              <w:keepNext/>
              <w:keepLines/>
              <w:spacing w:after="120"/>
              <w:rPr>
                <w:rFonts w:cs="Arial"/>
                <w:color w:val="000000"/>
                <w:lang w:eastAsia="en-GB"/>
              </w:rPr>
            </w:pPr>
            <w:r>
              <w:rPr>
                <w:rFonts w:cs="Arial"/>
                <w:color w:val="000000"/>
                <w:lang w:eastAsia="en-GB"/>
              </w:rPr>
              <w:t>Brazil</w:t>
            </w:r>
          </w:p>
        </w:tc>
        <w:tc>
          <w:tcPr>
            <w:tcW w:w="2410" w:type="dxa"/>
            <w:noWrap/>
          </w:tcPr>
          <w:p w:rsidR="00DF777E" w:rsidRPr="00846479" w:rsidRDefault="00DF777E" w:rsidP="00A04C6C">
            <w:pPr>
              <w:keepNext/>
              <w:keepLines/>
              <w:spacing w:after="120"/>
              <w:rPr>
                <w:rFonts w:cs="Arial"/>
              </w:rPr>
            </w:pPr>
            <w:r w:rsidRPr="00846479">
              <w:rPr>
                <w:rFonts w:cs="Arial"/>
              </w:rPr>
              <w:t>Infant formulae powder</w:t>
            </w:r>
          </w:p>
        </w:tc>
        <w:tc>
          <w:tcPr>
            <w:tcW w:w="1701" w:type="dxa"/>
          </w:tcPr>
          <w:p w:rsidR="00DF777E" w:rsidRPr="00846479" w:rsidRDefault="00DF777E" w:rsidP="00A04C6C">
            <w:pPr>
              <w:keepNext/>
              <w:keepLines/>
              <w:spacing w:after="120"/>
              <w:rPr>
                <w:rFonts w:cs="Arial"/>
                <w:color w:val="000000"/>
                <w:lang w:eastAsia="en-GB"/>
              </w:rPr>
            </w:pPr>
            <w:r>
              <w:rPr>
                <w:rFonts w:cs="Arial"/>
                <w:color w:val="000000"/>
                <w:lang w:eastAsia="en-GB"/>
              </w:rPr>
              <w:t>‘As is’</w:t>
            </w:r>
          </w:p>
        </w:tc>
        <w:tc>
          <w:tcPr>
            <w:tcW w:w="1559" w:type="dxa"/>
          </w:tcPr>
          <w:p w:rsidR="00DF777E" w:rsidRPr="00846479" w:rsidRDefault="00DF777E" w:rsidP="00A04C6C">
            <w:pPr>
              <w:keepNext/>
              <w:keepLines/>
              <w:tabs>
                <w:tab w:val="decimal" w:pos="662"/>
              </w:tabs>
              <w:spacing w:after="120"/>
              <w:rPr>
                <w:rFonts w:cs="Arial"/>
                <w:color w:val="000000"/>
                <w:lang w:eastAsia="en-GB"/>
              </w:rPr>
            </w:pPr>
            <w:r>
              <w:rPr>
                <w:rFonts w:cs="Arial"/>
                <w:color w:val="000000"/>
                <w:lang w:eastAsia="en-GB"/>
              </w:rPr>
              <w:t>40</w:t>
            </w:r>
          </w:p>
        </w:tc>
        <w:tc>
          <w:tcPr>
            <w:tcW w:w="1548" w:type="dxa"/>
            <w:noWrap/>
          </w:tcPr>
          <w:p w:rsidR="00DF777E" w:rsidRPr="00846479" w:rsidRDefault="00DF777E" w:rsidP="00A04C6C">
            <w:pPr>
              <w:keepNext/>
              <w:keepLines/>
              <w:spacing w:after="120"/>
              <w:ind w:left="457"/>
              <w:rPr>
                <w:rFonts w:cs="Arial"/>
                <w:color w:val="000000"/>
                <w:lang w:eastAsia="en-GB"/>
              </w:rPr>
            </w:pPr>
            <w:r>
              <w:rPr>
                <w:rFonts w:cs="Arial"/>
                <w:color w:val="000000"/>
                <w:lang w:eastAsia="en-GB"/>
              </w:rPr>
              <w:t>195</w:t>
            </w:r>
          </w:p>
        </w:tc>
        <w:tc>
          <w:tcPr>
            <w:tcW w:w="1549" w:type="dxa"/>
            <w:noWrap/>
          </w:tcPr>
          <w:p w:rsidR="00DF777E" w:rsidRPr="00846479" w:rsidRDefault="00DF777E" w:rsidP="00A04C6C">
            <w:pPr>
              <w:keepNext/>
              <w:keepLines/>
              <w:tabs>
                <w:tab w:val="decimal" w:pos="756"/>
              </w:tabs>
              <w:spacing w:after="120"/>
              <w:rPr>
                <w:rFonts w:cs="Arial"/>
                <w:color w:val="000000"/>
                <w:lang w:eastAsia="en-GB"/>
              </w:rPr>
            </w:pPr>
            <w:r>
              <w:rPr>
                <w:rFonts w:cs="Arial"/>
                <w:color w:val="000000"/>
                <w:lang w:eastAsia="en-GB"/>
              </w:rPr>
              <w:t>155</w:t>
            </w:r>
          </w:p>
        </w:tc>
        <w:tc>
          <w:tcPr>
            <w:tcW w:w="1549" w:type="dxa"/>
          </w:tcPr>
          <w:p w:rsidR="00DF777E" w:rsidRPr="00846479" w:rsidRDefault="00DF777E" w:rsidP="00A04C6C">
            <w:pPr>
              <w:keepNext/>
              <w:keepLines/>
              <w:spacing w:after="120"/>
              <w:rPr>
                <w:rFonts w:cs="Arial"/>
                <w:color w:val="000000"/>
                <w:lang w:eastAsia="en-GB"/>
              </w:rPr>
            </w:pPr>
            <w:r w:rsidRPr="00846479">
              <w:rPr>
                <w:rFonts w:cs="Arial"/>
                <w:color w:val="000000"/>
                <w:lang w:eastAsia="en-GB"/>
              </w:rPr>
              <w:t>ND – 7</w:t>
            </w:r>
            <w:r>
              <w:rPr>
                <w:rFonts w:cs="Arial"/>
                <w:color w:val="000000"/>
                <w:lang w:eastAsia="en-GB"/>
              </w:rPr>
              <w:t>50</w:t>
            </w:r>
          </w:p>
        </w:tc>
      </w:tr>
    </w:tbl>
    <w:p w:rsidR="00DF777E" w:rsidRPr="00B248BF" w:rsidRDefault="00DF777E" w:rsidP="00B248BF">
      <w:pPr>
        <w:keepNext/>
        <w:keepLines/>
        <w:spacing w:after="120"/>
        <w:ind w:left="567" w:hanging="567"/>
        <w:rPr>
          <w:bCs/>
          <w:sz w:val="16"/>
          <w:szCs w:val="16"/>
        </w:rPr>
      </w:pPr>
      <w:r w:rsidRPr="00B248BF">
        <w:rPr>
          <w:bCs/>
          <w:sz w:val="16"/>
          <w:szCs w:val="16"/>
        </w:rPr>
        <w:t>*</w:t>
      </w:r>
      <w:r w:rsidRPr="00B248BF">
        <w:rPr>
          <w:bCs/>
          <w:sz w:val="16"/>
          <w:szCs w:val="16"/>
        </w:rPr>
        <w:tab/>
        <w:t>The GEMS food database uses the assumption that ND=0.</w:t>
      </w:r>
    </w:p>
    <w:p w:rsidR="00DF777E" w:rsidRPr="00B248BF" w:rsidRDefault="00DF777E" w:rsidP="00B248BF">
      <w:pPr>
        <w:keepNext/>
        <w:keepLines/>
        <w:spacing w:after="120"/>
        <w:ind w:left="567" w:hanging="567"/>
        <w:rPr>
          <w:bCs/>
          <w:sz w:val="16"/>
          <w:szCs w:val="16"/>
        </w:rPr>
      </w:pPr>
      <w:r w:rsidRPr="00B248BF">
        <w:rPr>
          <w:sz w:val="16"/>
          <w:szCs w:val="16"/>
          <w:vertAlign w:val="superscript"/>
          <w:lang w:eastAsia="en-GB"/>
        </w:rPr>
        <w:sym w:font="Wingdings" w:char="F0A9"/>
      </w:r>
      <w:r w:rsidRPr="00B248BF">
        <w:rPr>
          <w:sz w:val="16"/>
          <w:szCs w:val="16"/>
          <w:vertAlign w:val="superscript"/>
          <w:lang w:eastAsia="en-GB"/>
        </w:rPr>
        <w:tab/>
      </w:r>
      <w:r w:rsidRPr="00B248BF">
        <w:rPr>
          <w:sz w:val="16"/>
          <w:szCs w:val="16"/>
          <w:lang w:eastAsia="en-GB"/>
        </w:rPr>
        <w:t xml:space="preserve">Assumed that </w:t>
      </w:r>
      <w:r w:rsidRPr="00B248BF">
        <w:rPr>
          <w:bCs/>
          <w:sz w:val="16"/>
          <w:szCs w:val="16"/>
        </w:rPr>
        <w:t>free and esterified glycidol are expressed as the free form.</w:t>
      </w:r>
    </w:p>
    <w:p w:rsidR="00DF777E" w:rsidRPr="00B248BF" w:rsidRDefault="00DF777E" w:rsidP="00B248BF">
      <w:pPr>
        <w:keepNext/>
        <w:keepLines/>
        <w:spacing w:after="120"/>
        <w:ind w:left="567" w:hanging="567"/>
        <w:rPr>
          <w:bCs/>
          <w:sz w:val="16"/>
          <w:szCs w:val="16"/>
        </w:rPr>
      </w:pPr>
      <w:r w:rsidRPr="00B248BF">
        <w:rPr>
          <w:sz w:val="16"/>
          <w:szCs w:val="16"/>
          <w:vertAlign w:val="superscript"/>
          <w:lang w:eastAsia="en-GB"/>
        </w:rPr>
        <w:sym w:font="Wingdings" w:char="F074"/>
      </w:r>
      <w:r w:rsidRPr="00B248BF">
        <w:rPr>
          <w:sz w:val="16"/>
          <w:szCs w:val="16"/>
          <w:vertAlign w:val="superscript"/>
          <w:lang w:eastAsia="en-GB"/>
        </w:rPr>
        <w:tab/>
      </w:r>
      <w:r w:rsidRPr="00B248BF">
        <w:rPr>
          <w:sz w:val="16"/>
          <w:szCs w:val="16"/>
          <w:lang w:eastAsia="en-GB"/>
        </w:rPr>
        <w:t>Assumed that ‘as consumed’ refers to made up ready to drink and ‘as is’ refers to the dry infant formula powder.</w:t>
      </w:r>
    </w:p>
    <w:p w:rsidR="00DF777E" w:rsidRPr="000939E5" w:rsidRDefault="00DF777E" w:rsidP="00DF777E">
      <w:pPr>
        <w:pStyle w:val="CitaviBibliographyEntry"/>
      </w:pPr>
    </w:p>
    <w:p w:rsidR="00DF777E" w:rsidRDefault="00DF777E" w:rsidP="00DF777E"/>
    <w:p w:rsidR="00D93C21" w:rsidRDefault="00D93C21" w:rsidP="008A4F26"/>
    <w:p w:rsidR="00D93C21" w:rsidRDefault="00D93C21" w:rsidP="008A4F26"/>
    <w:p w:rsidR="00D93C21" w:rsidRDefault="00D93C21" w:rsidP="008A4F26"/>
    <w:p w:rsidR="00D93C21" w:rsidRDefault="00D93C21" w:rsidP="008A4F26"/>
    <w:p w:rsidR="00D93C21" w:rsidRDefault="00D93C21" w:rsidP="008A4F26"/>
    <w:p w:rsidR="00D93C21" w:rsidRDefault="00D93C21" w:rsidP="008A4F26"/>
    <w:p w:rsidR="00D93C21" w:rsidRDefault="00D93C21" w:rsidP="008A4F26"/>
    <w:sectPr w:rsidR="00D93C21" w:rsidSect="00B248BF">
      <w:pgSz w:w="16838" w:h="11906" w:orient="landscape" w:code="9"/>
      <w:pgMar w:top="1418" w:right="1418" w:bottom="1418" w:left="1418" w:header="51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40F" w:rsidRDefault="000B340F" w:rsidP="00CB521D">
      <w:r>
        <w:separator/>
      </w:r>
    </w:p>
  </w:endnote>
  <w:endnote w:type="continuationSeparator" w:id="0">
    <w:p w:rsidR="000B340F" w:rsidRDefault="000B340F" w:rsidP="00CB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77E" w:rsidRPr="00A04C6C" w:rsidRDefault="00DF777E" w:rsidP="00A04C6C">
    <w:pPr>
      <w:pStyle w:val="FSTitle"/>
      <w:pBdr>
        <w:top w:val="single" w:sz="4" w:space="1" w:color="auto"/>
      </w:pBdr>
      <w:rPr>
        <w:color w:val="7F7F7F" w:themeColor="text1" w:themeTint="80"/>
      </w:rPr>
    </w:pPr>
    <w:r w:rsidRPr="00A04C6C">
      <w:rPr>
        <w:noProof/>
        <w:color w:val="7F7F7F" w:themeColor="text1" w:themeTint="80"/>
        <w:sz w:val="16"/>
        <w:szCs w:val="16"/>
        <w:lang w:eastAsia="en-GB" w:bidi="ar-SA"/>
      </w:rPr>
      <mc:AlternateContent>
        <mc:Choice Requires="wps">
          <w:drawing>
            <wp:anchor distT="0" distB="0" distL="114300" distR="114300" simplePos="0" relativeHeight="251659264" behindDoc="1" locked="0" layoutInCell="1" allowOverlap="1" wp14:anchorId="081885CD" wp14:editId="2FD1C39E">
              <wp:simplePos x="0" y="0"/>
              <wp:positionH relativeFrom="column">
                <wp:posOffset>-1090295</wp:posOffset>
              </wp:positionH>
              <wp:positionV relativeFrom="paragraph">
                <wp:posOffset>612511</wp:posOffset>
              </wp:positionV>
              <wp:extent cx="7878445" cy="159385"/>
              <wp:effectExtent l="0" t="0" r="8255" b="0"/>
              <wp:wrapNone/>
              <wp:docPr id="8" name="Rectangle 8" descr="&quot;&quot;"/>
              <wp:cNvGraphicFramePr/>
              <a:graphic xmlns:a="http://schemas.openxmlformats.org/drawingml/2006/main">
                <a:graphicData uri="http://schemas.microsoft.com/office/word/2010/wordprocessingShape">
                  <wps:wsp>
                    <wps:cNvSpPr/>
                    <wps:spPr>
                      <a:xfrm>
                        <a:off x="0" y="0"/>
                        <a:ext cx="7878445" cy="159385"/>
                      </a:xfrm>
                      <a:prstGeom prst="rect">
                        <a:avLst/>
                      </a:prstGeom>
                      <a:solidFill>
                        <a:srgbClr val="0E49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99BC3" id="Rectangle 8" o:spid="_x0000_s1026" alt="&quot;&quot;" style="position:absolute;margin-left:-85.85pt;margin-top:48.25pt;width:620.35pt;height:1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Q7pAIAAJoFAAAOAAAAZHJzL2Uyb0RvYy54bWysVFFPGzEMfp+0/xDlYW/j2q4dpeOKKhjT&#10;JAQImHhOc0kvUi4OSdpr9+vnJHcHY2gP0/qQxrH92f7O9unZvtFkJ5xXYEo6PhpRIgyHSplNSX88&#10;XH6cU+IDMxXTYERJD8LTs+X7d6etXYgJ1KAr4QiCGL9obUnrEOyiKDyvRcP8EVhhUCnBNSyg6DZF&#10;5ViL6I0uJqPR56IFV1kHXHiPrxdZSZcJX0rBw42UXgSiS4q5hXS6dK7jWSxP2WLjmK0V79Jg/5BF&#10;w5TBoAPUBQuMbJ36A6pR3IEHGY44NAVIqbhINWA149Grau5rZkWqBcnxdqDJ/z9Yfr27dURVJcUP&#10;ZViDn+gOSWNmowXBp0p4jnR9eNpC+JLPyFlr/QJd7+2t6ySP10jAXrom/mNpZJ94Pgw8i30gHB+P&#10;58fz6XRGCUfdeHbyaT6LoMWzt3U+fBPQkHgpqcOUEr1sd+VDNu1NYjAPWlWXSuskuM36XDuyY/Gb&#10;f52ezC469N/MtInGBqJbRowvRaws15Ju4aBFtNPmTkjkCbOfpExSh4ohDuNcmDDOqppVIoefjfDX&#10;R489HT1SpQkwIkuMP2B3AL1lBumxc5adfXQVqcEH59HfEsvOg0eKDCYMzo0y4N4C0FhVFznb9yRl&#10;aiJLa6gO2EUO8nh5yy8Vfrcr5sMtczhPOHm4I8INHlJDW1LobpTU4H6+9R7tsc1RS0mL81lS/7Rl&#10;TlCivxscgJPxdBoHOgnT2fEEBfdSs36pMdvmHLAdxriNLE/XaB90f5UOmkdcJasYFVXMcIxdUh5c&#10;L5yHvDdwGXGxWiUzHGLLwpW5tzyCR1ZjXz7sH5mzXfMGbPtr6GeZLV71cLaNngZW2wBSpQZ/5rXj&#10;GxdAapxuWcUN81JOVs8rdfkLAAD//wMAUEsDBBQABgAIAAAAIQB+xedX4gAAAAwBAAAPAAAAZHJz&#10;L2Rvd25yZXYueG1sTI/RSsMwFIbvBd8hHMG7Lc0k3VabjiEMmYLg9AHS5thUm6Q02VZ9es+u9O4c&#10;zsd/vr/cTK5nJxxjF7wCMc+AoW+C6Xyr4P1tN1sBi0l7o/vgUcE3RthU11elLkw4+1c8HVLLKMTH&#10;QiuwKQ0F57Gx6HSchwE93T7C6HSidWy5GfWZwl3PF1mWc6c7Tx+sHvDBYvN1ODoFP/uX7afcPYrV&#10;YGUtn57lXbuXSt3eTNt7YAmn9AfDRZ/UoSKnOhy9iaxXMBNLsSRWwTqXwC5Elq+pXk3TQuTAq5L/&#10;L1H9AgAA//8DAFBLAQItABQABgAIAAAAIQC2gziS/gAAAOEBAAATAAAAAAAAAAAAAAAAAAAAAABb&#10;Q29udGVudF9UeXBlc10ueG1sUEsBAi0AFAAGAAgAAAAhADj9If/WAAAAlAEAAAsAAAAAAAAAAAAA&#10;AAAALwEAAF9yZWxzLy5yZWxzUEsBAi0AFAAGAAgAAAAhAGBa9DukAgAAmgUAAA4AAAAAAAAAAAAA&#10;AAAALgIAAGRycy9lMm9Eb2MueG1sUEsBAi0AFAAGAAgAAAAhAH7F51fiAAAADAEAAA8AAAAAAAAA&#10;AAAAAAAA/gQAAGRycy9kb3ducmV2LnhtbFBLBQYAAAAABAAEAPMAAAANBgAAAAA=&#10;" fillcolor="#0e495d" stroked="f" strokeweight="2pt"/>
          </w:pict>
        </mc:Fallback>
      </mc:AlternateContent>
    </w:r>
    <w:r w:rsidR="00A04C6C" w:rsidRPr="00A04C6C">
      <w:rPr>
        <w:color w:val="7F7F7F" w:themeColor="text1" w:themeTint="80"/>
        <w:sz w:val="16"/>
        <w:szCs w:val="16"/>
      </w:rPr>
      <w:t xml:space="preserve"> Preliminary risk assessment of </w:t>
    </w:r>
    <w:r w:rsidR="00A04C6C" w:rsidRPr="00A04C6C">
      <w:rPr>
        <w:noProof/>
        <w:color w:val="7F7F7F" w:themeColor="text1" w:themeTint="80"/>
        <w:sz w:val="16"/>
        <w:szCs w:val="16"/>
      </w:rPr>
      <w:t xml:space="preserve">3-monochloropropanediol (3-MCPD) </w:t>
    </w:r>
    <w:r w:rsidR="00A04C6C" w:rsidRPr="00A04C6C">
      <w:rPr>
        <w:color w:val="7F7F7F" w:themeColor="text1" w:themeTint="80"/>
        <w:sz w:val="16"/>
        <w:szCs w:val="16"/>
      </w:rPr>
      <w:t>glycidyl esters from infant formula</w:t>
    </w:r>
    <w:r w:rsidR="00A04C6C" w:rsidRPr="00A04C6C">
      <w:rPr>
        <w:color w:val="7F7F7F" w:themeColor="text1" w:themeTint="80"/>
        <w:sz w:val="16"/>
        <w:szCs w:val="16"/>
      </w:rPr>
      <w:tab/>
    </w:r>
    <w:r w:rsidR="00A04C6C" w:rsidRPr="00A04C6C">
      <w:rPr>
        <w:color w:val="7F7F7F" w:themeColor="text1" w:themeTint="80"/>
        <w:sz w:val="16"/>
        <w:szCs w:val="16"/>
      </w:rPr>
      <w:tab/>
    </w:r>
    <w:r w:rsidRPr="00A04C6C">
      <w:rPr>
        <w:color w:val="7F7F7F" w:themeColor="text1" w:themeTint="80"/>
      </w:rPr>
      <w:tab/>
    </w:r>
    <w:r w:rsidRPr="00A04C6C">
      <w:rPr>
        <w:color w:val="7F7F7F" w:themeColor="text1" w:themeTint="80"/>
        <w:sz w:val="16"/>
        <w:szCs w:val="16"/>
      </w:rPr>
      <w:fldChar w:fldCharType="begin"/>
    </w:r>
    <w:r w:rsidRPr="00A04C6C">
      <w:rPr>
        <w:color w:val="7F7F7F" w:themeColor="text1" w:themeTint="80"/>
        <w:sz w:val="16"/>
        <w:szCs w:val="16"/>
      </w:rPr>
      <w:instrText xml:space="preserve"> PAGE   \* MERGEFORMAT </w:instrText>
    </w:r>
    <w:r w:rsidRPr="00A04C6C">
      <w:rPr>
        <w:color w:val="7F7F7F" w:themeColor="text1" w:themeTint="80"/>
        <w:sz w:val="16"/>
        <w:szCs w:val="16"/>
      </w:rPr>
      <w:fldChar w:fldCharType="separate"/>
    </w:r>
    <w:r w:rsidR="00F451D4">
      <w:rPr>
        <w:noProof/>
        <w:color w:val="7F7F7F" w:themeColor="text1" w:themeTint="80"/>
        <w:sz w:val="16"/>
        <w:szCs w:val="16"/>
      </w:rPr>
      <w:t>16</w:t>
    </w:r>
    <w:r w:rsidRPr="00A04C6C">
      <w:rPr>
        <w:noProof/>
        <w:color w:val="7F7F7F" w:themeColor="text1" w:themeTint="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40F" w:rsidRDefault="000B340F" w:rsidP="00CB521D">
      <w:r>
        <w:separator/>
      </w:r>
    </w:p>
  </w:footnote>
  <w:footnote w:type="continuationSeparator" w:id="0">
    <w:p w:rsidR="000B340F" w:rsidRDefault="000B340F" w:rsidP="00CB521D">
      <w:r>
        <w:continuationSeparator/>
      </w:r>
    </w:p>
  </w:footnote>
  <w:footnote w:id="1">
    <w:p w:rsidR="00DF777E" w:rsidRPr="00D93C21" w:rsidRDefault="00DF777E" w:rsidP="00D93C21">
      <w:pPr>
        <w:pStyle w:val="FootnoteText"/>
        <w:spacing w:before="120" w:after="0"/>
        <w:rPr>
          <w:sz w:val="16"/>
          <w:szCs w:val="16"/>
        </w:rPr>
      </w:pPr>
      <w:r w:rsidRPr="00D93C21">
        <w:rPr>
          <w:rStyle w:val="FootnoteReference"/>
          <w:sz w:val="16"/>
          <w:szCs w:val="16"/>
        </w:rPr>
        <w:footnoteRef/>
      </w:r>
      <w:r w:rsidRPr="00D93C21">
        <w:rPr>
          <w:sz w:val="16"/>
          <w:szCs w:val="16"/>
        </w:rPr>
        <w:t xml:space="preserve"> The PMTDI represents the amount of a chemical in food or drinking water that can be ingested daily over a lifetime without appreciable health risk.</w:t>
      </w:r>
    </w:p>
  </w:footnote>
  <w:footnote w:id="2">
    <w:p w:rsidR="00DF777E" w:rsidRPr="00D93C21" w:rsidRDefault="00DF777E" w:rsidP="00D93C21">
      <w:pPr>
        <w:pStyle w:val="FootnoteText"/>
        <w:spacing w:before="120" w:after="0"/>
        <w:rPr>
          <w:sz w:val="16"/>
          <w:szCs w:val="16"/>
        </w:rPr>
      </w:pPr>
      <w:r w:rsidRPr="00D93C21">
        <w:rPr>
          <w:rStyle w:val="FootnoteReference"/>
          <w:sz w:val="16"/>
          <w:szCs w:val="16"/>
        </w:rPr>
        <w:footnoteRef/>
      </w:r>
      <w:r w:rsidRPr="00D93C21">
        <w:rPr>
          <w:sz w:val="16"/>
          <w:szCs w:val="16"/>
        </w:rPr>
        <w:t xml:space="preserve"> BMDL</w:t>
      </w:r>
      <w:r w:rsidRPr="00D93C21">
        <w:rPr>
          <w:sz w:val="16"/>
          <w:szCs w:val="16"/>
          <w:vertAlign w:val="subscript"/>
        </w:rPr>
        <w:t>10</w:t>
      </w:r>
      <w:r w:rsidRPr="00D93C21">
        <w:rPr>
          <w:sz w:val="16"/>
          <w:szCs w:val="16"/>
        </w:rPr>
        <w:t>: The benchmark dose lower confidence limit for a 10% increase in the incidence of an adverse effect.</w:t>
      </w:r>
    </w:p>
  </w:footnote>
  <w:footnote w:id="3">
    <w:p w:rsidR="00DF777E" w:rsidRPr="005075B8" w:rsidRDefault="00DF777E" w:rsidP="00D93C21">
      <w:pPr>
        <w:pStyle w:val="FootnoteText"/>
        <w:spacing w:before="120" w:after="0"/>
      </w:pPr>
      <w:r w:rsidRPr="00D93C21">
        <w:rPr>
          <w:rStyle w:val="FootnoteReference"/>
          <w:sz w:val="16"/>
          <w:szCs w:val="16"/>
        </w:rPr>
        <w:footnoteRef/>
      </w:r>
      <w:r w:rsidRPr="00D93C21">
        <w:rPr>
          <w:sz w:val="16"/>
          <w:szCs w:val="16"/>
        </w:rPr>
        <w:t xml:space="preserve"> The ratio between the BMDL</w:t>
      </w:r>
      <w:r w:rsidRPr="00D93C21">
        <w:rPr>
          <w:sz w:val="16"/>
          <w:szCs w:val="16"/>
          <w:vertAlign w:val="subscript"/>
        </w:rPr>
        <w:t>10</w:t>
      </w:r>
      <w:r w:rsidRPr="00D93C21">
        <w:rPr>
          <w:sz w:val="16"/>
          <w:szCs w:val="16"/>
        </w:rPr>
        <w:t xml:space="preserve"> and the estimated dietary exposure.</w:t>
      </w:r>
    </w:p>
  </w:footnote>
  <w:footnote w:id="4">
    <w:p w:rsidR="00DF777E" w:rsidRPr="00DF777E" w:rsidRDefault="00DF777E" w:rsidP="00DF777E">
      <w:pPr>
        <w:pStyle w:val="FootnoteText"/>
        <w:spacing w:after="120"/>
        <w:rPr>
          <w:sz w:val="16"/>
          <w:szCs w:val="16"/>
        </w:rPr>
      </w:pPr>
      <w:r w:rsidRPr="00DF777E">
        <w:rPr>
          <w:rStyle w:val="FootnoteReference"/>
          <w:sz w:val="16"/>
          <w:szCs w:val="16"/>
        </w:rPr>
        <w:footnoteRef/>
      </w:r>
      <w:r w:rsidRPr="00DF777E">
        <w:rPr>
          <w:sz w:val="16"/>
          <w:szCs w:val="16"/>
        </w:rPr>
        <w:t xml:space="preserve"> BMDL</w:t>
      </w:r>
      <w:r w:rsidRPr="00DF777E">
        <w:rPr>
          <w:sz w:val="16"/>
          <w:szCs w:val="16"/>
          <w:vertAlign w:val="subscript"/>
        </w:rPr>
        <w:t>10</w:t>
      </w:r>
      <w:r w:rsidRPr="00DF777E">
        <w:rPr>
          <w:sz w:val="16"/>
          <w:szCs w:val="16"/>
        </w:rPr>
        <w:t>: The benchmark dose lower confidence limit for a 10% increase in the incidence of an adverse effect.</w:t>
      </w:r>
    </w:p>
  </w:footnote>
  <w:footnote w:id="5">
    <w:p w:rsidR="00DF777E" w:rsidRPr="00AC4D0D" w:rsidRDefault="00DF777E" w:rsidP="00DF777E">
      <w:pPr>
        <w:pStyle w:val="FootnoteText"/>
        <w:spacing w:after="120"/>
      </w:pPr>
      <w:r w:rsidRPr="00DF777E">
        <w:rPr>
          <w:rStyle w:val="FootnoteReference"/>
          <w:sz w:val="16"/>
          <w:szCs w:val="16"/>
        </w:rPr>
        <w:footnoteRef/>
      </w:r>
      <w:r w:rsidRPr="00DF777E">
        <w:rPr>
          <w:sz w:val="16"/>
          <w:szCs w:val="16"/>
        </w:rPr>
        <w:t xml:space="preserve"> The MOE is defined as the ratio between the BMDL for the critical effect and the estimated dietary exposure.</w:t>
      </w:r>
    </w:p>
  </w:footnote>
  <w:footnote w:id="6">
    <w:p w:rsidR="00DF777E" w:rsidRPr="00E23DA4" w:rsidRDefault="00DF777E" w:rsidP="00DF777E">
      <w:pPr>
        <w:pStyle w:val="FootnoteText"/>
        <w:rPr>
          <w:sz w:val="16"/>
          <w:szCs w:val="16"/>
        </w:rPr>
      </w:pPr>
      <w:r w:rsidRPr="00E23DA4">
        <w:rPr>
          <w:rStyle w:val="FootnoteReference"/>
          <w:sz w:val="16"/>
          <w:szCs w:val="16"/>
        </w:rPr>
        <w:footnoteRef/>
      </w:r>
      <w:r w:rsidRPr="00E23DA4">
        <w:rPr>
          <w:sz w:val="16"/>
          <w:szCs w:val="16"/>
        </w:rPr>
        <w:t xml:space="preserve"> Margin of Exposure (MOE) = BMDL</w:t>
      </w:r>
      <w:r w:rsidRPr="00E23DA4">
        <w:rPr>
          <w:sz w:val="16"/>
          <w:szCs w:val="16"/>
          <w:vertAlign w:val="subscript"/>
        </w:rPr>
        <w:t>10</w:t>
      </w:r>
      <w:r w:rsidRPr="00E23DA4">
        <w:rPr>
          <w:sz w:val="16"/>
          <w:szCs w:val="16"/>
        </w:rPr>
        <w:t xml:space="preserve"> ÷ dietary exposure to glycidol on a body weight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77E" w:rsidRPr="00D364CD" w:rsidRDefault="00DF777E" w:rsidP="00D364CD">
    <w:pPr>
      <w:pStyle w:val="Header"/>
    </w:pPr>
    <w:r w:rsidRPr="00D364CD">
      <w:t>Food Standards Australia New Zealand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1741"/>
    <w:multiLevelType w:val="hybridMultilevel"/>
    <w:tmpl w:val="67C2E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963D77"/>
    <w:multiLevelType w:val="hybridMultilevel"/>
    <w:tmpl w:val="7632DC76"/>
    <w:lvl w:ilvl="0" w:tplc="AB405820">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B745F1D"/>
    <w:multiLevelType w:val="hybridMultilevel"/>
    <w:tmpl w:val="3E862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54271"/>
    <w:multiLevelType w:val="hybridMultilevel"/>
    <w:tmpl w:val="4B161560"/>
    <w:lvl w:ilvl="0" w:tplc="FDFEA674">
      <w:start w:val="1"/>
      <w:numFmt w:val="bullet"/>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375D38FE"/>
    <w:multiLevelType w:val="hybridMultilevel"/>
    <w:tmpl w:val="F238127E"/>
    <w:lvl w:ilvl="0" w:tplc="EC004A3A">
      <w:start w:val="1"/>
      <w:numFmt w:val="decimal"/>
      <w:pStyle w:val="FSNumberlist"/>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E23B5C"/>
    <w:multiLevelType w:val="hybridMultilevel"/>
    <w:tmpl w:val="15E2C8B4"/>
    <w:lvl w:ilvl="0" w:tplc="B234E9C4">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4CBD36CE"/>
    <w:multiLevelType w:val="hybridMultilevel"/>
    <w:tmpl w:val="7FA69D36"/>
    <w:lvl w:ilvl="0" w:tplc="0388B4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AD0FEC"/>
    <w:multiLevelType w:val="hybridMultilevel"/>
    <w:tmpl w:val="109A4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357724"/>
    <w:multiLevelType w:val="hybridMultilevel"/>
    <w:tmpl w:val="E200B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3" w15:restartNumberingAfterBreak="0">
    <w:nsid w:val="77124C8A"/>
    <w:multiLevelType w:val="hybridMultilevel"/>
    <w:tmpl w:val="77AA11CE"/>
    <w:lvl w:ilvl="0" w:tplc="68A020F4">
      <w:start w:val="1"/>
      <w:numFmt w:val="bullet"/>
      <w:pStyle w:val="FS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12"/>
  </w:num>
  <w:num w:numId="9">
    <w:abstractNumId w:val="6"/>
  </w:num>
  <w:num w:numId="10">
    <w:abstractNumId w:val="9"/>
  </w:num>
  <w:num w:numId="11">
    <w:abstractNumId w:val="12"/>
  </w:num>
  <w:num w:numId="12">
    <w:abstractNumId w:val="6"/>
  </w:num>
  <w:num w:numId="13">
    <w:abstractNumId w:val="9"/>
  </w:num>
  <w:num w:numId="14">
    <w:abstractNumId w:val="8"/>
  </w:num>
  <w:num w:numId="15">
    <w:abstractNumId w:val="13"/>
  </w:num>
  <w:num w:numId="16">
    <w:abstractNumId w:val="5"/>
  </w:num>
  <w:num w:numId="17">
    <w:abstractNumId w:val="3"/>
  </w:num>
  <w:num w:numId="18">
    <w:abstractNumId w:val="7"/>
  </w:num>
  <w:num w:numId="19">
    <w:abstractNumId w:val="1"/>
  </w:num>
  <w:num w:numId="20">
    <w:abstractNumId w:val="10"/>
  </w:num>
  <w:num w:numId="21">
    <w:abstractNumId w:val="11"/>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21"/>
    <w:rsid w:val="0000542C"/>
    <w:rsid w:val="00016DEF"/>
    <w:rsid w:val="00041643"/>
    <w:rsid w:val="00043870"/>
    <w:rsid w:val="000622E7"/>
    <w:rsid w:val="00066854"/>
    <w:rsid w:val="00066D85"/>
    <w:rsid w:val="00077C9C"/>
    <w:rsid w:val="000A38F8"/>
    <w:rsid w:val="000B340F"/>
    <w:rsid w:val="000E1A32"/>
    <w:rsid w:val="000F2196"/>
    <w:rsid w:val="001734EA"/>
    <w:rsid w:val="00184403"/>
    <w:rsid w:val="00185F59"/>
    <w:rsid w:val="00191770"/>
    <w:rsid w:val="001A786F"/>
    <w:rsid w:val="001C5126"/>
    <w:rsid w:val="001E696B"/>
    <w:rsid w:val="002232B1"/>
    <w:rsid w:val="00234C31"/>
    <w:rsid w:val="00265FC0"/>
    <w:rsid w:val="002778DD"/>
    <w:rsid w:val="002A3E3D"/>
    <w:rsid w:val="00306E46"/>
    <w:rsid w:val="0033021F"/>
    <w:rsid w:val="00341D25"/>
    <w:rsid w:val="0034636D"/>
    <w:rsid w:val="003476E5"/>
    <w:rsid w:val="003A01FB"/>
    <w:rsid w:val="003B7374"/>
    <w:rsid w:val="00404702"/>
    <w:rsid w:val="00441D77"/>
    <w:rsid w:val="00443F05"/>
    <w:rsid w:val="00480D15"/>
    <w:rsid w:val="00484E16"/>
    <w:rsid w:val="00486619"/>
    <w:rsid w:val="004D3868"/>
    <w:rsid w:val="004E6694"/>
    <w:rsid w:val="0054036E"/>
    <w:rsid w:val="00545135"/>
    <w:rsid w:val="005865BE"/>
    <w:rsid w:val="005B578D"/>
    <w:rsid w:val="005C1996"/>
    <w:rsid w:val="0061796C"/>
    <w:rsid w:val="006341A0"/>
    <w:rsid w:val="00637EBC"/>
    <w:rsid w:val="00653E44"/>
    <w:rsid w:val="006B6900"/>
    <w:rsid w:val="006D473E"/>
    <w:rsid w:val="007201F8"/>
    <w:rsid w:val="00793DE6"/>
    <w:rsid w:val="007F6456"/>
    <w:rsid w:val="008149EB"/>
    <w:rsid w:val="00830393"/>
    <w:rsid w:val="00833D5A"/>
    <w:rsid w:val="0085000A"/>
    <w:rsid w:val="00860EE7"/>
    <w:rsid w:val="00877A81"/>
    <w:rsid w:val="008931F6"/>
    <w:rsid w:val="008A4F26"/>
    <w:rsid w:val="008C0939"/>
    <w:rsid w:val="008C2407"/>
    <w:rsid w:val="008E2339"/>
    <w:rsid w:val="00935023"/>
    <w:rsid w:val="009806A5"/>
    <w:rsid w:val="009C3FB4"/>
    <w:rsid w:val="009E265A"/>
    <w:rsid w:val="009F4939"/>
    <w:rsid w:val="00A04C6C"/>
    <w:rsid w:val="00A23159"/>
    <w:rsid w:val="00A2333F"/>
    <w:rsid w:val="00A25B29"/>
    <w:rsid w:val="00A26F82"/>
    <w:rsid w:val="00A63547"/>
    <w:rsid w:val="00A8077A"/>
    <w:rsid w:val="00A808E9"/>
    <w:rsid w:val="00A95D0B"/>
    <w:rsid w:val="00AA6E7D"/>
    <w:rsid w:val="00B01E1E"/>
    <w:rsid w:val="00B248BF"/>
    <w:rsid w:val="00B34C73"/>
    <w:rsid w:val="00B53154"/>
    <w:rsid w:val="00B56022"/>
    <w:rsid w:val="00B72074"/>
    <w:rsid w:val="00B80F85"/>
    <w:rsid w:val="00BC1931"/>
    <w:rsid w:val="00BC2133"/>
    <w:rsid w:val="00BD236E"/>
    <w:rsid w:val="00BE4F3A"/>
    <w:rsid w:val="00C019A6"/>
    <w:rsid w:val="00C23876"/>
    <w:rsid w:val="00C56BA3"/>
    <w:rsid w:val="00C572A2"/>
    <w:rsid w:val="00C8249D"/>
    <w:rsid w:val="00C95375"/>
    <w:rsid w:val="00CB521D"/>
    <w:rsid w:val="00CD5D88"/>
    <w:rsid w:val="00D364CD"/>
    <w:rsid w:val="00D5526B"/>
    <w:rsid w:val="00D66962"/>
    <w:rsid w:val="00D87D9C"/>
    <w:rsid w:val="00D92B3B"/>
    <w:rsid w:val="00D93C21"/>
    <w:rsid w:val="00DA385C"/>
    <w:rsid w:val="00DA7DED"/>
    <w:rsid w:val="00DF4A30"/>
    <w:rsid w:val="00DF777E"/>
    <w:rsid w:val="00E0050C"/>
    <w:rsid w:val="00E21773"/>
    <w:rsid w:val="00E23DA4"/>
    <w:rsid w:val="00E2450C"/>
    <w:rsid w:val="00E340B5"/>
    <w:rsid w:val="00E4001E"/>
    <w:rsid w:val="00E53ACA"/>
    <w:rsid w:val="00E73E1C"/>
    <w:rsid w:val="00E9409E"/>
    <w:rsid w:val="00EC65E9"/>
    <w:rsid w:val="00ED14F7"/>
    <w:rsid w:val="00F4105E"/>
    <w:rsid w:val="00F451D4"/>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77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2E3037"/>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2"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5" w:unhideWhenUsed="1" w:qFormat="1"/>
    <w:lsdException w:name="annotation text" w:semiHidden="1" w:uiPriority="0" w:unhideWhenUsed="1"/>
    <w:lsdException w:name="header" w:locked="1" w:semiHidden="1" w:uiPriority="0" w:unhideWhenUsed="1" w:qFormat="1"/>
    <w:lsdException w:name="footer" w:locked="1"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C8249D"/>
    <w:pPr>
      <w:spacing w:after="240"/>
    </w:pPr>
  </w:style>
  <w:style w:type="paragraph" w:styleId="Heading1">
    <w:name w:val="heading 1"/>
    <w:aliases w:val="FSHeading 1,Chapter heading"/>
    <w:basedOn w:val="Normal"/>
    <w:next w:val="Normal"/>
    <w:link w:val="Heading1Char"/>
    <w:uiPriority w:val="2"/>
    <w:qFormat/>
    <w:locked/>
    <w:rsid w:val="00B56022"/>
    <w:pPr>
      <w:keepNext/>
      <w:outlineLvl w:val="0"/>
    </w:pPr>
    <w:rPr>
      <w:rFonts w:eastAsiaTheme="majorEastAsia" w:cstheme="majorBidi"/>
      <w:bCs/>
      <w:color w:val="0E495D"/>
      <w:sz w:val="52"/>
      <w:szCs w:val="28"/>
    </w:rPr>
  </w:style>
  <w:style w:type="paragraph" w:styleId="Heading2">
    <w:name w:val="heading 2"/>
    <w:aliases w:val="FSHeading 2,Section heading"/>
    <w:basedOn w:val="Normal"/>
    <w:next w:val="Normal"/>
    <w:link w:val="Heading2Char"/>
    <w:uiPriority w:val="9"/>
    <w:qFormat/>
    <w:locked/>
    <w:rsid w:val="00CB521D"/>
    <w:pPr>
      <w:keepNext/>
      <w:keepLines/>
      <w:pBdr>
        <w:bottom w:val="single" w:sz="18" w:space="8" w:color="0E495D"/>
      </w:pBdr>
      <w:spacing w:before="360" w:after="360"/>
      <w:outlineLvl w:val="1"/>
    </w:pPr>
    <w:rPr>
      <w:rFonts w:eastAsia="Calibri" w:cs="Times New Roman"/>
      <w:b/>
      <w:color w:val="0E495D"/>
      <w:sz w:val="38"/>
      <w:szCs w:val="38"/>
    </w:rPr>
  </w:style>
  <w:style w:type="paragraph" w:styleId="Heading3">
    <w:name w:val="heading 3"/>
    <w:aliases w:val="FSHeading 3,Subheading 1"/>
    <w:basedOn w:val="Normal"/>
    <w:next w:val="Normal"/>
    <w:link w:val="Heading3Char"/>
    <w:autoRedefine/>
    <w:uiPriority w:val="9"/>
    <w:qFormat/>
    <w:locked/>
    <w:rsid w:val="00D93C21"/>
    <w:pPr>
      <w:keepNext/>
      <w:keepLines/>
      <w:framePr w:hSpace="180" w:wrap="around" w:vAnchor="page" w:hAnchor="margin" w:y="3927"/>
      <w:numPr>
        <w:ilvl w:val="1"/>
      </w:numPr>
      <w:spacing w:before="240"/>
      <w:jc w:val="right"/>
      <w:outlineLvl w:val="2"/>
    </w:pPr>
    <w:rPr>
      <w:rFonts w:eastAsia="Calibri" w:cs="Times New Roman"/>
      <w:b/>
      <w:color w:val="0E495D"/>
      <w:sz w:val="32"/>
      <w:szCs w:val="32"/>
      <w:lang w:eastAsia="en-GB"/>
    </w:rPr>
  </w:style>
  <w:style w:type="paragraph" w:styleId="Heading4">
    <w:name w:val="heading 4"/>
    <w:aliases w:val="FSHeading 4,Subheading 2"/>
    <w:basedOn w:val="Normal"/>
    <w:next w:val="Normal"/>
    <w:link w:val="Heading4Char"/>
    <w:uiPriority w:val="9"/>
    <w:qFormat/>
    <w:locked/>
    <w:rsid w:val="00CB521D"/>
    <w:pPr>
      <w:keepNext/>
      <w:keepLines/>
      <w:spacing w:before="240"/>
      <w:outlineLvl w:val="3"/>
    </w:pPr>
    <w:rPr>
      <w:rFonts w:eastAsia="Times New Roman" w:cs="Times New Roman"/>
      <w:b/>
      <w:color w:val="0E495D"/>
      <w:sz w:val="26"/>
      <w:szCs w:val="26"/>
    </w:rPr>
  </w:style>
  <w:style w:type="paragraph" w:styleId="Heading5">
    <w:name w:val="heading 5"/>
    <w:aliases w:val="FSHeading 5,Subheading 3"/>
    <w:basedOn w:val="Normal"/>
    <w:next w:val="Normal"/>
    <w:link w:val="Heading5Char"/>
    <w:uiPriority w:val="9"/>
    <w:unhideWhenUsed/>
    <w:qFormat/>
    <w:locked/>
    <w:rsid w:val="00CB521D"/>
    <w:pPr>
      <w:keepNext/>
      <w:spacing w:before="240"/>
      <w:outlineLvl w:val="4"/>
    </w:pPr>
    <w:rPr>
      <w:rFonts w:eastAsiaTheme="majorEastAsia" w:cstheme="majorBidi"/>
      <w:i/>
    </w:rPr>
  </w:style>
  <w:style w:type="paragraph" w:styleId="Heading6">
    <w:name w:val="heading 6"/>
    <w:basedOn w:val="Normal"/>
    <w:next w:val="Normal"/>
    <w:link w:val="Heading6Char"/>
    <w:uiPriority w:val="9"/>
    <w:rsid w:val="00CB521D"/>
    <w:pPr>
      <w:keepNext/>
      <w:keepLines/>
      <w:spacing w:before="120" w:after="120"/>
      <w:ind w:left="34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rsid w:val="00DF777E"/>
    <w:pPr>
      <w:widowControl w:val="0"/>
      <w:spacing w:before="240" w:after="60"/>
      <w:outlineLvl w:val="6"/>
    </w:pPr>
    <w:rPr>
      <w:rFonts w:eastAsia="Times New Roman" w:cs="Times New Roman"/>
      <w:color w:val="auto"/>
      <w:szCs w:val="24"/>
      <w:lang w:val="en-GB" w:bidi="en-US"/>
    </w:rPr>
  </w:style>
  <w:style w:type="paragraph" w:styleId="Heading8">
    <w:name w:val="heading 8"/>
    <w:basedOn w:val="Normal"/>
    <w:next w:val="Normal"/>
    <w:link w:val="Heading8Char"/>
    <w:uiPriority w:val="9"/>
    <w:unhideWhenUsed/>
    <w:rsid w:val="00DF777E"/>
    <w:pPr>
      <w:widowControl w:val="0"/>
      <w:spacing w:before="240" w:after="60"/>
      <w:outlineLvl w:val="7"/>
    </w:pPr>
    <w:rPr>
      <w:rFonts w:eastAsia="Times New Roman" w:cs="Times New Roman"/>
      <w:i/>
      <w:iCs/>
      <w:color w:val="auto"/>
      <w:szCs w:val="24"/>
      <w:lang w:val="en-GB" w:bidi="en-US"/>
    </w:rPr>
  </w:style>
  <w:style w:type="paragraph" w:styleId="Heading9">
    <w:name w:val="heading 9"/>
    <w:basedOn w:val="Normal"/>
    <w:next w:val="Normal"/>
    <w:link w:val="Heading9Char"/>
    <w:uiPriority w:val="9"/>
    <w:unhideWhenUsed/>
    <w:rsid w:val="00DF777E"/>
    <w:pPr>
      <w:widowControl w:val="0"/>
      <w:spacing w:before="240" w:after="60"/>
      <w:outlineLvl w:val="8"/>
    </w:pPr>
    <w:rPr>
      <w:rFonts w:ascii="Cambria" w:eastAsia="Times New Roman" w:hAnsi="Cambria" w:cs="Times New Roman"/>
      <w:color w:val="auto"/>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8A4F26"/>
    <w:rPr>
      <w:rFonts w:eastAsiaTheme="majorEastAsia" w:cstheme="majorBidi"/>
      <w:bCs/>
      <w:color w:val="0E495D"/>
      <w:sz w:val="52"/>
      <w:szCs w:val="28"/>
    </w:rPr>
  </w:style>
  <w:style w:type="character" w:customStyle="1" w:styleId="Heading2Char">
    <w:name w:val="Heading 2 Char"/>
    <w:aliases w:val="FSHeading 2 Char,Section heading Char"/>
    <w:basedOn w:val="DefaultParagraphFont"/>
    <w:link w:val="Heading2"/>
    <w:uiPriority w:val="9"/>
    <w:rsid w:val="008A4F26"/>
    <w:rPr>
      <w:rFonts w:eastAsia="Calibri" w:cs="Times New Roman"/>
      <w:b/>
      <w:color w:val="0E495D"/>
      <w:sz w:val="38"/>
      <w:szCs w:val="38"/>
    </w:rPr>
  </w:style>
  <w:style w:type="character" w:customStyle="1" w:styleId="Heading3Char">
    <w:name w:val="Heading 3 Char"/>
    <w:aliases w:val="FSHeading 3 Char,Subheading 1 Char"/>
    <w:basedOn w:val="DefaultParagraphFont"/>
    <w:link w:val="Heading3"/>
    <w:uiPriority w:val="9"/>
    <w:rsid w:val="00D93C21"/>
    <w:rPr>
      <w:rFonts w:eastAsia="Calibri" w:cs="Times New Roman"/>
      <w:b/>
      <w:color w:val="0E495D"/>
      <w:sz w:val="32"/>
      <w:szCs w:val="32"/>
      <w:lang w:eastAsia="en-GB"/>
    </w:rPr>
  </w:style>
  <w:style w:type="character" w:customStyle="1" w:styleId="Heading4Char">
    <w:name w:val="Heading 4 Char"/>
    <w:aliases w:val="FSHeading 4 Char,Subheading 2 Char"/>
    <w:basedOn w:val="DefaultParagraphFont"/>
    <w:link w:val="Heading4"/>
    <w:uiPriority w:val="9"/>
    <w:rsid w:val="008A4F26"/>
    <w:rPr>
      <w:rFonts w:eastAsia="Times New Roman" w:cs="Times New Roman"/>
      <w:b/>
      <w:color w:val="0E495D"/>
      <w:sz w:val="26"/>
      <w:szCs w:val="26"/>
    </w:rPr>
  </w:style>
  <w:style w:type="character" w:customStyle="1" w:styleId="Heading5Char">
    <w:name w:val="Heading 5 Char"/>
    <w:aliases w:val="FSHeading 5 Char,Subheading 3 Char"/>
    <w:basedOn w:val="DefaultParagraphFont"/>
    <w:link w:val="Heading5"/>
    <w:uiPriority w:val="9"/>
    <w:rsid w:val="00CB521D"/>
    <w:rPr>
      <w:rFonts w:eastAsiaTheme="majorEastAsia" w:cstheme="majorBidi"/>
      <w:i/>
      <w:color w:val="2E3037"/>
      <w:lang w:val="en-GB"/>
    </w:rPr>
  </w:style>
  <w:style w:type="character" w:customStyle="1" w:styleId="Heading6Char">
    <w:name w:val="Heading 6 Char"/>
    <w:basedOn w:val="DefaultParagraphFont"/>
    <w:link w:val="Heading6"/>
    <w:uiPriority w:val="9"/>
    <w:rsid w:val="008A4F26"/>
    <w:rPr>
      <w:rFonts w:eastAsiaTheme="majorEastAsia" w:cstheme="majorBidi"/>
      <w:i/>
      <w:iCs/>
      <w:color w:val="243F60" w:themeColor="accent1" w:themeShade="7F"/>
    </w:rPr>
  </w:style>
  <w:style w:type="character" w:customStyle="1" w:styleId="Heading7Char">
    <w:name w:val="Heading 7 Char"/>
    <w:basedOn w:val="DefaultParagraphFont"/>
    <w:link w:val="Heading7"/>
    <w:uiPriority w:val="9"/>
    <w:rsid w:val="00DF777E"/>
    <w:rPr>
      <w:rFonts w:eastAsia="Times New Roman" w:cs="Times New Roman"/>
      <w:color w:val="auto"/>
      <w:szCs w:val="24"/>
      <w:lang w:val="en-GB" w:bidi="en-US"/>
    </w:rPr>
  </w:style>
  <w:style w:type="character" w:customStyle="1" w:styleId="Heading8Char">
    <w:name w:val="Heading 8 Char"/>
    <w:basedOn w:val="DefaultParagraphFont"/>
    <w:link w:val="Heading8"/>
    <w:uiPriority w:val="9"/>
    <w:rsid w:val="00DF777E"/>
    <w:rPr>
      <w:rFonts w:eastAsia="Times New Roman" w:cs="Times New Roman"/>
      <w:i/>
      <w:iCs/>
      <w:color w:val="auto"/>
      <w:szCs w:val="24"/>
      <w:lang w:val="en-GB" w:bidi="en-US"/>
    </w:rPr>
  </w:style>
  <w:style w:type="character" w:customStyle="1" w:styleId="Heading9Char">
    <w:name w:val="Heading 9 Char"/>
    <w:basedOn w:val="DefaultParagraphFont"/>
    <w:link w:val="Heading9"/>
    <w:uiPriority w:val="9"/>
    <w:rsid w:val="00DF777E"/>
    <w:rPr>
      <w:rFonts w:ascii="Cambria" w:eastAsia="Times New Roman" w:hAnsi="Cambria" w:cs="Times New Roman"/>
      <w:color w:val="auto"/>
      <w:lang w:val="en-GB" w:bidi="en-US"/>
    </w:rPr>
  </w:style>
  <w:style w:type="paragraph" w:customStyle="1" w:styleId="Table2">
    <w:name w:val="Table 2"/>
    <w:basedOn w:val="Normal"/>
    <w:uiPriority w:val="20"/>
    <w:semiHidden/>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semiHidden/>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semiHidden/>
    <w:qFormat/>
    <w:rsid w:val="00404702"/>
    <w:pPr>
      <w:spacing w:after="120"/>
    </w:pPr>
    <w:rPr>
      <w:caps w:val="0"/>
      <w:sz w:val="18"/>
    </w:rPr>
  </w:style>
  <w:style w:type="paragraph" w:customStyle="1" w:styleId="142Tableheading1">
    <w:name w:val="1.4.2 Table heading1"/>
    <w:basedOn w:val="Normal"/>
    <w:uiPriority w:val="22"/>
    <w:semiHidden/>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semiHidden/>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semiHidden/>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semiHidden/>
    <w:rsid w:val="008A4F26"/>
    <w:rPr>
      <w:rFonts w:eastAsia="Times New Roman" w:cs="Times New Roman"/>
      <w:sz w:val="18"/>
      <w:szCs w:val="20"/>
    </w:rPr>
  </w:style>
  <w:style w:type="paragraph" w:customStyle="1" w:styleId="142Tabletext2">
    <w:name w:val="1.4.2 Table text2"/>
    <w:basedOn w:val="142Tabletext1"/>
    <w:uiPriority w:val="22"/>
    <w:semiHidden/>
    <w:qFormat/>
    <w:rsid w:val="00404702"/>
    <w:pPr>
      <w:jc w:val="right"/>
    </w:pPr>
  </w:style>
  <w:style w:type="paragraph" w:customStyle="1" w:styleId="Blankpage">
    <w:name w:val="Blank page"/>
    <w:basedOn w:val="Normal"/>
    <w:next w:val="Normal"/>
    <w:uiPriority w:val="23"/>
    <w:semiHidden/>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semiHidden/>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semiHidden/>
    <w:rsid w:val="008A4F26"/>
    <w:rPr>
      <w:rFonts w:eastAsia="Times New Roman" w:cs="Times New Roman"/>
      <w:sz w:val="20"/>
      <w:szCs w:val="20"/>
    </w:rPr>
  </w:style>
  <w:style w:type="paragraph" w:customStyle="1" w:styleId="Clauseheading">
    <w:name w:val="Clause heading"/>
    <w:basedOn w:val="Normal"/>
    <w:next w:val="Normal"/>
    <w:uiPriority w:val="14"/>
    <w:semiHidden/>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semiHidden/>
    <w:qFormat/>
    <w:rsid w:val="00404702"/>
    <w:pPr>
      <w:tabs>
        <w:tab w:val="clear" w:pos="851"/>
      </w:tabs>
      <w:ind w:left="851" w:hanging="851"/>
    </w:pPr>
  </w:style>
  <w:style w:type="paragraph" w:customStyle="1" w:styleId="Definition">
    <w:name w:val="Definition"/>
    <w:basedOn w:val="Normal"/>
    <w:next w:val="Normal"/>
    <w:uiPriority w:val="15"/>
    <w:semiHidden/>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semiHidden/>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semiHidden/>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semiHidden/>
    <w:qFormat/>
    <w:rsid w:val="00404702"/>
    <w:pPr>
      <w:keepNext w:val="0"/>
    </w:pPr>
    <w:rPr>
      <w:b w:val="0"/>
    </w:rPr>
  </w:style>
  <w:style w:type="paragraph" w:styleId="Footer">
    <w:name w:val="footer"/>
    <w:aliases w:val="FSFooter"/>
    <w:basedOn w:val="Normal"/>
    <w:link w:val="FooterChar"/>
    <w:uiPriority w:val="99"/>
    <w:qFormat/>
    <w:locked/>
    <w:rsid w:val="008A4F26"/>
    <w:pPr>
      <w:tabs>
        <w:tab w:val="left" w:pos="8505"/>
      </w:tabs>
    </w:pPr>
    <w:rPr>
      <w:sz w:val="20"/>
    </w:rPr>
  </w:style>
  <w:style w:type="character" w:customStyle="1" w:styleId="FooterChar">
    <w:name w:val="Footer Char"/>
    <w:aliases w:val="FSFooter Char"/>
    <w:basedOn w:val="DefaultParagraphFont"/>
    <w:link w:val="Footer"/>
    <w:uiPriority w:val="99"/>
    <w:rsid w:val="008A4F26"/>
    <w:rPr>
      <w:sz w:val="20"/>
    </w:rPr>
  </w:style>
  <w:style w:type="paragraph" w:styleId="FootnoteText">
    <w:name w:val="footnote text"/>
    <w:aliases w:val="Footnotes Text,FSFootnotes Text,FSFootnote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FSFootnote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qFormat/>
    <w:locked/>
    <w:rsid w:val="00234C31"/>
    <w:pPr>
      <w:numPr>
        <w:numId w:val="11"/>
      </w:numPr>
      <w:ind w:left="567" w:hanging="567"/>
    </w:pPr>
    <w:rPr>
      <w:rFonts w:eastAsia="Times New Roman"/>
      <w:szCs w:val="24"/>
    </w:rPr>
  </w:style>
  <w:style w:type="character" w:customStyle="1" w:styleId="FSBullet1Char">
    <w:name w:val="FSBullet 1 Char"/>
    <w:basedOn w:val="DefaultParagraphFont"/>
    <w:link w:val="FSBullet1"/>
    <w:rsid w:val="008A4F26"/>
    <w:rPr>
      <w:rFonts w:eastAsia="Times New Roman"/>
      <w:szCs w:val="24"/>
    </w:rPr>
  </w:style>
  <w:style w:type="paragraph" w:customStyle="1" w:styleId="FSBullet2">
    <w:name w:val="FSBullet 2"/>
    <w:basedOn w:val="Normal"/>
    <w:qFormat/>
    <w:locked/>
    <w:rsid w:val="00830393"/>
    <w:pPr>
      <w:numPr>
        <w:numId w:val="12"/>
      </w:numPr>
      <w:ind w:left="1134" w:hanging="567"/>
    </w:pPr>
  </w:style>
  <w:style w:type="paragraph" w:customStyle="1" w:styleId="FSBullet3">
    <w:name w:val="FSBullet 3"/>
    <w:basedOn w:val="Normal"/>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semiHidden/>
    <w:qFormat/>
    <w:locked/>
    <w:rsid w:val="00404702"/>
    <w:rPr>
      <w:rFonts w:eastAsia="Times New Roman" w:cs="Times New Roman"/>
      <w:sz w:val="16"/>
      <w:szCs w:val="20"/>
    </w:rPr>
  </w:style>
  <w:style w:type="paragraph" w:customStyle="1" w:styleId="FSCFooter">
    <w:name w:val="FSCFooter"/>
    <w:basedOn w:val="FSCFootnote"/>
    <w:uiPriority w:val="17"/>
    <w:semiHidden/>
    <w:qFormat/>
    <w:locked/>
    <w:rsid w:val="00404702"/>
    <w:pPr>
      <w:tabs>
        <w:tab w:val="center" w:pos="4536"/>
        <w:tab w:val="right" w:pos="9070"/>
      </w:tabs>
    </w:pPr>
    <w:rPr>
      <w:sz w:val="18"/>
      <w:szCs w:val="18"/>
    </w:rPr>
  </w:style>
  <w:style w:type="paragraph" w:customStyle="1" w:styleId="FSPagenumber">
    <w:name w:val="FSPage number"/>
    <w:basedOn w:val="Normal"/>
    <w:uiPriority w:val="1"/>
    <w:semiHidden/>
    <w:qFormat/>
    <w:locked/>
    <w:rsid w:val="00404702"/>
    <w:pPr>
      <w:jc w:val="center"/>
    </w:pPr>
    <w:rPr>
      <w:sz w:val="20"/>
      <w:szCs w:val="20"/>
    </w:rPr>
  </w:style>
  <w:style w:type="paragraph" w:customStyle="1" w:styleId="FSTableColumnRowheading">
    <w:name w:val="FSTable Column/Row heading"/>
    <w:basedOn w:val="Normal"/>
    <w:uiPriority w:val="8"/>
    <w:semiHidden/>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545135"/>
    <w:pPr>
      <w:spacing w:before="120" w:after="120"/>
      <w:ind w:left="1134" w:hanging="1134"/>
    </w:pPr>
    <w:rPr>
      <w:b/>
      <w:lang w:eastAsia="en-GB"/>
    </w:rPr>
  </w:style>
  <w:style w:type="paragraph" w:styleId="Header">
    <w:name w:val="header"/>
    <w:aliases w:val="FSHeader"/>
    <w:basedOn w:val="Normal"/>
    <w:link w:val="HeaderChar"/>
    <w:qFormat/>
    <w:locked/>
    <w:rsid w:val="00D364CD"/>
    <w:pPr>
      <w:pBdr>
        <w:bottom w:val="single" w:sz="8" w:space="4" w:color="auto"/>
      </w:pBdr>
      <w:jc w:val="right"/>
    </w:pPr>
    <w:rPr>
      <w:sz w:val="18"/>
    </w:rPr>
  </w:style>
  <w:style w:type="character" w:customStyle="1" w:styleId="HeaderChar">
    <w:name w:val="Header Char"/>
    <w:aliases w:val="FSHeader Char"/>
    <w:basedOn w:val="DefaultParagraphFont"/>
    <w:link w:val="Header"/>
    <w:rsid w:val="008A4F26"/>
    <w:rPr>
      <w:sz w:val="18"/>
    </w:rPr>
  </w:style>
  <w:style w:type="paragraph" w:customStyle="1" w:styleId="Paragraph">
    <w:name w:val="Paragraph"/>
    <w:basedOn w:val="Clause"/>
    <w:next w:val="Normal"/>
    <w:uiPriority w:val="12"/>
    <w:semiHidden/>
    <w:qFormat/>
    <w:rsid w:val="000622E7"/>
    <w:pPr>
      <w:tabs>
        <w:tab w:val="clear" w:pos="851"/>
      </w:tabs>
      <w:ind w:left="1702" w:hanging="851"/>
    </w:pPr>
  </w:style>
  <w:style w:type="paragraph" w:customStyle="1" w:styleId="ScheduleHeading">
    <w:name w:val="Schedule Heading"/>
    <w:basedOn w:val="Normal"/>
    <w:next w:val="Normal"/>
    <w:uiPriority w:val="18"/>
    <w:semiHidden/>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semiHidden/>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semiHidden/>
    <w:qFormat/>
    <w:rsid w:val="00C019A6"/>
    <w:pPr>
      <w:ind w:left="567" w:hanging="567"/>
    </w:pPr>
  </w:style>
  <w:style w:type="paragraph" w:customStyle="1" w:styleId="Subparagraph">
    <w:name w:val="Subparagraph"/>
    <w:basedOn w:val="Paragraph"/>
    <w:next w:val="Normal"/>
    <w:uiPriority w:val="13"/>
    <w:semiHidden/>
    <w:qFormat/>
    <w:rsid w:val="00404702"/>
    <w:pPr>
      <w:ind w:left="2553"/>
    </w:pPr>
  </w:style>
  <w:style w:type="paragraph" w:customStyle="1" w:styleId="Table1">
    <w:name w:val="Table 1"/>
    <w:basedOn w:val="Normal"/>
    <w:uiPriority w:val="20"/>
    <w:semiHidden/>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semiHidden/>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link w:val="NoSpacingChar"/>
    <w:uiPriority w:val="1"/>
    <w:semiHidden/>
    <w:qFormat/>
    <w:rsid w:val="00E0050C"/>
    <w:pPr>
      <w:widowControl w:val="0"/>
    </w:pPr>
    <w:rPr>
      <w:rFonts w:cstheme="minorBidi"/>
      <w:lang w:val="en-GB"/>
    </w:rPr>
  </w:style>
  <w:style w:type="character" w:customStyle="1" w:styleId="NoSpacingChar">
    <w:name w:val="No Spacing Char"/>
    <w:basedOn w:val="DefaultParagraphFont"/>
    <w:link w:val="NoSpacing"/>
    <w:uiPriority w:val="1"/>
    <w:semiHidden/>
    <w:rsid w:val="008A4F26"/>
    <w:rPr>
      <w:rFonts w:cstheme="minorBidi"/>
      <w:lang w:val="en-GB"/>
    </w:rPr>
  </w:style>
  <w:style w:type="paragraph" w:styleId="Subtitle">
    <w:name w:val="Subtitle"/>
    <w:basedOn w:val="Normal"/>
    <w:next w:val="Normal"/>
    <w:link w:val="SubtitleChar"/>
    <w:uiPriority w:val="1"/>
    <w:rsid w:val="00B56022"/>
    <w:pPr>
      <w:numPr>
        <w:ilvl w:val="1"/>
      </w:numPr>
      <w:pBdr>
        <w:bottom w:val="single" w:sz="12" w:space="6" w:color="2E3037"/>
      </w:pBdr>
    </w:pPr>
    <w:rPr>
      <w:rFonts w:eastAsiaTheme="majorEastAsia" w:cstheme="majorBidi"/>
      <w:iCs/>
      <w:spacing w:val="15"/>
      <w:sz w:val="28"/>
      <w:szCs w:val="24"/>
    </w:rPr>
  </w:style>
  <w:style w:type="character" w:customStyle="1" w:styleId="SubtitleChar">
    <w:name w:val="Subtitle Char"/>
    <w:basedOn w:val="DefaultParagraphFont"/>
    <w:link w:val="Subtitle"/>
    <w:uiPriority w:val="1"/>
    <w:rsid w:val="008A4F26"/>
    <w:rPr>
      <w:rFonts w:eastAsiaTheme="majorEastAsia" w:cstheme="majorBidi"/>
      <w:iCs/>
      <w:spacing w:val="15"/>
      <w:sz w:val="28"/>
      <w:szCs w:val="24"/>
    </w:rPr>
  </w:style>
  <w:style w:type="character" w:styleId="IntenseEmphasis">
    <w:name w:val="Intense Emphasis"/>
    <w:basedOn w:val="DefaultParagraphFont"/>
    <w:uiPriority w:val="21"/>
    <w:semiHidden/>
    <w:rsid w:val="00DF4A30"/>
    <w:rPr>
      <w:b/>
      <w:bCs/>
      <w:i/>
      <w:iCs/>
      <w:color w:val="4F81BD" w:themeColor="accent1"/>
    </w:rPr>
  </w:style>
  <w:style w:type="paragraph" w:styleId="ListParagraph">
    <w:name w:val="List Paragraph"/>
    <w:basedOn w:val="Normal"/>
    <w:uiPriority w:val="34"/>
    <w:qFormat/>
    <w:rsid w:val="00DF4A30"/>
    <w:pPr>
      <w:ind w:left="720"/>
      <w:contextualSpacing/>
    </w:pPr>
  </w:style>
  <w:style w:type="character" w:styleId="Hyperlink">
    <w:name w:val="Hyperlink"/>
    <w:aliases w:val="FS Hyperlink"/>
    <w:basedOn w:val="DefaultParagraphFont"/>
    <w:uiPriority w:val="99"/>
    <w:unhideWhenUsed/>
    <w:qFormat/>
    <w:rsid w:val="00B56022"/>
    <w:rPr>
      <w:color w:val="0000FF" w:themeColor="hyperlink"/>
      <w:u w:val="single"/>
    </w:rPr>
  </w:style>
  <w:style w:type="paragraph" w:styleId="TOC1">
    <w:name w:val="toc 1"/>
    <w:basedOn w:val="Normal"/>
    <w:next w:val="Normal"/>
    <w:uiPriority w:val="39"/>
    <w:rsid w:val="00C56BA3"/>
    <w:pPr>
      <w:keepNext/>
      <w:keepLines/>
      <w:tabs>
        <w:tab w:val="right" w:leader="underscore" w:pos="8505"/>
      </w:tabs>
      <w:spacing w:before="120" w:after="200" w:line="240" w:lineRule="atLeast"/>
    </w:pPr>
    <w:rPr>
      <w:rFonts w:eastAsia="Cambria" w:cs="Times New Roman"/>
      <w:b/>
      <w:sz w:val="28"/>
      <w:szCs w:val="20"/>
    </w:rPr>
  </w:style>
  <w:style w:type="paragraph" w:styleId="TOC2">
    <w:name w:val="toc 2"/>
    <w:basedOn w:val="Normal"/>
    <w:next w:val="Normal"/>
    <w:uiPriority w:val="39"/>
    <w:rsid w:val="00C56BA3"/>
    <w:pPr>
      <w:keepNext/>
      <w:keepLines/>
      <w:tabs>
        <w:tab w:val="right" w:leader="underscore" w:pos="8505"/>
      </w:tabs>
      <w:spacing w:before="120" w:after="100" w:line="240" w:lineRule="atLeast"/>
      <w:ind w:left="425"/>
    </w:pPr>
    <w:rPr>
      <w:rFonts w:eastAsia="Cambria" w:cs="Times New Roman"/>
      <w:b/>
      <w:sz w:val="28"/>
      <w:szCs w:val="20"/>
    </w:rPr>
  </w:style>
  <w:style w:type="paragraph" w:customStyle="1" w:styleId="NonTOCheading2">
    <w:name w:val="Non TOC heading 2"/>
    <w:basedOn w:val="Normal"/>
    <w:next w:val="Normal"/>
    <w:uiPriority w:val="2"/>
    <w:rsid w:val="0061796C"/>
    <w:pPr>
      <w:keepNext/>
      <w:keepLines/>
      <w:spacing w:before="360" w:after="180" w:line="240" w:lineRule="atLeast"/>
    </w:pPr>
    <w:rPr>
      <w:rFonts w:eastAsia="Cambria" w:cs="Times New Roman"/>
      <w:b/>
      <w:color w:val="0E495D"/>
      <w:sz w:val="38"/>
      <w:szCs w:val="20"/>
    </w:rPr>
  </w:style>
  <w:style w:type="paragraph" w:styleId="TOC3">
    <w:name w:val="toc 3"/>
    <w:basedOn w:val="TOC2"/>
    <w:next w:val="Normal"/>
    <w:autoRedefine/>
    <w:uiPriority w:val="39"/>
    <w:rsid w:val="00A2333F"/>
    <w:rPr>
      <w:b w:val="0"/>
      <w:noProof/>
    </w:rPr>
  </w:style>
  <w:style w:type="paragraph" w:styleId="Title">
    <w:name w:val="Title"/>
    <w:basedOn w:val="Normal"/>
    <w:next w:val="Normal"/>
    <w:link w:val="TitleChar"/>
    <w:uiPriority w:val="1"/>
    <w:rsid w:val="00480D15"/>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
    <w:rsid w:val="008A4F26"/>
    <w:rPr>
      <w:rFonts w:asciiTheme="majorHAnsi" w:eastAsiaTheme="majorEastAsia" w:hAnsiTheme="majorHAnsi" w:cstheme="majorBidi"/>
      <w:color w:val="auto"/>
      <w:spacing w:val="-10"/>
      <w:kern w:val="28"/>
      <w:sz w:val="56"/>
      <w:szCs w:val="56"/>
    </w:rPr>
  </w:style>
  <w:style w:type="character" w:styleId="PlaceholderText">
    <w:name w:val="Placeholder Text"/>
    <w:basedOn w:val="DefaultParagraphFont"/>
    <w:uiPriority w:val="99"/>
    <w:semiHidden/>
    <w:rsid w:val="0085000A"/>
    <w:rPr>
      <w:color w:val="808080"/>
    </w:rPr>
  </w:style>
  <w:style w:type="table" w:styleId="TableGrid">
    <w:name w:val="Table Grid"/>
    <w:basedOn w:val="TableNormal"/>
    <w:rsid w:val="00D36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E21773"/>
    <w:pPr>
      <w:keepLines/>
      <w:spacing w:before="240" w:after="0" w:line="259" w:lineRule="auto"/>
      <w:outlineLvl w:val="9"/>
    </w:pPr>
    <w:rPr>
      <w:rFonts w:asciiTheme="majorHAnsi" w:hAnsiTheme="majorHAnsi"/>
      <w:bCs w:val="0"/>
      <w:color w:val="365F91" w:themeColor="accent1" w:themeShade="BF"/>
      <w:sz w:val="32"/>
      <w:szCs w:val="32"/>
      <w:lang w:val="en-US"/>
    </w:rPr>
  </w:style>
  <w:style w:type="table" w:customStyle="1" w:styleId="Table">
    <w:name w:val="Table"/>
    <w:basedOn w:val="TableNormal"/>
    <w:uiPriority w:val="99"/>
    <w:rsid w:val="00A95D0B"/>
    <w:pPr>
      <w:spacing w:before="120" w:after="120"/>
      <w:ind w:left="113"/>
    </w:pPr>
    <w:rPr>
      <w:rFonts w:cstheme="minorBidi"/>
      <w:color w:val="auto"/>
      <w:sz w:val="20"/>
    </w:rPr>
    <w:tblPr>
      <w:tblStyleRowBandSize w:val="1"/>
      <w:tblStyleColBandSize w:val="1"/>
      <w:tblBorders>
        <w:bottom w:val="single" w:sz="4" w:space="0" w:color="F3F3F3"/>
      </w:tblBorders>
    </w:tblPr>
    <w:tblStylePr w:type="firstRow">
      <w:pPr>
        <w:wordWrap/>
        <w:spacing w:beforeLines="0" w:before="120" w:beforeAutospacing="0" w:afterLines="0" w:after="120" w:afterAutospacing="0"/>
        <w:ind w:leftChars="0" w:left="170" w:rightChars="0" w:right="284"/>
        <w:jc w:val="left"/>
      </w:pPr>
      <w:rPr>
        <w:rFonts w:ascii="Arial" w:hAnsi="Arial"/>
        <w:b/>
        <w:color w:val="FFFFFF" w:themeColor="background1"/>
        <w:sz w:val="20"/>
      </w:rPr>
      <w:tblPr/>
      <w:tcPr>
        <w:shd w:val="clear" w:color="auto" w:fill="616571"/>
      </w:tcPr>
    </w:tblStylePr>
    <w:tblStylePr w:type="lastRow">
      <w:rPr>
        <w:rFonts w:ascii="Arial" w:hAnsi="Arial"/>
        <w:b/>
        <w:sz w:val="22"/>
      </w:rPr>
    </w:tblStylePr>
    <w:tblStylePr w:type="band1Horz">
      <w:rPr>
        <w:rFonts w:ascii="Arial" w:hAnsi="Arial"/>
        <w:sz w:val="20"/>
      </w:rPr>
      <w:tblPr/>
      <w:tcPr>
        <w:shd w:val="clear" w:color="auto" w:fill="ECECEC"/>
      </w:tcPr>
    </w:tblStylePr>
    <w:tblStylePr w:type="band2Horz">
      <w:rPr>
        <w:rFonts w:ascii="Arial" w:hAnsi="Arial"/>
        <w:sz w:val="20"/>
      </w:rPr>
    </w:tblStylePr>
  </w:style>
  <w:style w:type="paragraph" w:customStyle="1" w:styleId="Tableheader">
    <w:name w:val="Table header"/>
    <w:basedOn w:val="Normal"/>
    <w:semiHidden/>
    <w:qFormat/>
    <w:rsid w:val="00E21773"/>
    <w:pPr>
      <w:spacing w:before="120"/>
      <w:ind w:left="170" w:right="284"/>
    </w:pPr>
    <w:rPr>
      <w:rFonts w:cstheme="minorBidi"/>
      <w:b/>
      <w:color w:val="FFFFFF" w:themeColor="background1"/>
      <w:sz w:val="20"/>
      <w:szCs w:val="20"/>
    </w:rPr>
  </w:style>
  <w:style w:type="paragraph" w:customStyle="1" w:styleId="Tablecontent">
    <w:name w:val="Table content"/>
    <w:basedOn w:val="Normal"/>
    <w:semiHidden/>
    <w:qFormat/>
    <w:rsid w:val="00E21773"/>
    <w:pPr>
      <w:spacing w:before="120"/>
      <w:ind w:left="113"/>
    </w:pPr>
    <w:rPr>
      <w:sz w:val="20"/>
      <w:szCs w:val="20"/>
    </w:rPr>
  </w:style>
  <w:style w:type="paragraph" w:customStyle="1" w:styleId="Applicationdate">
    <w:name w:val="Application date"/>
    <w:basedOn w:val="Heading1"/>
    <w:semiHidden/>
    <w:qFormat/>
    <w:rsid w:val="00545135"/>
    <w:rPr>
      <w:rFonts w:eastAsia="Calibri"/>
      <w:b/>
      <w:sz w:val="28"/>
    </w:rPr>
  </w:style>
  <w:style w:type="character" w:styleId="FootnoteReference">
    <w:name w:val="footnote reference"/>
    <w:basedOn w:val="DefaultParagraphFont"/>
    <w:semiHidden/>
    <w:unhideWhenUsed/>
    <w:rsid w:val="00A2333F"/>
    <w:rPr>
      <w:vertAlign w:val="superscript"/>
    </w:rPr>
  </w:style>
  <w:style w:type="paragraph" w:customStyle="1" w:styleId="FSBulletlist">
    <w:name w:val="FSBullet list"/>
    <w:basedOn w:val="ListParagraph"/>
    <w:link w:val="FSBulletlistChar"/>
    <w:uiPriority w:val="5"/>
    <w:qFormat/>
    <w:locked/>
    <w:rsid w:val="008A4F26"/>
    <w:pPr>
      <w:numPr>
        <w:numId w:val="15"/>
      </w:numPr>
      <w:spacing w:before="120" w:after="120"/>
      <w:ind w:left="714" w:hanging="357"/>
      <w:contextualSpacing w:val="0"/>
    </w:pPr>
    <w:rPr>
      <w:lang w:eastAsia="en-GB"/>
    </w:rPr>
  </w:style>
  <w:style w:type="character" w:customStyle="1" w:styleId="FSBulletlistChar">
    <w:name w:val="FSBullet list Char"/>
    <w:basedOn w:val="DefaultParagraphFont"/>
    <w:link w:val="FSBulletlist"/>
    <w:uiPriority w:val="5"/>
    <w:rsid w:val="008A4F26"/>
    <w:rPr>
      <w:lang w:eastAsia="en-GB"/>
    </w:rPr>
  </w:style>
  <w:style w:type="paragraph" w:customStyle="1" w:styleId="FSNumberlist">
    <w:name w:val="FSNumber list"/>
    <w:basedOn w:val="FSBulletlist"/>
    <w:uiPriority w:val="5"/>
    <w:qFormat/>
    <w:rsid w:val="008A4F26"/>
    <w:pPr>
      <w:numPr>
        <w:numId w:val="16"/>
      </w:numPr>
    </w:pPr>
  </w:style>
  <w:style w:type="paragraph" w:customStyle="1" w:styleId="FSTitle">
    <w:name w:val="FS Title"/>
    <w:basedOn w:val="Normal"/>
    <w:qFormat/>
    <w:rsid w:val="00D93C21"/>
    <w:pPr>
      <w:widowControl w:val="0"/>
      <w:spacing w:after="0"/>
    </w:pPr>
    <w:rPr>
      <w:rFonts w:eastAsia="Times New Roman" w:cs="Tahoma"/>
      <w:bCs/>
      <w:color w:val="auto"/>
      <w:sz w:val="32"/>
      <w:szCs w:val="24"/>
      <w:lang w:val="en-GB" w:bidi="en-US"/>
    </w:rPr>
  </w:style>
  <w:style w:type="paragraph" w:customStyle="1" w:styleId="FSTableTitle">
    <w:name w:val="FS Table Title"/>
    <w:basedOn w:val="Normal"/>
    <w:next w:val="Normal"/>
    <w:qFormat/>
    <w:rsid w:val="00DF777E"/>
    <w:pPr>
      <w:widowControl w:val="0"/>
      <w:spacing w:after="0"/>
    </w:pPr>
    <w:rPr>
      <w:rFonts w:eastAsia="Times New Roman"/>
      <w:b/>
      <w:color w:val="auto"/>
      <w:szCs w:val="24"/>
      <w:lang w:val="en-GB" w:bidi="en-US"/>
    </w:rPr>
  </w:style>
  <w:style w:type="paragraph" w:customStyle="1" w:styleId="FSCbaseheading">
    <w:name w:val="FSC_base_heading"/>
    <w:rsid w:val="00DF777E"/>
    <w:pPr>
      <w:keepNext/>
      <w:keepLines/>
      <w:spacing w:before="360"/>
      <w:ind w:left="2835" w:hanging="2835"/>
    </w:pPr>
    <w:rPr>
      <w:rFonts w:eastAsia="Times New Roman"/>
      <w:b/>
      <w:bCs/>
      <w:color w:val="auto"/>
      <w:kern w:val="32"/>
      <w:sz w:val="24"/>
      <w:szCs w:val="32"/>
      <w:lang w:val="en-GB" w:eastAsia="en-AU"/>
    </w:rPr>
  </w:style>
  <w:style w:type="character" w:styleId="PageNumber">
    <w:name w:val="page number"/>
    <w:basedOn w:val="DefaultParagraphFont"/>
    <w:rsid w:val="00DF777E"/>
    <w:rPr>
      <w:rFonts w:ascii="Arial" w:hAnsi="Arial"/>
    </w:rPr>
  </w:style>
  <w:style w:type="character" w:styleId="FollowedHyperlink">
    <w:name w:val="FollowedHyperlink"/>
    <w:basedOn w:val="DefaultParagraphFont"/>
    <w:rsid w:val="00DF777E"/>
    <w:rPr>
      <w:rFonts w:ascii="Arial" w:hAnsi="Arial"/>
      <w:color w:val="3333FF"/>
      <w:sz w:val="22"/>
      <w:u w:val="single"/>
    </w:rPr>
  </w:style>
  <w:style w:type="paragraph" w:customStyle="1" w:styleId="FSCbasepara">
    <w:name w:val="FSC_base_para"/>
    <w:rsid w:val="00DF777E"/>
    <w:pPr>
      <w:keepLines/>
      <w:spacing w:before="120"/>
      <w:ind w:left="1701" w:hanging="1701"/>
    </w:pPr>
    <w:rPr>
      <w:rFonts w:eastAsia="Times New Roman"/>
      <w:iCs/>
      <w:color w:val="auto"/>
      <w:sz w:val="20"/>
      <w:lang w:val="en-GB" w:eastAsia="en-AU"/>
    </w:rPr>
  </w:style>
  <w:style w:type="paragraph" w:customStyle="1" w:styleId="FSCbasetbl">
    <w:name w:val="FSC_base_tbl"/>
    <w:basedOn w:val="FSCbasepara"/>
    <w:rsid w:val="00DF777E"/>
    <w:pPr>
      <w:spacing w:before="60" w:after="60"/>
      <w:ind w:left="0" w:firstLine="0"/>
    </w:pPr>
    <w:rPr>
      <w:sz w:val="18"/>
    </w:rPr>
  </w:style>
  <w:style w:type="paragraph" w:customStyle="1" w:styleId="FSCbaseTOC">
    <w:name w:val="FSC_base_TOC"/>
    <w:rsid w:val="00DF777E"/>
    <w:pPr>
      <w:tabs>
        <w:tab w:val="right" w:pos="8278"/>
      </w:tabs>
      <w:ind w:left="2126" w:hanging="2126"/>
    </w:pPr>
    <w:rPr>
      <w:rFonts w:eastAsia="Times New Roman"/>
      <w:noProof/>
      <w:color w:val="auto"/>
      <w:sz w:val="20"/>
      <w:lang w:val="en-GB" w:eastAsia="en-AU"/>
    </w:rPr>
  </w:style>
  <w:style w:type="paragraph" w:customStyle="1" w:styleId="FSCDraftingitem">
    <w:name w:val="FSC_Drafting_item"/>
    <w:basedOn w:val="Normal"/>
    <w:qFormat/>
    <w:rsid w:val="00DF777E"/>
    <w:pPr>
      <w:tabs>
        <w:tab w:val="left" w:pos="851"/>
      </w:tabs>
      <w:spacing w:before="120" w:after="120"/>
    </w:pPr>
    <w:rPr>
      <w:rFonts w:eastAsia="Times New Roman" w:cs="Times New Roman"/>
      <w:color w:val="auto"/>
      <w:sz w:val="20"/>
      <w:szCs w:val="20"/>
      <w:lang w:val="en-GB"/>
    </w:rPr>
  </w:style>
  <w:style w:type="paragraph" w:customStyle="1" w:styleId="FSCDraftingitemheading">
    <w:name w:val="FSC_Drafting_item_heading"/>
    <w:basedOn w:val="Normal"/>
    <w:qFormat/>
    <w:rsid w:val="00DF777E"/>
    <w:pPr>
      <w:widowControl w:val="0"/>
      <w:spacing w:before="120" w:after="120"/>
      <w:ind w:left="851" w:hanging="851"/>
    </w:pPr>
    <w:rPr>
      <w:rFonts w:eastAsia="Times New Roman" w:cs="Times New Roman"/>
      <w:b/>
      <w:color w:val="auto"/>
      <w:sz w:val="20"/>
      <w:szCs w:val="20"/>
      <w:lang w:val="en-GB"/>
    </w:rPr>
  </w:style>
  <w:style w:type="paragraph" w:customStyle="1" w:styleId="FSCfooter0">
    <w:name w:val="FSC_footer"/>
    <w:basedOn w:val="Normal"/>
    <w:rsid w:val="00DF777E"/>
    <w:pPr>
      <w:tabs>
        <w:tab w:val="center" w:pos="4536"/>
        <w:tab w:val="right" w:pos="9072"/>
      </w:tabs>
      <w:spacing w:after="0"/>
    </w:pPr>
    <w:rPr>
      <w:rFonts w:eastAsia="Times New Roman" w:cs="Times New Roman"/>
      <w:color w:val="auto"/>
      <w:sz w:val="18"/>
      <w:szCs w:val="20"/>
      <w:lang w:val="en-GB"/>
    </w:rPr>
  </w:style>
  <w:style w:type="paragraph" w:customStyle="1" w:styleId="FSCh1Chap">
    <w:name w:val="FSC_h1_Chap"/>
    <w:basedOn w:val="FSCbaseheading"/>
    <w:next w:val="Normal"/>
    <w:qFormat/>
    <w:rsid w:val="00DF777E"/>
    <w:pPr>
      <w:spacing w:before="0" w:after="240"/>
      <w:outlineLvl w:val="0"/>
    </w:pPr>
    <w:rPr>
      <w:bCs w:val="0"/>
      <w:sz w:val="40"/>
    </w:rPr>
  </w:style>
  <w:style w:type="paragraph" w:customStyle="1" w:styleId="FSCh2Part">
    <w:name w:val="FSC_h2_Part"/>
    <w:basedOn w:val="FSCbaseheading"/>
    <w:next w:val="Normal"/>
    <w:qFormat/>
    <w:rsid w:val="00DF777E"/>
    <w:pPr>
      <w:spacing w:before="240" w:after="240"/>
      <w:outlineLvl w:val="1"/>
    </w:pPr>
    <w:rPr>
      <w:bCs w:val="0"/>
      <w:sz w:val="36"/>
      <w:szCs w:val="22"/>
    </w:rPr>
  </w:style>
  <w:style w:type="paragraph" w:customStyle="1" w:styleId="FSCh3Standard">
    <w:name w:val="FSC_h3_Standard"/>
    <w:basedOn w:val="FSCbaseheading"/>
    <w:next w:val="Normal"/>
    <w:qFormat/>
    <w:rsid w:val="00DF777E"/>
    <w:pPr>
      <w:spacing w:before="0" w:after="240"/>
      <w:outlineLvl w:val="2"/>
    </w:pPr>
    <w:rPr>
      <w:sz w:val="32"/>
    </w:rPr>
  </w:style>
  <w:style w:type="paragraph" w:customStyle="1" w:styleId="FSCh3Contents">
    <w:name w:val="FSC_h3_Contents"/>
    <w:basedOn w:val="FSCh3Standard"/>
    <w:rsid w:val="00DF777E"/>
    <w:pPr>
      <w:ind w:left="0" w:firstLine="0"/>
      <w:jc w:val="center"/>
    </w:pPr>
  </w:style>
  <w:style w:type="paragraph" w:customStyle="1" w:styleId="FSCh4Div">
    <w:name w:val="FSC_h4_Div"/>
    <w:basedOn w:val="FSCbaseheading"/>
    <w:next w:val="Normal"/>
    <w:qFormat/>
    <w:rsid w:val="00DF777E"/>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DF777E"/>
    <w:pPr>
      <w:keepNext/>
      <w:keepLines/>
      <w:spacing w:before="360" w:after="60"/>
      <w:ind w:left="964" w:hanging="964"/>
    </w:pPr>
    <w:rPr>
      <w:rFonts w:eastAsia="Times New Roman"/>
      <w:b/>
      <w:bCs/>
      <w:color w:val="auto"/>
      <w:kern w:val="32"/>
      <w:sz w:val="24"/>
      <w:szCs w:val="32"/>
      <w:lang w:eastAsia="en-AU"/>
    </w:rPr>
  </w:style>
  <w:style w:type="paragraph" w:customStyle="1" w:styleId="FSCh5Section">
    <w:name w:val="FSC_h5_Section"/>
    <w:basedOn w:val="FSCbaseheading"/>
    <w:next w:val="Normal"/>
    <w:qFormat/>
    <w:rsid w:val="00DF777E"/>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Normal"/>
    <w:qFormat/>
    <w:rsid w:val="00DF777E"/>
    <w:pPr>
      <w:keepLines w:val="0"/>
      <w:widowControl w:val="0"/>
      <w:spacing w:before="120" w:after="60"/>
      <w:ind w:left="1701" w:firstLine="0"/>
    </w:pPr>
    <w:rPr>
      <w:b w:val="0"/>
      <w:i/>
      <w:sz w:val="20"/>
    </w:rPr>
  </w:style>
  <w:style w:type="paragraph" w:customStyle="1" w:styleId="Footnote">
    <w:name w:val="Footnote"/>
    <w:basedOn w:val="Normal"/>
    <w:rsid w:val="00DF777E"/>
    <w:pPr>
      <w:widowControl w:val="0"/>
      <w:tabs>
        <w:tab w:val="left" w:pos="851"/>
      </w:tabs>
      <w:spacing w:after="0"/>
    </w:pPr>
    <w:rPr>
      <w:rFonts w:eastAsia="Times New Roman" w:cs="Times New Roman"/>
      <w:color w:val="auto"/>
      <w:sz w:val="20"/>
      <w:szCs w:val="20"/>
      <w:lang w:val="en-GB" w:bidi="en-US"/>
    </w:rPr>
  </w:style>
  <w:style w:type="character" w:customStyle="1" w:styleId="BalloonTextChar">
    <w:name w:val="Balloon Text Char"/>
    <w:basedOn w:val="DefaultParagraphFont"/>
    <w:link w:val="BalloonText"/>
    <w:semiHidden/>
    <w:rsid w:val="00DF777E"/>
    <w:rPr>
      <w:rFonts w:ascii="Tahoma" w:eastAsia="Times New Roman" w:hAnsi="Tahoma" w:cs="Tahoma"/>
      <w:color w:val="auto"/>
      <w:sz w:val="16"/>
      <w:szCs w:val="16"/>
      <w:lang w:val="en-GB" w:bidi="en-US"/>
    </w:rPr>
  </w:style>
  <w:style w:type="paragraph" w:styleId="BalloonText">
    <w:name w:val="Balloon Text"/>
    <w:basedOn w:val="Normal"/>
    <w:link w:val="BalloonTextChar"/>
    <w:semiHidden/>
    <w:rsid w:val="00DF777E"/>
    <w:pPr>
      <w:widowControl w:val="0"/>
      <w:spacing w:after="0"/>
    </w:pPr>
    <w:rPr>
      <w:rFonts w:ascii="Tahoma" w:eastAsia="Times New Roman" w:hAnsi="Tahoma" w:cs="Tahoma"/>
      <w:color w:val="auto"/>
      <w:sz w:val="16"/>
      <w:szCs w:val="16"/>
      <w:lang w:val="en-GB" w:bidi="en-US"/>
    </w:rPr>
  </w:style>
  <w:style w:type="paragraph" w:customStyle="1" w:styleId="FSCtMain">
    <w:name w:val="FSC_t_Main"/>
    <w:basedOn w:val="FSCbasepara"/>
    <w:rsid w:val="00DF777E"/>
    <w:pPr>
      <w:keepLines w:val="0"/>
      <w:widowControl w:val="0"/>
      <w:tabs>
        <w:tab w:val="left" w:pos="1134"/>
      </w:tabs>
      <w:spacing w:after="120"/>
    </w:pPr>
  </w:style>
  <w:style w:type="paragraph" w:customStyle="1" w:styleId="FSCnatHeading">
    <w:name w:val="FSC_n_at_Heading"/>
    <w:basedOn w:val="FSCtMain"/>
    <w:qFormat/>
    <w:rsid w:val="00DF777E"/>
    <w:pPr>
      <w:ind w:left="851" w:hanging="851"/>
    </w:pPr>
    <w:rPr>
      <w:sz w:val="16"/>
    </w:rPr>
  </w:style>
  <w:style w:type="paragraph" w:customStyle="1" w:styleId="FSTableHeading">
    <w:name w:val="FS Table Heading"/>
    <w:basedOn w:val="Normal"/>
    <w:qFormat/>
    <w:rsid w:val="00DF777E"/>
    <w:pPr>
      <w:widowControl w:val="0"/>
      <w:spacing w:after="0"/>
      <w:jc w:val="center"/>
    </w:pPr>
    <w:rPr>
      <w:rFonts w:ascii="Arial Bold" w:eastAsia="Times New Roman" w:hAnsi="Arial Bold"/>
      <w:b/>
      <w:color w:val="auto"/>
      <w:sz w:val="20"/>
      <w:szCs w:val="20"/>
      <w:lang w:val="en-GB" w:bidi="en-US"/>
    </w:rPr>
  </w:style>
  <w:style w:type="paragraph" w:customStyle="1" w:styleId="FSTableText">
    <w:name w:val="FS Table Text"/>
    <w:basedOn w:val="Normal"/>
    <w:qFormat/>
    <w:rsid w:val="00DF777E"/>
    <w:pPr>
      <w:widowControl w:val="0"/>
      <w:spacing w:after="0"/>
    </w:pPr>
    <w:rPr>
      <w:rFonts w:eastAsia="Times New Roman"/>
      <w:color w:val="auto"/>
      <w:sz w:val="20"/>
      <w:szCs w:val="20"/>
      <w:lang w:val="en-GB" w:bidi="en-US"/>
    </w:rPr>
  </w:style>
  <w:style w:type="paragraph" w:customStyle="1" w:styleId="FSFigureTitle">
    <w:name w:val="FS Figure Title"/>
    <w:basedOn w:val="Normal"/>
    <w:next w:val="Normal"/>
    <w:qFormat/>
    <w:rsid w:val="00DF777E"/>
    <w:pPr>
      <w:widowControl w:val="0"/>
      <w:spacing w:after="0"/>
    </w:pPr>
    <w:rPr>
      <w:rFonts w:eastAsia="Times New Roman"/>
      <w:i/>
      <w:color w:val="auto"/>
      <w:szCs w:val="24"/>
      <w:lang w:val="en-GB" w:bidi="en-US"/>
    </w:rPr>
  </w:style>
  <w:style w:type="character" w:styleId="CommentReference">
    <w:name w:val="annotation reference"/>
    <w:basedOn w:val="DefaultParagraphFont"/>
    <w:uiPriority w:val="99"/>
    <w:rsid w:val="00DF777E"/>
    <w:rPr>
      <w:sz w:val="16"/>
      <w:szCs w:val="16"/>
    </w:rPr>
  </w:style>
  <w:style w:type="paragraph" w:customStyle="1" w:styleId="FSCtPara">
    <w:name w:val="FSC_t_Para"/>
    <w:basedOn w:val="FSCtMain"/>
    <w:qFormat/>
    <w:rsid w:val="00DF777E"/>
    <w:pPr>
      <w:tabs>
        <w:tab w:val="clear" w:pos="1134"/>
        <w:tab w:val="left" w:pos="1701"/>
      </w:tabs>
      <w:spacing w:before="60" w:after="60"/>
      <w:ind w:left="2268" w:hanging="2268"/>
    </w:pPr>
  </w:style>
  <w:style w:type="paragraph" w:customStyle="1" w:styleId="FSCnMain">
    <w:name w:val="FSC_n_Main"/>
    <w:basedOn w:val="FSCtPara"/>
    <w:qFormat/>
    <w:rsid w:val="00DF777E"/>
    <w:rPr>
      <w:iCs w:val="0"/>
      <w:sz w:val="16"/>
      <w:szCs w:val="18"/>
    </w:rPr>
  </w:style>
  <w:style w:type="paragraph" w:customStyle="1" w:styleId="FSCtSubpara">
    <w:name w:val="FSC_t_Subpara"/>
    <w:basedOn w:val="FSCtMain"/>
    <w:qFormat/>
    <w:rsid w:val="00DF777E"/>
    <w:pPr>
      <w:tabs>
        <w:tab w:val="clear" w:pos="1134"/>
        <w:tab w:val="left" w:pos="2268"/>
      </w:tabs>
      <w:spacing w:before="60" w:after="60"/>
      <w:ind w:left="2835" w:hanging="2835"/>
    </w:pPr>
  </w:style>
  <w:style w:type="paragraph" w:customStyle="1" w:styleId="FSCnPara">
    <w:name w:val="FSC_n_Para"/>
    <w:basedOn w:val="FSCtSubpara"/>
    <w:qFormat/>
    <w:rsid w:val="00DF777E"/>
    <w:rPr>
      <w:sz w:val="16"/>
    </w:rPr>
  </w:style>
  <w:style w:type="paragraph" w:customStyle="1" w:styleId="FSCtSubsub">
    <w:name w:val="FSC_t_Subsub"/>
    <w:basedOn w:val="FSCtPara"/>
    <w:qFormat/>
    <w:rsid w:val="00DF777E"/>
    <w:pPr>
      <w:tabs>
        <w:tab w:val="clear" w:pos="1701"/>
        <w:tab w:val="left" w:pos="2835"/>
      </w:tabs>
      <w:ind w:left="3402" w:hanging="3402"/>
    </w:pPr>
  </w:style>
  <w:style w:type="paragraph" w:customStyle="1" w:styleId="FSCnSubpara">
    <w:name w:val="FSC_n_Subpara"/>
    <w:basedOn w:val="FSCtSubsub"/>
    <w:qFormat/>
    <w:rsid w:val="00DF777E"/>
    <w:rPr>
      <w:sz w:val="16"/>
    </w:rPr>
  </w:style>
  <w:style w:type="paragraph" w:customStyle="1" w:styleId="FSCnSubsub">
    <w:name w:val="FSC_n_Subsub"/>
    <w:basedOn w:val="FSCnSubpara"/>
    <w:qFormat/>
    <w:rsid w:val="00DF777E"/>
    <w:pPr>
      <w:tabs>
        <w:tab w:val="clear" w:pos="2835"/>
        <w:tab w:val="left" w:pos="3402"/>
      </w:tabs>
      <w:ind w:left="3969" w:hanging="3969"/>
    </w:pPr>
  </w:style>
  <w:style w:type="paragraph" w:customStyle="1" w:styleId="FSCoContents">
    <w:name w:val="FSC_o_Contents"/>
    <w:basedOn w:val="FSCh2Part"/>
    <w:rsid w:val="00DF777E"/>
    <w:pPr>
      <w:ind w:left="0" w:firstLine="0"/>
      <w:jc w:val="center"/>
    </w:pPr>
  </w:style>
  <w:style w:type="paragraph" w:customStyle="1" w:styleId="FSCoDraftstrip">
    <w:name w:val="FSC_o_Draft_strip"/>
    <w:basedOn w:val="Normal"/>
    <w:rsid w:val="00DF777E"/>
    <w:pPr>
      <w:shd w:val="clear" w:color="auto" w:fill="99CCFF"/>
      <w:tabs>
        <w:tab w:val="center" w:pos="4253"/>
        <w:tab w:val="right" w:pos="8505"/>
      </w:tabs>
      <w:spacing w:after="0"/>
    </w:pPr>
    <w:rPr>
      <w:rFonts w:eastAsia="Times New Roman"/>
      <w:b/>
      <w:color w:val="auto"/>
      <w:sz w:val="32"/>
      <w:szCs w:val="32"/>
      <w:lang w:val="en-GB" w:eastAsia="en-AU"/>
    </w:rPr>
  </w:style>
  <w:style w:type="paragraph" w:customStyle="1" w:styleId="FSCoDraftersComment">
    <w:name w:val="FSC_o_Drafters_Comment"/>
    <w:basedOn w:val="Normal"/>
    <w:rsid w:val="00DF777E"/>
    <w:pPr>
      <w:tabs>
        <w:tab w:val="left" w:pos="737"/>
        <w:tab w:val="left" w:pos="1191"/>
        <w:tab w:val="left" w:pos="1644"/>
      </w:tabs>
      <w:spacing w:before="80" w:after="0" w:line="260" w:lineRule="atLeast"/>
    </w:pPr>
    <w:rPr>
      <w:rFonts w:eastAsia="Calibri" w:cs="Times New Roman"/>
      <w:color w:val="7030A0"/>
      <w:szCs w:val="20"/>
      <w:lang w:val="en-GB"/>
    </w:rPr>
  </w:style>
  <w:style w:type="paragraph" w:customStyle="1" w:styleId="FSCoExplainTemplate">
    <w:name w:val="FSC_o_Explain_Template"/>
    <w:basedOn w:val="Normal"/>
    <w:qFormat/>
    <w:rsid w:val="00DF777E"/>
    <w:pPr>
      <w:spacing w:before="80" w:after="0"/>
    </w:pPr>
    <w:rPr>
      <w:rFonts w:eastAsia="Times New Roman" w:cs="Times New Roman"/>
      <w:color w:val="7030A0"/>
      <w:szCs w:val="24"/>
      <w:lang w:val="en-GB" w:eastAsia="en-AU"/>
    </w:rPr>
  </w:style>
  <w:style w:type="paragraph" w:customStyle="1" w:styleId="FSCoFooter">
    <w:name w:val="FSC_o_Footer"/>
    <w:basedOn w:val="Normal"/>
    <w:rsid w:val="00DF777E"/>
    <w:pPr>
      <w:tabs>
        <w:tab w:val="center" w:pos="4153"/>
        <w:tab w:val="right" w:pos="8363"/>
      </w:tabs>
      <w:spacing w:before="20" w:after="40"/>
      <w:jc w:val="center"/>
    </w:pPr>
    <w:rPr>
      <w:rFonts w:eastAsia="Times New Roman" w:cs="Times New Roman"/>
      <w:i/>
      <w:color w:val="auto"/>
      <w:sz w:val="18"/>
      <w:szCs w:val="24"/>
      <w:lang w:val="en-GB" w:eastAsia="en-AU"/>
    </w:rPr>
  </w:style>
  <w:style w:type="paragraph" w:customStyle="1" w:styleId="FSCoFooterdraft">
    <w:name w:val="FSC_o_Footer_draft"/>
    <w:basedOn w:val="Normal"/>
    <w:rsid w:val="00DF777E"/>
    <w:pPr>
      <w:tabs>
        <w:tab w:val="center" w:pos="4253"/>
        <w:tab w:val="right" w:pos="8505"/>
      </w:tabs>
      <w:spacing w:before="100" w:after="0"/>
      <w:jc w:val="both"/>
    </w:pPr>
    <w:rPr>
      <w:rFonts w:eastAsia="Times New Roman" w:cs="Times New Roman"/>
      <w:b/>
      <w:color w:val="auto"/>
      <w:sz w:val="40"/>
      <w:szCs w:val="24"/>
      <w:lang w:val="en-GB" w:eastAsia="en-AU"/>
    </w:rPr>
  </w:style>
  <w:style w:type="paragraph" w:customStyle="1" w:styleId="FSCoHeader">
    <w:name w:val="FSC_o_Header"/>
    <w:basedOn w:val="Normal"/>
    <w:link w:val="FSCoHeaderChar"/>
    <w:rsid w:val="00DF777E"/>
    <w:pPr>
      <w:pBdr>
        <w:bottom w:val="single" w:sz="4" w:space="1" w:color="auto"/>
      </w:pBdr>
      <w:tabs>
        <w:tab w:val="left" w:pos="1985"/>
      </w:tabs>
      <w:spacing w:after="0"/>
      <w:ind w:left="1985" w:hanging="1985"/>
    </w:pPr>
    <w:rPr>
      <w:rFonts w:eastAsia="Times New Roman" w:cs="Times New Roman"/>
      <w:b/>
      <w:noProof/>
      <w:color w:val="auto"/>
      <w:sz w:val="20"/>
      <w:szCs w:val="24"/>
      <w:lang w:val="en-GB" w:eastAsia="en-AU"/>
    </w:rPr>
  </w:style>
  <w:style w:type="character" w:customStyle="1" w:styleId="FSCoHeaderChar">
    <w:name w:val="FSC_o_Header Char"/>
    <w:basedOn w:val="DefaultParagraphFont"/>
    <w:link w:val="FSCoHeader"/>
    <w:rsid w:val="00DF777E"/>
    <w:rPr>
      <w:rFonts w:eastAsia="Times New Roman" w:cs="Times New Roman"/>
      <w:b/>
      <w:noProof/>
      <w:color w:val="auto"/>
      <w:sz w:val="20"/>
      <w:szCs w:val="24"/>
      <w:lang w:val="en-GB" w:eastAsia="en-AU"/>
    </w:rPr>
  </w:style>
  <w:style w:type="paragraph" w:customStyle="1" w:styleId="FSCoParaMark">
    <w:name w:val="FSC_o_Para_Mark"/>
    <w:basedOn w:val="Normal"/>
    <w:next w:val="Normal"/>
    <w:qFormat/>
    <w:rsid w:val="00DF777E"/>
    <w:pPr>
      <w:spacing w:after="0"/>
    </w:pPr>
    <w:rPr>
      <w:rFonts w:eastAsia="Times New Roman" w:cs="Times New Roman"/>
      <w:color w:val="auto"/>
      <w:sz w:val="16"/>
      <w:szCs w:val="24"/>
      <w:lang w:val="en-GB" w:eastAsia="en-AU"/>
    </w:rPr>
  </w:style>
  <w:style w:type="paragraph" w:customStyle="1" w:styleId="FSCoStandardEnd">
    <w:name w:val="FSC_o_Standard_End"/>
    <w:basedOn w:val="FSCtMain"/>
    <w:qFormat/>
    <w:rsid w:val="00DF777E"/>
    <w:pPr>
      <w:spacing w:before="240" w:after="0"/>
      <w:jc w:val="center"/>
    </w:pPr>
    <w:rPr>
      <w:iCs w:val="0"/>
    </w:rPr>
  </w:style>
  <w:style w:type="paragraph" w:customStyle="1" w:styleId="FSCoTitleofInstrument">
    <w:name w:val="FSC_o_Title_of_Instrument"/>
    <w:basedOn w:val="Normal"/>
    <w:rsid w:val="00DF777E"/>
    <w:pPr>
      <w:spacing w:before="200" w:after="0"/>
    </w:pPr>
    <w:rPr>
      <w:rFonts w:eastAsia="Times New Roman" w:cs="Times New Roman"/>
      <w:b/>
      <w:color w:val="auto"/>
      <w:sz w:val="32"/>
      <w:szCs w:val="24"/>
      <w:lang w:val="en-GB" w:eastAsia="en-AU"/>
    </w:rPr>
  </w:style>
  <w:style w:type="paragraph" w:customStyle="1" w:styleId="FSCoutChap">
    <w:name w:val="FSC_out_Chap"/>
    <w:basedOn w:val="FSCh4Div"/>
    <w:qFormat/>
    <w:rsid w:val="00DF777E"/>
    <w:pPr>
      <w:tabs>
        <w:tab w:val="left" w:pos="1701"/>
      </w:tabs>
      <w:spacing w:after="120"/>
      <w:ind w:left="3402" w:hanging="3402"/>
    </w:pPr>
  </w:style>
  <w:style w:type="paragraph" w:customStyle="1" w:styleId="FSCoutPart">
    <w:name w:val="FSC_out_Part"/>
    <w:basedOn w:val="FSCh5Section"/>
    <w:qFormat/>
    <w:rsid w:val="00DF777E"/>
    <w:pPr>
      <w:keepNext w:val="0"/>
      <w:tabs>
        <w:tab w:val="left" w:pos="1701"/>
      </w:tabs>
      <w:ind w:left="3402" w:hanging="3402"/>
    </w:pPr>
  </w:style>
  <w:style w:type="paragraph" w:customStyle="1" w:styleId="FSCoutStand">
    <w:name w:val="FSC_out_Stand"/>
    <w:basedOn w:val="FSCtMain"/>
    <w:qFormat/>
    <w:rsid w:val="00DF777E"/>
    <w:pPr>
      <w:tabs>
        <w:tab w:val="clear" w:pos="1134"/>
        <w:tab w:val="left" w:pos="1701"/>
      </w:tabs>
      <w:ind w:left="3402" w:hanging="3402"/>
    </w:pPr>
  </w:style>
  <w:style w:type="paragraph" w:customStyle="1" w:styleId="FSCtDefn">
    <w:name w:val="FSC_t_Defn"/>
    <w:basedOn w:val="FSCtMain"/>
    <w:rsid w:val="00DF777E"/>
    <w:pPr>
      <w:ind w:firstLine="0"/>
    </w:pPr>
  </w:style>
  <w:style w:type="paragraph" w:customStyle="1" w:styleId="FSCtblAddh1">
    <w:name w:val="FSC_tbl_Add_h1"/>
    <w:basedOn w:val="FSCh4Div"/>
    <w:rsid w:val="00DF777E"/>
    <w:pPr>
      <w:spacing w:before="120" w:after="120"/>
    </w:pPr>
    <w:rPr>
      <w:rFonts w:eastAsiaTheme="minorHAnsi"/>
      <w:sz w:val="20"/>
      <w:lang w:eastAsia="en-US"/>
    </w:rPr>
  </w:style>
  <w:style w:type="paragraph" w:customStyle="1" w:styleId="FSCtblAddh2">
    <w:name w:val="FSC_tbl_Add_h2"/>
    <w:basedOn w:val="FSCtblAddh1"/>
    <w:rsid w:val="00DF777E"/>
    <w:pPr>
      <w:spacing w:before="60" w:after="60"/>
    </w:pPr>
    <w:rPr>
      <w:i/>
    </w:rPr>
  </w:style>
  <w:style w:type="paragraph" w:customStyle="1" w:styleId="FSCtblAddh3">
    <w:name w:val="FSC_tbl_Add_h3"/>
    <w:basedOn w:val="Normal"/>
    <w:rsid w:val="00DF777E"/>
    <w:pPr>
      <w:keepNext/>
      <w:keepLines/>
      <w:spacing w:before="60" w:after="60"/>
      <w:ind w:left="1701" w:hanging="1701"/>
    </w:pPr>
    <w:rPr>
      <w:b/>
      <w:iCs/>
      <w:color w:val="auto"/>
      <w:sz w:val="18"/>
      <w:lang w:val="en-GB"/>
    </w:rPr>
  </w:style>
  <w:style w:type="paragraph" w:customStyle="1" w:styleId="FSCtblAddh4">
    <w:name w:val="FSC_tbl_Add_h4"/>
    <w:basedOn w:val="Normal"/>
    <w:rsid w:val="00DF777E"/>
    <w:pPr>
      <w:keepNext/>
      <w:keepLines/>
      <w:spacing w:before="60" w:after="60"/>
      <w:ind w:left="1701" w:hanging="1701"/>
    </w:pPr>
    <w:rPr>
      <w:b/>
      <w:i/>
      <w:iCs/>
      <w:color w:val="auto"/>
      <w:sz w:val="18"/>
      <w:szCs w:val="20"/>
      <w:lang w:val="en-GB"/>
    </w:rPr>
  </w:style>
  <w:style w:type="paragraph" w:customStyle="1" w:styleId="FSCtblAddh5">
    <w:name w:val="FSC_tbl_Add_h5"/>
    <w:basedOn w:val="Normal"/>
    <w:rsid w:val="00DF777E"/>
    <w:pPr>
      <w:keepLines/>
      <w:spacing w:before="60" w:after="60"/>
      <w:ind w:left="1701" w:hanging="1701"/>
    </w:pPr>
    <w:rPr>
      <w:i/>
      <w:color w:val="auto"/>
      <w:sz w:val="18"/>
      <w:lang w:val="en-GB"/>
    </w:rPr>
  </w:style>
  <w:style w:type="paragraph" w:customStyle="1" w:styleId="FSCtblAdd1">
    <w:name w:val="FSC_tbl_Add1"/>
    <w:basedOn w:val="Normal"/>
    <w:qFormat/>
    <w:rsid w:val="00DF777E"/>
    <w:pPr>
      <w:keepLines/>
      <w:spacing w:before="20" w:after="20"/>
    </w:pPr>
    <w:rPr>
      <w:color w:val="auto"/>
      <w:sz w:val="18"/>
      <w:lang w:val="en-GB"/>
    </w:rPr>
  </w:style>
  <w:style w:type="paragraph" w:customStyle="1" w:styleId="FSCtblAdd2">
    <w:name w:val="FSC_tbl_Add2"/>
    <w:basedOn w:val="Normal"/>
    <w:qFormat/>
    <w:rsid w:val="00DF777E"/>
    <w:pPr>
      <w:keepLines/>
      <w:spacing w:before="20" w:after="20"/>
      <w:jc w:val="right"/>
    </w:pPr>
    <w:rPr>
      <w:color w:val="auto"/>
      <w:sz w:val="18"/>
      <w:lang w:val="en-GB"/>
    </w:rPr>
  </w:style>
  <w:style w:type="paragraph" w:customStyle="1" w:styleId="FSCtblAmendh">
    <w:name w:val="FSC_tbl_Amend_h"/>
    <w:basedOn w:val="Normal"/>
    <w:rsid w:val="00DF777E"/>
    <w:pPr>
      <w:keepNext/>
      <w:spacing w:after="60"/>
    </w:pPr>
    <w:rPr>
      <w:rFonts w:eastAsia="Calibri" w:cs="Times New Roman"/>
      <w:b/>
      <w:color w:val="auto"/>
      <w:sz w:val="16"/>
      <w:szCs w:val="20"/>
      <w:lang w:val="en-GB" w:eastAsia="en-AU"/>
    </w:rPr>
  </w:style>
  <w:style w:type="paragraph" w:customStyle="1" w:styleId="FSCtblAmendmain">
    <w:name w:val="FSC_tbl_Amend_main"/>
    <w:basedOn w:val="Normal"/>
    <w:qFormat/>
    <w:rsid w:val="00DF777E"/>
    <w:pPr>
      <w:spacing w:after="0"/>
      <w:ind w:left="113" w:hanging="113"/>
    </w:pPr>
    <w:rPr>
      <w:rFonts w:eastAsia="Times New Roman" w:cs="Times New Roman"/>
      <w:bCs/>
      <w:color w:val="auto"/>
      <w:sz w:val="16"/>
      <w:szCs w:val="20"/>
      <w:lang w:val="en-GB"/>
    </w:rPr>
  </w:style>
  <w:style w:type="paragraph" w:customStyle="1" w:styleId="FSCtblh2">
    <w:name w:val="FSC_tbl_h2"/>
    <w:basedOn w:val="Normal"/>
    <w:qFormat/>
    <w:rsid w:val="00DF777E"/>
    <w:pPr>
      <w:keepNext/>
      <w:keepLines/>
      <w:spacing w:before="240" w:after="120"/>
      <w:jc w:val="center"/>
    </w:pPr>
    <w:rPr>
      <w:rFonts w:eastAsia="Times New Roman"/>
      <w:b/>
      <w:color w:val="000000"/>
      <w:sz w:val="18"/>
      <w:lang w:val="en-GB" w:eastAsia="en-AU"/>
    </w:rPr>
  </w:style>
  <w:style w:type="paragraph" w:customStyle="1" w:styleId="FSCtblh3">
    <w:name w:val="FSC_tbl_h3"/>
    <w:basedOn w:val="Normal"/>
    <w:next w:val="Normal"/>
    <w:rsid w:val="00DF777E"/>
    <w:pPr>
      <w:keepNext/>
      <w:keepLines/>
      <w:spacing w:before="60" w:after="60"/>
    </w:pPr>
    <w:rPr>
      <w:rFonts w:eastAsia="Times New Roman"/>
      <w:b/>
      <w:i/>
      <w:color w:val="auto"/>
      <w:sz w:val="18"/>
      <w:lang w:val="en-GB" w:eastAsia="en-AU"/>
    </w:rPr>
  </w:style>
  <w:style w:type="paragraph" w:customStyle="1" w:styleId="FSCtblh4">
    <w:name w:val="FSC_tbl_h4"/>
    <w:basedOn w:val="Normal"/>
    <w:next w:val="Normal"/>
    <w:rsid w:val="00DF777E"/>
    <w:pPr>
      <w:keepNext/>
      <w:keepLines/>
      <w:spacing w:before="60" w:after="60"/>
    </w:pPr>
    <w:rPr>
      <w:rFonts w:eastAsia="Times New Roman"/>
      <w:i/>
      <w:color w:val="auto"/>
      <w:sz w:val="18"/>
      <w:lang w:val="en-GB" w:eastAsia="en-AU"/>
    </w:rPr>
  </w:style>
  <w:style w:type="paragraph" w:customStyle="1" w:styleId="FSCtblMain">
    <w:name w:val="FSC_tbl_Main"/>
    <w:basedOn w:val="Normal"/>
    <w:rsid w:val="00DF777E"/>
    <w:pPr>
      <w:keepLines/>
      <w:tabs>
        <w:tab w:val="right" w:pos="3969"/>
      </w:tabs>
      <w:spacing w:before="60" w:after="60"/>
    </w:pPr>
    <w:rPr>
      <w:rFonts w:eastAsia="Times New Roman"/>
      <w:color w:val="auto"/>
      <w:sz w:val="18"/>
      <w:szCs w:val="20"/>
      <w:lang w:val="en-GB" w:eastAsia="en-AU"/>
    </w:rPr>
  </w:style>
  <w:style w:type="paragraph" w:customStyle="1" w:styleId="FSCtblMainC">
    <w:name w:val="FSC_tbl_Main_C"/>
    <w:basedOn w:val="FSCtblMain"/>
    <w:qFormat/>
    <w:rsid w:val="00DF777E"/>
    <w:pPr>
      <w:jc w:val="center"/>
    </w:pPr>
    <w:rPr>
      <w:rFonts w:eastAsiaTheme="minorHAnsi"/>
      <w:lang w:eastAsia="en-US"/>
    </w:rPr>
  </w:style>
  <w:style w:type="paragraph" w:customStyle="1" w:styleId="FSCtblMainRH">
    <w:name w:val="FSC_tbl_Main_RH"/>
    <w:basedOn w:val="FSCtblMain"/>
    <w:qFormat/>
    <w:rsid w:val="00DF777E"/>
    <w:pPr>
      <w:jc w:val="right"/>
    </w:pPr>
    <w:rPr>
      <w:rFonts w:eastAsiaTheme="minorHAnsi"/>
      <w:lang w:eastAsia="en-US"/>
    </w:rPr>
  </w:style>
  <w:style w:type="paragraph" w:customStyle="1" w:styleId="FSCtblMRL1">
    <w:name w:val="FSC_tbl_MRL1"/>
    <w:basedOn w:val="Normal"/>
    <w:rsid w:val="00DF777E"/>
    <w:pPr>
      <w:keepLines/>
      <w:spacing w:before="20" w:after="20"/>
    </w:pPr>
    <w:rPr>
      <w:rFonts w:eastAsia="Times New Roman"/>
      <w:color w:val="auto"/>
      <w:sz w:val="18"/>
      <w:szCs w:val="20"/>
      <w:lang w:val="en-GB" w:eastAsia="en-AU"/>
    </w:rPr>
  </w:style>
  <w:style w:type="paragraph" w:customStyle="1" w:styleId="FSCtblMRL2">
    <w:name w:val="FSC_tbl_MRL2"/>
    <w:basedOn w:val="FSCtblMRL1"/>
    <w:qFormat/>
    <w:rsid w:val="00DF777E"/>
    <w:pPr>
      <w:jc w:val="right"/>
    </w:pPr>
    <w:rPr>
      <w:rFonts w:eastAsiaTheme="minorHAnsi"/>
      <w:lang w:eastAsia="en-US"/>
    </w:rPr>
  </w:style>
  <w:style w:type="paragraph" w:customStyle="1" w:styleId="FSCtblPara">
    <w:name w:val="FSC_tbl_Para"/>
    <w:basedOn w:val="Normal"/>
    <w:rsid w:val="00DF777E"/>
    <w:pPr>
      <w:keepLines/>
      <w:spacing w:before="60" w:after="60"/>
      <w:ind w:left="397" w:hanging="397"/>
    </w:pPr>
    <w:rPr>
      <w:rFonts w:eastAsia="Times New Roman"/>
      <w:color w:val="auto"/>
      <w:sz w:val="18"/>
      <w:lang w:val="en-GB" w:eastAsia="en-AU"/>
    </w:rPr>
  </w:style>
  <w:style w:type="paragraph" w:customStyle="1" w:styleId="FSCtblSubpara">
    <w:name w:val="FSC_tbl_Subpara"/>
    <w:basedOn w:val="Normal"/>
    <w:rsid w:val="00DF777E"/>
    <w:pPr>
      <w:keepLines/>
      <w:spacing w:before="60" w:after="60"/>
      <w:ind w:left="794" w:hanging="397"/>
    </w:pPr>
    <w:rPr>
      <w:rFonts w:eastAsia="Times New Roman"/>
      <w:color w:val="auto"/>
      <w:sz w:val="18"/>
      <w:lang w:val="en-GB" w:eastAsia="en-AU"/>
    </w:rPr>
  </w:style>
  <w:style w:type="paragraph" w:styleId="CommentText">
    <w:name w:val="annotation text"/>
    <w:basedOn w:val="Normal"/>
    <w:link w:val="CommentTextChar"/>
    <w:rsid w:val="00DF777E"/>
    <w:pPr>
      <w:widowControl w:val="0"/>
      <w:spacing w:after="0"/>
    </w:pPr>
    <w:rPr>
      <w:rFonts w:eastAsia="Times New Roman" w:cs="Times New Roman"/>
      <w:color w:val="auto"/>
      <w:sz w:val="20"/>
      <w:szCs w:val="20"/>
      <w:lang w:val="en-GB" w:bidi="en-US"/>
    </w:rPr>
  </w:style>
  <w:style w:type="character" w:customStyle="1" w:styleId="CommentTextChar">
    <w:name w:val="Comment Text Char"/>
    <w:basedOn w:val="DefaultParagraphFont"/>
    <w:link w:val="CommentText"/>
    <w:rsid w:val="00DF777E"/>
    <w:rPr>
      <w:rFonts w:eastAsia="Times New Roman" w:cs="Times New Roman"/>
      <w:color w:val="auto"/>
      <w:sz w:val="20"/>
      <w:szCs w:val="20"/>
      <w:lang w:val="en-GB" w:bidi="en-US"/>
    </w:rPr>
  </w:style>
  <w:style w:type="paragraph" w:customStyle="1" w:styleId="FSBullet">
    <w:name w:val="FS Bullet"/>
    <w:basedOn w:val="Normal"/>
    <w:next w:val="Normal"/>
    <w:link w:val="FSBulletChar"/>
    <w:qFormat/>
    <w:rsid w:val="00DF777E"/>
    <w:pPr>
      <w:widowControl w:val="0"/>
      <w:spacing w:after="0"/>
      <w:ind w:left="567" w:hanging="567"/>
    </w:pPr>
    <w:rPr>
      <w:rFonts w:eastAsia="Times New Roman"/>
      <w:color w:val="auto"/>
      <w:szCs w:val="24"/>
      <w:lang w:val="en-GB" w:bidi="en-US"/>
    </w:rPr>
  </w:style>
  <w:style w:type="character" w:customStyle="1" w:styleId="FSBulletChar">
    <w:name w:val="FS Bullet Char"/>
    <w:basedOn w:val="DefaultParagraphFont"/>
    <w:link w:val="FSBullet"/>
    <w:rsid w:val="00DF777E"/>
    <w:rPr>
      <w:rFonts w:eastAsia="Times New Roman"/>
      <w:color w:val="auto"/>
      <w:szCs w:val="24"/>
      <w:lang w:val="en-GB" w:bidi="en-US"/>
    </w:rPr>
  </w:style>
  <w:style w:type="paragraph" w:customStyle="1" w:styleId="Pa11">
    <w:name w:val="Pa11"/>
    <w:basedOn w:val="Normal"/>
    <w:next w:val="Normal"/>
    <w:uiPriority w:val="99"/>
    <w:rsid w:val="00DF777E"/>
    <w:pPr>
      <w:autoSpaceDE w:val="0"/>
      <w:autoSpaceDN w:val="0"/>
      <w:adjustRightInd w:val="0"/>
      <w:spacing w:after="0" w:line="221" w:lineRule="atLeast"/>
    </w:pPr>
    <w:rPr>
      <w:rFonts w:ascii="Helvetica 65 Medium" w:eastAsia="Times New Roman" w:hAnsi="Helvetica 65 Medium" w:cs="Times New Roman"/>
      <w:color w:val="auto"/>
      <w:sz w:val="24"/>
      <w:szCs w:val="24"/>
      <w:lang w:val="en-GB" w:eastAsia="en-GB"/>
    </w:rPr>
  </w:style>
  <w:style w:type="paragraph" w:customStyle="1" w:styleId="Pa5">
    <w:name w:val="Pa5"/>
    <w:basedOn w:val="Normal"/>
    <w:next w:val="Normal"/>
    <w:uiPriority w:val="99"/>
    <w:rsid w:val="00DF777E"/>
    <w:pPr>
      <w:autoSpaceDE w:val="0"/>
      <w:autoSpaceDN w:val="0"/>
      <w:adjustRightInd w:val="0"/>
      <w:spacing w:after="0" w:line="181" w:lineRule="atLeast"/>
    </w:pPr>
    <w:rPr>
      <w:rFonts w:ascii="Helvetica 65 Medium" w:eastAsia="Times New Roman" w:hAnsi="Helvetica 65 Medium" w:cs="Times New Roman"/>
      <w:color w:val="auto"/>
      <w:sz w:val="24"/>
      <w:szCs w:val="24"/>
      <w:lang w:val="en-GB" w:eastAsia="en-GB"/>
    </w:rPr>
  </w:style>
  <w:style w:type="paragraph" w:customStyle="1" w:styleId="CitaviBibliographyEntry">
    <w:name w:val="Citavi Bibliography Entry"/>
    <w:basedOn w:val="Normal"/>
    <w:link w:val="CitaviBibliographyEntryChar"/>
    <w:rsid w:val="00DF777E"/>
    <w:pPr>
      <w:widowControl w:val="0"/>
      <w:spacing w:after="120"/>
    </w:pPr>
    <w:rPr>
      <w:rFonts w:eastAsia="Times New Roman" w:cs="Times New Roman"/>
      <w:color w:val="auto"/>
      <w:szCs w:val="24"/>
      <w:lang w:val="en-GB" w:bidi="en-US"/>
    </w:rPr>
  </w:style>
  <w:style w:type="character" w:customStyle="1" w:styleId="CitaviBibliographyEntryChar">
    <w:name w:val="Citavi Bibliography Entry Char"/>
    <w:basedOn w:val="DefaultParagraphFont"/>
    <w:link w:val="CitaviBibliographyEntry"/>
    <w:rsid w:val="00DF777E"/>
    <w:rPr>
      <w:rFonts w:eastAsia="Times New Roman" w:cs="Times New Roman"/>
      <w:color w:val="auto"/>
      <w:szCs w:val="24"/>
      <w:lang w:val="en-GB" w:bidi="en-US"/>
    </w:rPr>
  </w:style>
  <w:style w:type="character" w:customStyle="1" w:styleId="CommentSubjectChar">
    <w:name w:val="Comment Subject Char"/>
    <w:basedOn w:val="CommentTextChar"/>
    <w:link w:val="CommentSubject"/>
    <w:semiHidden/>
    <w:rsid w:val="00DF777E"/>
    <w:rPr>
      <w:rFonts w:eastAsia="Times New Roman" w:cs="Times New Roman"/>
      <w:b/>
      <w:bCs/>
      <w:color w:val="auto"/>
      <w:sz w:val="20"/>
      <w:szCs w:val="20"/>
      <w:lang w:val="en-GB" w:bidi="en-US"/>
    </w:rPr>
  </w:style>
  <w:style w:type="paragraph" w:styleId="CommentSubject">
    <w:name w:val="annotation subject"/>
    <w:basedOn w:val="CommentText"/>
    <w:next w:val="CommentText"/>
    <w:link w:val="CommentSubjectChar"/>
    <w:semiHidden/>
    <w:unhideWhenUsed/>
    <w:rsid w:val="00DF777E"/>
    <w:rPr>
      <w:b/>
      <w:bCs/>
    </w:rPr>
  </w:style>
  <w:style w:type="paragraph" w:styleId="Caption">
    <w:name w:val="caption"/>
    <w:basedOn w:val="Normal"/>
    <w:next w:val="Normal"/>
    <w:unhideWhenUsed/>
    <w:rsid w:val="00DF777E"/>
    <w:pPr>
      <w:widowControl w:val="0"/>
      <w:spacing w:after="200"/>
    </w:pPr>
    <w:rPr>
      <w:rFonts w:eastAsia="Times New Roman" w:cs="Times New Roman"/>
      <w:i/>
      <w:iCs/>
      <w:color w:val="1F497D" w:themeColor="text2"/>
      <w:sz w:val="18"/>
      <w:szCs w:val="18"/>
      <w:lang w:val="en-GB" w:bidi="en-US"/>
    </w:rPr>
  </w:style>
  <w:style w:type="paragraph" w:customStyle="1" w:styleId="ESRBodyText">
    <w:name w:val="ESR Body Text"/>
    <w:basedOn w:val="Normal"/>
    <w:link w:val="ESRBodyTextChar"/>
    <w:uiPriority w:val="2"/>
    <w:qFormat/>
    <w:rsid w:val="00DF777E"/>
    <w:pPr>
      <w:spacing w:after="160"/>
    </w:pPr>
    <w:rPr>
      <w:rFonts w:cstheme="minorBidi"/>
      <w:color w:val="auto"/>
      <w:lang w:val="en-NZ"/>
    </w:rPr>
  </w:style>
  <w:style w:type="character" w:customStyle="1" w:styleId="ESRBodyTextChar">
    <w:name w:val="ESR Body Text Char"/>
    <w:basedOn w:val="DefaultParagraphFont"/>
    <w:link w:val="ESRBodyText"/>
    <w:uiPriority w:val="2"/>
    <w:rsid w:val="00DF777E"/>
    <w:rPr>
      <w:rFonts w:cstheme="minorBidi"/>
      <w:color w:val="auto"/>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sintranet/DavWWWRoot/IWG/EOI/Documents/Ongoing%20Issues/3-MCPD%20esters/Key%20studies/Toolbox-for-the-migration-of-3-mcpd-esters-and-glycidyl-ester.pdf" TargetMode="External"/><Relationship Id="rId18" Type="http://schemas.openxmlformats.org/officeDocument/2006/relationships/hyperlink" Target="https://eur-lex.europa.eu/legal-content/EN/TXT/PDF/?uri=CELEX:32018R0290&amp;from=EN" TargetMode="External"/><Relationship Id="rId26" Type="http://schemas.openxmlformats.org/officeDocument/2006/relationships/hyperlink" Target="http://www.foodstandards.gov.au/science/riskanalysis/Pages/default.aspx" TargetMode="External"/><Relationship Id="rId3" Type="http://schemas.openxmlformats.org/officeDocument/2006/relationships/numbering" Target="numbering.xml"/><Relationship Id="rId21" Type="http://schemas.openxmlformats.org/officeDocument/2006/relationships/hyperlink" Target="http://apps.who.int/iris/bitstream/10665/254893/1/9789241210027-eng.pdf?ua=1" TargetMode="External"/><Relationship Id="rId7" Type="http://schemas.openxmlformats.org/officeDocument/2006/relationships/footnotes" Target="footnotes.xml"/><Relationship Id="rId12" Type="http://schemas.openxmlformats.org/officeDocument/2006/relationships/hyperlink" Target="https://www.google.com.au/url?sa=t&amp;rct=j&amp;q=&amp;esrc=s&amp;source=web&amp;cd=2&amp;ved=2ahUKEwi4hdCJrpTgAhXOXSsKHd6ABPwQFjABegQIBhAE&amp;url=https%3A%2F%2Fwww.bll.de%2Fdownload%2Ftoolbox-for-the-migration-of-3-mcpd-esters-and-glycidyl-ester&amp;usg=AOvVaw13_srcCjPz_ppZeNy5BKG6" TargetMode="External"/><Relationship Id="rId17" Type="http://schemas.openxmlformats.org/officeDocument/2006/relationships/hyperlink" Target="https://www.google.com.au/url?sa=t&amp;rct=j&amp;q=&amp;esrc=s&amp;source=web&amp;cd=2&amp;ved=2ahUKEwi4hdCJrpTgAhXOXSsKHd6ABPwQFjABegQIBhAE&amp;url=https%3A%2F%2Fwww.bll.de%2Fdownload%2Ftoolbox-for-the-migration-of-3-mcpd-esters-and-glycidyl-ester&amp;usg=AOvVaw13_srcCjPz_ppZeNy5BKG6" TargetMode="External"/><Relationship Id="rId25" Type="http://schemas.openxmlformats.org/officeDocument/2006/relationships/hyperlink" Target="https://extranet.who.int/gemsfood/Search.aspx?mode=2&amp;searchtype=0&amp;viewtype=0&amp;contaminant=3+MCPD+fatty+acid+esters%2c3+MCPD+free+++bound%2cGlycidol%2cGlycidyl+fatty+acid+esters&amp;foodcategory=18%2c19" TargetMode="External"/><Relationship Id="rId2" Type="http://schemas.openxmlformats.org/officeDocument/2006/relationships/customXml" Target="../customXml/item2.xml"/><Relationship Id="rId16" Type="http://schemas.openxmlformats.org/officeDocument/2006/relationships/hyperlink" Target="https://www.mpi.govt.nz/food-safety/food-safety-and-suitability-research/food-science-research/chemical-hazard-and-mycotoxin-research/" TargetMode="External"/><Relationship Id="rId20" Type="http://schemas.openxmlformats.org/officeDocument/2006/relationships/hyperlink" Target="http://www.foodstandards.gov.au/science/monitoringnutrients/ausnut/ausnutdatafiles/pages/foodnutrient.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pi.govt.nz/food-safety/food-safety-and-suitability-research/food-science-research/chemical-hazard-and-mycotoxin-research/" TargetMode="External"/><Relationship Id="rId24" Type="http://schemas.openxmlformats.org/officeDocument/2006/relationships/hyperlink" Target="http://www.who.int/childgrowth/standards/Technical%5Freport.pdf" TargetMode="External"/><Relationship Id="rId32"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fao.org/docrep/007/y5686e/y5686e00.htm"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foodstandards.gov.au/science/exposure/documents/Principles%20_%20practices%20exposure%20assessment%202009.pdf" TargetMode="External"/><Relationship Id="rId31"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apps.who.int/iris/bitstream/handle/10665/276868/9789241660747-eng.pdf?ua=1" TargetMode="External"/><Relationship Id="rId27" Type="http://schemas.openxmlformats.org/officeDocument/2006/relationships/hyperlink" Target="http://www.foodstandards.gov.au/science/exposure/documents/Principles%20_%20practices%20exposure%20assessment%202009.pdf" TargetMode="External"/><Relationship Id="rId30"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Settings\Templates\Normal%20report%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24B29DC7595044A69C84D0E99A2E2D" ma:contentTypeVersion="3" ma:contentTypeDescription="Create a new document." ma:contentTypeScope="" ma:versionID="254a78341ea5ade36faf40b1a45c08c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b219090c00d541781f40bca4b4181ed5"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61DA41-CEB8-4D02-813A-63D5B5CDE1AF}"/>
</file>

<file path=customXml/itemProps2.xml><?xml version="1.0" encoding="utf-8"?>
<ds:datastoreItem xmlns:ds="http://schemas.openxmlformats.org/officeDocument/2006/customXml" ds:itemID="{5A98B2E1-5835-4E32-930F-F4E4EDA2FA6F}"/>
</file>

<file path=customXml/itemProps3.xml><?xml version="1.0" encoding="utf-8"?>
<ds:datastoreItem xmlns:ds="http://schemas.openxmlformats.org/officeDocument/2006/customXml" ds:itemID="{8D5B7F8C-6AB5-4086-AC57-DA0B6FBE7CE6}"/>
</file>

<file path=customXml/itemProps4.xml><?xml version="1.0" encoding="utf-8"?>
<ds:datastoreItem xmlns:ds="http://schemas.openxmlformats.org/officeDocument/2006/customXml" ds:itemID="{10FEFB41-2B0F-4703-BFBC-A0C5059B2A1F}"/>
</file>

<file path=customXml/itemProps5.xml><?xml version="1.0" encoding="utf-8"?>
<ds:datastoreItem xmlns:ds="http://schemas.openxmlformats.org/officeDocument/2006/customXml" ds:itemID="{37349737-5C0A-4103-BD3D-B9E4EDF6E3D7}"/>
</file>

<file path=docProps/app.xml><?xml version="1.0" encoding="utf-8"?>
<Properties xmlns="http://schemas.openxmlformats.org/officeDocument/2006/extended-properties" xmlns:vt="http://schemas.openxmlformats.org/officeDocument/2006/docPropsVTypes">
  <Template>Normal report 2018</Template>
  <TotalTime>0</TotalTime>
  <Pages>21</Pages>
  <Words>6821</Words>
  <Characters>38883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2020-03-03T23:20:00Z</dcterms:created>
  <dcterms:modified xsi:type="dcterms:W3CDTF">2020-03-06T01:32:00Z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333119b3-c0f3-4617-b869-f66b4283900a</vt:lpwstr>
  </property>
  <property fmtid="{D5CDD505-2E9C-101B-9397-08002B2CF9AE}" pid="3"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4" name="bjDocumentLabelXML-0">
    <vt:lpwstr>ames.com/2008/01/sie/internal/label"&gt;&lt;element uid="66ddac19-06c4-4e63-b4dd-d8240d87a23f" value="" /&gt;&lt;/sisl&gt;</vt:lpwstr>
  </property>
  <property fmtid="{D5CDD505-2E9C-101B-9397-08002B2CF9AE}" pid="5" name="bjDocumentSecurityLabel">
    <vt:lpwstr>NO SECURITY CLASSIFICATION REQUIRED</vt:lpwstr>
  </property>
  <property fmtid="{D5CDD505-2E9C-101B-9397-08002B2CF9AE}" pid="6" name="bjSaver">
    <vt:lpwstr>aJ2JjYVIw0D0G69MXaick3Ua44dQNPKt</vt:lpwstr>
  </property>
  <property fmtid="{D5CDD505-2E9C-101B-9397-08002B2CF9AE}" pid="7" name="ContentTypeId">
    <vt:lpwstr>0x010100AA24B29DC7595044A69C84D0E99A2E2D</vt:lpwstr>
  </property>
</Properties>
</file>