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2573F" w14:textId="42B0EF13" w:rsidR="00E203C2" w:rsidRDefault="00E203C2" w:rsidP="00E203C2">
      <w:r>
        <w:rPr>
          <w:noProof/>
          <w:lang w:eastAsia="en-GB" w:bidi="ar-SA"/>
        </w:rPr>
        <w:drawing>
          <wp:inline distT="0" distB="0" distL="0" distR="0" wp14:anchorId="53705D84" wp14:editId="18D07B67">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1879DA1E" w14:textId="77777777" w:rsidR="00E203C2" w:rsidRDefault="00E203C2" w:rsidP="00E203C2"/>
    <w:p w14:paraId="15B16D4B" w14:textId="35E7CA07" w:rsidR="00CA641D" w:rsidRPr="001449EF" w:rsidRDefault="0008510D" w:rsidP="00CA641D">
      <w:pPr>
        <w:rPr>
          <w:b/>
          <w:sz w:val="28"/>
          <w:szCs w:val="28"/>
        </w:rPr>
      </w:pPr>
      <w:r w:rsidRPr="001449EF">
        <w:rPr>
          <w:b/>
          <w:sz w:val="28"/>
          <w:szCs w:val="28"/>
        </w:rPr>
        <w:t>2</w:t>
      </w:r>
      <w:r w:rsidR="001449EF" w:rsidRPr="001449EF">
        <w:rPr>
          <w:b/>
          <w:sz w:val="28"/>
          <w:szCs w:val="28"/>
        </w:rPr>
        <w:t>3</w:t>
      </w:r>
      <w:r w:rsidR="00F21E21" w:rsidRPr="001449EF">
        <w:rPr>
          <w:b/>
          <w:sz w:val="28"/>
          <w:szCs w:val="28"/>
        </w:rPr>
        <w:t xml:space="preserve"> March 2022</w:t>
      </w:r>
    </w:p>
    <w:p w14:paraId="52BA9928" w14:textId="0528E5EC" w:rsidR="00CA641D" w:rsidRPr="00F21E21" w:rsidRDefault="00F21E21" w:rsidP="00CA641D">
      <w:pPr>
        <w:rPr>
          <w:b/>
          <w:sz w:val="28"/>
          <w:szCs w:val="28"/>
        </w:rPr>
      </w:pPr>
      <w:r w:rsidRPr="001449EF">
        <w:rPr>
          <w:b/>
          <w:sz w:val="28"/>
          <w:szCs w:val="28"/>
        </w:rPr>
        <w:t>19</w:t>
      </w:r>
      <w:r w:rsidR="001449EF" w:rsidRPr="001449EF">
        <w:rPr>
          <w:b/>
          <w:sz w:val="28"/>
          <w:szCs w:val="28"/>
        </w:rPr>
        <w:t>5</w:t>
      </w:r>
      <w:r w:rsidRPr="001449EF">
        <w:rPr>
          <w:b/>
          <w:sz w:val="28"/>
          <w:szCs w:val="28"/>
        </w:rPr>
        <w:t>-22</w:t>
      </w:r>
      <w:bookmarkStart w:id="0" w:name="_GoBack"/>
      <w:bookmarkEnd w:id="0"/>
    </w:p>
    <w:p w14:paraId="5B92753D" w14:textId="77777777" w:rsidR="0057615C" w:rsidRPr="0057615C" w:rsidRDefault="0057615C" w:rsidP="00690206">
      <w:pPr>
        <w:pStyle w:val="FSTitle"/>
        <w:rPr>
          <w:b/>
          <w:sz w:val="22"/>
        </w:rPr>
      </w:pPr>
    </w:p>
    <w:p w14:paraId="1CA8799B" w14:textId="6B8143CC" w:rsidR="00092CDA" w:rsidRPr="007E252F" w:rsidRDefault="00092CDA" w:rsidP="00690206">
      <w:pPr>
        <w:pStyle w:val="FSTitle"/>
        <w:rPr>
          <w:b/>
        </w:rPr>
      </w:pPr>
      <w:r w:rsidRPr="007E252F">
        <w:rPr>
          <w:b/>
        </w:rPr>
        <w:t>S</w:t>
      </w:r>
      <w:r w:rsidR="00B12F1E" w:rsidRPr="007E252F">
        <w:rPr>
          <w:b/>
        </w:rPr>
        <w:t>upporting document</w:t>
      </w:r>
      <w:r w:rsidRPr="007E252F">
        <w:rPr>
          <w:b/>
        </w:rPr>
        <w:t xml:space="preserve"> </w:t>
      </w:r>
      <w:r w:rsidR="007E252F" w:rsidRPr="007E252F">
        <w:rPr>
          <w:b/>
        </w:rPr>
        <w:t>1</w:t>
      </w:r>
    </w:p>
    <w:p w14:paraId="064DFDFD" w14:textId="77777777" w:rsidR="00BA24E2" w:rsidRPr="007E252F" w:rsidRDefault="00BA24E2" w:rsidP="00E203C2"/>
    <w:p w14:paraId="79157BBE" w14:textId="37080FAE" w:rsidR="00D056F1" w:rsidRPr="007E252F" w:rsidRDefault="00320839" w:rsidP="00690206">
      <w:pPr>
        <w:pStyle w:val="FSTitle"/>
      </w:pPr>
      <w:r w:rsidRPr="007E252F">
        <w:t xml:space="preserve">Risk </w:t>
      </w:r>
      <w:r w:rsidR="007E252F" w:rsidRPr="007E252F">
        <w:t xml:space="preserve">and technical </w:t>
      </w:r>
      <w:r w:rsidRPr="007E252F">
        <w:t>assessment</w:t>
      </w:r>
      <w:r w:rsidR="006B5EBE" w:rsidRPr="007E252F">
        <w:t xml:space="preserve"> –</w:t>
      </w:r>
      <w:r w:rsidR="007E252F" w:rsidRPr="007E252F">
        <w:t xml:space="preserve"> </w:t>
      </w:r>
      <w:r w:rsidR="00B12F1E" w:rsidRPr="007E252F">
        <w:t>Proposal</w:t>
      </w:r>
      <w:r w:rsidR="00D056F1" w:rsidRPr="007E252F">
        <w:t xml:space="preserve"> </w:t>
      </w:r>
      <w:r w:rsidR="00E203C2" w:rsidRPr="007E252F">
        <w:t>P</w:t>
      </w:r>
      <w:r w:rsidR="007E252F" w:rsidRPr="007E252F">
        <w:t>1057</w:t>
      </w:r>
    </w:p>
    <w:p w14:paraId="48392800" w14:textId="77777777" w:rsidR="00E203C2" w:rsidRPr="007E252F" w:rsidRDefault="00E203C2" w:rsidP="00690206"/>
    <w:p w14:paraId="53C06B21" w14:textId="58660499" w:rsidR="00D056F1" w:rsidRPr="007E252F" w:rsidRDefault="007E252F" w:rsidP="00690206">
      <w:pPr>
        <w:pStyle w:val="FSTitle"/>
      </w:pPr>
      <w:r w:rsidRPr="007E252F">
        <w:t>Review of the kava standard</w:t>
      </w:r>
    </w:p>
    <w:p w14:paraId="17DAB6BE" w14:textId="77777777" w:rsidR="00E203C2" w:rsidRPr="00B37BF0" w:rsidRDefault="00E203C2" w:rsidP="00E203C2">
      <w:pPr>
        <w:pBdr>
          <w:bottom w:val="single" w:sz="12" w:space="1" w:color="auto"/>
        </w:pBdr>
        <w:spacing w:line="280" w:lineRule="exact"/>
        <w:rPr>
          <w:rFonts w:cs="Arial"/>
          <w:bCs/>
        </w:rPr>
      </w:pPr>
    </w:p>
    <w:p w14:paraId="3CA16420" w14:textId="77777777" w:rsidR="00E203C2" w:rsidRPr="00B37BF0" w:rsidRDefault="00E203C2" w:rsidP="00E203C2"/>
    <w:p w14:paraId="168AF5F2" w14:textId="77777777" w:rsidR="00092CDA" w:rsidRPr="00092CDA" w:rsidRDefault="00092CDA" w:rsidP="00352CF2">
      <w:pPr>
        <w:pStyle w:val="Heading1"/>
        <w:spacing w:before="0"/>
      </w:pPr>
      <w:bookmarkStart w:id="1" w:name="_Toc286391001"/>
      <w:bookmarkStart w:id="2" w:name="_Toc300933414"/>
      <w:bookmarkStart w:id="3" w:name="_Toc453078193"/>
      <w:bookmarkStart w:id="4" w:name="_Toc95830158"/>
      <w:r w:rsidRPr="00092CDA">
        <w:t xml:space="preserve">Executive </w:t>
      </w:r>
      <w:r w:rsidR="00B12F1E">
        <w:t>s</w:t>
      </w:r>
      <w:r w:rsidRPr="00092CDA">
        <w:t>ummary</w:t>
      </w:r>
      <w:bookmarkEnd w:id="1"/>
      <w:bookmarkEnd w:id="2"/>
      <w:bookmarkEnd w:id="3"/>
      <w:bookmarkEnd w:id="4"/>
    </w:p>
    <w:p w14:paraId="090838DB" w14:textId="77777777" w:rsidR="007E252F" w:rsidRPr="007E252F" w:rsidRDefault="007E252F" w:rsidP="007E252F">
      <w:pPr>
        <w:widowControl/>
        <w:rPr>
          <w:szCs w:val="22"/>
          <w:lang w:val="en-AU"/>
        </w:rPr>
      </w:pPr>
      <w:r w:rsidRPr="007E252F">
        <w:rPr>
          <w:lang w:val="en-AU"/>
        </w:rPr>
        <w:t xml:space="preserve">The proposal was prepared following a request from the Chair of the Food Ministers’ Meeting, Senator the Hon Richard Colbeck, to the Chair of the FSANZ Board. The request was for FSANZ to consider preparing and then declaring urgent a proposal to review the kava provisions of the Australia New Zealand Food Standards Code (the Code) </w:t>
      </w:r>
      <w:r w:rsidRPr="007E252F">
        <w:rPr>
          <w:szCs w:val="22"/>
          <w:lang w:val="en-AU"/>
        </w:rPr>
        <w:t xml:space="preserve"> following the Australian Government’s decision to allow the commercial importation of kava from 1 December 2021 under Phase 2 of the Pacific Step-up Kava Pilot.</w:t>
      </w:r>
    </w:p>
    <w:p w14:paraId="1B79CD74" w14:textId="77777777" w:rsidR="007E252F" w:rsidRPr="007E252F" w:rsidRDefault="007E252F" w:rsidP="007E252F">
      <w:pPr>
        <w:widowControl/>
        <w:rPr>
          <w:lang w:val="en-AU" w:bidi="ar-SA"/>
        </w:rPr>
      </w:pPr>
    </w:p>
    <w:p w14:paraId="2ACB8ED8" w14:textId="77777777" w:rsidR="007E252F" w:rsidRPr="007E252F" w:rsidRDefault="007E252F" w:rsidP="007E252F">
      <w:pPr>
        <w:widowControl/>
        <w:rPr>
          <w:lang w:val="en-AU" w:bidi="ar-SA"/>
        </w:rPr>
      </w:pPr>
      <w:r w:rsidRPr="007E252F">
        <w:rPr>
          <w:szCs w:val="22"/>
          <w:lang w:val="en-AU" w:bidi="ar-SA"/>
        </w:rPr>
        <w:t>This assessment examines</w:t>
      </w:r>
      <w:r w:rsidRPr="007E252F">
        <w:rPr>
          <w:rFonts w:cs="Arial"/>
          <w:szCs w:val="22"/>
          <w:lang w:val="en-AU"/>
        </w:rPr>
        <w:t xml:space="preserve"> the public health and safety risks associated with the consumption of </w:t>
      </w:r>
      <w:r w:rsidRPr="007E252F">
        <w:rPr>
          <w:szCs w:val="22"/>
          <w:lang w:val="en-AU" w:bidi="ar-SA"/>
        </w:rPr>
        <w:t xml:space="preserve">kava beverage in a manner </w:t>
      </w:r>
      <w:r w:rsidRPr="007E252F">
        <w:rPr>
          <w:szCs w:val="22"/>
          <w:lang w:val="en-AU" w:eastAsia="en-AU"/>
        </w:rPr>
        <w:t>consistent with historical cultural practice and current regulatory policies in Australia and New Zealand</w:t>
      </w:r>
      <w:r w:rsidRPr="007E252F">
        <w:rPr>
          <w:szCs w:val="22"/>
          <w:lang w:val="en-AU" w:bidi="ar-SA"/>
        </w:rPr>
        <w:t xml:space="preserve">. </w:t>
      </w:r>
      <w:r w:rsidRPr="007E252F">
        <w:rPr>
          <w:lang w:val="en-AU" w:bidi="ar-SA"/>
        </w:rPr>
        <w:t>Standard 2.6.3 of the Code permits the sale in Australia and New Zealand of kava root or kava beverage obtained by aqueous suspension of kava root.</w:t>
      </w:r>
    </w:p>
    <w:p w14:paraId="5E33B4AE" w14:textId="77777777" w:rsidR="007E252F" w:rsidRPr="007E252F" w:rsidRDefault="007E252F" w:rsidP="007E252F">
      <w:pPr>
        <w:widowControl/>
        <w:rPr>
          <w:i/>
          <w:szCs w:val="22"/>
          <w:lang w:val="en-AU" w:bidi="ar-SA"/>
        </w:rPr>
      </w:pPr>
    </w:p>
    <w:p w14:paraId="00A76A9B" w14:textId="77777777" w:rsidR="007E252F" w:rsidRPr="007E252F" w:rsidRDefault="007E252F" w:rsidP="007E252F">
      <w:pPr>
        <w:widowControl/>
        <w:rPr>
          <w:i/>
          <w:szCs w:val="22"/>
          <w:u w:val="single"/>
          <w:lang w:val="en-AU" w:bidi="ar-SA"/>
        </w:rPr>
      </w:pPr>
      <w:r w:rsidRPr="007E252F">
        <w:rPr>
          <w:i/>
          <w:szCs w:val="22"/>
          <w:lang w:val="en-AU" w:bidi="ar-SA"/>
        </w:rPr>
        <w:t xml:space="preserve">Historical method of preparation </w:t>
      </w:r>
    </w:p>
    <w:p w14:paraId="31B1654C" w14:textId="77777777" w:rsidR="007E252F" w:rsidRPr="007E252F" w:rsidRDefault="007E252F" w:rsidP="007E252F">
      <w:pPr>
        <w:widowControl/>
        <w:rPr>
          <w:lang w:val="en-AU" w:bidi="ar-SA"/>
        </w:rPr>
      </w:pPr>
    </w:p>
    <w:p w14:paraId="7D87D5CB" w14:textId="77777777" w:rsidR="007E252F" w:rsidRPr="007E252F" w:rsidRDefault="007E252F" w:rsidP="007E252F">
      <w:pPr>
        <w:widowControl/>
        <w:rPr>
          <w:lang w:val="en-AU" w:bidi="ar-SA"/>
        </w:rPr>
      </w:pPr>
      <w:r w:rsidRPr="007E252F">
        <w:rPr>
          <w:lang w:val="en-AU" w:bidi="ar-SA"/>
        </w:rPr>
        <w:t>Historically, kava beverage in Pacific communities has been prepared by aqueous extraction using fresh or dried roots of the kava plant to produce a brew in a communal bowl. Fresh material is peeled before being chewed or ground until it is fine and fibrous, and infused with water. Dried material is ground finely, wrapped in cloth and infused in water. The beverage is then typically consumed immediately or shortly thereafter. FSANZ’s risk assessment considers kava beverage to be defined by this method of preparation, which has a long history of use in Pacific communities.</w:t>
      </w:r>
    </w:p>
    <w:p w14:paraId="5F21D97F" w14:textId="77777777" w:rsidR="007E252F" w:rsidRPr="007E252F" w:rsidRDefault="007E252F" w:rsidP="007E252F">
      <w:pPr>
        <w:widowControl/>
        <w:rPr>
          <w:lang w:val="en-AU" w:bidi="ar-SA"/>
        </w:rPr>
      </w:pPr>
    </w:p>
    <w:p w14:paraId="30A1D267" w14:textId="77777777" w:rsidR="007E252F" w:rsidRPr="007E252F" w:rsidRDefault="007E252F" w:rsidP="007E252F">
      <w:pPr>
        <w:widowControl/>
        <w:rPr>
          <w:lang w:val="en-AU" w:bidi="ar-SA"/>
        </w:rPr>
      </w:pPr>
      <w:r w:rsidRPr="007E252F">
        <w:rPr>
          <w:lang w:val="en-AU" w:bidi="ar-SA"/>
        </w:rPr>
        <w:t xml:space="preserve">Complementary medicines are manufactured differently and often involve extraction with organic solvents resulting in different chemical profiles to that of aqueous beverages. A consideration of the safety of kava in complementary medicines is outside the scope of this proposal. </w:t>
      </w:r>
    </w:p>
    <w:p w14:paraId="4B117729" w14:textId="77777777" w:rsidR="007E252F" w:rsidRPr="007E252F" w:rsidRDefault="007E252F" w:rsidP="007E252F">
      <w:pPr>
        <w:keepNext/>
        <w:widowControl/>
        <w:spacing w:before="240" w:after="240"/>
        <w:ind w:left="851" w:hanging="851"/>
        <w:outlineLvl w:val="4"/>
        <w:rPr>
          <w:i/>
          <w:szCs w:val="22"/>
          <w:u w:val="single"/>
          <w:lang w:val="en-AU" w:bidi="ar-SA"/>
        </w:rPr>
      </w:pPr>
      <w:r w:rsidRPr="007E252F">
        <w:rPr>
          <w:i/>
          <w:szCs w:val="22"/>
          <w:lang w:val="en-AU" w:bidi="ar-SA"/>
        </w:rPr>
        <w:t xml:space="preserve">Identity and composition of kava plants </w:t>
      </w:r>
    </w:p>
    <w:p w14:paraId="78152D24" w14:textId="77777777" w:rsidR="007E252F" w:rsidRPr="007E252F" w:rsidRDefault="007E252F" w:rsidP="007E252F">
      <w:pPr>
        <w:widowControl/>
        <w:rPr>
          <w:lang w:val="en-AU" w:bidi="ar-SA"/>
        </w:rPr>
      </w:pPr>
      <w:r w:rsidRPr="007E252F">
        <w:rPr>
          <w:lang w:val="en-AU" w:bidi="ar-SA"/>
        </w:rPr>
        <w:t>There are more than 200 varieties of kava plant. ‘Noble’ kava varieties have been safely used by Pacific cultures for kava beverage production. Noble varieties are distinguished by their geographical distribution, physical plant characteristics and the properties of the kava beverage they produce. Other kava varieties are not suitable for making kava beverage.</w:t>
      </w:r>
    </w:p>
    <w:p w14:paraId="5F71C8B2" w14:textId="77777777" w:rsidR="007E252F" w:rsidRPr="007E252F" w:rsidRDefault="007E252F" w:rsidP="007E252F">
      <w:pPr>
        <w:widowControl/>
        <w:rPr>
          <w:lang w:val="en-AU" w:bidi="ar-SA"/>
        </w:rPr>
      </w:pPr>
    </w:p>
    <w:p w14:paraId="2B2D3001" w14:textId="77777777" w:rsidR="007E252F" w:rsidRPr="007E252F" w:rsidRDefault="007E252F" w:rsidP="007E252F">
      <w:pPr>
        <w:widowControl/>
        <w:rPr>
          <w:lang w:val="en-AU" w:bidi="ar-SA"/>
        </w:rPr>
      </w:pPr>
      <w:r w:rsidRPr="007E252F">
        <w:rPr>
          <w:lang w:val="en-AU" w:bidi="ar-SA"/>
        </w:rPr>
        <w:lastRenderedPageBreak/>
        <w:t xml:space="preserve">The pharmacologically active compounds in kava are kavalactones - 4-methoxy-2-pyrones with phenyl or styryl substitutes at the 6th position. There are six major kavalactones and up to thirteen minor kavalactones that are extracted from the root of the kava plant during the preparation of kava beverage. The total kavalactone content of kava plants varies from 3% to 20% of dry weight, depending on variety, growth conditions and part of the plant. </w:t>
      </w:r>
    </w:p>
    <w:p w14:paraId="7F9759F2" w14:textId="77777777" w:rsidR="007E252F" w:rsidRPr="007E252F" w:rsidRDefault="007E252F" w:rsidP="007E252F">
      <w:pPr>
        <w:widowControl/>
        <w:rPr>
          <w:lang w:val="en-AU" w:bidi="ar-SA"/>
        </w:rPr>
      </w:pPr>
    </w:p>
    <w:p w14:paraId="6C6292F8" w14:textId="77777777" w:rsidR="007E252F" w:rsidRPr="007E252F" w:rsidRDefault="007E252F" w:rsidP="007E252F">
      <w:pPr>
        <w:widowControl/>
        <w:rPr>
          <w:lang w:val="en-AU" w:bidi="ar-SA"/>
        </w:rPr>
      </w:pPr>
      <w:r w:rsidRPr="007E252F">
        <w:rPr>
          <w:lang w:val="en-AU" w:bidi="ar-SA"/>
        </w:rPr>
        <w:t>Flavokawains and piperidine alkaloids, also found in kava plants, generally make up less than 1% of dry weight. It has been suggested that these compounds may be more toxic than kavalactones, however little toxicological data is available for either flavokawains or piperidine alkaloids.</w:t>
      </w:r>
    </w:p>
    <w:p w14:paraId="1CAD3041" w14:textId="77777777" w:rsidR="007E252F" w:rsidRPr="007E252F" w:rsidRDefault="007E252F" w:rsidP="007E252F">
      <w:pPr>
        <w:keepNext/>
        <w:widowControl/>
        <w:spacing w:before="240" w:after="240"/>
        <w:ind w:left="851" w:hanging="851"/>
        <w:outlineLvl w:val="4"/>
        <w:rPr>
          <w:i/>
          <w:szCs w:val="22"/>
          <w:lang w:val="en-AU" w:bidi="ar-SA"/>
        </w:rPr>
      </w:pPr>
      <w:r w:rsidRPr="007E252F">
        <w:rPr>
          <w:i/>
          <w:szCs w:val="22"/>
          <w:lang w:val="en-AU" w:bidi="ar-SA"/>
        </w:rPr>
        <w:t>Pharmacology</w:t>
      </w:r>
    </w:p>
    <w:p w14:paraId="3B20E057" w14:textId="77777777" w:rsidR="007E252F" w:rsidRPr="007E252F" w:rsidRDefault="007E252F" w:rsidP="007E252F">
      <w:pPr>
        <w:widowControl/>
        <w:rPr>
          <w:lang w:val="en-AU" w:bidi="ar-SA"/>
        </w:rPr>
      </w:pPr>
      <w:r w:rsidRPr="007E252F">
        <w:rPr>
          <w:lang w:val="en-AU" w:bidi="ar-SA"/>
        </w:rPr>
        <w:t>Kavalactones have been reported to have psychopharmacological effects as well as muscle relaxant, local anaesthetic, anxiolytic and anticonvulsive properties. Moderate to high doses of kavalactones can lead to drowsiness and sedation. The mechanism of action of kavalactones has not been well established but may involve direct interactions with voltage-operated ion channels or activities through the cognate receptors for γ-aminobutyric acid, serotonin, endocannabinoids and glycine.</w:t>
      </w:r>
    </w:p>
    <w:p w14:paraId="774B4251" w14:textId="77777777" w:rsidR="007E252F" w:rsidRPr="007E252F" w:rsidRDefault="007E252F" w:rsidP="007E252F">
      <w:pPr>
        <w:keepNext/>
        <w:widowControl/>
        <w:spacing w:before="240" w:after="240"/>
        <w:ind w:left="851" w:hanging="851"/>
        <w:outlineLvl w:val="4"/>
        <w:rPr>
          <w:i/>
          <w:lang w:val="en-AU"/>
        </w:rPr>
      </w:pPr>
      <w:r w:rsidRPr="007E252F">
        <w:rPr>
          <w:i/>
          <w:szCs w:val="22"/>
          <w:lang w:val="en-AU" w:bidi="ar-SA"/>
        </w:rPr>
        <w:t>Pharmacokinetics</w:t>
      </w:r>
    </w:p>
    <w:p w14:paraId="1D3C2007" w14:textId="77777777" w:rsidR="007E252F" w:rsidRPr="007E252F" w:rsidRDefault="007E252F" w:rsidP="007E252F">
      <w:pPr>
        <w:widowControl/>
        <w:rPr>
          <w:lang w:val="en-AU" w:bidi="ar-SA"/>
        </w:rPr>
      </w:pPr>
      <w:r w:rsidRPr="007E252F">
        <w:rPr>
          <w:lang w:val="en-AU" w:bidi="ar-SA"/>
        </w:rPr>
        <w:t xml:space="preserve">Limited information is available on the pharmacokinetics of kavalactones. In a rat study, kavain, the major kavalactone in kava beverage, was well absorbed and approximately 50% bioavailable. In humans, kavain is extensively metabolised in the liver by CYP-mediated biotransformation, </w:t>
      </w:r>
      <w:r w:rsidRPr="007E252F">
        <w:rPr>
          <w:lang w:val="en-AU"/>
        </w:rPr>
        <w:t>before sulfonation, glucuronidation or glutathione (GSH) conjugation</w:t>
      </w:r>
      <w:r w:rsidRPr="007E252F">
        <w:rPr>
          <w:lang w:val="en-AU" w:bidi="ar-SA"/>
        </w:rPr>
        <w:t xml:space="preserve">. More than 90% of a 100 mg/kg bodyweight (bw) dose of kavain was excreted within 72 hours as either unchanged kavain or kavain metabolites in the urine and faeces of rats. There is no evidence of bioaccumulation in humans, rats or mice. </w:t>
      </w:r>
    </w:p>
    <w:p w14:paraId="26A57719" w14:textId="77777777" w:rsidR="007E252F" w:rsidRPr="007E252F" w:rsidRDefault="007E252F" w:rsidP="007E252F">
      <w:pPr>
        <w:keepNext/>
        <w:widowControl/>
        <w:spacing w:before="240" w:after="240"/>
        <w:ind w:left="851" w:hanging="851"/>
        <w:outlineLvl w:val="4"/>
        <w:rPr>
          <w:i/>
          <w:szCs w:val="22"/>
          <w:u w:val="single"/>
          <w:lang w:val="en-AU" w:bidi="ar-SA"/>
        </w:rPr>
      </w:pPr>
      <w:r w:rsidRPr="007E252F">
        <w:rPr>
          <w:i/>
          <w:szCs w:val="22"/>
          <w:lang w:val="en-AU" w:bidi="ar-SA"/>
        </w:rPr>
        <w:t>Potential for drug interactions</w:t>
      </w:r>
    </w:p>
    <w:p w14:paraId="34D6C9A8" w14:textId="77777777" w:rsidR="007E252F" w:rsidRPr="007E252F" w:rsidRDefault="007E252F" w:rsidP="007E252F">
      <w:pPr>
        <w:widowControl/>
        <w:rPr>
          <w:lang w:val="en-AU" w:bidi="ar-SA"/>
        </w:rPr>
      </w:pPr>
      <w:r w:rsidRPr="007E252F">
        <w:rPr>
          <w:lang w:val="en-AU" w:bidi="ar-SA"/>
        </w:rPr>
        <w:t>Limited information is available on potential for drug interactions. However substances in kava have been shown to inhibit CYP isoforms 1A2, 2C9, 2C19, 2D6, 3A4 and 4A9/11</w:t>
      </w:r>
      <w:r w:rsidRPr="007E252F">
        <w:rPr>
          <w:i/>
          <w:lang w:val="en-AU" w:bidi="ar-SA"/>
        </w:rPr>
        <w:t xml:space="preserve"> in vitro</w:t>
      </w:r>
      <w:r w:rsidRPr="007E252F">
        <w:rPr>
          <w:lang w:val="en-AU" w:bidi="ar-SA"/>
        </w:rPr>
        <w:t xml:space="preserve"> demonstrating the potential for drug interactions. Caution is recommended when consuming kava beverage in combination with alcohol, medicines (particularly benzodiazepines, opioids, barbiturates and paracetamol) or other herbal preparations.</w:t>
      </w:r>
    </w:p>
    <w:p w14:paraId="2F030820" w14:textId="77777777" w:rsidR="007E252F" w:rsidRPr="007E252F" w:rsidRDefault="007E252F" w:rsidP="007E252F">
      <w:pPr>
        <w:keepNext/>
        <w:widowControl/>
        <w:spacing w:before="240" w:after="240"/>
        <w:ind w:left="851" w:hanging="851"/>
        <w:outlineLvl w:val="4"/>
        <w:rPr>
          <w:i/>
          <w:szCs w:val="22"/>
          <w:u w:val="single"/>
          <w:lang w:val="en-AU" w:bidi="ar-SA"/>
        </w:rPr>
      </w:pPr>
      <w:r w:rsidRPr="007E252F">
        <w:rPr>
          <w:i/>
          <w:szCs w:val="22"/>
          <w:lang w:val="en-AU" w:bidi="ar-SA"/>
        </w:rPr>
        <w:t>Toxicological studies in laboratory animals</w:t>
      </w:r>
    </w:p>
    <w:p w14:paraId="225B8227" w14:textId="77777777" w:rsidR="007E252F" w:rsidRPr="007E252F" w:rsidRDefault="007E252F" w:rsidP="007E252F">
      <w:pPr>
        <w:widowControl/>
        <w:rPr>
          <w:lang w:val="en-AU" w:bidi="ar-SA"/>
        </w:rPr>
      </w:pPr>
      <w:r w:rsidRPr="007E252F">
        <w:rPr>
          <w:lang w:val="en-AU" w:bidi="ar-SA"/>
        </w:rPr>
        <w:t xml:space="preserve">A non-guideline, four week oral administration study in rats using an aqueous extract of kava intended to be representative of kava beverage did not report any adverse effects at doses of up to 500 mg/kg bw/day kavalactones. </w:t>
      </w:r>
    </w:p>
    <w:p w14:paraId="2B9CD36F" w14:textId="77777777" w:rsidR="007E252F" w:rsidRPr="007E252F" w:rsidRDefault="007E252F" w:rsidP="007E252F">
      <w:pPr>
        <w:widowControl/>
        <w:rPr>
          <w:lang w:val="en-AU" w:bidi="ar-SA"/>
        </w:rPr>
      </w:pPr>
    </w:p>
    <w:p w14:paraId="3A6804D1" w14:textId="77777777" w:rsidR="007E252F" w:rsidRPr="007E252F" w:rsidRDefault="007E252F" w:rsidP="007E252F">
      <w:pPr>
        <w:widowControl/>
        <w:rPr>
          <w:lang w:val="en-AU"/>
        </w:rPr>
      </w:pPr>
      <w:r w:rsidRPr="007E252F">
        <w:rPr>
          <w:lang w:val="en-AU" w:bidi="ar-SA"/>
        </w:rPr>
        <w:t>An U.S. National Toxicology Program (NTP) report assessed the chronic toxicity and carcinogenic potential of an orally administered pharmaceutical kava extract in mice and rats. Increased liver weights and hepatocellular hypertrophy were observed in both species. In male mice, there was a dose-related increase in the incidence of hepatoblastoma at doses above 500 mg/kg bw/day. In female rats, hepatocellular adenoma or carcinoma were observed in all treatment groups. A small but statistically significant dose-related increase in testicular interstitial (Leydig) cell adenoma was seen in all male treatment groups.</w:t>
      </w:r>
      <w:r w:rsidRPr="007E252F">
        <w:rPr>
          <w:lang w:val="en-AU"/>
        </w:rPr>
        <w:t xml:space="preserve"> The findings demonstrate a potential for kava extracts to elicit hepatotoxicity but the relevance of the test article to an aqueous extract is unknown. </w:t>
      </w:r>
    </w:p>
    <w:p w14:paraId="438DA84F" w14:textId="77777777" w:rsidR="007E252F" w:rsidRPr="007E252F" w:rsidRDefault="007E252F" w:rsidP="007E252F">
      <w:pPr>
        <w:widowControl/>
        <w:rPr>
          <w:lang w:val="en-AU"/>
        </w:rPr>
      </w:pPr>
    </w:p>
    <w:p w14:paraId="2C7EA522" w14:textId="77777777" w:rsidR="007E252F" w:rsidRPr="007E252F" w:rsidRDefault="007E252F" w:rsidP="007E252F">
      <w:pPr>
        <w:widowControl/>
        <w:rPr>
          <w:lang w:val="en-AU"/>
        </w:rPr>
      </w:pPr>
      <w:r w:rsidRPr="007E252F">
        <w:rPr>
          <w:lang w:val="en-AU"/>
        </w:rPr>
        <w:lastRenderedPageBreak/>
        <w:t xml:space="preserve">No genotoxicity studies were available for aqueous kava extracts. The kava extract assessed by the U.S. NTP was not genotoxic in bacterial mutagenicity or </w:t>
      </w:r>
      <w:r w:rsidRPr="007E252F">
        <w:rPr>
          <w:i/>
          <w:lang w:val="en-AU"/>
        </w:rPr>
        <w:t>in vivo</w:t>
      </w:r>
      <w:r w:rsidRPr="007E252F">
        <w:rPr>
          <w:lang w:val="en-AU"/>
        </w:rPr>
        <w:t xml:space="preserve"> micronucleus studies. </w:t>
      </w:r>
    </w:p>
    <w:p w14:paraId="1191D94E" w14:textId="77777777" w:rsidR="007E252F" w:rsidRPr="007E252F" w:rsidRDefault="007E252F" w:rsidP="007E252F">
      <w:pPr>
        <w:widowControl/>
        <w:rPr>
          <w:lang w:val="en-AU"/>
        </w:rPr>
      </w:pPr>
    </w:p>
    <w:p w14:paraId="234A318C" w14:textId="77777777" w:rsidR="007E252F" w:rsidRPr="007E252F" w:rsidRDefault="007E252F" w:rsidP="007E252F">
      <w:pPr>
        <w:widowControl/>
        <w:rPr>
          <w:lang w:val="en-AU" w:bidi="ar-SA"/>
        </w:rPr>
      </w:pPr>
      <w:r w:rsidRPr="007E252F">
        <w:rPr>
          <w:lang w:val="en-AU" w:bidi="ar-SA"/>
        </w:rPr>
        <w:t xml:space="preserve">No reproductive or developmental studies are available in laboratory animals. </w:t>
      </w:r>
    </w:p>
    <w:p w14:paraId="705B81C7" w14:textId="77777777" w:rsidR="007E252F" w:rsidRPr="007E252F" w:rsidRDefault="007E252F" w:rsidP="007E252F">
      <w:pPr>
        <w:keepNext/>
        <w:widowControl/>
        <w:spacing w:before="240" w:after="240"/>
        <w:ind w:left="851" w:hanging="851"/>
        <w:outlineLvl w:val="4"/>
        <w:rPr>
          <w:i/>
          <w:szCs w:val="22"/>
          <w:lang w:val="en-AU" w:bidi="ar-SA"/>
        </w:rPr>
      </w:pPr>
      <w:r w:rsidRPr="007E252F">
        <w:rPr>
          <w:i/>
          <w:szCs w:val="22"/>
          <w:lang w:val="en-AU" w:bidi="ar-SA"/>
        </w:rPr>
        <w:t>Studies in humans</w:t>
      </w:r>
    </w:p>
    <w:p w14:paraId="018E98CC" w14:textId="77777777" w:rsidR="007E252F" w:rsidRPr="007E252F" w:rsidRDefault="007E252F" w:rsidP="007E252F">
      <w:pPr>
        <w:widowControl/>
        <w:rPr>
          <w:lang w:val="en-AU"/>
        </w:rPr>
      </w:pPr>
      <w:r w:rsidRPr="007E252F">
        <w:rPr>
          <w:lang w:val="en-AU"/>
        </w:rPr>
        <w:t xml:space="preserve">There were no high quality clinical trials that used kava beverage as the test item. Three clinical trials were available using a capsule prepared from </w:t>
      </w:r>
      <w:r w:rsidRPr="007E252F">
        <w:rPr>
          <w:lang w:val="en-AU" w:bidi="ar-SA"/>
        </w:rPr>
        <w:t xml:space="preserve">hot-water kava extract, </w:t>
      </w:r>
      <w:r w:rsidRPr="007E252F">
        <w:rPr>
          <w:lang w:val="en-AU"/>
        </w:rPr>
        <w:t>which provided the best comparator for understanding kava beverage safety.</w:t>
      </w:r>
    </w:p>
    <w:p w14:paraId="568873FE" w14:textId="77777777" w:rsidR="007E252F" w:rsidRPr="007E252F" w:rsidRDefault="007E252F" w:rsidP="007E252F">
      <w:pPr>
        <w:widowControl/>
        <w:rPr>
          <w:lang w:val="en-AU"/>
        </w:rPr>
      </w:pPr>
    </w:p>
    <w:p w14:paraId="4BD6C5B8" w14:textId="77777777" w:rsidR="007E252F" w:rsidRPr="007E252F" w:rsidRDefault="007E252F" w:rsidP="007E252F">
      <w:pPr>
        <w:widowControl/>
        <w:rPr>
          <w:lang w:val="en-AU" w:bidi="ar-SA"/>
        </w:rPr>
      </w:pPr>
      <w:r w:rsidRPr="007E252F">
        <w:rPr>
          <w:lang w:val="en-AU" w:bidi="ar-SA"/>
        </w:rPr>
        <w:t xml:space="preserve">A 16-week randomised, double-blind, placebo-controlled clinical trial investigated the effects of hot water kava extract tablets (240 mg/day kavalactones) in participants with diagnosed generalised anxiety disorder. The kava group self-reported more frequent occurrences of poorer memory and tremor/shakiness. Statistically significant increases in the proportion of liver function tests reporting above baseline abnormalities were observed in the kava group, measured by increases in </w:t>
      </w:r>
      <w:r w:rsidRPr="007E252F">
        <w:rPr>
          <w:rFonts w:cs="Arial"/>
          <w:lang w:val="en-AU"/>
        </w:rPr>
        <w:t>γ-glutamyl transferase (</w:t>
      </w:r>
      <w:r w:rsidRPr="007E252F">
        <w:rPr>
          <w:lang w:val="en-AU" w:bidi="ar-SA"/>
        </w:rPr>
        <w:t>GGT), aspartate transaminase (AST) and alanine aminotransferase (ALT).</w:t>
      </w:r>
    </w:p>
    <w:p w14:paraId="096BFF1C" w14:textId="77777777" w:rsidR="007E252F" w:rsidRPr="007E252F" w:rsidRDefault="007E252F" w:rsidP="007E252F">
      <w:pPr>
        <w:widowControl/>
        <w:rPr>
          <w:lang w:val="en-AU" w:bidi="ar-SA"/>
        </w:rPr>
      </w:pPr>
    </w:p>
    <w:p w14:paraId="0F2691CB" w14:textId="77777777" w:rsidR="007E252F" w:rsidRPr="007E252F" w:rsidRDefault="007E252F" w:rsidP="007E252F">
      <w:pPr>
        <w:widowControl/>
        <w:rPr>
          <w:lang w:val="en-AU" w:bidi="ar-SA"/>
        </w:rPr>
      </w:pPr>
      <w:r w:rsidRPr="007E252F">
        <w:rPr>
          <w:lang w:val="en-AU" w:bidi="ar-SA"/>
        </w:rPr>
        <w:t>In two separate three- and six-week clinical trials using a similar aqueous extract (</w:t>
      </w:r>
      <w:r w:rsidRPr="007E252F">
        <w:rPr>
          <w:lang w:val="en-AU"/>
        </w:rPr>
        <w:t>250 mg</w:t>
      </w:r>
      <w:r w:rsidRPr="007E252F">
        <w:rPr>
          <w:lang w:val="en-AU" w:bidi="ar-SA"/>
        </w:rPr>
        <w:t xml:space="preserve">/day kavalactones), no treatment-related changes in liver abnormalities or adverse events were observed.  </w:t>
      </w:r>
    </w:p>
    <w:p w14:paraId="55B3CA33" w14:textId="77777777" w:rsidR="007E252F" w:rsidRPr="007E252F" w:rsidRDefault="007E252F" w:rsidP="007E252F">
      <w:pPr>
        <w:widowControl/>
        <w:rPr>
          <w:lang w:val="en-AU" w:bidi="ar-SA"/>
        </w:rPr>
      </w:pPr>
    </w:p>
    <w:p w14:paraId="6D60DBDE" w14:textId="77777777" w:rsidR="007E252F" w:rsidRPr="007E252F" w:rsidRDefault="007E252F" w:rsidP="007E252F">
      <w:pPr>
        <w:widowControl/>
        <w:rPr>
          <w:lang w:val="en-AU" w:bidi="ar-SA"/>
        </w:rPr>
      </w:pPr>
      <w:r w:rsidRPr="007E252F">
        <w:rPr>
          <w:lang w:val="en-AU" w:bidi="ar-SA"/>
        </w:rPr>
        <w:t xml:space="preserve">A number of cases of liver toxicity have been reported in association with kava extracts used for medicinal purposes in Germany and Switzerland. These cases varied in severity from abnormal liver function (high levels of GGT and alkaline phosphatase (AP), with associated increases of ALT) to liver failure, including fatality and liver transplants. The causative factor of these observed hepatotoxicity events remains unknown. In all of these reported cases, kava had been consumed as complementary medicines, supplements or herbal medicines. </w:t>
      </w:r>
    </w:p>
    <w:p w14:paraId="37DFCF95" w14:textId="77777777" w:rsidR="007E252F" w:rsidRPr="007E252F" w:rsidRDefault="007E252F" w:rsidP="007E252F">
      <w:pPr>
        <w:keepNext/>
        <w:widowControl/>
        <w:spacing w:before="240" w:after="240"/>
        <w:ind w:left="851" w:hanging="851"/>
        <w:outlineLvl w:val="4"/>
        <w:rPr>
          <w:i/>
          <w:szCs w:val="22"/>
          <w:u w:val="single"/>
          <w:lang w:val="en-AU" w:bidi="ar-SA"/>
        </w:rPr>
      </w:pPr>
      <w:r w:rsidRPr="007E252F">
        <w:rPr>
          <w:i/>
          <w:szCs w:val="22"/>
          <w:lang w:val="en-AU" w:bidi="ar-SA"/>
        </w:rPr>
        <w:t>Health effects associated with cultural or recreational use of kava beverage</w:t>
      </w:r>
    </w:p>
    <w:p w14:paraId="202B4B64" w14:textId="77777777" w:rsidR="007E252F" w:rsidRPr="007E252F" w:rsidRDefault="007E252F" w:rsidP="007E252F">
      <w:pPr>
        <w:widowControl/>
        <w:rPr>
          <w:lang w:val="en-AU" w:bidi="ar-SA"/>
        </w:rPr>
      </w:pPr>
      <w:r w:rsidRPr="007E252F">
        <w:rPr>
          <w:lang w:val="en-AU" w:bidi="ar-SA"/>
        </w:rPr>
        <w:t>Kava beverage is culturally significant to communities in the South Pacific, where it has a long history of consumption. It is not a widely consumed food in Australia or New Zealand, except in some Pacific communities and select Australian First Nation communities. Acceptance of kava beverage as a safe recreational beverage has increased kava consumption in Pacific and non-Pacific communities. The long history of use with minimal evidence of adverse health events d</w:t>
      </w:r>
      <w:r w:rsidRPr="007E252F">
        <w:rPr>
          <w:color w:val="000000" w:themeColor="text1"/>
          <w:lang w:val="en-AU" w:bidi="ar-SA"/>
        </w:rPr>
        <w:t xml:space="preserve">emonstrates that </w:t>
      </w:r>
      <w:r w:rsidRPr="007E252F">
        <w:rPr>
          <w:lang w:val="en-AU"/>
        </w:rPr>
        <w:t xml:space="preserve">kava beverage can be safely consumed in communities </w:t>
      </w:r>
      <w:r w:rsidRPr="007E252F">
        <w:rPr>
          <w:color w:val="000000" w:themeColor="text1"/>
          <w:lang w:val="en-AU" w:bidi="ar-SA"/>
        </w:rPr>
        <w:t xml:space="preserve">in line with historical preparation and consumption practices. </w:t>
      </w:r>
      <w:r w:rsidRPr="007E252F">
        <w:rPr>
          <w:lang w:val="en-AU" w:bidi="ar-SA"/>
        </w:rPr>
        <w:t>Kava does not demonstrate the same addictive properties as other potential substances of abuse, and is seen to be far less harmful to both the individual users and the community.</w:t>
      </w:r>
    </w:p>
    <w:p w14:paraId="37F80103" w14:textId="77777777" w:rsidR="007E252F" w:rsidRPr="007E252F" w:rsidRDefault="007E252F" w:rsidP="007E252F">
      <w:pPr>
        <w:widowControl/>
        <w:rPr>
          <w:color w:val="000000" w:themeColor="text1"/>
          <w:lang w:val="en-AU" w:bidi="ar-SA"/>
        </w:rPr>
      </w:pPr>
    </w:p>
    <w:p w14:paraId="404BA715" w14:textId="77777777" w:rsidR="007E252F" w:rsidRPr="007E252F" w:rsidRDefault="007E252F" w:rsidP="007E252F">
      <w:pPr>
        <w:widowControl/>
        <w:rPr>
          <w:lang w:val="en-AU" w:bidi="ar-SA"/>
        </w:rPr>
      </w:pPr>
      <w:r w:rsidRPr="007E252F">
        <w:rPr>
          <w:lang w:val="en-AU" w:bidi="ar-SA"/>
        </w:rPr>
        <w:t>However, the consumption of kava beverage results in kavalactone intakes greater than the recommended daily intake for therapeutic goods, and kava beverage has the potential to become a substance of abuse in certain contexts. Evidence of negative health outcomes have been observed in communities with established patterns of ongoing high-level consumption of kava beverage. Such ongoing high-level consumption has been associated with a scaly skin rash, altered liver function and other general reductions in overall health. Altered liver function is observed as an increase in the liver enzymes GGT and AP. These changes are reversible, and occur without an observed increase of ALT or other signs of liver toxicity. Changes in liver function associated with kava beverage consumption are not consistent with the severe hepatotoxicity events observed in consumers of herbal medicines.</w:t>
      </w:r>
    </w:p>
    <w:p w14:paraId="3155A60C" w14:textId="77777777" w:rsidR="007E252F" w:rsidRPr="007E252F" w:rsidRDefault="007E252F" w:rsidP="007E252F">
      <w:pPr>
        <w:widowControl/>
        <w:rPr>
          <w:lang w:val="en-AU" w:bidi="ar-SA"/>
        </w:rPr>
      </w:pPr>
    </w:p>
    <w:p w14:paraId="3DCFF6E5" w14:textId="77777777" w:rsidR="007E252F" w:rsidRPr="007E252F" w:rsidRDefault="007E252F" w:rsidP="007E252F">
      <w:pPr>
        <w:widowControl/>
        <w:rPr>
          <w:lang w:val="en-AU" w:bidi="ar-SA"/>
        </w:rPr>
      </w:pPr>
      <w:r w:rsidRPr="007E252F">
        <w:rPr>
          <w:lang w:val="en-AU" w:bidi="ar-SA"/>
        </w:rPr>
        <w:t xml:space="preserve">Negative health effects associated with kava beverage have been described with high-consumption of kava beverage (240 - 440 g/week of dried kava powder or more). </w:t>
      </w:r>
    </w:p>
    <w:p w14:paraId="6E3F958A" w14:textId="77777777" w:rsidR="007E252F" w:rsidRPr="007E252F" w:rsidRDefault="007E252F" w:rsidP="007E252F">
      <w:pPr>
        <w:widowControl/>
        <w:rPr>
          <w:lang w:val="en-AU" w:bidi="ar-SA"/>
        </w:rPr>
      </w:pPr>
    </w:p>
    <w:p w14:paraId="1858D3FC" w14:textId="77777777" w:rsidR="007E252F" w:rsidRPr="007E252F" w:rsidRDefault="007E252F" w:rsidP="007E252F">
      <w:pPr>
        <w:widowControl/>
        <w:rPr>
          <w:lang w:val="en-AU" w:bidi="ar-SA"/>
        </w:rPr>
      </w:pPr>
      <w:r w:rsidRPr="007E252F">
        <w:rPr>
          <w:lang w:val="en-AU" w:bidi="ar-SA"/>
        </w:rPr>
        <w:t xml:space="preserve">No information was available to allow an assessment of the use of kava beverage in pregnant or lactating females, adolescents or children. </w:t>
      </w:r>
    </w:p>
    <w:p w14:paraId="22C91FF9" w14:textId="77777777" w:rsidR="007E252F" w:rsidRPr="007E252F" w:rsidRDefault="007E252F" w:rsidP="007E252F">
      <w:pPr>
        <w:widowControl/>
        <w:rPr>
          <w:lang w:val="en-AU" w:bidi="ar-SA"/>
        </w:rPr>
      </w:pPr>
    </w:p>
    <w:p w14:paraId="18DC5A7E" w14:textId="77777777" w:rsidR="007E252F" w:rsidRPr="007E252F" w:rsidRDefault="007E252F" w:rsidP="007E252F">
      <w:pPr>
        <w:widowControl/>
        <w:rPr>
          <w:lang w:val="en-AU"/>
        </w:rPr>
      </w:pPr>
      <w:r w:rsidRPr="007E252F">
        <w:rPr>
          <w:lang w:val="en-AU"/>
        </w:rPr>
        <w:t xml:space="preserve">Kava beverage is not consumed for nutritional benefit, rather as part of cultural practices and for its intoxicating properties. There are no known nutritional problems associated with the moderate use of kava. </w:t>
      </w:r>
    </w:p>
    <w:p w14:paraId="58884EBE" w14:textId="77777777" w:rsidR="007E252F" w:rsidRPr="007E252F" w:rsidRDefault="007E252F" w:rsidP="007E252F">
      <w:pPr>
        <w:keepNext/>
        <w:widowControl/>
        <w:spacing w:before="240" w:after="240"/>
        <w:ind w:left="851" w:hanging="851"/>
        <w:outlineLvl w:val="4"/>
        <w:rPr>
          <w:i/>
          <w:szCs w:val="22"/>
          <w:u w:val="single"/>
          <w:lang w:val="en-AU" w:bidi="ar-SA"/>
        </w:rPr>
      </w:pPr>
      <w:r w:rsidRPr="007E252F">
        <w:rPr>
          <w:i/>
          <w:szCs w:val="22"/>
          <w:lang w:val="en-AU" w:bidi="ar-SA"/>
        </w:rPr>
        <w:t>Microbiological assessment</w:t>
      </w:r>
    </w:p>
    <w:p w14:paraId="0041A6FE" w14:textId="77777777" w:rsidR="007E252F" w:rsidRPr="007E252F" w:rsidRDefault="007E252F" w:rsidP="007E252F">
      <w:pPr>
        <w:widowControl/>
        <w:rPr>
          <w:lang w:val="en-AU" w:bidi="ar-SA"/>
        </w:rPr>
      </w:pPr>
      <w:r w:rsidRPr="007E252F">
        <w:rPr>
          <w:lang w:val="en-AU" w:bidi="ar-SA"/>
        </w:rPr>
        <w:t>The microbiological risk from the consumption of kava beverages obtained by aqueous suspension of dried or raw kava root is low when kava is produced and prepared in line with current risk management measures, including the application of Good Agricultural Practices and Good Handling Practices.</w:t>
      </w:r>
    </w:p>
    <w:p w14:paraId="71B01B30" w14:textId="77777777" w:rsidR="007E252F" w:rsidRPr="007E252F" w:rsidRDefault="007E252F" w:rsidP="007E252F">
      <w:pPr>
        <w:keepNext/>
        <w:widowControl/>
        <w:spacing w:before="240" w:after="240"/>
        <w:ind w:left="851" w:hanging="851"/>
        <w:outlineLvl w:val="4"/>
        <w:rPr>
          <w:i/>
          <w:szCs w:val="22"/>
          <w:u w:val="single"/>
          <w:lang w:val="en-AU" w:bidi="ar-SA"/>
        </w:rPr>
      </w:pPr>
      <w:r w:rsidRPr="007E252F">
        <w:rPr>
          <w:i/>
          <w:szCs w:val="22"/>
          <w:lang w:val="en-AU" w:bidi="ar-SA"/>
        </w:rPr>
        <w:t>Limitations in the available data</w:t>
      </w:r>
    </w:p>
    <w:p w14:paraId="0C0FF422" w14:textId="77777777" w:rsidR="007E252F" w:rsidRPr="007E252F" w:rsidRDefault="007E252F" w:rsidP="007E252F">
      <w:pPr>
        <w:widowControl/>
        <w:rPr>
          <w:lang w:val="en-AU" w:bidi="ar-SA"/>
        </w:rPr>
      </w:pPr>
      <w:r w:rsidRPr="007E252F">
        <w:rPr>
          <w:lang w:val="en-AU" w:bidi="ar-SA"/>
        </w:rPr>
        <w:t xml:space="preserve">Data gaps exist in the available scientific literature to understand the toxicity, potential dosage and pharmacokinetics of each biologically-active chemical constituent in kava beverage. The majority of available data relate to herbal extracts of kava, which are chemically distinct from the kava beverage. </w:t>
      </w:r>
    </w:p>
    <w:p w14:paraId="5B15693B" w14:textId="77777777" w:rsidR="007E252F" w:rsidRPr="007E252F" w:rsidRDefault="007E252F" w:rsidP="007E252F">
      <w:pPr>
        <w:widowControl/>
        <w:rPr>
          <w:lang w:val="en-AU" w:bidi="ar-SA"/>
        </w:rPr>
      </w:pPr>
    </w:p>
    <w:p w14:paraId="5F72F511" w14:textId="77777777" w:rsidR="007E252F" w:rsidRPr="007E252F" w:rsidRDefault="007E252F" w:rsidP="007E252F">
      <w:pPr>
        <w:widowControl/>
        <w:rPr>
          <w:lang w:val="en-AU" w:bidi="ar-SA"/>
        </w:rPr>
      </w:pPr>
      <w:r w:rsidRPr="007E252F">
        <w:rPr>
          <w:lang w:val="en-AU" w:bidi="ar-SA"/>
        </w:rPr>
        <w:t>There is insufficient information on the prevalence of pathogenic microorganisms on fresh or dried/powdered kava root or in kava beverages; and on the potential for persistence or growth of any such pathogens on the product.</w:t>
      </w:r>
    </w:p>
    <w:p w14:paraId="583077F3" w14:textId="77777777" w:rsidR="007E252F" w:rsidRPr="007E252F" w:rsidRDefault="007E252F" w:rsidP="007E252F">
      <w:pPr>
        <w:widowControl/>
        <w:rPr>
          <w:lang w:val="en-AU" w:bidi="ar-SA"/>
        </w:rPr>
      </w:pPr>
    </w:p>
    <w:p w14:paraId="567678E5" w14:textId="77777777" w:rsidR="007E252F" w:rsidRPr="007E252F" w:rsidRDefault="007E252F" w:rsidP="007E252F">
      <w:pPr>
        <w:widowControl/>
        <w:rPr>
          <w:lang w:val="en-AU" w:bidi="ar-SA"/>
        </w:rPr>
      </w:pPr>
      <w:r w:rsidRPr="007E252F">
        <w:rPr>
          <w:lang w:val="en-AU" w:bidi="ar-SA"/>
        </w:rPr>
        <w:t>However, in the absence of this information, there remains significant population-based evidence demonstrating that cultural and recreational consumption of kava beverage in moderation is safe.</w:t>
      </w:r>
    </w:p>
    <w:p w14:paraId="1A08DE4F" w14:textId="77777777" w:rsidR="007E252F" w:rsidRPr="007E252F" w:rsidRDefault="007E252F" w:rsidP="007E252F">
      <w:pPr>
        <w:keepNext/>
        <w:widowControl/>
        <w:spacing w:before="240" w:after="240"/>
        <w:ind w:left="851" w:hanging="851"/>
        <w:outlineLvl w:val="4"/>
        <w:rPr>
          <w:i/>
          <w:szCs w:val="22"/>
          <w:u w:val="single"/>
          <w:lang w:val="en-AU" w:bidi="ar-SA"/>
        </w:rPr>
      </w:pPr>
      <w:r w:rsidRPr="007E252F">
        <w:rPr>
          <w:i/>
          <w:szCs w:val="22"/>
          <w:lang w:val="en-AU" w:bidi="ar-SA"/>
        </w:rPr>
        <w:t>Conclusion</w:t>
      </w:r>
    </w:p>
    <w:p w14:paraId="61452C80" w14:textId="77777777" w:rsidR="007E252F" w:rsidRPr="007E252F" w:rsidRDefault="007E252F" w:rsidP="007E252F">
      <w:pPr>
        <w:widowControl/>
        <w:rPr>
          <w:lang w:val="en-AU" w:bidi="ar-SA"/>
        </w:rPr>
      </w:pPr>
      <w:r w:rsidRPr="007E252F">
        <w:rPr>
          <w:lang w:val="en-AU" w:bidi="ar-SA"/>
        </w:rPr>
        <w:t xml:space="preserve">Kava beverage has a long history of consumption in the South Pacific and plays </w:t>
      </w:r>
      <w:r w:rsidRPr="007E252F">
        <w:rPr>
          <w:lang w:val="en-AU"/>
        </w:rPr>
        <w:t>an integral role in maintaining the cultural continuity and identity of many Pacific peoples</w:t>
      </w:r>
      <w:r w:rsidRPr="007E252F">
        <w:rPr>
          <w:lang w:val="en-AU" w:bidi="ar-SA"/>
        </w:rPr>
        <w:t xml:space="preserve">. This significant history of use demonstrates that it is possible to safely consume kava beverage in moderation </w:t>
      </w:r>
      <w:r w:rsidRPr="007E252F">
        <w:rPr>
          <w:szCs w:val="22"/>
          <w:lang w:val="en-AU" w:bidi="ar-SA"/>
        </w:rPr>
        <w:t>when prepared and consumed in line with historically safe cultural practices</w:t>
      </w:r>
      <w:r w:rsidRPr="007E252F">
        <w:rPr>
          <w:lang w:val="en-AU" w:bidi="ar-SA"/>
        </w:rPr>
        <w:t xml:space="preserve">. </w:t>
      </w:r>
    </w:p>
    <w:p w14:paraId="35C9265B" w14:textId="77777777" w:rsidR="007E252F" w:rsidRPr="007E252F" w:rsidRDefault="007E252F" w:rsidP="007E252F">
      <w:pPr>
        <w:widowControl/>
        <w:rPr>
          <w:lang w:val="en-AU" w:bidi="ar-SA"/>
        </w:rPr>
      </w:pPr>
    </w:p>
    <w:p w14:paraId="00D15491" w14:textId="77777777" w:rsidR="007E252F" w:rsidRPr="007E252F" w:rsidRDefault="007E252F" w:rsidP="007E252F">
      <w:pPr>
        <w:widowControl/>
        <w:rPr>
          <w:lang w:val="en-AU" w:bidi="ar-SA"/>
        </w:rPr>
      </w:pPr>
      <w:r w:rsidRPr="007E252F">
        <w:rPr>
          <w:lang w:val="en-AU" w:bidi="ar-SA"/>
        </w:rPr>
        <w:t>No information was available to allow an assessment of the safety of kava beverage consumption in pregnant or lactating females, adolescents or children. Therefore it is not possible to draw a conclusion on the safety of kava beverage consumption by these population subgroups.</w:t>
      </w:r>
    </w:p>
    <w:p w14:paraId="79A5FA8A" w14:textId="77777777" w:rsidR="007E252F" w:rsidRPr="007E252F" w:rsidRDefault="007E252F" w:rsidP="007E252F">
      <w:pPr>
        <w:widowControl/>
        <w:rPr>
          <w:lang w:val="en-AU" w:eastAsia="en-AU"/>
        </w:rPr>
      </w:pPr>
      <w:r w:rsidRPr="007E252F">
        <w:rPr>
          <w:lang w:val="en-AU" w:eastAsia="en-AU"/>
        </w:rPr>
        <w:br w:type="page"/>
      </w:r>
    </w:p>
    <w:p w14:paraId="6F89855B" w14:textId="77777777" w:rsidR="007E252F" w:rsidRPr="007E252F" w:rsidRDefault="007E252F" w:rsidP="007E252F">
      <w:pPr>
        <w:widowControl/>
        <w:contextualSpacing/>
        <w:rPr>
          <w:lang w:val="en-AU"/>
        </w:rPr>
      </w:pPr>
    </w:p>
    <w:p w14:paraId="09CDD7CB" w14:textId="77777777" w:rsidR="007E252F" w:rsidRPr="007E252F" w:rsidRDefault="007E252F" w:rsidP="007E252F">
      <w:pPr>
        <w:keepNext/>
        <w:widowControl/>
        <w:spacing w:before="240" w:after="240"/>
        <w:jc w:val="center"/>
        <w:rPr>
          <w:bCs/>
          <w:sz w:val="32"/>
          <w:szCs w:val="28"/>
          <w:lang w:val="en-AU" w:bidi="ar-SA"/>
        </w:rPr>
      </w:pPr>
      <w:r w:rsidRPr="007E252F">
        <w:rPr>
          <w:bCs/>
          <w:sz w:val="32"/>
          <w:szCs w:val="28"/>
          <w:lang w:val="en-AU" w:bidi="ar-SA"/>
        </w:rPr>
        <w:t>Table of contents</w:t>
      </w:r>
    </w:p>
    <w:p w14:paraId="7603AB51" w14:textId="30EFF557" w:rsidR="00951B19" w:rsidRDefault="007E252F">
      <w:pPr>
        <w:pStyle w:val="TOC1"/>
        <w:tabs>
          <w:tab w:val="right" w:leader="dot" w:pos="9060"/>
        </w:tabs>
        <w:rPr>
          <w:rFonts w:eastAsiaTheme="minorEastAsia" w:cstheme="minorBidi"/>
          <w:b w:val="0"/>
          <w:bCs w:val="0"/>
          <w:caps w:val="0"/>
          <w:noProof/>
          <w:sz w:val="22"/>
          <w:szCs w:val="22"/>
          <w:lang w:eastAsia="en-GB" w:bidi="ar-SA"/>
        </w:rPr>
      </w:pPr>
      <w:r w:rsidRPr="007E252F">
        <w:rPr>
          <w:lang w:val="en-AU"/>
        </w:rPr>
        <w:fldChar w:fldCharType="begin"/>
      </w:r>
      <w:r w:rsidRPr="007E252F">
        <w:rPr>
          <w:lang w:val="en-AU"/>
        </w:rPr>
        <w:instrText xml:space="preserve"> TOC \o "1-3" \h \z \u </w:instrText>
      </w:r>
      <w:r w:rsidRPr="007E252F">
        <w:rPr>
          <w:lang w:val="en-AU"/>
        </w:rPr>
        <w:fldChar w:fldCharType="separate"/>
      </w:r>
      <w:hyperlink w:anchor="_Toc95830158" w:history="1">
        <w:r w:rsidR="00951B19" w:rsidRPr="00B54924">
          <w:rPr>
            <w:rStyle w:val="Hyperlink"/>
            <w:noProof/>
          </w:rPr>
          <w:t>Executive summary</w:t>
        </w:r>
        <w:r w:rsidR="00951B19">
          <w:rPr>
            <w:noProof/>
            <w:webHidden/>
          </w:rPr>
          <w:tab/>
        </w:r>
        <w:r w:rsidR="00951B19">
          <w:rPr>
            <w:noProof/>
            <w:webHidden/>
          </w:rPr>
          <w:fldChar w:fldCharType="begin"/>
        </w:r>
        <w:r w:rsidR="00951B19">
          <w:rPr>
            <w:noProof/>
            <w:webHidden/>
          </w:rPr>
          <w:instrText xml:space="preserve"> PAGEREF _Toc95830158 \h </w:instrText>
        </w:r>
        <w:r w:rsidR="00951B19">
          <w:rPr>
            <w:noProof/>
            <w:webHidden/>
          </w:rPr>
        </w:r>
        <w:r w:rsidR="00951B19">
          <w:rPr>
            <w:noProof/>
            <w:webHidden/>
          </w:rPr>
          <w:fldChar w:fldCharType="separate"/>
        </w:r>
        <w:r w:rsidR="00351DD8">
          <w:rPr>
            <w:noProof/>
            <w:webHidden/>
          </w:rPr>
          <w:t>1</w:t>
        </w:r>
        <w:r w:rsidR="00951B19">
          <w:rPr>
            <w:noProof/>
            <w:webHidden/>
          </w:rPr>
          <w:fldChar w:fldCharType="end"/>
        </w:r>
      </w:hyperlink>
    </w:p>
    <w:p w14:paraId="05D04687" w14:textId="7E65BBA9" w:rsidR="00951B19" w:rsidRDefault="001449EF">
      <w:pPr>
        <w:pStyle w:val="TOC1"/>
        <w:tabs>
          <w:tab w:val="right" w:leader="dot" w:pos="9060"/>
        </w:tabs>
        <w:rPr>
          <w:rFonts w:eastAsiaTheme="minorEastAsia" w:cstheme="minorBidi"/>
          <w:b w:val="0"/>
          <w:bCs w:val="0"/>
          <w:caps w:val="0"/>
          <w:noProof/>
          <w:sz w:val="22"/>
          <w:szCs w:val="22"/>
          <w:lang w:eastAsia="en-GB" w:bidi="ar-SA"/>
        </w:rPr>
      </w:pPr>
      <w:hyperlink w:anchor="_Toc95830159" w:history="1">
        <w:r w:rsidR="00951B19" w:rsidRPr="00B54924">
          <w:rPr>
            <w:rStyle w:val="Hyperlink"/>
            <w:noProof/>
            <w:lang w:val="en-AU"/>
          </w:rPr>
          <w:t>Glossary</w:t>
        </w:r>
        <w:r w:rsidR="00951B19">
          <w:rPr>
            <w:noProof/>
            <w:webHidden/>
          </w:rPr>
          <w:tab/>
        </w:r>
        <w:r w:rsidR="00951B19">
          <w:rPr>
            <w:noProof/>
            <w:webHidden/>
          </w:rPr>
          <w:fldChar w:fldCharType="begin"/>
        </w:r>
        <w:r w:rsidR="00951B19">
          <w:rPr>
            <w:noProof/>
            <w:webHidden/>
          </w:rPr>
          <w:instrText xml:space="preserve"> PAGEREF _Toc95830159 \h </w:instrText>
        </w:r>
        <w:r w:rsidR="00951B19">
          <w:rPr>
            <w:noProof/>
            <w:webHidden/>
          </w:rPr>
        </w:r>
        <w:r w:rsidR="00951B19">
          <w:rPr>
            <w:noProof/>
            <w:webHidden/>
          </w:rPr>
          <w:fldChar w:fldCharType="separate"/>
        </w:r>
        <w:r w:rsidR="00351DD8">
          <w:rPr>
            <w:noProof/>
            <w:webHidden/>
          </w:rPr>
          <w:t>6</w:t>
        </w:r>
        <w:r w:rsidR="00951B19">
          <w:rPr>
            <w:noProof/>
            <w:webHidden/>
          </w:rPr>
          <w:fldChar w:fldCharType="end"/>
        </w:r>
      </w:hyperlink>
    </w:p>
    <w:p w14:paraId="222E6583" w14:textId="06EBF259"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60" w:history="1">
        <w:r w:rsidR="00951B19" w:rsidRPr="00B54924">
          <w:rPr>
            <w:rStyle w:val="Hyperlink"/>
            <w:noProof/>
            <w:lang w:val="en-AU"/>
          </w:rPr>
          <w:t>1</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Introduction</w:t>
        </w:r>
        <w:r w:rsidR="00951B19">
          <w:rPr>
            <w:noProof/>
            <w:webHidden/>
          </w:rPr>
          <w:tab/>
        </w:r>
        <w:r w:rsidR="00951B19">
          <w:rPr>
            <w:noProof/>
            <w:webHidden/>
          </w:rPr>
          <w:fldChar w:fldCharType="begin"/>
        </w:r>
        <w:r w:rsidR="00951B19">
          <w:rPr>
            <w:noProof/>
            <w:webHidden/>
          </w:rPr>
          <w:instrText xml:space="preserve"> PAGEREF _Toc95830160 \h </w:instrText>
        </w:r>
        <w:r w:rsidR="00951B19">
          <w:rPr>
            <w:noProof/>
            <w:webHidden/>
          </w:rPr>
        </w:r>
        <w:r w:rsidR="00951B19">
          <w:rPr>
            <w:noProof/>
            <w:webHidden/>
          </w:rPr>
          <w:fldChar w:fldCharType="separate"/>
        </w:r>
        <w:r w:rsidR="00351DD8">
          <w:rPr>
            <w:noProof/>
            <w:webHidden/>
          </w:rPr>
          <w:t>7</w:t>
        </w:r>
        <w:r w:rsidR="00951B19">
          <w:rPr>
            <w:noProof/>
            <w:webHidden/>
          </w:rPr>
          <w:fldChar w:fldCharType="end"/>
        </w:r>
      </w:hyperlink>
    </w:p>
    <w:p w14:paraId="68F91C78" w14:textId="0201656F"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1" w:history="1">
        <w:r w:rsidR="00951B19" w:rsidRPr="00B54924">
          <w:rPr>
            <w:rStyle w:val="Hyperlink"/>
            <w:rFonts w:cs="Arial"/>
            <w:b/>
            <w:bCs/>
            <w:noProof/>
            <w:lang w:val="en-AU"/>
          </w:rPr>
          <w:t>1.1</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Cultural use of kava</w:t>
        </w:r>
        <w:r w:rsidR="00951B19">
          <w:rPr>
            <w:noProof/>
            <w:webHidden/>
          </w:rPr>
          <w:tab/>
        </w:r>
        <w:r w:rsidR="00951B19">
          <w:rPr>
            <w:noProof/>
            <w:webHidden/>
          </w:rPr>
          <w:fldChar w:fldCharType="begin"/>
        </w:r>
        <w:r w:rsidR="00951B19">
          <w:rPr>
            <w:noProof/>
            <w:webHidden/>
          </w:rPr>
          <w:instrText xml:space="preserve"> PAGEREF _Toc95830161 \h </w:instrText>
        </w:r>
        <w:r w:rsidR="00951B19">
          <w:rPr>
            <w:noProof/>
            <w:webHidden/>
          </w:rPr>
        </w:r>
        <w:r w:rsidR="00951B19">
          <w:rPr>
            <w:noProof/>
            <w:webHidden/>
          </w:rPr>
          <w:fldChar w:fldCharType="separate"/>
        </w:r>
        <w:r w:rsidR="00351DD8">
          <w:rPr>
            <w:noProof/>
            <w:webHidden/>
          </w:rPr>
          <w:t>7</w:t>
        </w:r>
        <w:r w:rsidR="00951B19">
          <w:rPr>
            <w:noProof/>
            <w:webHidden/>
          </w:rPr>
          <w:fldChar w:fldCharType="end"/>
        </w:r>
      </w:hyperlink>
    </w:p>
    <w:p w14:paraId="37C6052E" w14:textId="434BECF8"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2" w:history="1">
        <w:r w:rsidR="00951B19" w:rsidRPr="00B54924">
          <w:rPr>
            <w:rStyle w:val="Hyperlink"/>
            <w:rFonts w:cs="Arial"/>
            <w:b/>
            <w:bCs/>
            <w:noProof/>
            <w:lang w:val="en-AU"/>
          </w:rPr>
          <w:t>1.2</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Botanical characteristics</w:t>
        </w:r>
        <w:r w:rsidR="00951B19">
          <w:rPr>
            <w:noProof/>
            <w:webHidden/>
          </w:rPr>
          <w:tab/>
        </w:r>
        <w:r w:rsidR="00951B19">
          <w:rPr>
            <w:noProof/>
            <w:webHidden/>
          </w:rPr>
          <w:fldChar w:fldCharType="begin"/>
        </w:r>
        <w:r w:rsidR="00951B19">
          <w:rPr>
            <w:noProof/>
            <w:webHidden/>
          </w:rPr>
          <w:instrText xml:space="preserve"> PAGEREF _Toc95830162 \h </w:instrText>
        </w:r>
        <w:r w:rsidR="00951B19">
          <w:rPr>
            <w:noProof/>
            <w:webHidden/>
          </w:rPr>
        </w:r>
        <w:r w:rsidR="00951B19">
          <w:rPr>
            <w:noProof/>
            <w:webHidden/>
          </w:rPr>
          <w:fldChar w:fldCharType="separate"/>
        </w:r>
        <w:r w:rsidR="00351DD8">
          <w:rPr>
            <w:noProof/>
            <w:webHidden/>
          </w:rPr>
          <w:t>7</w:t>
        </w:r>
        <w:r w:rsidR="00951B19">
          <w:rPr>
            <w:noProof/>
            <w:webHidden/>
          </w:rPr>
          <w:fldChar w:fldCharType="end"/>
        </w:r>
      </w:hyperlink>
    </w:p>
    <w:p w14:paraId="42C18A88" w14:textId="5FF9313E"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3" w:history="1">
        <w:r w:rsidR="00951B19" w:rsidRPr="00B54924">
          <w:rPr>
            <w:rStyle w:val="Hyperlink"/>
            <w:rFonts w:cs="Arial"/>
            <w:b/>
            <w:bCs/>
            <w:noProof/>
            <w:lang w:val="en-AU"/>
          </w:rPr>
          <w:t>1.3</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Varieties of kava plant</w:t>
        </w:r>
        <w:r w:rsidR="00951B19">
          <w:rPr>
            <w:noProof/>
            <w:webHidden/>
          </w:rPr>
          <w:tab/>
        </w:r>
        <w:r w:rsidR="00951B19">
          <w:rPr>
            <w:noProof/>
            <w:webHidden/>
          </w:rPr>
          <w:fldChar w:fldCharType="begin"/>
        </w:r>
        <w:r w:rsidR="00951B19">
          <w:rPr>
            <w:noProof/>
            <w:webHidden/>
          </w:rPr>
          <w:instrText xml:space="preserve"> PAGEREF _Toc95830163 \h </w:instrText>
        </w:r>
        <w:r w:rsidR="00951B19">
          <w:rPr>
            <w:noProof/>
            <w:webHidden/>
          </w:rPr>
        </w:r>
        <w:r w:rsidR="00951B19">
          <w:rPr>
            <w:noProof/>
            <w:webHidden/>
          </w:rPr>
          <w:fldChar w:fldCharType="separate"/>
        </w:r>
        <w:r w:rsidR="00351DD8">
          <w:rPr>
            <w:noProof/>
            <w:webHidden/>
          </w:rPr>
          <w:t>8</w:t>
        </w:r>
        <w:r w:rsidR="00951B19">
          <w:rPr>
            <w:noProof/>
            <w:webHidden/>
          </w:rPr>
          <w:fldChar w:fldCharType="end"/>
        </w:r>
      </w:hyperlink>
    </w:p>
    <w:p w14:paraId="15EC4E90" w14:textId="207FF55F"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4" w:history="1">
        <w:r w:rsidR="00951B19" w:rsidRPr="00B54924">
          <w:rPr>
            <w:rStyle w:val="Hyperlink"/>
            <w:rFonts w:cs="Arial"/>
            <w:b/>
            <w:bCs/>
            <w:noProof/>
            <w:lang w:val="en-AU"/>
          </w:rPr>
          <w:t>1.4</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Other uses of kava</w:t>
        </w:r>
        <w:r w:rsidR="00951B19">
          <w:rPr>
            <w:noProof/>
            <w:webHidden/>
          </w:rPr>
          <w:tab/>
        </w:r>
        <w:r w:rsidR="00951B19">
          <w:rPr>
            <w:noProof/>
            <w:webHidden/>
          </w:rPr>
          <w:fldChar w:fldCharType="begin"/>
        </w:r>
        <w:r w:rsidR="00951B19">
          <w:rPr>
            <w:noProof/>
            <w:webHidden/>
          </w:rPr>
          <w:instrText xml:space="preserve"> PAGEREF _Toc95830164 \h </w:instrText>
        </w:r>
        <w:r w:rsidR="00951B19">
          <w:rPr>
            <w:noProof/>
            <w:webHidden/>
          </w:rPr>
        </w:r>
        <w:r w:rsidR="00951B19">
          <w:rPr>
            <w:noProof/>
            <w:webHidden/>
          </w:rPr>
          <w:fldChar w:fldCharType="separate"/>
        </w:r>
        <w:r w:rsidR="00351DD8">
          <w:rPr>
            <w:noProof/>
            <w:webHidden/>
          </w:rPr>
          <w:t>8</w:t>
        </w:r>
        <w:r w:rsidR="00951B19">
          <w:rPr>
            <w:noProof/>
            <w:webHidden/>
          </w:rPr>
          <w:fldChar w:fldCharType="end"/>
        </w:r>
      </w:hyperlink>
    </w:p>
    <w:p w14:paraId="258EA4E9" w14:textId="3BA861C1"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65" w:history="1">
        <w:r w:rsidR="00951B19" w:rsidRPr="00B54924">
          <w:rPr>
            <w:rStyle w:val="Hyperlink"/>
            <w:noProof/>
            <w:lang w:val="en-AU"/>
          </w:rPr>
          <w:t>2</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Composition and properties</w:t>
        </w:r>
        <w:r w:rsidR="00951B19">
          <w:rPr>
            <w:noProof/>
            <w:webHidden/>
          </w:rPr>
          <w:tab/>
        </w:r>
        <w:r w:rsidR="00951B19">
          <w:rPr>
            <w:noProof/>
            <w:webHidden/>
          </w:rPr>
          <w:fldChar w:fldCharType="begin"/>
        </w:r>
        <w:r w:rsidR="00951B19">
          <w:rPr>
            <w:noProof/>
            <w:webHidden/>
          </w:rPr>
          <w:instrText xml:space="preserve"> PAGEREF _Toc95830165 \h </w:instrText>
        </w:r>
        <w:r w:rsidR="00951B19">
          <w:rPr>
            <w:noProof/>
            <w:webHidden/>
          </w:rPr>
        </w:r>
        <w:r w:rsidR="00951B19">
          <w:rPr>
            <w:noProof/>
            <w:webHidden/>
          </w:rPr>
          <w:fldChar w:fldCharType="separate"/>
        </w:r>
        <w:r w:rsidR="00351DD8">
          <w:rPr>
            <w:noProof/>
            <w:webHidden/>
          </w:rPr>
          <w:t>9</w:t>
        </w:r>
        <w:r w:rsidR="00951B19">
          <w:rPr>
            <w:noProof/>
            <w:webHidden/>
          </w:rPr>
          <w:fldChar w:fldCharType="end"/>
        </w:r>
      </w:hyperlink>
    </w:p>
    <w:p w14:paraId="6C5933C4" w14:textId="316A67F4"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6" w:history="1">
        <w:r w:rsidR="00951B19" w:rsidRPr="00B54924">
          <w:rPr>
            <w:rStyle w:val="Hyperlink"/>
            <w:rFonts w:cs="Arial"/>
            <w:b/>
            <w:bCs/>
            <w:noProof/>
            <w:lang w:val="en-AU"/>
          </w:rPr>
          <w:t>2.1</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K</w:t>
        </w:r>
        <w:r w:rsidR="00951B19" w:rsidRPr="00B54924">
          <w:rPr>
            <w:rStyle w:val="Hyperlink"/>
            <w:rFonts w:cs="Arial"/>
            <w:b/>
            <w:bCs/>
            <w:noProof/>
          </w:rPr>
          <w:t>ava beverage</w:t>
        </w:r>
        <w:r w:rsidR="00951B19">
          <w:rPr>
            <w:noProof/>
            <w:webHidden/>
          </w:rPr>
          <w:tab/>
        </w:r>
        <w:r w:rsidR="00951B19">
          <w:rPr>
            <w:noProof/>
            <w:webHidden/>
          </w:rPr>
          <w:fldChar w:fldCharType="begin"/>
        </w:r>
        <w:r w:rsidR="00951B19">
          <w:rPr>
            <w:noProof/>
            <w:webHidden/>
          </w:rPr>
          <w:instrText xml:space="preserve"> PAGEREF _Toc95830166 \h </w:instrText>
        </w:r>
        <w:r w:rsidR="00951B19">
          <w:rPr>
            <w:noProof/>
            <w:webHidden/>
          </w:rPr>
        </w:r>
        <w:r w:rsidR="00951B19">
          <w:rPr>
            <w:noProof/>
            <w:webHidden/>
          </w:rPr>
          <w:fldChar w:fldCharType="separate"/>
        </w:r>
        <w:r w:rsidR="00351DD8">
          <w:rPr>
            <w:noProof/>
            <w:webHidden/>
          </w:rPr>
          <w:t>9</w:t>
        </w:r>
        <w:r w:rsidR="00951B19">
          <w:rPr>
            <w:noProof/>
            <w:webHidden/>
          </w:rPr>
          <w:fldChar w:fldCharType="end"/>
        </w:r>
      </w:hyperlink>
    </w:p>
    <w:p w14:paraId="3523DE17" w14:textId="036AB81F"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7" w:history="1">
        <w:r w:rsidR="00951B19" w:rsidRPr="00B54924">
          <w:rPr>
            <w:rStyle w:val="Hyperlink"/>
            <w:rFonts w:cs="Arial"/>
            <w:b/>
            <w:bCs/>
            <w:noProof/>
            <w:lang w:val="en-AU"/>
          </w:rPr>
          <w:t>2.2</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Kava Beverage Quality</w:t>
        </w:r>
        <w:r w:rsidR="00951B19">
          <w:rPr>
            <w:noProof/>
            <w:webHidden/>
          </w:rPr>
          <w:tab/>
        </w:r>
        <w:r w:rsidR="00951B19">
          <w:rPr>
            <w:noProof/>
            <w:webHidden/>
          </w:rPr>
          <w:fldChar w:fldCharType="begin"/>
        </w:r>
        <w:r w:rsidR="00951B19">
          <w:rPr>
            <w:noProof/>
            <w:webHidden/>
          </w:rPr>
          <w:instrText xml:space="preserve"> PAGEREF _Toc95830167 \h </w:instrText>
        </w:r>
        <w:r w:rsidR="00951B19">
          <w:rPr>
            <w:noProof/>
            <w:webHidden/>
          </w:rPr>
        </w:r>
        <w:r w:rsidR="00951B19">
          <w:rPr>
            <w:noProof/>
            <w:webHidden/>
          </w:rPr>
          <w:fldChar w:fldCharType="separate"/>
        </w:r>
        <w:r w:rsidR="00351DD8">
          <w:rPr>
            <w:noProof/>
            <w:webHidden/>
          </w:rPr>
          <w:t>10</w:t>
        </w:r>
        <w:r w:rsidR="00951B19">
          <w:rPr>
            <w:noProof/>
            <w:webHidden/>
          </w:rPr>
          <w:fldChar w:fldCharType="end"/>
        </w:r>
      </w:hyperlink>
    </w:p>
    <w:p w14:paraId="3C0BE3CF" w14:textId="438D5B51"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8" w:history="1">
        <w:r w:rsidR="00951B19" w:rsidRPr="00B54924">
          <w:rPr>
            <w:rStyle w:val="Hyperlink"/>
            <w:rFonts w:cs="Arial"/>
            <w:b/>
            <w:bCs/>
            <w:noProof/>
            <w:lang w:val="en-AU"/>
          </w:rPr>
          <w:t>2.3</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Medicinal products</w:t>
        </w:r>
        <w:r w:rsidR="00951B19">
          <w:rPr>
            <w:noProof/>
            <w:webHidden/>
          </w:rPr>
          <w:tab/>
        </w:r>
        <w:r w:rsidR="00951B19">
          <w:rPr>
            <w:noProof/>
            <w:webHidden/>
          </w:rPr>
          <w:fldChar w:fldCharType="begin"/>
        </w:r>
        <w:r w:rsidR="00951B19">
          <w:rPr>
            <w:noProof/>
            <w:webHidden/>
          </w:rPr>
          <w:instrText xml:space="preserve"> PAGEREF _Toc95830168 \h </w:instrText>
        </w:r>
        <w:r w:rsidR="00951B19">
          <w:rPr>
            <w:noProof/>
            <w:webHidden/>
          </w:rPr>
        </w:r>
        <w:r w:rsidR="00951B19">
          <w:rPr>
            <w:noProof/>
            <w:webHidden/>
          </w:rPr>
          <w:fldChar w:fldCharType="separate"/>
        </w:r>
        <w:r w:rsidR="00351DD8">
          <w:rPr>
            <w:noProof/>
            <w:webHidden/>
          </w:rPr>
          <w:t>10</w:t>
        </w:r>
        <w:r w:rsidR="00951B19">
          <w:rPr>
            <w:noProof/>
            <w:webHidden/>
          </w:rPr>
          <w:fldChar w:fldCharType="end"/>
        </w:r>
      </w:hyperlink>
    </w:p>
    <w:p w14:paraId="2F2F52AB" w14:textId="72ADEC57"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69" w:history="1">
        <w:r w:rsidR="00951B19" w:rsidRPr="00B54924">
          <w:rPr>
            <w:rStyle w:val="Hyperlink"/>
            <w:rFonts w:cs="Arial"/>
            <w:b/>
            <w:bCs/>
            <w:noProof/>
            <w:lang w:val="en-AU"/>
          </w:rPr>
          <w:t>2.4</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Pharmacological properties and pharmacokinetics</w:t>
        </w:r>
        <w:r w:rsidR="00951B19">
          <w:rPr>
            <w:noProof/>
            <w:webHidden/>
          </w:rPr>
          <w:tab/>
        </w:r>
        <w:r w:rsidR="00951B19">
          <w:rPr>
            <w:noProof/>
            <w:webHidden/>
          </w:rPr>
          <w:fldChar w:fldCharType="begin"/>
        </w:r>
        <w:r w:rsidR="00951B19">
          <w:rPr>
            <w:noProof/>
            <w:webHidden/>
          </w:rPr>
          <w:instrText xml:space="preserve"> PAGEREF _Toc95830169 \h </w:instrText>
        </w:r>
        <w:r w:rsidR="00951B19">
          <w:rPr>
            <w:noProof/>
            <w:webHidden/>
          </w:rPr>
        </w:r>
        <w:r w:rsidR="00951B19">
          <w:rPr>
            <w:noProof/>
            <w:webHidden/>
          </w:rPr>
          <w:fldChar w:fldCharType="separate"/>
        </w:r>
        <w:r w:rsidR="00351DD8">
          <w:rPr>
            <w:noProof/>
            <w:webHidden/>
          </w:rPr>
          <w:t>10</w:t>
        </w:r>
        <w:r w:rsidR="00951B19">
          <w:rPr>
            <w:noProof/>
            <w:webHidden/>
          </w:rPr>
          <w:fldChar w:fldCharType="end"/>
        </w:r>
      </w:hyperlink>
    </w:p>
    <w:p w14:paraId="45833520" w14:textId="5465C31A"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0" w:history="1">
        <w:r w:rsidR="00951B19" w:rsidRPr="00B54924">
          <w:rPr>
            <w:rStyle w:val="Hyperlink"/>
            <w:rFonts w:cs="Arial"/>
            <w:b/>
            <w:bCs/>
            <w:noProof/>
          </w:rPr>
          <w:t>2</w:t>
        </w:r>
        <w:r w:rsidR="00951B19" w:rsidRPr="00B54924">
          <w:rPr>
            <w:rStyle w:val="Hyperlink"/>
            <w:rFonts w:cs="Arial"/>
            <w:b/>
            <w:bCs/>
            <w:noProof/>
            <w:lang w:val="en-AU"/>
          </w:rPr>
          <w:t>.5</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Toxicological Studies</w:t>
        </w:r>
        <w:r w:rsidR="00951B19">
          <w:rPr>
            <w:noProof/>
            <w:webHidden/>
          </w:rPr>
          <w:tab/>
        </w:r>
        <w:r w:rsidR="00951B19">
          <w:rPr>
            <w:noProof/>
            <w:webHidden/>
          </w:rPr>
          <w:fldChar w:fldCharType="begin"/>
        </w:r>
        <w:r w:rsidR="00951B19">
          <w:rPr>
            <w:noProof/>
            <w:webHidden/>
          </w:rPr>
          <w:instrText xml:space="preserve"> PAGEREF _Toc95830170 \h </w:instrText>
        </w:r>
        <w:r w:rsidR="00951B19">
          <w:rPr>
            <w:noProof/>
            <w:webHidden/>
          </w:rPr>
        </w:r>
        <w:r w:rsidR="00951B19">
          <w:rPr>
            <w:noProof/>
            <w:webHidden/>
          </w:rPr>
          <w:fldChar w:fldCharType="separate"/>
        </w:r>
        <w:r w:rsidR="00351DD8">
          <w:rPr>
            <w:noProof/>
            <w:webHidden/>
          </w:rPr>
          <w:t>12</w:t>
        </w:r>
        <w:r w:rsidR="00951B19">
          <w:rPr>
            <w:noProof/>
            <w:webHidden/>
          </w:rPr>
          <w:fldChar w:fldCharType="end"/>
        </w:r>
      </w:hyperlink>
    </w:p>
    <w:p w14:paraId="5599DFA5" w14:textId="52946FF4"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71" w:history="1">
        <w:r w:rsidR="00951B19" w:rsidRPr="00B54924">
          <w:rPr>
            <w:rStyle w:val="Hyperlink"/>
            <w:noProof/>
            <w:lang w:val="en-AU"/>
          </w:rPr>
          <w:t>3</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Human health risks</w:t>
        </w:r>
        <w:r w:rsidR="00951B19">
          <w:rPr>
            <w:noProof/>
            <w:webHidden/>
          </w:rPr>
          <w:tab/>
        </w:r>
        <w:r w:rsidR="00951B19">
          <w:rPr>
            <w:noProof/>
            <w:webHidden/>
          </w:rPr>
          <w:fldChar w:fldCharType="begin"/>
        </w:r>
        <w:r w:rsidR="00951B19">
          <w:rPr>
            <w:noProof/>
            <w:webHidden/>
          </w:rPr>
          <w:instrText xml:space="preserve"> PAGEREF _Toc95830171 \h </w:instrText>
        </w:r>
        <w:r w:rsidR="00951B19">
          <w:rPr>
            <w:noProof/>
            <w:webHidden/>
          </w:rPr>
        </w:r>
        <w:r w:rsidR="00951B19">
          <w:rPr>
            <w:noProof/>
            <w:webHidden/>
          </w:rPr>
          <w:fldChar w:fldCharType="separate"/>
        </w:r>
        <w:r w:rsidR="00351DD8">
          <w:rPr>
            <w:noProof/>
            <w:webHidden/>
          </w:rPr>
          <w:t>14</w:t>
        </w:r>
        <w:r w:rsidR="00951B19">
          <w:rPr>
            <w:noProof/>
            <w:webHidden/>
          </w:rPr>
          <w:fldChar w:fldCharType="end"/>
        </w:r>
      </w:hyperlink>
    </w:p>
    <w:p w14:paraId="0B25A0AD" w14:textId="0ED70EA9"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2" w:history="1">
        <w:r w:rsidR="00951B19" w:rsidRPr="00B54924">
          <w:rPr>
            <w:rStyle w:val="Hyperlink"/>
            <w:rFonts w:cs="Arial"/>
            <w:b/>
            <w:bCs/>
            <w:noProof/>
            <w:lang w:val="en-AU"/>
          </w:rPr>
          <w:t>3.1</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Kava beverage consumption</w:t>
        </w:r>
        <w:r w:rsidR="00951B19">
          <w:rPr>
            <w:noProof/>
            <w:webHidden/>
          </w:rPr>
          <w:tab/>
        </w:r>
        <w:r w:rsidR="00951B19">
          <w:rPr>
            <w:noProof/>
            <w:webHidden/>
          </w:rPr>
          <w:fldChar w:fldCharType="begin"/>
        </w:r>
        <w:r w:rsidR="00951B19">
          <w:rPr>
            <w:noProof/>
            <w:webHidden/>
          </w:rPr>
          <w:instrText xml:space="preserve"> PAGEREF _Toc95830172 \h </w:instrText>
        </w:r>
        <w:r w:rsidR="00951B19">
          <w:rPr>
            <w:noProof/>
            <w:webHidden/>
          </w:rPr>
        </w:r>
        <w:r w:rsidR="00951B19">
          <w:rPr>
            <w:noProof/>
            <w:webHidden/>
          </w:rPr>
          <w:fldChar w:fldCharType="separate"/>
        </w:r>
        <w:r w:rsidR="00351DD8">
          <w:rPr>
            <w:noProof/>
            <w:webHidden/>
          </w:rPr>
          <w:t>14</w:t>
        </w:r>
        <w:r w:rsidR="00951B19">
          <w:rPr>
            <w:noProof/>
            <w:webHidden/>
          </w:rPr>
          <w:fldChar w:fldCharType="end"/>
        </w:r>
      </w:hyperlink>
    </w:p>
    <w:p w14:paraId="3D91B742" w14:textId="7D542EB0"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3" w:history="1">
        <w:r w:rsidR="00951B19" w:rsidRPr="00B54924">
          <w:rPr>
            <w:rStyle w:val="Hyperlink"/>
            <w:rFonts w:cs="Arial"/>
            <w:b/>
            <w:bCs/>
            <w:noProof/>
            <w:lang w:val="en-AU"/>
          </w:rPr>
          <w:t>3.2</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Kava beverage as a substance of abuse</w:t>
        </w:r>
        <w:r w:rsidR="00951B19">
          <w:rPr>
            <w:noProof/>
            <w:webHidden/>
          </w:rPr>
          <w:tab/>
        </w:r>
        <w:r w:rsidR="00951B19">
          <w:rPr>
            <w:noProof/>
            <w:webHidden/>
          </w:rPr>
          <w:fldChar w:fldCharType="begin"/>
        </w:r>
        <w:r w:rsidR="00951B19">
          <w:rPr>
            <w:noProof/>
            <w:webHidden/>
          </w:rPr>
          <w:instrText xml:space="preserve"> PAGEREF _Toc95830173 \h </w:instrText>
        </w:r>
        <w:r w:rsidR="00951B19">
          <w:rPr>
            <w:noProof/>
            <w:webHidden/>
          </w:rPr>
        </w:r>
        <w:r w:rsidR="00951B19">
          <w:rPr>
            <w:noProof/>
            <w:webHidden/>
          </w:rPr>
          <w:fldChar w:fldCharType="separate"/>
        </w:r>
        <w:r w:rsidR="00351DD8">
          <w:rPr>
            <w:noProof/>
            <w:webHidden/>
          </w:rPr>
          <w:t>15</w:t>
        </w:r>
        <w:r w:rsidR="00951B19">
          <w:rPr>
            <w:noProof/>
            <w:webHidden/>
          </w:rPr>
          <w:fldChar w:fldCharType="end"/>
        </w:r>
      </w:hyperlink>
    </w:p>
    <w:p w14:paraId="1A30317A" w14:textId="2C38DCA9"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4" w:history="1">
        <w:r w:rsidR="00951B19" w:rsidRPr="00B54924">
          <w:rPr>
            <w:rStyle w:val="Hyperlink"/>
            <w:rFonts w:cs="Arial"/>
            <w:b/>
            <w:bCs/>
            <w:noProof/>
            <w:lang w:val="en-AU"/>
          </w:rPr>
          <w:t>3.3</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Sensitive sub-populations</w:t>
        </w:r>
        <w:r w:rsidR="00951B19">
          <w:rPr>
            <w:noProof/>
            <w:webHidden/>
          </w:rPr>
          <w:tab/>
        </w:r>
        <w:r w:rsidR="00951B19">
          <w:rPr>
            <w:noProof/>
            <w:webHidden/>
          </w:rPr>
          <w:fldChar w:fldCharType="begin"/>
        </w:r>
        <w:r w:rsidR="00951B19">
          <w:rPr>
            <w:noProof/>
            <w:webHidden/>
          </w:rPr>
          <w:instrText xml:space="preserve"> PAGEREF _Toc95830174 \h </w:instrText>
        </w:r>
        <w:r w:rsidR="00951B19">
          <w:rPr>
            <w:noProof/>
            <w:webHidden/>
          </w:rPr>
        </w:r>
        <w:r w:rsidR="00951B19">
          <w:rPr>
            <w:noProof/>
            <w:webHidden/>
          </w:rPr>
          <w:fldChar w:fldCharType="separate"/>
        </w:r>
        <w:r w:rsidR="00351DD8">
          <w:rPr>
            <w:noProof/>
            <w:webHidden/>
          </w:rPr>
          <w:t>16</w:t>
        </w:r>
        <w:r w:rsidR="00951B19">
          <w:rPr>
            <w:noProof/>
            <w:webHidden/>
          </w:rPr>
          <w:fldChar w:fldCharType="end"/>
        </w:r>
      </w:hyperlink>
    </w:p>
    <w:p w14:paraId="45E6C846" w14:textId="756BB5BD"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5" w:history="1">
        <w:r w:rsidR="00951B19" w:rsidRPr="00B54924">
          <w:rPr>
            <w:rStyle w:val="Hyperlink"/>
            <w:rFonts w:cs="Arial"/>
            <w:b/>
            <w:bCs/>
            <w:noProof/>
            <w:lang w:val="en-AU"/>
          </w:rPr>
          <w:t>3.4</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Kava extracts used for medicinal purposes</w:t>
        </w:r>
        <w:r w:rsidR="00951B19">
          <w:rPr>
            <w:noProof/>
            <w:webHidden/>
          </w:rPr>
          <w:tab/>
        </w:r>
        <w:r w:rsidR="00951B19">
          <w:rPr>
            <w:noProof/>
            <w:webHidden/>
          </w:rPr>
          <w:fldChar w:fldCharType="begin"/>
        </w:r>
        <w:r w:rsidR="00951B19">
          <w:rPr>
            <w:noProof/>
            <w:webHidden/>
          </w:rPr>
          <w:instrText xml:space="preserve"> PAGEREF _Toc95830175 \h </w:instrText>
        </w:r>
        <w:r w:rsidR="00951B19">
          <w:rPr>
            <w:noProof/>
            <w:webHidden/>
          </w:rPr>
        </w:r>
        <w:r w:rsidR="00951B19">
          <w:rPr>
            <w:noProof/>
            <w:webHidden/>
          </w:rPr>
          <w:fldChar w:fldCharType="separate"/>
        </w:r>
        <w:r w:rsidR="00351DD8">
          <w:rPr>
            <w:noProof/>
            <w:webHidden/>
          </w:rPr>
          <w:t>16</w:t>
        </w:r>
        <w:r w:rsidR="00951B19">
          <w:rPr>
            <w:noProof/>
            <w:webHidden/>
          </w:rPr>
          <w:fldChar w:fldCharType="end"/>
        </w:r>
      </w:hyperlink>
    </w:p>
    <w:p w14:paraId="419DECB0" w14:textId="5C133C84"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6" w:history="1">
        <w:r w:rsidR="00951B19" w:rsidRPr="00B54924">
          <w:rPr>
            <w:rStyle w:val="Hyperlink"/>
            <w:rFonts w:cs="Arial"/>
            <w:b/>
            <w:bCs/>
            <w:noProof/>
            <w:lang w:val="en-AU"/>
          </w:rPr>
          <w:t>3.5</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Drug interactions</w:t>
        </w:r>
        <w:r w:rsidR="00951B19">
          <w:rPr>
            <w:noProof/>
            <w:webHidden/>
          </w:rPr>
          <w:tab/>
        </w:r>
        <w:r w:rsidR="00951B19">
          <w:rPr>
            <w:noProof/>
            <w:webHidden/>
          </w:rPr>
          <w:fldChar w:fldCharType="begin"/>
        </w:r>
        <w:r w:rsidR="00951B19">
          <w:rPr>
            <w:noProof/>
            <w:webHidden/>
          </w:rPr>
          <w:instrText xml:space="preserve"> PAGEREF _Toc95830176 \h </w:instrText>
        </w:r>
        <w:r w:rsidR="00951B19">
          <w:rPr>
            <w:noProof/>
            <w:webHidden/>
          </w:rPr>
        </w:r>
        <w:r w:rsidR="00951B19">
          <w:rPr>
            <w:noProof/>
            <w:webHidden/>
          </w:rPr>
          <w:fldChar w:fldCharType="separate"/>
        </w:r>
        <w:r w:rsidR="00351DD8">
          <w:rPr>
            <w:noProof/>
            <w:webHidden/>
          </w:rPr>
          <w:t>16</w:t>
        </w:r>
        <w:r w:rsidR="00951B19">
          <w:rPr>
            <w:noProof/>
            <w:webHidden/>
          </w:rPr>
          <w:fldChar w:fldCharType="end"/>
        </w:r>
      </w:hyperlink>
    </w:p>
    <w:p w14:paraId="628DEBCF" w14:textId="13CFCE33"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77" w:history="1">
        <w:r w:rsidR="00951B19" w:rsidRPr="00B54924">
          <w:rPr>
            <w:rStyle w:val="Hyperlink"/>
            <w:noProof/>
            <w:lang w:val="en-AU"/>
          </w:rPr>
          <w:t>4</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Microbiological Risks</w:t>
        </w:r>
        <w:r w:rsidR="00951B19">
          <w:rPr>
            <w:noProof/>
            <w:webHidden/>
          </w:rPr>
          <w:tab/>
        </w:r>
        <w:r w:rsidR="00951B19">
          <w:rPr>
            <w:noProof/>
            <w:webHidden/>
          </w:rPr>
          <w:fldChar w:fldCharType="begin"/>
        </w:r>
        <w:r w:rsidR="00951B19">
          <w:rPr>
            <w:noProof/>
            <w:webHidden/>
          </w:rPr>
          <w:instrText xml:space="preserve"> PAGEREF _Toc95830177 \h </w:instrText>
        </w:r>
        <w:r w:rsidR="00951B19">
          <w:rPr>
            <w:noProof/>
            <w:webHidden/>
          </w:rPr>
        </w:r>
        <w:r w:rsidR="00951B19">
          <w:rPr>
            <w:noProof/>
            <w:webHidden/>
          </w:rPr>
          <w:fldChar w:fldCharType="separate"/>
        </w:r>
        <w:r w:rsidR="00351DD8">
          <w:rPr>
            <w:noProof/>
            <w:webHidden/>
          </w:rPr>
          <w:t>17</w:t>
        </w:r>
        <w:r w:rsidR="00951B19">
          <w:rPr>
            <w:noProof/>
            <w:webHidden/>
          </w:rPr>
          <w:fldChar w:fldCharType="end"/>
        </w:r>
      </w:hyperlink>
    </w:p>
    <w:p w14:paraId="799C5629" w14:textId="251567A1"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8" w:history="1">
        <w:r w:rsidR="00951B19" w:rsidRPr="00B54924">
          <w:rPr>
            <w:rStyle w:val="Hyperlink"/>
            <w:rFonts w:cs="Arial"/>
            <w:b/>
            <w:bCs/>
            <w:noProof/>
            <w:lang w:val="en-AU"/>
          </w:rPr>
          <w:t>4.1</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Primary production of kava</w:t>
        </w:r>
        <w:r w:rsidR="00951B19">
          <w:rPr>
            <w:noProof/>
            <w:webHidden/>
          </w:rPr>
          <w:tab/>
        </w:r>
        <w:r w:rsidR="00951B19">
          <w:rPr>
            <w:noProof/>
            <w:webHidden/>
          </w:rPr>
          <w:fldChar w:fldCharType="begin"/>
        </w:r>
        <w:r w:rsidR="00951B19">
          <w:rPr>
            <w:noProof/>
            <w:webHidden/>
          </w:rPr>
          <w:instrText xml:space="preserve"> PAGEREF _Toc95830178 \h </w:instrText>
        </w:r>
        <w:r w:rsidR="00951B19">
          <w:rPr>
            <w:noProof/>
            <w:webHidden/>
          </w:rPr>
        </w:r>
        <w:r w:rsidR="00951B19">
          <w:rPr>
            <w:noProof/>
            <w:webHidden/>
          </w:rPr>
          <w:fldChar w:fldCharType="separate"/>
        </w:r>
        <w:r w:rsidR="00351DD8">
          <w:rPr>
            <w:noProof/>
            <w:webHidden/>
          </w:rPr>
          <w:t>17</w:t>
        </w:r>
        <w:r w:rsidR="00951B19">
          <w:rPr>
            <w:noProof/>
            <w:webHidden/>
          </w:rPr>
          <w:fldChar w:fldCharType="end"/>
        </w:r>
      </w:hyperlink>
    </w:p>
    <w:p w14:paraId="7DA26DA9" w14:textId="3338F5D8"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79" w:history="1">
        <w:r w:rsidR="00951B19" w:rsidRPr="00B54924">
          <w:rPr>
            <w:rStyle w:val="Hyperlink"/>
            <w:rFonts w:cs="Arial"/>
            <w:b/>
            <w:bCs/>
            <w:noProof/>
            <w:lang w:val="en-AU"/>
          </w:rPr>
          <w:t>4.2</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Primary processing</w:t>
        </w:r>
        <w:r w:rsidR="00951B19">
          <w:rPr>
            <w:noProof/>
            <w:webHidden/>
          </w:rPr>
          <w:tab/>
        </w:r>
        <w:r w:rsidR="00951B19">
          <w:rPr>
            <w:noProof/>
            <w:webHidden/>
          </w:rPr>
          <w:fldChar w:fldCharType="begin"/>
        </w:r>
        <w:r w:rsidR="00951B19">
          <w:rPr>
            <w:noProof/>
            <w:webHidden/>
          </w:rPr>
          <w:instrText xml:space="preserve"> PAGEREF _Toc95830179 \h </w:instrText>
        </w:r>
        <w:r w:rsidR="00951B19">
          <w:rPr>
            <w:noProof/>
            <w:webHidden/>
          </w:rPr>
        </w:r>
        <w:r w:rsidR="00951B19">
          <w:rPr>
            <w:noProof/>
            <w:webHidden/>
          </w:rPr>
          <w:fldChar w:fldCharType="separate"/>
        </w:r>
        <w:r w:rsidR="00351DD8">
          <w:rPr>
            <w:noProof/>
            <w:webHidden/>
          </w:rPr>
          <w:t>18</w:t>
        </w:r>
        <w:r w:rsidR="00951B19">
          <w:rPr>
            <w:noProof/>
            <w:webHidden/>
          </w:rPr>
          <w:fldChar w:fldCharType="end"/>
        </w:r>
      </w:hyperlink>
    </w:p>
    <w:p w14:paraId="5B55D585" w14:textId="3CCEE725"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80" w:history="1">
        <w:r w:rsidR="00951B19" w:rsidRPr="00B54924">
          <w:rPr>
            <w:rStyle w:val="Hyperlink"/>
            <w:rFonts w:cs="Arial"/>
            <w:b/>
            <w:bCs/>
            <w:noProof/>
            <w:lang w:val="en-AU"/>
          </w:rPr>
          <w:t>4.3</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Handling, storage, distribution and retail of dried/powdered kava products</w:t>
        </w:r>
        <w:r w:rsidR="00951B19">
          <w:rPr>
            <w:noProof/>
            <w:webHidden/>
          </w:rPr>
          <w:tab/>
        </w:r>
        <w:r w:rsidR="00951B19">
          <w:rPr>
            <w:noProof/>
            <w:webHidden/>
          </w:rPr>
          <w:fldChar w:fldCharType="begin"/>
        </w:r>
        <w:r w:rsidR="00951B19">
          <w:rPr>
            <w:noProof/>
            <w:webHidden/>
          </w:rPr>
          <w:instrText xml:space="preserve"> PAGEREF _Toc95830180 \h </w:instrText>
        </w:r>
        <w:r w:rsidR="00951B19">
          <w:rPr>
            <w:noProof/>
            <w:webHidden/>
          </w:rPr>
        </w:r>
        <w:r w:rsidR="00951B19">
          <w:rPr>
            <w:noProof/>
            <w:webHidden/>
          </w:rPr>
          <w:fldChar w:fldCharType="separate"/>
        </w:r>
        <w:r w:rsidR="00351DD8">
          <w:rPr>
            <w:noProof/>
            <w:webHidden/>
          </w:rPr>
          <w:t>18</w:t>
        </w:r>
        <w:r w:rsidR="00951B19">
          <w:rPr>
            <w:noProof/>
            <w:webHidden/>
          </w:rPr>
          <w:fldChar w:fldCharType="end"/>
        </w:r>
      </w:hyperlink>
    </w:p>
    <w:p w14:paraId="06ED232A" w14:textId="01F3E0A7"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81" w:history="1">
        <w:r w:rsidR="00951B19" w:rsidRPr="00B54924">
          <w:rPr>
            <w:rStyle w:val="Hyperlink"/>
            <w:rFonts w:cs="Arial"/>
            <w:b/>
            <w:bCs/>
            <w:noProof/>
            <w:lang w:val="en-AU"/>
          </w:rPr>
          <w:t>4.4</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Preparation and consumption of kava beverage</w:t>
        </w:r>
        <w:r w:rsidR="00951B19">
          <w:rPr>
            <w:noProof/>
            <w:webHidden/>
          </w:rPr>
          <w:tab/>
        </w:r>
        <w:r w:rsidR="00951B19">
          <w:rPr>
            <w:noProof/>
            <w:webHidden/>
          </w:rPr>
          <w:fldChar w:fldCharType="begin"/>
        </w:r>
        <w:r w:rsidR="00951B19">
          <w:rPr>
            <w:noProof/>
            <w:webHidden/>
          </w:rPr>
          <w:instrText xml:space="preserve"> PAGEREF _Toc95830181 \h </w:instrText>
        </w:r>
        <w:r w:rsidR="00951B19">
          <w:rPr>
            <w:noProof/>
            <w:webHidden/>
          </w:rPr>
        </w:r>
        <w:r w:rsidR="00951B19">
          <w:rPr>
            <w:noProof/>
            <w:webHidden/>
          </w:rPr>
          <w:fldChar w:fldCharType="separate"/>
        </w:r>
        <w:r w:rsidR="00351DD8">
          <w:rPr>
            <w:noProof/>
            <w:webHidden/>
          </w:rPr>
          <w:t>19</w:t>
        </w:r>
        <w:r w:rsidR="00951B19">
          <w:rPr>
            <w:noProof/>
            <w:webHidden/>
          </w:rPr>
          <w:fldChar w:fldCharType="end"/>
        </w:r>
      </w:hyperlink>
    </w:p>
    <w:p w14:paraId="526ABF8C" w14:textId="47DE9C5D"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82" w:history="1">
        <w:r w:rsidR="00951B19" w:rsidRPr="00B54924">
          <w:rPr>
            <w:rStyle w:val="Hyperlink"/>
            <w:rFonts w:cs="Arial"/>
            <w:b/>
            <w:bCs/>
            <w:noProof/>
            <w:lang w:val="en-AU"/>
          </w:rPr>
          <w:t>4.5</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Risk characterisation and mitigation</w:t>
        </w:r>
        <w:r w:rsidR="00951B19">
          <w:rPr>
            <w:noProof/>
            <w:webHidden/>
          </w:rPr>
          <w:tab/>
        </w:r>
        <w:r w:rsidR="00951B19">
          <w:rPr>
            <w:noProof/>
            <w:webHidden/>
          </w:rPr>
          <w:fldChar w:fldCharType="begin"/>
        </w:r>
        <w:r w:rsidR="00951B19">
          <w:rPr>
            <w:noProof/>
            <w:webHidden/>
          </w:rPr>
          <w:instrText xml:space="preserve"> PAGEREF _Toc95830182 \h </w:instrText>
        </w:r>
        <w:r w:rsidR="00951B19">
          <w:rPr>
            <w:noProof/>
            <w:webHidden/>
          </w:rPr>
        </w:r>
        <w:r w:rsidR="00951B19">
          <w:rPr>
            <w:noProof/>
            <w:webHidden/>
          </w:rPr>
          <w:fldChar w:fldCharType="separate"/>
        </w:r>
        <w:r w:rsidR="00351DD8">
          <w:rPr>
            <w:noProof/>
            <w:webHidden/>
          </w:rPr>
          <w:t>19</w:t>
        </w:r>
        <w:r w:rsidR="00951B19">
          <w:rPr>
            <w:noProof/>
            <w:webHidden/>
          </w:rPr>
          <w:fldChar w:fldCharType="end"/>
        </w:r>
      </w:hyperlink>
    </w:p>
    <w:p w14:paraId="64434E06" w14:textId="18BB3003"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83" w:history="1">
        <w:r w:rsidR="00951B19" w:rsidRPr="00B54924">
          <w:rPr>
            <w:rStyle w:val="Hyperlink"/>
            <w:noProof/>
            <w:lang w:val="en-AU"/>
          </w:rPr>
          <w:t>5</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Dietary intake</w:t>
        </w:r>
        <w:r w:rsidR="00951B19">
          <w:rPr>
            <w:noProof/>
            <w:webHidden/>
          </w:rPr>
          <w:tab/>
        </w:r>
        <w:r w:rsidR="00951B19">
          <w:rPr>
            <w:noProof/>
            <w:webHidden/>
          </w:rPr>
          <w:fldChar w:fldCharType="begin"/>
        </w:r>
        <w:r w:rsidR="00951B19">
          <w:rPr>
            <w:noProof/>
            <w:webHidden/>
          </w:rPr>
          <w:instrText xml:space="preserve"> PAGEREF _Toc95830183 \h </w:instrText>
        </w:r>
        <w:r w:rsidR="00951B19">
          <w:rPr>
            <w:noProof/>
            <w:webHidden/>
          </w:rPr>
        </w:r>
        <w:r w:rsidR="00951B19">
          <w:rPr>
            <w:noProof/>
            <w:webHidden/>
          </w:rPr>
          <w:fldChar w:fldCharType="separate"/>
        </w:r>
        <w:r w:rsidR="00351DD8">
          <w:rPr>
            <w:noProof/>
            <w:webHidden/>
          </w:rPr>
          <w:t>20</w:t>
        </w:r>
        <w:r w:rsidR="00951B19">
          <w:rPr>
            <w:noProof/>
            <w:webHidden/>
          </w:rPr>
          <w:fldChar w:fldCharType="end"/>
        </w:r>
      </w:hyperlink>
    </w:p>
    <w:p w14:paraId="0515392A" w14:textId="519F7735"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84" w:history="1">
        <w:r w:rsidR="00951B19" w:rsidRPr="00B54924">
          <w:rPr>
            <w:rStyle w:val="Hyperlink"/>
            <w:rFonts w:cs="Arial"/>
            <w:b/>
            <w:bCs/>
            <w:noProof/>
            <w:lang w:val="en-AU"/>
          </w:rPr>
          <w:t>5.1</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Consumption of kava</w:t>
        </w:r>
        <w:r w:rsidR="00951B19">
          <w:rPr>
            <w:noProof/>
            <w:webHidden/>
          </w:rPr>
          <w:tab/>
        </w:r>
        <w:r w:rsidR="00951B19">
          <w:rPr>
            <w:noProof/>
            <w:webHidden/>
          </w:rPr>
          <w:fldChar w:fldCharType="begin"/>
        </w:r>
        <w:r w:rsidR="00951B19">
          <w:rPr>
            <w:noProof/>
            <w:webHidden/>
          </w:rPr>
          <w:instrText xml:space="preserve"> PAGEREF _Toc95830184 \h </w:instrText>
        </w:r>
        <w:r w:rsidR="00951B19">
          <w:rPr>
            <w:noProof/>
            <w:webHidden/>
          </w:rPr>
        </w:r>
        <w:r w:rsidR="00951B19">
          <w:rPr>
            <w:noProof/>
            <w:webHidden/>
          </w:rPr>
          <w:fldChar w:fldCharType="separate"/>
        </w:r>
        <w:r w:rsidR="00351DD8">
          <w:rPr>
            <w:noProof/>
            <w:webHidden/>
          </w:rPr>
          <w:t>20</w:t>
        </w:r>
        <w:r w:rsidR="00951B19">
          <w:rPr>
            <w:noProof/>
            <w:webHidden/>
          </w:rPr>
          <w:fldChar w:fldCharType="end"/>
        </w:r>
      </w:hyperlink>
    </w:p>
    <w:p w14:paraId="1A3EB2D6" w14:textId="2253D272" w:rsidR="00951B19" w:rsidRDefault="001449EF">
      <w:pPr>
        <w:pStyle w:val="TOC2"/>
        <w:tabs>
          <w:tab w:val="left" w:pos="880"/>
          <w:tab w:val="right" w:leader="dot" w:pos="9060"/>
        </w:tabs>
        <w:rPr>
          <w:rFonts w:eastAsiaTheme="minorEastAsia" w:cstheme="minorBidi"/>
          <w:smallCaps w:val="0"/>
          <w:noProof/>
          <w:sz w:val="22"/>
          <w:szCs w:val="22"/>
          <w:lang w:eastAsia="en-GB" w:bidi="ar-SA"/>
        </w:rPr>
      </w:pPr>
      <w:hyperlink w:anchor="_Toc95830185" w:history="1">
        <w:r w:rsidR="00951B19" w:rsidRPr="00B54924">
          <w:rPr>
            <w:rStyle w:val="Hyperlink"/>
            <w:rFonts w:cs="Arial"/>
            <w:b/>
            <w:bCs/>
            <w:noProof/>
            <w:lang w:val="en-AU"/>
          </w:rPr>
          <w:t>5.2</w:t>
        </w:r>
        <w:r w:rsidR="00951B19">
          <w:rPr>
            <w:rFonts w:eastAsiaTheme="minorEastAsia" w:cstheme="minorBidi"/>
            <w:smallCaps w:val="0"/>
            <w:noProof/>
            <w:sz w:val="22"/>
            <w:szCs w:val="22"/>
            <w:lang w:eastAsia="en-GB" w:bidi="ar-SA"/>
          </w:rPr>
          <w:tab/>
        </w:r>
        <w:r w:rsidR="00951B19" w:rsidRPr="00B54924">
          <w:rPr>
            <w:rStyle w:val="Hyperlink"/>
            <w:rFonts w:cs="Arial"/>
            <w:b/>
            <w:bCs/>
            <w:noProof/>
            <w:lang w:val="en-AU"/>
          </w:rPr>
          <w:t>Kavalactone intake from kava beverage</w:t>
        </w:r>
        <w:r w:rsidR="00951B19">
          <w:rPr>
            <w:noProof/>
            <w:webHidden/>
          </w:rPr>
          <w:tab/>
        </w:r>
        <w:r w:rsidR="00951B19">
          <w:rPr>
            <w:noProof/>
            <w:webHidden/>
          </w:rPr>
          <w:fldChar w:fldCharType="begin"/>
        </w:r>
        <w:r w:rsidR="00951B19">
          <w:rPr>
            <w:noProof/>
            <w:webHidden/>
          </w:rPr>
          <w:instrText xml:space="preserve"> PAGEREF _Toc95830185 \h </w:instrText>
        </w:r>
        <w:r w:rsidR="00951B19">
          <w:rPr>
            <w:noProof/>
            <w:webHidden/>
          </w:rPr>
        </w:r>
        <w:r w:rsidR="00951B19">
          <w:rPr>
            <w:noProof/>
            <w:webHidden/>
          </w:rPr>
          <w:fldChar w:fldCharType="separate"/>
        </w:r>
        <w:r w:rsidR="00351DD8">
          <w:rPr>
            <w:noProof/>
            <w:webHidden/>
          </w:rPr>
          <w:t>21</w:t>
        </w:r>
        <w:r w:rsidR="00951B19">
          <w:rPr>
            <w:noProof/>
            <w:webHidden/>
          </w:rPr>
          <w:fldChar w:fldCharType="end"/>
        </w:r>
      </w:hyperlink>
    </w:p>
    <w:p w14:paraId="725F8685" w14:textId="64CF8365"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86" w:history="1">
        <w:r w:rsidR="00951B19" w:rsidRPr="00B54924">
          <w:rPr>
            <w:rStyle w:val="Hyperlink"/>
            <w:noProof/>
            <w:lang w:val="en-AU"/>
          </w:rPr>
          <w:t>6</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Nutritional Impact</w:t>
        </w:r>
        <w:r w:rsidR="00951B19">
          <w:rPr>
            <w:noProof/>
            <w:webHidden/>
          </w:rPr>
          <w:tab/>
        </w:r>
        <w:r w:rsidR="00951B19">
          <w:rPr>
            <w:noProof/>
            <w:webHidden/>
          </w:rPr>
          <w:fldChar w:fldCharType="begin"/>
        </w:r>
        <w:r w:rsidR="00951B19">
          <w:rPr>
            <w:noProof/>
            <w:webHidden/>
          </w:rPr>
          <w:instrText xml:space="preserve"> PAGEREF _Toc95830186 \h </w:instrText>
        </w:r>
        <w:r w:rsidR="00951B19">
          <w:rPr>
            <w:noProof/>
            <w:webHidden/>
          </w:rPr>
        </w:r>
        <w:r w:rsidR="00951B19">
          <w:rPr>
            <w:noProof/>
            <w:webHidden/>
          </w:rPr>
          <w:fldChar w:fldCharType="separate"/>
        </w:r>
        <w:r w:rsidR="00351DD8">
          <w:rPr>
            <w:noProof/>
            <w:webHidden/>
          </w:rPr>
          <w:t>22</w:t>
        </w:r>
        <w:r w:rsidR="00951B19">
          <w:rPr>
            <w:noProof/>
            <w:webHidden/>
          </w:rPr>
          <w:fldChar w:fldCharType="end"/>
        </w:r>
      </w:hyperlink>
    </w:p>
    <w:p w14:paraId="55B880CB" w14:textId="35B43EEC"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87" w:history="1">
        <w:r w:rsidR="00951B19" w:rsidRPr="00B54924">
          <w:rPr>
            <w:rStyle w:val="Hyperlink"/>
            <w:noProof/>
            <w:lang w:val="en-AU"/>
          </w:rPr>
          <w:t>7</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Data limitations</w:t>
        </w:r>
        <w:r w:rsidR="00951B19">
          <w:rPr>
            <w:noProof/>
            <w:webHidden/>
          </w:rPr>
          <w:tab/>
        </w:r>
        <w:r w:rsidR="00951B19">
          <w:rPr>
            <w:noProof/>
            <w:webHidden/>
          </w:rPr>
          <w:fldChar w:fldCharType="begin"/>
        </w:r>
        <w:r w:rsidR="00951B19">
          <w:rPr>
            <w:noProof/>
            <w:webHidden/>
          </w:rPr>
          <w:instrText xml:space="preserve"> PAGEREF _Toc95830187 \h </w:instrText>
        </w:r>
        <w:r w:rsidR="00951B19">
          <w:rPr>
            <w:noProof/>
            <w:webHidden/>
          </w:rPr>
        </w:r>
        <w:r w:rsidR="00951B19">
          <w:rPr>
            <w:noProof/>
            <w:webHidden/>
          </w:rPr>
          <w:fldChar w:fldCharType="separate"/>
        </w:r>
        <w:r w:rsidR="00351DD8">
          <w:rPr>
            <w:noProof/>
            <w:webHidden/>
          </w:rPr>
          <w:t>22</w:t>
        </w:r>
        <w:r w:rsidR="00951B19">
          <w:rPr>
            <w:noProof/>
            <w:webHidden/>
          </w:rPr>
          <w:fldChar w:fldCharType="end"/>
        </w:r>
      </w:hyperlink>
    </w:p>
    <w:p w14:paraId="2231DBEA" w14:textId="1ED427D7"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88" w:history="1">
        <w:r w:rsidR="00951B19" w:rsidRPr="00B54924">
          <w:rPr>
            <w:rStyle w:val="Hyperlink"/>
            <w:noProof/>
            <w:lang w:val="en-AU"/>
          </w:rPr>
          <w:t>8</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Risk characterisation</w:t>
        </w:r>
        <w:r w:rsidR="00951B19">
          <w:rPr>
            <w:noProof/>
            <w:webHidden/>
          </w:rPr>
          <w:tab/>
        </w:r>
        <w:r w:rsidR="00951B19">
          <w:rPr>
            <w:noProof/>
            <w:webHidden/>
          </w:rPr>
          <w:fldChar w:fldCharType="begin"/>
        </w:r>
        <w:r w:rsidR="00951B19">
          <w:rPr>
            <w:noProof/>
            <w:webHidden/>
          </w:rPr>
          <w:instrText xml:space="preserve"> PAGEREF _Toc95830188 \h </w:instrText>
        </w:r>
        <w:r w:rsidR="00951B19">
          <w:rPr>
            <w:noProof/>
            <w:webHidden/>
          </w:rPr>
        </w:r>
        <w:r w:rsidR="00951B19">
          <w:rPr>
            <w:noProof/>
            <w:webHidden/>
          </w:rPr>
          <w:fldChar w:fldCharType="separate"/>
        </w:r>
        <w:r w:rsidR="00351DD8">
          <w:rPr>
            <w:noProof/>
            <w:webHidden/>
          </w:rPr>
          <w:t>23</w:t>
        </w:r>
        <w:r w:rsidR="00951B19">
          <w:rPr>
            <w:noProof/>
            <w:webHidden/>
          </w:rPr>
          <w:fldChar w:fldCharType="end"/>
        </w:r>
      </w:hyperlink>
    </w:p>
    <w:p w14:paraId="6DCE769F" w14:textId="15BF4C44" w:rsidR="00951B19" w:rsidRDefault="001449EF">
      <w:pPr>
        <w:pStyle w:val="TOC1"/>
        <w:tabs>
          <w:tab w:val="left" w:pos="440"/>
          <w:tab w:val="right" w:leader="dot" w:pos="9060"/>
        </w:tabs>
        <w:rPr>
          <w:rFonts w:eastAsiaTheme="minorEastAsia" w:cstheme="minorBidi"/>
          <w:b w:val="0"/>
          <w:bCs w:val="0"/>
          <w:caps w:val="0"/>
          <w:noProof/>
          <w:sz w:val="22"/>
          <w:szCs w:val="22"/>
          <w:lang w:eastAsia="en-GB" w:bidi="ar-SA"/>
        </w:rPr>
      </w:pPr>
      <w:hyperlink w:anchor="_Toc95830189" w:history="1">
        <w:r w:rsidR="00951B19" w:rsidRPr="00B54924">
          <w:rPr>
            <w:rStyle w:val="Hyperlink"/>
            <w:noProof/>
            <w:lang w:val="en-AU"/>
          </w:rPr>
          <w:t>9</w:t>
        </w:r>
        <w:r w:rsidR="00951B19">
          <w:rPr>
            <w:rFonts w:eastAsiaTheme="minorEastAsia" w:cstheme="minorBidi"/>
            <w:b w:val="0"/>
            <w:bCs w:val="0"/>
            <w:caps w:val="0"/>
            <w:noProof/>
            <w:sz w:val="22"/>
            <w:szCs w:val="22"/>
            <w:lang w:eastAsia="en-GB" w:bidi="ar-SA"/>
          </w:rPr>
          <w:tab/>
        </w:r>
        <w:r w:rsidR="00951B19" w:rsidRPr="00B54924">
          <w:rPr>
            <w:rStyle w:val="Hyperlink"/>
            <w:noProof/>
            <w:lang w:val="en-AU"/>
          </w:rPr>
          <w:t>Conclusions</w:t>
        </w:r>
        <w:r w:rsidR="00951B19">
          <w:rPr>
            <w:noProof/>
            <w:webHidden/>
          </w:rPr>
          <w:tab/>
        </w:r>
        <w:r w:rsidR="00951B19">
          <w:rPr>
            <w:noProof/>
            <w:webHidden/>
          </w:rPr>
          <w:fldChar w:fldCharType="begin"/>
        </w:r>
        <w:r w:rsidR="00951B19">
          <w:rPr>
            <w:noProof/>
            <w:webHidden/>
          </w:rPr>
          <w:instrText xml:space="preserve"> PAGEREF _Toc95830189 \h </w:instrText>
        </w:r>
        <w:r w:rsidR="00951B19">
          <w:rPr>
            <w:noProof/>
            <w:webHidden/>
          </w:rPr>
        </w:r>
        <w:r w:rsidR="00951B19">
          <w:rPr>
            <w:noProof/>
            <w:webHidden/>
          </w:rPr>
          <w:fldChar w:fldCharType="separate"/>
        </w:r>
        <w:r w:rsidR="00351DD8">
          <w:rPr>
            <w:noProof/>
            <w:webHidden/>
          </w:rPr>
          <w:t>23</w:t>
        </w:r>
        <w:r w:rsidR="00951B19">
          <w:rPr>
            <w:noProof/>
            <w:webHidden/>
          </w:rPr>
          <w:fldChar w:fldCharType="end"/>
        </w:r>
      </w:hyperlink>
    </w:p>
    <w:p w14:paraId="24A9B111" w14:textId="5D0F196A" w:rsidR="00951B19" w:rsidRDefault="001449EF">
      <w:pPr>
        <w:pStyle w:val="TOC1"/>
        <w:tabs>
          <w:tab w:val="right" w:leader="dot" w:pos="9060"/>
        </w:tabs>
        <w:rPr>
          <w:rFonts w:eastAsiaTheme="minorEastAsia" w:cstheme="minorBidi"/>
          <w:b w:val="0"/>
          <w:bCs w:val="0"/>
          <w:caps w:val="0"/>
          <w:noProof/>
          <w:sz w:val="22"/>
          <w:szCs w:val="22"/>
          <w:lang w:eastAsia="en-GB" w:bidi="ar-SA"/>
        </w:rPr>
      </w:pPr>
      <w:hyperlink w:anchor="_Toc95830190" w:history="1">
        <w:r w:rsidR="00951B19" w:rsidRPr="00B54924">
          <w:rPr>
            <w:rStyle w:val="Hyperlink"/>
            <w:noProof/>
            <w:lang w:val="en-AU"/>
          </w:rPr>
          <w:t>References</w:t>
        </w:r>
        <w:r w:rsidR="00951B19">
          <w:rPr>
            <w:noProof/>
            <w:webHidden/>
          </w:rPr>
          <w:tab/>
        </w:r>
        <w:r w:rsidR="00951B19">
          <w:rPr>
            <w:noProof/>
            <w:webHidden/>
          </w:rPr>
          <w:fldChar w:fldCharType="begin"/>
        </w:r>
        <w:r w:rsidR="00951B19">
          <w:rPr>
            <w:noProof/>
            <w:webHidden/>
          </w:rPr>
          <w:instrText xml:space="preserve"> PAGEREF _Toc95830190 \h </w:instrText>
        </w:r>
        <w:r w:rsidR="00951B19">
          <w:rPr>
            <w:noProof/>
            <w:webHidden/>
          </w:rPr>
        </w:r>
        <w:r w:rsidR="00951B19">
          <w:rPr>
            <w:noProof/>
            <w:webHidden/>
          </w:rPr>
          <w:fldChar w:fldCharType="separate"/>
        </w:r>
        <w:r w:rsidR="00351DD8">
          <w:rPr>
            <w:noProof/>
            <w:webHidden/>
          </w:rPr>
          <w:t>25</w:t>
        </w:r>
        <w:r w:rsidR="00951B19">
          <w:rPr>
            <w:noProof/>
            <w:webHidden/>
          </w:rPr>
          <w:fldChar w:fldCharType="end"/>
        </w:r>
      </w:hyperlink>
    </w:p>
    <w:p w14:paraId="1CFAA408" w14:textId="1554D9EC" w:rsidR="00951B19" w:rsidRDefault="001449EF">
      <w:pPr>
        <w:pStyle w:val="TOC1"/>
        <w:tabs>
          <w:tab w:val="right" w:leader="dot" w:pos="9060"/>
        </w:tabs>
        <w:rPr>
          <w:rFonts w:eastAsiaTheme="minorEastAsia" w:cstheme="minorBidi"/>
          <w:b w:val="0"/>
          <w:bCs w:val="0"/>
          <w:caps w:val="0"/>
          <w:noProof/>
          <w:sz w:val="22"/>
          <w:szCs w:val="22"/>
          <w:lang w:eastAsia="en-GB" w:bidi="ar-SA"/>
        </w:rPr>
      </w:pPr>
      <w:hyperlink w:anchor="_Toc95830191" w:history="1">
        <w:r w:rsidR="00951B19" w:rsidRPr="00B54924">
          <w:rPr>
            <w:rStyle w:val="Hyperlink"/>
            <w:noProof/>
            <w:lang w:val="en-AU"/>
          </w:rPr>
          <w:t>Appendix 1: Kava varieties with a history of safe use</w:t>
        </w:r>
        <w:r w:rsidR="00951B19">
          <w:rPr>
            <w:noProof/>
            <w:webHidden/>
          </w:rPr>
          <w:tab/>
        </w:r>
        <w:r w:rsidR="00951B19">
          <w:rPr>
            <w:noProof/>
            <w:webHidden/>
          </w:rPr>
          <w:fldChar w:fldCharType="begin"/>
        </w:r>
        <w:r w:rsidR="00951B19">
          <w:rPr>
            <w:noProof/>
            <w:webHidden/>
          </w:rPr>
          <w:instrText xml:space="preserve"> PAGEREF _Toc95830191 \h </w:instrText>
        </w:r>
        <w:r w:rsidR="00951B19">
          <w:rPr>
            <w:noProof/>
            <w:webHidden/>
          </w:rPr>
        </w:r>
        <w:r w:rsidR="00951B19">
          <w:rPr>
            <w:noProof/>
            <w:webHidden/>
          </w:rPr>
          <w:fldChar w:fldCharType="separate"/>
        </w:r>
        <w:r w:rsidR="00351DD8">
          <w:rPr>
            <w:noProof/>
            <w:webHidden/>
          </w:rPr>
          <w:t>32</w:t>
        </w:r>
        <w:r w:rsidR="00951B19">
          <w:rPr>
            <w:noProof/>
            <w:webHidden/>
          </w:rPr>
          <w:fldChar w:fldCharType="end"/>
        </w:r>
      </w:hyperlink>
    </w:p>
    <w:p w14:paraId="56738BFD" w14:textId="694BF2A2" w:rsidR="00951B19" w:rsidRDefault="001449EF">
      <w:pPr>
        <w:pStyle w:val="TOC1"/>
        <w:tabs>
          <w:tab w:val="right" w:leader="dot" w:pos="9060"/>
        </w:tabs>
        <w:rPr>
          <w:rFonts w:eastAsiaTheme="minorEastAsia" w:cstheme="minorBidi"/>
          <w:b w:val="0"/>
          <w:bCs w:val="0"/>
          <w:caps w:val="0"/>
          <w:noProof/>
          <w:sz w:val="22"/>
          <w:szCs w:val="22"/>
          <w:lang w:eastAsia="en-GB" w:bidi="ar-SA"/>
        </w:rPr>
      </w:pPr>
      <w:hyperlink w:anchor="_Toc95830192" w:history="1">
        <w:r w:rsidR="00951B19" w:rsidRPr="00B54924">
          <w:rPr>
            <w:rStyle w:val="Hyperlink"/>
            <w:noProof/>
            <w:lang w:val="en-AU"/>
          </w:rPr>
          <w:t>Appendix 2: Chemical constituents in kava extracts</w:t>
        </w:r>
        <w:r w:rsidR="00951B19">
          <w:rPr>
            <w:noProof/>
            <w:webHidden/>
          </w:rPr>
          <w:tab/>
        </w:r>
        <w:r w:rsidR="00951B19">
          <w:rPr>
            <w:noProof/>
            <w:webHidden/>
          </w:rPr>
          <w:fldChar w:fldCharType="begin"/>
        </w:r>
        <w:r w:rsidR="00951B19">
          <w:rPr>
            <w:noProof/>
            <w:webHidden/>
          </w:rPr>
          <w:instrText xml:space="preserve"> PAGEREF _Toc95830192 \h </w:instrText>
        </w:r>
        <w:r w:rsidR="00951B19">
          <w:rPr>
            <w:noProof/>
            <w:webHidden/>
          </w:rPr>
        </w:r>
        <w:r w:rsidR="00951B19">
          <w:rPr>
            <w:noProof/>
            <w:webHidden/>
          </w:rPr>
          <w:fldChar w:fldCharType="separate"/>
        </w:r>
        <w:r w:rsidR="00351DD8">
          <w:rPr>
            <w:noProof/>
            <w:webHidden/>
          </w:rPr>
          <w:t>33</w:t>
        </w:r>
        <w:r w:rsidR="00951B19">
          <w:rPr>
            <w:noProof/>
            <w:webHidden/>
          </w:rPr>
          <w:fldChar w:fldCharType="end"/>
        </w:r>
      </w:hyperlink>
    </w:p>
    <w:p w14:paraId="5FF35FB5" w14:textId="3C893003" w:rsidR="007E252F" w:rsidRPr="007E252F" w:rsidRDefault="007E252F" w:rsidP="007E252F">
      <w:pPr>
        <w:widowControl/>
        <w:rPr>
          <w:lang w:val="en-AU"/>
        </w:rPr>
      </w:pPr>
      <w:r w:rsidRPr="007E252F">
        <w:rPr>
          <w:lang w:val="en-AU"/>
        </w:rPr>
        <w:fldChar w:fldCharType="end"/>
      </w:r>
      <w:r w:rsidRPr="007E252F">
        <w:rPr>
          <w:lang w:val="en-AU"/>
        </w:rPr>
        <w:br w:type="page"/>
      </w:r>
    </w:p>
    <w:p w14:paraId="16AB96AC" w14:textId="77777777" w:rsidR="007E252F" w:rsidRPr="007E252F" w:rsidRDefault="007E252F" w:rsidP="007E252F">
      <w:pPr>
        <w:keepNext/>
        <w:widowControl/>
        <w:spacing w:before="240" w:after="240"/>
        <w:ind w:left="851" w:hanging="851"/>
        <w:outlineLvl w:val="0"/>
        <w:rPr>
          <w:b/>
          <w:bCs/>
          <w:sz w:val="36"/>
          <w:szCs w:val="28"/>
          <w:lang w:val="en-AU" w:bidi="ar-SA"/>
        </w:rPr>
      </w:pPr>
      <w:bookmarkStart w:id="5" w:name="_Toc438129573"/>
      <w:bookmarkStart w:id="6" w:name="_Toc443301497"/>
      <w:bookmarkStart w:id="7" w:name="_Toc25667591"/>
      <w:bookmarkStart w:id="8" w:name="_Toc70520101"/>
      <w:bookmarkStart w:id="9" w:name="_Toc70587634"/>
      <w:bookmarkStart w:id="10" w:name="_Toc71545266"/>
      <w:bookmarkStart w:id="11" w:name="_Toc72504642"/>
      <w:bookmarkStart w:id="12" w:name="_Toc74035729"/>
      <w:bookmarkStart w:id="13" w:name="_Toc74056530"/>
      <w:bookmarkStart w:id="14" w:name="_Toc74665235"/>
      <w:bookmarkStart w:id="15" w:name="_Toc82168565"/>
      <w:bookmarkStart w:id="16" w:name="_Toc83287704"/>
      <w:bookmarkStart w:id="17" w:name="_Toc83297166"/>
      <w:bookmarkStart w:id="18" w:name="_Toc83324786"/>
      <w:bookmarkStart w:id="19" w:name="_Toc95830159"/>
      <w:r w:rsidRPr="007E252F">
        <w:rPr>
          <w:b/>
          <w:bCs/>
          <w:sz w:val="36"/>
          <w:szCs w:val="28"/>
          <w:lang w:val="en-AU" w:bidi="ar-SA"/>
        </w:rPr>
        <w:lastRenderedPageBreak/>
        <w:t>Glossary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027"/>
      </w:tblGrid>
      <w:tr w:rsidR="007E252F" w:rsidRPr="007E252F" w14:paraId="0DE27123" w14:textId="77777777" w:rsidTr="000D5CF1">
        <w:tc>
          <w:tcPr>
            <w:tcW w:w="1127" w:type="pct"/>
          </w:tcPr>
          <w:p w14:paraId="4FBFF7E2"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AP</w:t>
            </w:r>
          </w:p>
        </w:tc>
        <w:tc>
          <w:tcPr>
            <w:tcW w:w="3873" w:type="pct"/>
          </w:tcPr>
          <w:p w14:paraId="12958A2C"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Alkaline phosphatase</w:t>
            </w:r>
          </w:p>
        </w:tc>
      </w:tr>
      <w:tr w:rsidR="007E252F" w:rsidRPr="007E252F" w14:paraId="62FAE8D7" w14:textId="77777777" w:rsidTr="000D5CF1">
        <w:tc>
          <w:tcPr>
            <w:tcW w:w="1127" w:type="pct"/>
          </w:tcPr>
          <w:p w14:paraId="431AF334"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ALT</w:t>
            </w:r>
          </w:p>
        </w:tc>
        <w:tc>
          <w:tcPr>
            <w:tcW w:w="3873" w:type="pct"/>
          </w:tcPr>
          <w:p w14:paraId="7BF0E129" w14:textId="77777777" w:rsidR="007E252F" w:rsidRPr="007E252F" w:rsidRDefault="007E252F" w:rsidP="007E252F">
            <w:pPr>
              <w:widowControl/>
              <w:spacing w:beforeLines="40" w:before="96" w:afterLines="40" w:after="96"/>
              <w:rPr>
                <w:sz w:val="20"/>
                <w:szCs w:val="20"/>
                <w:lang w:val="en-AU" w:bidi="ar-SA"/>
              </w:rPr>
            </w:pPr>
            <w:r w:rsidRPr="007E252F">
              <w:rPr>
                <w:sz w:val="20"/>
                <w:szCs w:val="20"/>
                <w:lang w:val="en-AU" w:bidi="ar-SA"/>
              </w:rPr>
              <w:t>Alanine aminotransferase</w:t>
            </w:r>
          </w:p>
        </w:tc>
      </w:tr>
      <w:tr w:rsidR="007E252F" w:rsidRPr="007E252F" w14:paraId="636CCA3A" w14:textId="77777777" w:rsidTr="000D5CF1">
        <w:tc>
          <w:tcPr>
            <w:tcW w:w="1127" w:type="pct"/>
          </w:tcPr>
          <w:p w14:paraId="4EC35F30"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AST</w:t>
            </w:r>
          </w:p>
        </w:tc>
        <w:tc>
          <w:tcPr>
            <w:tcW w:w="3873" w:type="pct"/>
          </w:tcPr>
          <w:p w14:paraId="3827A189"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sz w:val="20"/>
                <w:szCs w:val="20"/>
                <w:lang w:val="en-AU" w:bidi="ar-SA"/>
              </w:rPr>
              <w:t>Aspartate transaminase</w:t>
            </w:r>
          </w:p>
        </w:tc>
      </w:tr>
      <w:tr w:rsidR="007E252F" w:rsidRPr="007E252F" w14:paraId="1EB63D7F" w14:textId="77777777" w:rsidTr="000D5CF1">
        <w:tc>
          <w:tcPr>
            <w:tcW w:w="1127" w:type="pct"/>
          </w:tcPr>
          <w:p w14:paraId="5F96FB85"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CYP</w:t>
            </w:r>
          </w:p>
        </w:tc>
        <w:tc>
          <w:tcPr>
            <w:tcW w:w="3873" w:type="pct"/>
          </w:tcPr>
          <w:p w14:paraId="3E3BFF19"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Cytochrome P450 enzymes</w:t>
            </w:r>
          </w:p>
        </w:tc>
      </w:tr>
      <w:tr w:rsidR="007E252F" w:rsidRPr="007E252F" w14:paraId="07535B79" w14:textId="77777777" w:rsidTr="000D5CF1">
        <w:tc>
          <w:tcPr>
            <w:tcW w:w="1127" w:type="pct"/>
          </w:tcPr>
          <w:p w14:paraId="5061FBB1"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FAO</w:t>
            </w:r>
          </w:p>
        </w:tc>
        <w:tc>
          <w:tcPr>
            <w:tcW w:w="3873" w:type="pct"/>
          </w:tcPr>
          <w:p w14:paraId="5A0184E0"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Food and Agriculture Organisation of the United Nations</w:t>
            </w:r>
          </w:p>
        </w:tc>
      </w:tr>
      <w:tr w:rsidR="007E252F" w:rsidRPr="007E252F" w14:paraId="069E658A" w14:textId="77777777" w:rsidTr="000D5CF1">
        <w:tc>
          <w:tcPr>
            <w:tcW w:w="1127" w:type="pct"/>
          </w:tcPr>
          <w:p w14:paraId="23E8D91F"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GAP</w:t>
            </w:r>
          </w:p>
        </w:tc>
        <w:tc>
          <w:tcPr>
            <w:tcW w:w="3873" w:type="pct"/>
          </w:tcPr>
          <w:p w14:paraId="36DE3B86"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Good agricultural practices</w:t>
            </w:r>
          </w:p>
        </w:tc>
      </w:tr>
      <w:tr w:rsidR="007E252F" w:rsidRPr="007E252F" w14:paraId="61D97CE4" w14:textId="77777777" w:rsidTr="000D5CF1">
        <w:tc>
          <w:tcPr>
            <w:tcW w:w="1127" w:type="pct"/>
          </w:tcPr>
          <w:p w14:paraId="05AA1B27"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GGT</w:t>
            </w:r>
          </w:p>
        </w:tc>
        <w:tc>
          <w:tcPr>
            <w:tcW w:w="3873" w:type="pct"/>
          </w:tcPr>
          <w:p w14:paraId="69E06D99"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γ-glutamyl transferase</w:t>
            </w:r>
          </w:p>
        </w:tc>
      </w:tr>
      <w:tr w:rsidR="007E252F" w:rsidRPr="007E252F" w14:paraId="010B8AD7" w14:textId="77777777" w:rsidTr="000D5CF1">
        <w:tc>
          <w:tcPr>
            <w:tcW w:w="1127" w:type="pct"/>
          </w:tcPr>
          <w:p w14:paraId="6F992FC3"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GHP</w:t>
            </w:r>
          </w:p>
        </w:tc>
        <w:tc>
          <w:tcPr>
            <w:tcW w:w="3873" w:type="pct"/>
          </w:tcPr>
          <w:p w14:paraId="62CA2C1F"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Good hygienic practices</w:t>
            </w:r>
          </w:p>
        </w:tc>
      </w:tr>
      <w:tr w:rsidR="007E252F" w:rsidRPr="007E252F" w14:paraId="369AC931" w14:textId="77777777" w:rsidTr="000D5CF1">
        <w:tc>
          <w:tcPr>
            <w:tcW w:w="1127" w:type="pct"/>
          </w:tcPr>
          <w:p w14:paraId="32DA0AF6"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GSH</w:t>
            </w:r>
          </w:p>
        </w:tc>
        <w:tc>
          <w:tcPr>
            <w:tcW w:w="3873" w:type="pct"/>
          </w:tcPr>
          <w:p w14:paraId="71E34353"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Glutathione</w:t>
            </w:r>
          </w:p>
        </w:tc>
      </w:tr>
      <w:tr w:rsidR="007E252F" w:rsidRPr="007E252F" w14:paraId="2EE41A4B" w14:textId="77777777" w:rsidTr="000D5CF1">
        <w:tc>
          <w:tcPr>
            <w:tcW w:w="1127" w:type="pct"/>
          </w:tcPr>
          <w:p w14:paraId="6B252C99"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Kava</w:t>
            </w:r>
          </w:p>
        </w:tc>
        <w:tc>
          <w:tcPr>
            <w:tcW w:w="3873" w:type="pct"/>
          </w:tcPr>
          <w:p w14:paraId="0C2CD495" w14:textId="77777777" w:rsidR="007E252F" w:rsidRPr="007E252F" w:rsidRDefault="007E252F" w:rsidP="007E252F">
            <w:pPr>
              <w:widowControl/>
              <w:spacing w:beforeLines="40" w:before="96" w:afterLines="40" w:after="96"/>
              <w:ind w:left="2944" w:hanging="2944"/>
              <w:rPr>
                <w:rFonts w:eastAsia="Arial Unicode MS" w:cs="Arial"/>
                <w:sz w:val="20"/>
                <w:szCs w:val="20"/>
                <w:lang w:val="en-AU" w:bidi="ar-SA"/>
              </w:rPr>
            </w:pPr>
            <w:r w:rsidRPr="007E252F">
              <w:rPr>
                <w:rFonts w:eastAsia="Arial Unicode MS" w:cs="Arial"/>
                <w:sz w:val="20"/>
                <w:szCs w:val="20"/>
                <w:lang w:val="en-AU" w:bidi="ar-SA"/>
              </w:rPr>
              <w:t xml:space="preserve">Also known as: </w:t>
            </w:r>
            <w:r w:rsidRPr="007E252F">
              <w:rPr>
                <w:rFonts w:eastAsia="Arial Unicode MS" w:cs="Arial"/>
                <w:i/>
                <w:sz w:val="20"/>
                <w:szCs w:val="20"/>
                <w:lang w:val="en-AU" w:bidi="ar-SA"/>
              </w:rPr>
              <w:t>kawa, kava kava, awa, ava, yati, wati, jagona and yangona</w:t>
            </w:r>
          </w:p>
        </w:tc>
      </w:tr>
      <w:tr w:rsidR="007E252F" w:rsidRPr="007E252F" w14:paraId="44E0F572" w14:textId="77777777" w:rsidTr="000D5CF1">
        <w:tc>
          <w:tcPr>
            <w:tcW w:w="1127" w:type="pct"/>
            <w:vAlign w:val="center"/>
          </w:tcPr>
          <w:p w14:paraId="7FD171A1"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Kava beverage</w:t>
            </w:r>
          </w:p>
        </w:tc>
        <w:tc>
          <w:tcPr>
            <w:tcW w:w="3873" w:type="pct"/>
            <w:vAlign w:val="center"/>
          </w:tcPr>
          <w:p w14:paraId="21012B25" w14:textId="77777777" w:rsidR="007E252F" w:rsidRPr="007E252F" w:rsidRDefault="007E252F" w:rsidP="007E252F">
            <w:pPr>
              <w:widowControl/>
              <w:spacing w:beforeLines="40" w:before="96" w:afterLines="40" w:after="96"/>
              <w:rPr>
                <w:rFonts w:eastAsia="Arial Unicode MS" w:cs="Arial"/>
                <w:i/>
                <w:sz w:val="20"/>
                <w:szCs w:val="20"/>
                <w:lang w:val="en-AU" w:bidi="ar-SA"/>
              </w:rPr>
            </w:pPr>
            <w:r w:rsidRPr="007E252F">
              <w:rPr>
                <w:rFonts w:eastAsia="Arial Unicode MS" w:cs="Arial"/>
                <w:sz w:val="20"/>
                <w:szCs w:val="20"/>
                <w:lang w:val="en-AU" w:bidi="ar-SA"/>
              </w:rPr>
              <w:t>Cold water extraction from kava plant, consistent with historical methods of preparation</w:t>
            </w:r>
          </w:p>
        </w:tc>
      </w:tr>
      <w:tr w:rsidR="007E252F" w:rsidRPr="007E252F" w14:paraId="543C88DC" w14:textId="77777777" w:rsidTr="000D5CF1">
        <w:tc>
          <w:tcPr>
            <w:tcW w:w="1127" w:type="pct"/>
          </w:tcPr>
          <w:p w14:paraId="0534E970"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Kava extract</w:t>
            </w:r>
          </w:p>
        </w:tc>
        <w:tc>
          <w:tcPr>
            <w:tcW w:w="3873" w:type="pct"/>
          </w:tcPr>
          <w:p w14:paraId="59EC2B0D"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Herbal extracts from kava plant that are not kava beverage</w:t>
            </w:r>
          </w:p>
        </w:tc>
      </w:tr>
      <w:tr w:rsidR="007E252F" w:rsidRPr="007E252F" w14:paraId="20A254B2" w14:textId="77777777" w:rsidTr="000D5CF1">
        <w:tc>
          <w:tcPr>
            <w:tcW w:w="1127" w:type="pct"/>
          </w:tcPr>
          <w:p w14:paraId="315B326B"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Kava plant</w:t>
            </w:r>
          </w:p>
        </w:tc>
        <w:tc>
          <w:tcPr>
            <w:tcW w:w="3873" w:type="pct"/>
          </w:tcPr>
          <w:p w14:paraId="12AA0C30"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i/>
                <w:sz w:val="20"/>
                <w:szCs w:val="20"/>
                <w:lang w:val="en-AU" w:bidi="ar-SA"/>
              </w:rPr>
              <w:t>Piper methysticum</w:t>
            </w:r>
            <w:r w:rsidRPr="007E252F">
              <w:rPr>
                <w:rFonts w:eastAsia="Arial Unicode MS" w:cs="Arial"/>
                <w:sz w:val="20"/>
                <w:szCs w:val="20"/>
                <w:lang w:val="en-AU" w:bidi="ar-SA"/>
              </w:rPr>
              <w:t xml:space="preserve"> G. Forst</w:t>
            </w:r>
          </w:p>
        </w:tc>
      </w:tr>
      <w:tr w:rsidR="007E252F" w:rsidRPr="007E252F" w14:paraId="1BA005B4" w14:textId="77777777" w:rsidTr="000D5CF1">
        <w:tc>
          <w:tcPr>
            <w:tcW w:w="1127" w:type="pct"/>
          </w:tcPr>
          <w:p w14:paraId="0E98008A"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LC50</w:t>
            </w:r>
          </w:p>
        </w:tc>
        <w:tc>
          <w:tcPr>
            <w:tcW w:w="3873" w:type="pct"/>
          </w:tcPr>
          <w:p w14:paraId="785979BB"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50% lethal concentration</w:t>
            </w:r>
          </w:p>
        </w:tc>
      </w:tr>
      <w:tr w:rsidR="007E252F" w:rsidRPr="007E252F" w14:paraId="4F61A7E0" w14:textId="77777777" w:rsidTr="000D5CF1">
        <w:tc>
          <w:tcPr>
            <w:tcW w:w="1127" w:type="pct"/>
          </w:tcPr>
          <w:p w14:paraId="65078D26"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LD50</w:t>
            </w:r>
          </w:p>
        </w:tc>
        <w:tc>
          <w:tcPr>
            <w:tcW w:w="3873" w:type="pct"/>
          </w:tcPr>
          <w:p w14:paraId="6DBEE4EF"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50% lethal dose</w:t>
            </w:r>
          </w:p>
        </w:tc>
      </w:tr>
      <w:tr w:rsidR="007E252F" w:rsidRPr="007E252F" w14:paraId="70623E54" w14:textId="77777777" w:rsidTr="000D5CF1">
        <w:tc>
          <w:tcPr>
            <w:tcW w:w="1127" w:type="pct"/>
          </w:tcPr>
          <w:p w14:paraId="70720A5F"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NTP</w:t>
            </w:r>
          </w:p>
        </w:tc>
        <w:tc>
          <w:tcPr>
            <w:tcW w:w="3873" w:type="pct"/>
          </w:tcPr>
          <w:p w14:paraId="6204E216"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U.S. National Toxicology Program</w:t>
            </w:r>
          </w:p>
        </w:tc>
      </w:tr>
      <w:tr w:rsidR="007E252F" w:rsidRPr="007E252F" w14:paraId="20955E73" w14:textId="77777777" w:rsidTr="000D5CF1">
        <w:tc>
          <w:tcPr>
            <w:tcW w:w="1127" w:type="pct"/>
          </w:tcPr>
          <w:p w14:paraId="03FE22A4"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WHO</w:t>
            </w:r>
          </w:p>
        </w:tc>
        <w:tc>
          <w:tcPr>
            <w:tcW w:w="3873" w:type="pct"/>
          </w:tcPr>
          <w:p w14:paraId="4783A673" w14:textId="77777777" w:rsidR="007E252F" w:rsidRPr="007E252F" w:rsidRDefault="007E252F" w:rsidP="007E252F">
            <w:pPr>
              <w:widowControl/>
              <w:spacing w:beforeLines="40" w:before="96" w:afterLines="40" w:after="96"/>
              <w:rPr>
                <w:rFonts w:eastAsia="Arial Unicode MS" w:cs="Arial"/>
                <w:sz w:val="20"/>
                <w:szCs w:val="20"/>
                <w:lang w:val="en-AU" w:bidi="ar-SA"/>
              </w:rPr>
            </w:pPr>
            <w:r w:rsidRPr="007E252F">
              <w:rPr>
                <w:rFonts w:eastAsia="Arial Unicode MS" w:cs="Arial"/>
                <w:sz w:val="20"/>
                <w:szCs w:val="20"/>
                <w:lang w:val="en-AU" w:bidi="ar-SA"/>
              </w:rPr>
              <w:t>World health Organisation of the United Nations</w:t>
            </w:r>
          </w:p>
        </w:tc>
      </w:tr>
    </w:tbl>
    <w:p w14:paraId="1D551EFF" w14:textId="77777777" w:rsidR="007E252F" w:rsidRPr="007E252F" w:rsidRDefault="007E252F" w:rsidP="007E252F">
      <w:pPr>
        <w:widowControl/>
        <w:rPr>
          <w:lang w:val="en-AU"/>
        </w:rPr>
      </w:pPr>
    </w:p>
    <w:p w14:paraId="6592DF79" w14:textId="77777777" w:rsidR="007E252F" w:rsidRPr="007E252F" w:rsidRDefault="007E252F" w:rsidP="007E252F">
      <w:pPr>
        <w:keepNext/>
        <w:pageBreakBefore/>
        <w:widowControl/>
        <w:spacing w:before="240" w:after="240"/>
        <w:outlineLvl w:val="0"/>
        <w:rPr>
          <w:b/>
          <w:bCs/>
          <w:sz w:val="36"/>
          <w:szCs w:val="28"/>
          <w:lang w:val="en-AU" w:bidi="ar-SA"/>
        </w:rPr>
      </w:pPr>
      <w:bookmarkStart w:id="20" w:name="_Toc25667592"/>
      <w:bookmarkStart w:id="21" w:name="_Toc70520102"/>
      <w:bookmarkStart w:id="22" w:name="_Toc70587635"/>
      <w:bookmarkStart w:id="23" w:name="_Toc71545267"/>
      <w:bookmarkStart w:id="24" w:name="_Toc72504643"/>
      <w:bookmarkStart w:id="25" w:name="_Toc74035730"/>
      <w:bookmarkStart w:id="26" w:name="_Toc74056531"/>
      <w:bookmarkStart w:id="27" w:name="_Toc74665236"/>
      <w:bookmarkStart w:id="28" w:name="_Toc82168566"/>
      <w:bookmarkStart w:id="29" w:name="_Toc83287705"/>
      <w:bookmarkStart w:id="30" w:name="_Toc83297167"/>
      <w:bookmarkStart w:id="31" w:name="_Toc83324787"/>
      <w:bookmarkStart w:id="32" w:name="_Toc95830160"/>
      <w:r w:rsidRPr="007E252F">
        <w:rPr>
          <w:b/>
          <w:bCs/>
          <w:sz w:val="36"/>
          <w:szCs w:val="28"/>
          <w:lang w:val="en-AU" w:bidi="ar-SA"/>
        </w:rPr>
        <w:lastRenderedPageBreak/>
        <w:t>1</w:t>
      </w:r>
      <w:r w:rsidRPr="007E252F">
        <w:rPr>
          <w:b/>
          <w:bCs/>
          <w:sz w:val="36"/>
          <w:szCs w:val="28"/>
          <w:lang w:val="en-AU" w:bidi="ar-SA"/>
        </w:rPr>
        <w:tab/>
        <w:t>Introduction</w:t>
      </w:r>
      <w:bookmarkEnd w:id="20"/>
      <w:bookmarkEnd w:id="21"/>
      <w:bookmarkEnd w:id="22"/>
      <w:bookmarkEnd w:id="23"/>
      <w:bookmarkEnd w:id="24"/>
      <w:bookmarkEnd w:id="25"/>
      <w:bookmarkEnd w:id="26"/>
      <w:bookmarkEnd w:id="27"/>
      <w:bookmarkEnd w:id="28"/>
      <w:bookmarkEnd w:id="29"/>
      <w:bookmarkEnd w:id="30"/>
      <w:bookmarkEnd w:id="31"/>
      <w:bookmarkEnd w:id="32"/>
      <w:r w:rsidRPr="007E252F">
        <w:rPr>
          <w:b/>
          <w:bCs/>
          <w:sz w:val="36"/>
          <w:szCs w:val="28"/>
          <w:lang w:val="en-AU" w:bidi="ar-SA"/>
        </w:rPr>
        <w:t xml:space="preserve"> </w:t>
      </w:r>
    </w:p>
    <w:p w14:paraId="4E93FFB2" w14:textId="77777777" w:rsidR="007E252F" w:rsidRPr="007E252F" w:rsidRDefault="007E252F" w:rsidP="007E252F">
      <w:pPr>
        <w:widowControl/>
        <w:rPr>
          <w:lang w:val="en-AU" w:bidi="ar-SA"/>
        </w:rPr>
      </w:pPr>
      <w:r w:rsidRPr="007E252F">
        <w:rPr>
          <w:szCs w:val="22"/>
          <w:lang w:val="en-AU" w:bidi="ar-SA"/>
        </w:rPr>
        <w:t>This assessment examines</w:t>
      </w:r>
      <w:r w:rsidRPr="007E252F">
        <w:rPr>
          <w:rFonts w:cs="Arial"/>
          <w:szCs w:val="22"/>
          <w:lang w:val="en-AU"/>
        </w:rPr>
        <w:t xml:space="preserve"> the public health and safety risks associated with the consumption of </w:t>
      </w:r>
      <w:r w:rsidRPr="007E252F">
        <w:rPr>
          <w:szCs w:val="22"/>
          <w:lang w:val="en-AU" w:bidi="ar-SA"/>
        </w:rPr>
        <w:t xml:space="preserve">kava beverage, prepared in a manner </w:t>
      </w:r>
      <w:r w:rsidRPr="007E252F">
        <w:rPr>
          <w:szCs w:val="22"/>
          <w:lang w:val="en-AU" w:eastAsia="en-AU"/>
        </w:rPr>
        <w:t>consistent with cultural practices that have a long history of use, and current regulatory policies in Australia and New Zealand</w:t>
      </w:r>
      <w:r w:rsidRPr="007E252F">
        <w:rPr>
          <w:szCs w:val="22"/>
          <w:lang w:val="en-AU" w:bidi="ar-SA"/>
        </w:rPr>
        <w:t xml:space="preserve">. This risk assessment work was undertaken </w:t>
      </w:r>
      <w:r w:rsidRPr="007E252F">
        <w:rPr>
          <w:szCs w:val="22"/>
          <w:lang w:val="en-AU"/>
        </w:rPr>
        <w:t>following the Australian Government’s decision to allow the commercial importation of kava from 1 December 2021 under Phase 2 of the Pacific Step-up Kava Pilot.</w:t>
      </w:r>
    </w:p>
    <w:p w14:paraId="1EC5283B" w14:textId="77777777" w:rsidR="007E252F" w:rsidRPr="007E252F" w:rsidRDefault="007E252F" w:rsidP="007E252F">
      <w:pPr>
        <w:widowControl/>
        <w:rPr>
          <w:lang w:val="en-AU" w:bidi="ar-SA"/>
        </w:rPr>
      </w:pPr>
    </w:p>
    <w:p w14:paraId="0CA52DBD" w14:textId="77777777" w:rsidR="007E252F" w:rsidRPr="007E252F" w:rsidRDefault="007E252F" w:rsidP="007E252F">
      <w:pPr>
        <w:widowControl/>
        <w:rPr>
          <w:lang w:val="en-AU" w:bidi="ar-SA"/>
        </w:rPr>
      </w:pPr>
      <w:r w:rsidRPr="007E252F">
        <w:rPr>
          <w:lang w:val="en-AU" w:bidi="ar-SA"/>
        </w:rPr>
        <w:t>The term kava is used interchangeably for the kava plant or various extracts of the kava plant. The kava plant (</w:t>
      </w:r>
      <w:r w:rsidRPr="007E252F">
        <w:rPr>
          <w:i/>
          <w:lang w:val="en-AU" w:bidi="ar-SA"/>
        </w:rPr>
        <w:t>Piper methysticum</w:t>
      </w:r>
      <w:r w:rsidRPr="007E252F">
        <w:rPr>
          <w:lang w:val="en-AU" w:bidi="ar-SA"/>
        </w:rPr>
        <w:t xml:space="preserve"> G. Forst) is a robust perennial shrub belonging to the black pepper family </w:t>
      </w:r>
      <w:r w:rsidRPr="007E252F">
        <w:rPr>
          <w:i/>
          <w:lang w:val="en-AU" w:bidi="ar-SA"/>
        </w:rPr>
        <w:t>Piperaceae</w:t>
      </w:r>
      <w:r w:rsidRPr="007E252F">
        <w:rPr>
          <w:lang w:val="en-AU" w:bidi="ar-SA"/>
        </w:rPr>
        <w:t>. Kava beverage is a cold water extraction from the roots, rhizomes or basal stems of select kava plant varieties.</w:t>
      </w:r>
    </w:p>
    <w:p w14:paraId="37D85805" w14:textId="77777777" w:rsidR="007E252F" w:rsidRPr="007E252F" w:rsidRDefault="007E252F" w:rsidP="007E252F">
      <w:pPr>
        <w:widowControl/>
        <w:rPr>
          <w:lang w:val="en-AU" w:bidi="ar-SA"/>
        </w:rPr>
      </w:pPr>
    </w:p>
    <w:p w14:paraId="01B57FAD"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pPr>
      <w:r w:rsidRPr="007E252F">
        <w:rPr>
          <w:lang w:val="en-AU" w:bidi="ar-SA"/>
        </w:rPr>
        <w:t>T</w:t>
      </w:r>
      <w:r w:rsidRPr="007E252F">
        <w:t xml:space="preserve">he term kava is also used to refer to herbal preparations of kava in medicinal products that are formulated using the kava plant, or processed extracts of the kava plant. Other common names for kava are: </w:t>
      </w:r>
      <w:r w:rsidRPr="007E252F">
        <w:rPr>
          <w:i/>
        </w:rPr>
        <w:t xml:space="preserve">kawa, kava kava, awa, ava, yati, wati, jagona </w:t>
      </w:r>
      <w:r w:rsidRPr="007E252F">
        <w:t>and</w:t>
      </w:r>
      <w:r w:rsidRPr="007E252F">
        <w:rPr>
          <w:i/>
        </w:rPr>
        <w:t xml:space="preserve"> yangona </w:t>
      </w:r>
      <w:r w:rsidRPr="007E252F">
        <w:t>(Singh, 1992; FAO/WHO, 2016).</w:t>
      </w:r>
    </w:p>
    <w:p w14:paraId="2AEFCABE" w14:textId="77777777" w:rsidR="007E252F" w:rsidRPr="007E252F" w:rsidRDefault="007E252F" w:rsidP="007E252F">
      <w:pPr>
        <w:widowControl/>
      </w:pPr>
    </w:p>
    <w:p w14:paraId="4C41AC06" w14:textId="77777777" w:rsidR="007E252F" w:rsidRPr="007E252F" w:rsidRDefault="007E252F" w:rsidP="007E252F">
      <w:pPr>
        <w:widowControl/>
        <w:rPr>
          <w:lang w:val="en-AU" w:bidi="ar-SA"/>
        </w:rPr>
      </w:pPr>
      <w:r w:rsidRPr="007E252F">
        <w:rPr>
          <w:lang w:val="en-AU" w:bidi="ar-SA"/>
        </w:rPr>
        <w:t>Drinkers of kava beverage report a sense of relaxation and tranquillity, and the drink is taken to prom</w:t>
      </w:r>
      <w:r w:rsidRPr="007E252F">
        <w:rPr>
          <w:lang w:val="en-AU" w:bidi="ar-SA"/>
        </w:rPr>
        <w:fldChar w:fldCharType="begin" w:fldLock="1"/>
      </w:r>
      <w:r w:rsidRPr="007E252F">
        <w:rPr>
          <w:lang w:val="en-AU" w:bidi="ar-SA"/>
        </w:rPr>
        <w:instrText xml:space="preserve"> DOCPROPERTY bjHeaderBothDocProperty \* MERGEFORMAT </w:instrText>
      </w:r>
      <w:r w:rsidRPr="007E252F">
        <w:rPr>
          <w:lang w:val="en-AU" w:bidi="ar-SA"/>
        </w:rPr>
        <w:fldChar w:fldCharType="end"/>
      </w:r>
      <w:r w:rsidRPr="007E252F">
        <w:rPr>
          <w:lang w:val="en-AU" w:bidi="ar-SA"/>
        </w:rPr>
        <w:t>ote a sociable attitude. Standard 2.6.3 of the Australia New Zealand Food Standards Code (the Code) permits the sale of kava root, or kava beverage obtained by aqueous suspension of kava root, in Australia and New Zealand.</w:t>
      </w:r>
    </w:p>
    <w:p w14:paraId="0E713A39" w14:textId="77777777" w:rsidR="007E252F" w:rsidRPr="007E252F" w:rsidRDefault="007E252F" w:rsidP="007E252F">
      <w:pPr>
        <w:widowControl/>
        <w:rPr>
          <w:lang w:val="en-AU" w:bidi="ar-SA"/>
        </w:rPr>
      </w:pPr>
    </w:p>
    <w:p w14:paraId="28D36098" w14:textId="77777777" w:rsidR="007E252F" w:rsidRPr="007E252F" w:rsidRDefault="007E252F" w:rsidP="007E252F">
      <w:pPr>
        <w:keepNext/>
        <w:widowControl/>
        <w:outlineLvl w:val="1"/>
        <w:rPr>
          <w:rFonts w:cs="Arial"/>
          <w:b/>
          <w:bCs/>
          <w:sz w:val="28"/>
          <w:szCs w:val="22"/>
          <w:lang w:val="en-AU" w:bidi="ar-SA"/>
        </w:rPr>
      </w:pPr>
      <w:bookmarkStart w:id="33" w:name="_Toc82168567"/>
      <w:bookmarkStart w:id="34" w:name="_Toc83287706"/>
      <w:bookmarkStart w:id="35" w:name="_Toc83297168"/>
      <w:bookmarkStart w:id="36" w:name="_Toc83324788"/>
      <w:bookmarkStart w:id="37" w:name="_Toc95830161"/>
      <w:r w:rsidRPr="007E252F">
        <w:rPr>
          <w:rFonts w:cs="Arial"/>
          <w:b/>
          <w:bCs/>
          <w:sz w:val="28"/>
          <w:szCs w:val="22"/>
          <w:lang w:val="en-AU" w:bidi="ar-SA"/>
        </w:rPr>
        <w:t>1.1</w:t>
      </w:r>
      <w:r w:rsidRPr="007E252F">
        <w:rPr>
          <w:rFonts w:cs="Arial"/>
          <w:b/>
          <w:bCs/>
          <w:sz w:val="28"/>
          <w:szCs w:val="22"/>
          <w:lang w:val="en-AU" w:bidi="ar-SA"/>
        </w:rPr>
        <w:tab/>
        <w:t>Cultural use of kava</w:t>
      </w:r>
      <w:bookmarkEnd w:id="33"/>
      <w:bookmarkEnd w:id="34"/>
      <w:bookmarkEnd w:id="35"/>
      <w:bookmarkEnd w:id="36"/>
      <w:bookmarkEnd w:id="37"/>
    </w:p>
    <w:p w14:paraId="502D706C" w14:textId="77777777" w:rsidR="007E252F" w:rsidRPr="007E252F" w:rsidRDefault="007E252F" w:rsidP="007E252F">
      <w:pPr>
        <w:widowControl/>
        <w:rPr>
          <w:lang w:val="en-AU" w:bidi="ar-SA"/>
        </w:rPr>
      </w:pPr>
    </w:p>
    <w:p w14:paraId="7A3ECAD4"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pPr>
      <w:r w:rsidRPr="007E252F">
        <w:t xml:space="preserve">Kava beverage has significant cultural importance for communities throughout Micronesia, Melanesia and Polynesia. Believed to originate in Northern Vanuatu, kava was likely carried across Oceania by early maritime explorers and traders, and has been consumed for more than 1000 years (Lebot et al., 1992). </w:t>
      </w:r>
      <w:r w:rsidRPr="007E252F">
        <w:rPr>
          <w:lang w:val="en-AU" w:bidi="ar-SA"/>
        </w:rPr>
        <w:t>K</w:t>
      </w:r>
      <w:r w:rsidRPr="007E252F">
        <w:rPr>
          <w:lang w:val="en-AU"/>
        </w:rPr>
        <w:t>ava beverage is an integral part of the dynamic and evolving cultural practices of many Pacific peoples, and kava is often regarded as an icon of national and/or ethno-cultural identity</w:t>
      </w:r>
      <w:r w:rsidRPr="007E252F">
        <w:t xml:space="preserve"> (Lebot et al., 1992; Aporosa, 2019). </w:t>
      </w:r>
    </w:p>
    <w:p w14:paraId="55F820EC"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pPr>
    </w:p>
    <w:p w14:paraId="2B13EBF5"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pPr>
      <w:r w:rsidRPr="007E252F">
        <w:rPr>
          <w:lang w:val="en-AU" w:bidi="ar-SA"/>
        </w:rPr>
        <w:t>There is a long history of kava beverage preparation in Pacific communities by aqueous extraction, with fresh or dried roots of the kava plant used to produce a brew in a communal bowl. F</w:t>
      </w:r>
      <w:r w:rsidRPr="007E252F">
        <w:t>resh material is peeled before being chewed or ground until it is fine and fibrous, and then infused with water. Dried material is ground finely, wrapped in cloth and infused in water. The kava is then drunk from a cup or sometimes a coconut shell (Cairney et al., 2002; Aporosa, 2019). This risk assessment considers kava beverage, which has a long history of use in Pacific communities, as defined by this historical method of preparation.</w:t>
      </w:r>
    </w:p>
    <w:p w14:paraId="364FD0E6"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pPr>
    </w:p>
    <w:p w14:paraId="2F0DD88E"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pPr>
      <w:r w:rsidRPr="007E252F">
        <w:t xml:space="preserve">Kava beverage is consumed in Pacific communities living in both Australia and New Zealand </w:t>
      </w:r>
      <w:r w:rsidRPr="007E252F">
        <w:rPr>
          <w:lang w:val="en-AU" w:bidi="ar-SA"/>
        </w:rPr>
        <w:t>and by select First Nation communities in Australia.</w:t>
      </w:r>
      <w:r w:rsidRPr="007E252F">
        <w:t xml:space="preserve"> </w:t>
      </w:r>
    </w:p>
    <w:p w14:paraId="413980A0"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pPr>
    </w:p>
    <w:p w14:paraId="56084713" w14:textId="77777777" w:rsidR="007E252F" w:rsidRPr="007E252F" w:rsidRDefault="007E252F" w:rsidP="007E252F">
      <w:pPr>
        <w:keepNext/>
        <w:widowControl/>
        <w:outlineLvl w:val="1"/>
        <w:rPr>
          <w:rFonts w:cs="Arial"/>
          <w:b/>
          <w:bCs/>
          <w:sz w:val="28"/>
          <w:szCs w:val="22"/>
          <w:lang w:val="en-AU" w:bidi="ar-SA"/>
        </w:rPr>
      </w:pPr>
      <w:bookmarkStart w:id="38" w:name="_Toc82168568"/>
      <w:bookmarkStart w:id="39" w:name="_Toc83287707"/>
      <w:bookmarkStart w:id="40" w:name="_Toc83297169"/>
      <w:bookmarkStart w:id="41" w:name="_Toc83324789"/>
      <w:bookmarkStart w:id="42" w:name="_Toc95830162"/>
      <w:r w:rsidRPr="007E252F">
        <w:rPr>
          <w:rFonts w:cs="Arial"/>
          <w:b/>
          <w:bCs/>
          <w:sz w:val="28"/>
          <w:szCs w:val="22"/>
          <w:lang w:val="en-AU" w:bidi="ar-SA"/>
        </w:rPr>
        <w:t>1.2</w:t>
      </w:r>
      <w:r w:rsidRPr="007E252F">
        <w:rPr>
          <w:rFonts w:cs="Arial"/>
          <w:b/>
          <w:bCs/>
          <w:sz w:val="28"/>
          <w:szCs w:val="22"/>
          <w:lang w:val="en-AU" w:bidi="ar-SA"/>
        </w:rPr>
        <w:tab/>
        <w:t>Botanical characteristics</w:t>
      </w:r>
      <w:bookmarkEnd w:id="38"/>
      <w:bookmarkEnd w:id="39"/>
      <w:bookmarkEnd w:id="40"/>
      <w:bookmarkEnd w:id="41"/>
      <w:bookmarkEnd w:id="42"/>
    </w:p>
    <w:p w14:paraId="169B92A6" w14:textId="77777777" w:rsidR="007E252F" w:rsidRPr="007E252F" w:rsidRDefault="007E252F" w:rsidP="007E252F">
      <w:pPr>
        <w:widowControl/>
        <w:rPr>
          <w:lang w:val="en-AU" w:bidi="ar-SA"/>
        </w:rPr>
      </w:pPr>
    </w:p>
    <w:p w14:paraId="6955AF9C" w14:textId="77777777" w:rsidR="007E252F" w:rsidRPr="007E252F" w:rsidRDefault="007E252F" w:rsidP="007E252F">
      <w:pPr>
        <w:widowControl/>
        <w:rPr>
          <w:lang w:val="en-AU" w:bidi="ar-SA"/>
        </w:rPr>
      </w:pPr>
      <w:r w:rsidRPr="007E252F">
        <w:rPr>
          <w:lang w:val="en-AU" w:bidi="ar-SA"/>
        </w:rPr>
        <w:t xml:space="preserve">Kava plant is native to the tropical Pacific Island regions, with the exception of New Zealand, New Caledonia and most of the Solomon Islands (Singh, 1992). It thrives at altitudes of between 150m and 300m above sea level and grows well in stony ground. The generic name Piper comes from the Latin for “pepper”, and the species name methysticum from the Greek meaning “intoxicant”, thus </w:t>
      </w:r>
      <w:r w:rsidRPr="007E252F">
        <w:rPr>
          <w:i/>
          <w:lang w:val="en-AU" w:bidi="ar-SA"/>
        </w:rPr>
        <w:t>Piper methysticum</w:t>
      </w:r>
      <w:r w:rsidRPr="007E252F">
        <w:rPr>
          <w:lang w:val="en-AU" w:bidi="ar-SA"/>
        </w:rPr>
        <w:t xml:space="preserve"> when translated into English means “intoxicating pepper” (</w:t>
      </w:r>
      <w:r w:rsidRPr="007E252F">
        <w:t>Singh, 1992)</w:t>
      </w:r>
      <w:r w:rsidRPr="007E252F">
        <w:rPr>
          <w:lang w:val="en-AU" w:bidi="ar-SA"/>
        </w:rPr>
        <w:t xml:space="preserve">. </w:t>
      </w:r>
      <w:r w:rsidRPr="007E252F">
        <w:rPr>
          <w:iCs/>
        </w:rPr>
        <w:t xml:space="preserve">Kava plant </w:t>
      </w:r>
      <w:r w:rsidRPr="007E252F">
        <w:t>does not grow readily in New Zealand.</w:t>
      </w:r>
    </w:p>
    <w:p w14:paraId="173EF48D" w14:textId="77777777" w:rsidR="007E252F" w:rsidRPr="007E252F" w:rsidRDefault="007E252F" w:rsidP="007E252F">
      <w:pPr>
        <w:widowControl/>
        <w:rPr>
          <w:lang w:val="en-AU" w:bidi="ar-SA"/>
        </w:rPr>
      </w:pPr>
    </w:p>
    <w:p w14:paraId="653888E2" w14:textId="77777777" w:rsidR="007E252F" w:rsidRPr="007E252F" w:rsidRDefault="007E252F" w:rsidP="007E252F">
      <w:pPr>
        <w:widowControl/>
        <w:rPr>
          <w:lang w:val="en-AU" w:bidi="ar-SA"/>
        </w:rPr>
      </w:pPr>
      <w:r w:rsidRPr="007E252F">
        <w:rPr>
          <w:lang w:val="en-AU" w:bidi="ar-SA"/>
        </w:rPr>
        <w:lastRenderedPageBreak/>
        <w:t>The plant is usually about 2 to 2.5m tall when it is harvested (Singh, 1992). Leaves are heart shaped, pointed, smooth and green on both sides, being about 15 cm in length. Although kava is a dioecious species, viable kava seeds have not been reported and the plant is cultivated through vegetative propagation (</w:t>
      </w:r>
      <w:r w:rsidRPr="007E252F">
        <w:t>Singh, 1992</w:t>
      </w:r>
      <w:r w:rsidRPr="007E252F">
        <w:rPr>
          <w:lang w:val="en-AU" w:bidi="ar-SA"/>
        </w:rPr>
        <w:t xml:space="preserve">). </w:t>
      </w:r>
    </w:p>
    <w:p w14:paraId="44E820C4" w14:textId="77777777" w:rsidR="007E252F" w:rsidRPr="007E252F" w:rsidRDefault="007E252F" w:rsidP="007E252F">
      <w:pPr>
        <w:widowControl/>
        <w:rPr>
          <w:lang w:val="en-AU" w:bidi="ar-SA"/>
        </w:rPr>
      </w:pPr>
    </w:p>
    <w:p w14:paraId="183DD0CE" w14:textId="77777777" w:rsidR="007E252F" w:rsidRPr="007E252F" w:rsidRDefault="007E252F" w:rsidP="007E252F">
      <w:pPr>
        <w:widowControl/>
        <w:rPr>
          <w:lang w:val="en-AU" w:bidi="ar-SA"/>
        </w:rPr>
      </w:pPr>
      <w:r w:rsidRPr="007E252F">
        <w:rPr>
          <w:lang w:val="en-AU" w:bidi="ar-SA"/>
        </w:rPr>
        <w:t xml:space="preserve">The kava plant reaches maturity about 3-5 years after planting and the plant is usually harvested around this age. The Vanuatu government requires that kava for export must have been planted at least 5 years before it is harvested and kava for domestic use must have been planted at least 3 years before it is harvested (The Kava Act, 2002). </w:t>
      </w:r>
    </w:p>
    <w:p w14:paraId="16801AE6" w14:textId="77777777" w:rsidR="007E252F" w:rsidRPr="007E252F" w:rsidRDefault="007E252F" w:rsidP="007E252F">
      <w:pPr>
        <w:widowControl/>
        <w:rPr>
          <w:lang w:val="en-AU" w:bidi="ar-SA"/>
        </w:rPr>
      </w:pPr>
    </w:p>
    <w:p w14:paraId="4B94958A" w14:textId="77777777" w:rsidR="007E252F" w:rsidRPr="007E252F" w:rsidRDefault="007E252F" w:rsidP="007E252F">
      <w:pPr>
        <w:keepNext/>
        <w:widowControl/>
        <w:outlineLvl w:val="1"/>
        <w:rPr>
          <w:rFonts w:cs="Arial"/>
          <w:b/>
          <w:bCs/>
          <w:sz w:val="28"/>
          <w:szCs w:val="22"/>
          <w:lang w:val="en-AU" w:bidi="ar-SA"/>
        </w:rPr>
      </w:pPr>
      <w:bookmarkStart w:id="43" w:name="_Toc82168569"/>
      <w:bookmarkStart w:id="44" w:name="_Toc83287708"/>
      <w:bookmarkStart w:id="45" w:name="_Toc83297170"/>
      <w:bookmarkStart w:id="46" w:name="_Toc83324790"/>
      <w:bookmarkStart w:id="47" w:name="_Toc95830163"/>
      <w:r w:rsidRPr="007E252F">
        <w:rPr>
          <w:rFonts w:cs="Arial"/>
          <w:b/>
          <w:bCs/>
          <w:sz w:val="28"/>
          <w:szCs w:val="22"/>
          <w:lang w:val="en-AU" w:bidi="ar-SA"/>
        </w:rPr>
        <w:t>1.3</w:t>
      </w:r>
      <w:r w:rsidRPr="007E252F">
        <w:rPr>
          <w:rFonts w:cs="Arial"/>
          <w:b/>
          <w:bCs/>
          <w:sz w:val="28"/>
          <w:szCs w:val="22"/>
          <w:lang w:val="en-AU" w:bidi="ar-SA"/>
        </w:rPr>
        <w:tab/>
        <w:t>Varieties of kava plant</w:t>
      </w:r>
      <w:bookmarkEnd w:id="43"/>
      <w:bookmarkEnd w:id="44"/>
      <w:bookmarkEnd w:id="45"/>
      <w:bookmarkEnd w:id="46"/>
      <w:bookmarkEnd w:id="47"/>
    </w:p>
    <w:p w14:paraId="1E399A83" w14:textId="77777777" w:rsidR="007E252F" w:rsidRPr="007E252F" w:rsidRDefault="007E252F" w:rsidP="007E252F">
      <w:pPr>
        <w:widowControl/>
        <w:rPr>
          <w:lang w:val="en-AU" w:bidi="ar-SA"/>
        </w:rPr>
      </w:pPr>
    </w:p>
    <w:p w14:paraId="22E96317" w14:textId="77777777" w:rsidR="007E252F" w:rsidRPr="007E252F" w:rsidRDefault="007E252F" w:rsidP="007E252F">
      <w:pPr>
        <w:widowControl/>
        <w:spacing w:before="120" w:after="120"/>
        <w:rPr>
          <w:szCs w:val="20"/>
          <w:lang w:val="en-AU"/>
        </w:rPr>
      </w:pPr>
      <w:r w:rsidRPr="007E252F">
        <w:rPr>
          <w:szCs w:val="20"/>
          <w:lang w:val="en-AU"/>
        </w:rPr>
        <w:t>There are more than 200 varieties of kava plant (Singh, 1992). Not all kava varieties are suitable for making kava beverage. Each Pacific culture with a history of kava consumption has known varieties for making kava beverage. Kava plant varieties can be divided into four categories:</w:t>
      </w:r>
    </w:p>
    <w:p w14:paraId="6E8B387A" w14:textId="77777777" w:rsidR="007E252F" w:rsidRPr="007E252F" w:rsidRDefault="007E252F" w:rsidP="007E252F">
      <w:pPr>
        <w:widowControl/>
        <w:numPr>
          <w:ilvl w:val="0"/>
          <w:numId w:val="6"/>
        </w:numPr>
        <w:spacing w:before="120" w:after="120"/>
        <w:contextualSpacing/>
        <w:rPr>
          <w:szCs w:val="20"/>
          <w:lang w:val="en-AU"/>
        </w:rPr>
      </w:pPr>
      <w:r w:rsidRPr="007E252F">
        <w:rPr>
          <w:b/>
          <w:szCs w:val="20"/>
          <w:lang w:val="en-AU"/>
        </w:rPr>
        <w:t xml:space="preserve">Traditional kava beverage varieties. </w:t>
      </w:r>
      <w:r w:rsidRPr="007E252F">
        <w:rPr>
          <w:szCs w:val="20"/>
          <w:lang w:val="en-AU"/>
        </w:rPr>
        <w:t>Also known as noble kavas: These varieties have been safely used by Pacific cultures for kava beverage production. They are distinguished by their geographical distribution, physical plant characteristics and the quality of the kava beverage they produce (FAO/WHO, 2016). Appendix 1 lists known noble kava varieties.</w:t>
      </w:r>
    </w:p>
    <w:p w14:paraId="6E029954" w14:textId="77777777" w:rsidR="007E252F" w:rsidRPr="007E252F" w:rsidRDefault="007E252F" w:rsidP="007E252F">
      <w:pPr>
        <w:widowControl/>
        <w:numPr>
          <w:ilvl w:val="0"/>
          <w:numId w:val="6"/>
        </w:numPr>
        <w:spacing w:before="120" w:after="120"/>
        <w:contextualSpacing/>
        <w:rPr>
          <w:szCs w:val="20"/>
          <w:lang w:val="en-AU"/>
        </w:rPr>
      </w:pPr>
      <w:r w:rsidRPr="007E252F">
        <w:rPr>
          <w:b/>
          <w:szCs w:val="20"/>
          <w:lang w:val="en-AU"/>
        </w:rPr>
        <w:t>Tu-dei (two day) kava varieties.</w:t>
      </w:r>
      <w:r w:rsidRPr="007E252F">
        <w:rPr>
          <w:szCs w:val="20"/>
          <w:lang w:val="en-AU"/>
        </w:rPr>
        <w:t xml:space="preserve"> Tu-dei kavas are known to produce longer psychotropic experiences, as well as nausea and other hangover effects (e.g. headache, dizziness, lethargy), and are not used to make kava beverage (Lebot &amp;</w:t>
      </w:r>
      <w:r w:rsidRPr="007E252F">
        <w:rPr>
          <w:lang w:val="en-AU"/>
        </w:rPr>
        <w:t xml:space="preserve"> Lèvesque,</w:t>
      </w:r>
      <w:r w:rsidRPr="007E252F">
        <w:rPr>
          <w:szCs w:val="20"/>
          <w:lang w:val="en-AU"/>
        </w:rPr>
        <w:t xml:space="preserve"> 1989; FAO/WHO, 2016). </w:t>
      </w:r>
    </w:p>
    <w:p w14:paraId="74C112D7" w14:textId="77777777" w:rsidR="007E252F" w:rsidRPr="007E252F" w:rsidRDefault="007E252F" w:rsidP="007E252F">
      <w:pPr>
        <w:widowControl/>
        <w:numPr>
          <w:ilvl w:val="0"/>
          <w:numId w:val="6"/>
        </w:numPr>
        <w:spacing w:before="120" w:after="120"/>
        <w:contextualSpacing/>
        <w:rPr>
          <w:b/>
          <w:szCs w:val="20"/>
          <w:lang w:val="en-AU"/>
        </w:rPr>
      </w:pPr>
      <w:r w:rsidRPr="007E252F">
        <w:rPr>
          <w:b/>
          <w:szCs w:val="20"/>
          <w:lang w:val="en-AU"/>
        </w:rPr>
        <w:t xml:space="preserve">Medicinal kava varieties. </w:t>
      </w:r>
      <w:r w:rsidRPr="007E252F">
        <w:rPr>
          <w:szCs w:val="20"/>
          <w:lang w:val="en-AU"/>
        </w:rPr>
        <w:t>Medicinal kava are used by Pacific herbalists in traditional medicines (FAO/WHO, 2016).</w:t>
      </w:r>
    </w:p>
    <w:p w14:paraId="2DFCAE87" w14:textId="77777777" w:rsidR="007E252F" w:rsidRPr="007E252F" w:rsidRDefault="007E252F" w:rsidP="007E252F">
      <w:pPr>
        <w:widowControl/>
        <w:numPr>
          <w:ilvl w:val="0"/>
          <w:numId w:val="6"/>
        </w:numPr>
        <w:spacing w:before="120" w:after="120"/>
        <w:contextualSpacing/>
        <w:rPr>
          <w:b/>
          <w:szCs w:val="20"/>
          <w:lang w:val="en-AU"/>
        </w:rPr>
      </w:pPr>
      <w:r w:rsidRPr="007E252F">
        <w:rPr>
          <w:b/>
          <w:szCs w:val="20"/>
          <w:lang w:val="en-AU"/>
        </w:rPr>
        <w:t xml:space="preserve">Wild kava. </w:t>
      </w:r>
      <w:r w:rsidRPr="007E252F">
        <w:rPr>
          <w:szCs w:val="20"/>
          <w:lang w:val="en-AU"/>
        </w:rPr>
        <w:t>Wild kava (</w:t>
      </w:r>
      <w:r w:rsidRPr="007E252F">
        <w:rPr>
          <w:i/>
          <w:szCs w:val="20"/>
          <w:lang w:val="en-AU"/>
        </w:rPr>
        <w:t>Piper wichmanni</w:t>
      </w:r>
      <w:r w:rsidRPr="007E252F">
        <w:rPr>
          <w:szCs w:val="20"/>
          <w:lang w:val="en-AU"/>
        </w:rPr>
        <w:t xml:space="preserve">) is closely related to </w:t>
      </w:r>
      <w:r w:rsidRPr="007E252F">
        <w:rPr>
          <w:i/>
          <w:szCs w:val="20"/>
          <w:lang w:val="en-AU"/>
        </w:rPr>
        <w:t>P. methysticum</w:t>
      </w:r>
      <w:r w:rsidRPr="007E252F">
        <w:rPr>
          <w:szCs w:val="20"/>
          <w:lang w:val="en-AU"/>
        </w:rPr>
        <w:t>. Wild kavas are not used to make kava beverage or used in traditional medicines (FAO/WHO, 2016).</w:t>
      </w:r>
    </w:p>
    <w:p w14:paraId="51C04496" w14:textId="77777777" w:rsidR="007E252F" w:rsidRPr="007E252F" w:rsidRDefault="007E252F" w:rsidP="007E252F">
      <w:pPr>
        <w:widowControl/>
        <w:rPr>
          <w:szCs w:val="20"/>
          <w:lang w:val="en-AU"/>
        </w:rPr>
      </w:pPr>
      <w:r w:rsidRPr="007E252F">
        <w:rPr>
          <w:szCs w:val="20"/>
          <w:lang w:val="en-AU"/>
        </w:rPr>
        <w:t>There is international acceptance of the importance for using noble kava plant varieties to make kava beverage, outlined in the Codex Alimentarius regional standard for kava products, Vanuatu’s Kava Act (2002) and national kava standards of Vanuatu, Fiji, Samoa and Tonga (Appendix 1).</w:t>
      </w:r>
    </w:p>
    <w:p w14:paraId="58141CA3" w14:textId="77777777" w:rsidR="007E252F" w:rsidRPr="007E252F" w:rsidRDefault="007E252F" w:rsidP="007E252F">
      <w:pPr>
        <w:widowControl/>
        <w:rPr>
          <w:lang w:val="en-AU" w:bidi="ar-SA"/>
        </w:rPr>
      </w:pPr>
    </w:p>
    <w:p w14:paraId="169B7382" w14:textId="23DAE3E5" w:rsidR="007E252F" w:rsidRPr="007E252F" w:rsidRDefault="007E252F" w:rsidP="007E252F">
      <w:pPr>
        <w:widowControl/>
        <w:rPr>
          <w:i/>
          <w:lang w:val="en-AU" w:bidi="ar-SA"/>
        </w:rPr>
      </w:pPr>
      <w:r w:rsidRPr="007E252F">
        <w:rPr>
          <w:lang w:val="en-AU" w:bidi="ar-SA"/>
        </w:rPr>
        <w:t xml:space="preserve">Standard 2.6.3 of the Code </w:t>
      </w:r>
      <w:r w:rsidR="001F2810">
        <w:rPr>
          <w:lang w:val="en-AU" w:bidi="ar-SA"/>
        </w:rPr>
        <w:t xml:space="preserve">defines kava as “plants of the species </w:t>
      </w:r>
      <w:r w:rsidRPr="007E252F">
        <w:rPr>
          <w:i/>
          <w:lang w:val="en-AU" w:bidi="ar-SA"/>
        </w:rPr>
        <w:t>P. methysticum</w:t>
      </w:r>
      <w:r w:rsidR="001F2810">
        <w:rPr>
          <w:lang w:val="en-AU" w:bidi="ar-SA"/>
        </w:rPr>
        <w:t>”</w:t>
      </w:r>
      <w:r w:rsidR="001F2810">
        <w:rPr>
          <w:i/>
          <w:lang w:val="en-AU" w:bidi="ar-SA"/>
        </w:rPr>
        <w:t>.</w:t>
      </w:r>
      <w:r w:rsidRPr="007E252F">
        <w:rPr>
          <w:lang w:val="en-AU" w:bidi="ar-SA"/>
        </w:rPr>
        <w:t xml:space="preserve"> </w:t>
      </w:r>
      <w:r w:rsidR="001F2810">
        <w:rPr>
          <w:lang w:val="en-AU" w:bidi="ar-SA"/>
        </w:rPr>
        <w:t>It</w:t>
      </w:r>
      <w:r w:rsidRPr="007E252F">
        <w:rPr>
          <w:lang w:val="en-AU" w:bidi="ar-SA"/>
        </w:rPr>
        <w:t xml:space="preserve"> does not differentiate noble kava</w:t>
      </w:r>
      <w:r w:rsidR="001F2810">
        <w:rPr>
          <w:lang w:val="en-AU" w:bidi="ar-SA"/>
        </w:rPr>
        <w:t xml:space="preserve"> varietie</w:t>
      </w:r>
      <w:r w:rsidR="00872217">
        <w:rPr>
          <w:lang w:val="en-AU" w:bidi="ar-SA"/>
        </w:rPr>
        <w:t>s</w:t>
      </w:r>
      <w:r w:rsidRPr="007E252F">
        <w:rPr>
          <w:lang w:val="en-AU" w:bidi="ar-SA"/>
        </w:rPr>
        <w:t xml:space="preserve"> from tu-dei or medicinal varieties.</w:t>
      </w:r>
    </w:p>
    <w:p w14:paraId="64AAF0FB" w14:textId="77777777" w:rsidR="007E252F" w:rsidRPr="007E252F" w:rsidRDefault="007E252F" w:rsidP="007E252F">
      <w:pPr>
        <w:widowControl/>
        <w:rPr>
          <w:lang w:val="en-AU" w:bidi="ar-SA"/>
        </w:rPr>
      </w:pPr>
    </w:p>
    <w:p w14:paraId="0CEBB437" w14:textId="77777777" w:rsidR="007E252F" w:rsidRPr="007E252F" w:rsidRDefault="007E252F" w:rsidP="007E252F">
      <w:pPr>
        <w:keepNext/>
        <w:widowControl/>
        <w:outlineLvl w:val="1"/>
        <w:rPr>
          <w:rFonts w:cs="Arial"/>
          <w:b/>
          <w:bCs/>
          <w:sz w:val="28"/>
          <w:szCs w:val="22"/>
          <w:lang w:val="en-AU" w:bidi="ar-SA"/>
        </w:rPr>
      </w:pPr>
      <w:bookmarkStart w:id="48" w:name="_Toc82168570"/>
      <w:bookmarkStart w:id="49" w:name="_Toc83287709"/>
      <w:bookmarkStart w:id="50" w:name="_Toc83297171"/>
      <w:bookmarkStart w:id="51" w:name="_Toc83324791"/>
      <w:bookmarkStart w:id="52" w:name="_Toc95830164"/>
      <w:r w:rsidRPr="007E252F">
        <w:rPr>
          <w:rFonts w:cs="Arial"/>
          <w:b/>
          <w:bCs/>
          <w:sz w:val="28"/>
          <w:szCs w:val="22"/>
          <w:lang w:val="en-AU" w:bidi="ar-SA"/>
        </w:rPr>
        <w:t>1.4</w:t>
      </w:r>
      <w:r w:rsidRPr="007E252F">
        <w:rPr>
          <w:rFonts w:cs="Arial"/>
          <w:b/>
          <w:bCs/>
          <w:sz w:val="28"/>
          <w:szCs w:val="22"/>
          <w:lang w:val="en-AU" w:bidi="ar-SA"/>
        </w:rPr>
        <w:tab/>
        <w:t>Other uses of kava</w:t>
      </w:r>
      <w:bookmarkEnd w:id="48"/>
      <w:bookmarkEnd w:id="49"/>
      <w:bookmarkEnd w:id="50"/>
      <w:bookmarkEnd w:id="51"/>
      <w:bookmarkEnd w:id="52"/>
    </w:p>
    <w:p w14:paraId="496D4C17" w14:textId="77777777" w:rsidR="007E252F" w:rsidRPr="007E252F" w:rsidRDefault="007E252F" w:rsidP="007E252F">
      <w:pPr>
        <w:widowControl/>
        <w:rPr>
          <w:lang w:val="en-AU" w:bidi="ar-SA"/>
        </w:rPr>
      </w:pPr>
    </w:p>
    <w:p w14:paraId="010CEB58" w14:textId="77777777" w:rsidR="007E252F" w:rsidRPr="007E252F" w:rsidRDefault="007E252F" w:rsidP="007E252F">
      <w:pPr>
        <w:widowControl/>
        <w:rPr>
          <w:lang w:val="en-AU" w:bidi="ar-SA"/>
        </w:rPr>
      </w:pPr>
      <w:r w:rsidRPr="007E252F">
        <w:rPr>
          <w:lang w:val="en-AU" w:bidi="ar-SA"/>
        </w:rPr>
        <w:t xml:space="preserve">Only kava root, or kava beverage obtained by aqueous suspension of kava root, is currently permitted for sale by the Code. </w:t>
      </w:r>
    </w:p>
    <w:p w14:paraId="67AD5267" w14:textId="77777777" w:rsidR="007E252F" w:rsidRPr="007E252F" w:rsidRDefault="007E252F" w:rsidP="007E252F">
      <w:pPr>
        <w:widowControl/>
        <w:rPr>
          <w:lang w:val="en-AU" w:bidi="ar-SA"/>
        </w:rPr>
      </w:pPr>
    </w:p>
    <w:p w14:paraId="7F3F258A" w14:textId="77777777" w:rsidR="007E252F" w:rsidRPr="007E252F" w:rsidRDefault="007E252F" w:rsidP="007E252F">
      <w:pPr>
        <w:widowControl/>
      </w:pPr>
      <w:r w:rsidRPr="007E252F">
        <w:t>Commercial herbal extracts of kava</w:t>
      </w:r>
      <w:r w:rsidRPr="007E252F">
        <w:rPr>
          <w:lang w:val="en-AU" w:bidi="ar-SA"/>
        </w:rPr>
        <w:t xml:space="preserve"> are used in therapeutic goods in New Zealand and in complementary medicines listed on the Australian Register of Therapeutic Goods. Kava extracts are </w:t>
      </w:r>
      <w:r w:rsidRPr="007E252F">
        <w:t xml:space="preserve">water or organic solvent extracts from kava plant, standardised to contain the maximum yield of kavalactones, the pharmacologically active compounds present in kava beverage (WHO, 2008; White, 2018). </w:t>
      </w:r>
    </w:p>
    <w:p w14:paraId="3490088F" w14:textId="77777777" w:rsidR="007E252F" w:rsidRPr="007E252F" w:rsidRDefault="007E252F" w:rsidP="007E252F">
      <w:pPr>
        <w:widowControl/>
      </w:pPr>
    </w:p>
    <w:p w14:paraId="14A51F4F" w14:textId="77777777" w:rsidR="007E252F" w:rsidRPr="007E252F" w:rsidRDefault="007E252F" w:rsidP="007E252F">
      <w:pPr>
        <w:widowControl/>
        <w:rPr>
          <w:lang w:val="en-AU" w:bidi="ar-SA"/>
        </w:rPr>
      </w:pPr>
      <w:r w:rsidRPr="007E252F">
        <w:rPr>
          <w:lang w:val="en-AU" w:bidi="ar-SA"/>
        </w:rPr>
        <w:t xml:space="preserve">Kava extracts are prohibited as an ingredient in food in the Code (Standard 1.1.1), and are a listed </w:t>
      </w:r>
      <w:r w:rsidRPr="007E252F">
        <w:rPr>
          <w:lang w:val="en-AU"/>
        </w:rPr>
        <w:t>prohibited substance for use as an ingredient in supplemented foods in the New Zealand Food (Supplemented Food) Standard 2016 (Part 1.11).</w:t>
      </w:r>
    </w:p>
    <w:p w14:paraId="1DAEC682" w14:textId="77777777" w:rsidR="007E252F" w:rsidRPr="007E252F" w:rsidRDefault="007E252F" w:rsidP="007E252F">
      <w:pPr>
        <w:widowControl/>
        <w:rPr>
          <w:lang w:val="en-AU" w:bidi="ar-SA"/>
        </w:rPr>
      </w:pPr>
    </w:p>
    <w:p w14:paraId="55023487" w14:textId="77777777" w:rsidR="007E252F" w:rsidRPr="007E252F" w:rsidRDefault="007E252F" w:rsidP="007E252F">
      <w:pPr>
        <w:widowControl/>
        <w:rPr>
          <w:lang w:val="en-AU" w:bidi="ar-SA"/>
        </w:rPr>
      </w:pPr>
      <w:r w:rsidRPr="007E252F">
        <w:lastRenderedPageBreak/>
        <w:t>Kava extracts are used</w:t>
      </w:r>
      <w:r w:rsidRPr="007E252F">
        <w:rPr>
          <w:lang w:val="en-AU" w:bidi="ar-SA"/>
        </w:rPr>
        <w:t xml:space="preserve"> for the treatment of anxiety, insomnia, premenstrual syndrome and stress (White, 2018). </w:t>
      </w:r>
    </w:p>
    <w:p w14:paraId="50A60DF0" w14:textId="77777777" w:rsidR="007E252F" w:rsidRPr="007E252F" w:rsidRDefault="007E252F" w:rsidP="007E252F">
      <w:pPr>
        <w:widowControl/>
        <w:rPr>
          <w:lang w:val="en-AU" w:bidi="ar-SA"/>
        </w:rPr>
      </w:pPr>
    </w:p>
    <w:p w14:paraId="0D718370" w14:textId="77777777" w:rsidR="007E252F" w:rsidRPr="007E252F" w:rsidRDefault="007E252F" w:rsidP="007E252F">
      <w:pPr>
        <w:widowControl/>
        <w:rPr>
          <w:lang w:val="en-AU" w:bidi="ar-SA"/>
        </w:rPr>
      </w:pPr>
      <w:r w:rsidRPr="007E252F">
        <w:rPr>
          <w:lang w:val="en-AU" w:bidi="ar-SA"/>
        </w:rPr>
        <w:t xml:space="preserve">Kava (including kavalactone extract) is currently listed as a Schedule 4 medicine in the </w:t>
      </w:r>
      <w:hyperlink r:id="rId15" w:history="1">
        <w:r w:rsidRPr="007E252F">
          <w:rPr>
            <w:color w:val="3333FF"/>
            <w:u w:val="single"/>
            <w:lang w:val="en-AU" w:bidi="ar-SA"/>
          </w:rPr>
          <w:t>Poisons Standard</w:t>
        </w:r>
      </w:hyperlink>
      <w:r w:rsidRPr="007E252F">
        <w:rPr>
          <w:vertAlign w:val="superscript"/>
          <w:lang w:val="en-AU" w:bidi="ar-SA"/>
        </w:rPr>
        <w:footnoteReference w:id="1"/>
      </w:r>
      <w:r w:rsidRPr="007E252F">
        <w:rPr>
          <w:lang w:val="en-AU" w:bidi="ar-SA"/>
        </w:rPr>
        <w:t>, except when included in approved products on the Australian Register of Therapeutic Goods.</w:t>
      </w:r>
    </w:p>
    <w:p w14:paraId="56CC0B98" w14:textId="77777777" w:rsidR="007E252F" w:rsidRPr="007E252F" w:rsidRDefault="007E252F" w:rsidP="007E252F">
      <w:pPr>
        <w:widowControl/>
        <w:rPr>
          <w:lang w:val="en-AU" w:bidi="ar-SA"/>
        </w:rPr>
      </w:pPr>
    </w:p>
    <w:p w14:paraId="6CE5B0FD" w14:textId="77777777" w:rsidR="007E252F" w:rsidRPr="007E252F" w:rsidRDefault="007E252F" w:rsidP="007E252F">
      <w:pPr>
        <w:keepNext/>
        <w:keepLines/>
        <w:widowControl/>
        <w:numPr>
          <w:ilvl w:val="0"/>
          <w:numId w:val="4"/>
        </w:numPr>
        <w:spacing w:before="240" w:after="240"/>
        <w:outlineLvl w:val="0"/>
        <w:rPr>
          <w:b/>
          <w:bCs/>
          <w:sz w:val="36"/>
          <w:szCs w:val="28"/>
          <w:lang w:val="en-AU" w:bidi="ar-SA"/>
        </w:rPr>
      </w:pPr>
      <w:bookmarkStart w:id="53" w:name="_Toc82168571"/>
      <w:bookmarkStart w:id="54" w:name="_Toc83287710"/>
      <w:bookmarkStart w:id="55" w:name="_Toc83297172"/>
      <w:bookmarkStart w:id="56" w:name="_Toc83324792"/>
      <w:bookmarkStart w:id="57" w:name="_Toc95830165"/>
      <w:bookmarkStart w:id="58" w:name="_Toc72504645"/>
      <w:r w:rsidRPr="007E252F">
        <w:rPr>
          <w:b/>
          <w:bCs/>
          <w:sz w:val="36"/>
          <w:szCs w:val="28"/>
          <w:lang w:val="en-AU" w:bidi="ar-SA"/>
        </w:rPr>
        <w:t>Composition and properties</w:t>
      </w:r>
      <w:bookmarkEnd w:id="53"/>
      <w:bookmarkEnd w:id="54"/>
      <w:bookmarkEnd w:id="55"/>
      <w:bookmarkEnd w:id="56"/>
      <w:bookmarkEnd w:id="57"/>
      <w:r w:rsidRPr="007E252F">
        <w:rPr>
          <w:b/>
          <w:bCs/>
          <w:sz w:val="36"/>
          <w:szCs w:val="28"/>
          <w:lang w:val="en-AU" w:bidi="ar-SA"/>
        </w:rPr>
        <w:t xml:space="preserve"> </w:t>
      </w:r>
      <w:bookmarkStart w:id="59" w:name="_Toc25667595"/>
      <w:bookmarkStart w:id="60" w:name="_Toc70520105"/>
      <w:bookmarkStart w:id="61" w:name="_Toc70587638"/>
      <w:bookmarkStart w:id="62" w:name="_Toc71545270"/>
      <w:bookmarkStart w:id="63" w:name="_Toc72504646"/>
      <w:bookmarkStart w:id="64" w:name="_Toc74035733"/>
      <w:bookmarkStart w:id="65" w:name="_Toc74056534"/>
      <w:bookmarkStart w:id="66" w:name="_Toc74665239"/>
      <w:bookmarkEnd w:id="58"/>
    </w:p>
    <w:p w14:paraId="42C3D3E5" w14:textId="77777777" w:rsidR="007E252F" w:rsidRPr="007E252F" w:rsidRDefault="007E252F" w:rsidP="007E252F">
      <w:pPr>
        <w:keepNext/>
        <w:widowControl/>
        <w:outlineLvl w:val="1"/>
        <w:rPr>
          <w:rFonts w:cs="Arial"/>
          <w:b/>
          <w:bCs/>
          <w:sz w:val="28"/>
          <w:szCs w:val="22"/>
          <w:lang w:bidi="ar-SA"/>
        </w:rPr>
      </w:pPr>
      <w:bookmarkStart w:id="67" w:name="_Toc95830166"/>
      <w:r w:rsidRPr="007E252F">
        <w:rPr>
          <w:rFonts w:cs="Arial"/>
          <w:b/>
          <w:bCs/>
          <w:sz w:val="28"/>
          <w:szCs w:val="22"/>
          <w:lang w:val="en-AU" w:bidi="ar-SA"/>
        </w:rPr>
        <w:t>2.1</w:t>
      </w:r>
      <w:r w:rsidRPr="007E252F">
        <w:rPr>
          <w:rFonts w:cs="Arial"/>
          <w:b/>
          <w:bCs/>
          <w:sz w:val="28"/>
          <w:szCs w:val="22"/>
          <w:lang w:val="en-AU" w:bidi="ar-SA"/>
        </w:rPr>
        <w:tab/>
        <w:t>K</w:t>
      </w:r>
      <w:r w:rsidRPr="007E252F">
        <w:rPr>
          <w:rFonts w:cs="Arial"/>
          <w:b/>
          <w:bCs/>
          <w:sz w:val="28"/>
          <w:szCs w:val="22"/>
          <w:lang w:bidi="ar-SA"/>
        </w:rPr>
        <w:t>ava beverage</w:t>
      </w:r>
      <w:bookmarkEnd w:id="67"/>
    </w:p>
    <w:p w14:paraId="6DA4C6F0" w14:textId="77777777" w:rsidR="007E252F" w:rsidRPr="007E252F" w:rsidRDefault="007E252F" w:rsidP="007E252F">
      <w:pPr>
        <w:widowControl/>
        <w:rPr>
          <w:lang w:bidi="ar-SA"/>
        </w:rPr>
      </w:pPr>
    </w:p>
    <w:p w14:paraId="6570E1B7" w14:textId="77777777" w:rsidR="007E252F" w:rsidRPr="007E252F" w:rsidRDefault="007E252F" w:rsidP="007E252F">
      <w:pPr>
        <w:widowControl/>
        <w:rPr>
          <w:lang w:bidi="ar-SA"/>
        </w:rPr>
      </w:pPr>
      <w:r w:rsidRPr="007E252F">
        <w:rPr>
          <w:lang w:bidi="ar-SA"/>
        </w:rPr>
        <w:t>Fresh kava rootstock contains 80% water, while dried rootstock consists of approximately 43% starch, 20% fibre, 12% water, 3.2% sugars, 3.6% proteins, 3.2% minerals and 15% (3-20%) kavalactones (Lebot et al., 1992). Minor chemical components (less than 1%) include flavokawains and piperidine alkaloids (Dragull et al., 2003; Lebot et al., 2014).</w:t>
      </w:r>
    </w:p>
    <w:p w14:paraId="3690257D" w14:textId="77777777" w:rsidR="007E252F" w:rsidRPr="007E252F" w:rsidRDefault="007E252F" w:rsidP="007E252F">
      <w:pPr>
        <w:widowControl/>
        <w:rPr>
          <w:lang w:val="en-AU" w:bidi="ar-SA"/>
        </w:rPr>
      </w:pPr>
    </w:p>
    <w:p w14:paraId="52FAF77D" w14:textId="77777777" w:rsidR="007E252F" w:rsidRPr="007E252F" w:rsidRDefault="007E252F" w:rsidP="007E252F">
      <w:pPr>
        <w:widowControl/>
        <w:rPr>
          <w:i/>
          <w:u w:val="single"/>
        </w:rPr>
      </w:pPr>
      <w:bookmarkStart w:id="68" w:name="_Toc82168572"/>
      <w:bookmarkStart w:id="69" w:name="_Toc83287711"/>
      <w:bookmarkStart w:id="70" w:name="_Toc83297173"/>
      <w:bookmarkStart w:id="71" w:name="_Toc83324793"/>
      <w:bookmarkEnd w:id="59"/>
      <w:bookmarkEnd w:id="60"/>
      <w:bookmarkEnd w:id="61"/>
      <w:bookmarkEnd w:id="62"/>
      <w:bookmarkEnd w:id="63"/>
      <w:bookmarkEnd w:id="64"/>
      <w:bookmarkEnd w:id="65"/>
      <w:bookmarkEnd w:id="66"/>
      <w:r w:rsidRPr="007E252F">
        <w:rPr>
          <w:i/>
          <w:u w:val="single"/>
        </w:rPr>
        <w:t>Kavalactones</w:t>
      </w:r>
      <w:bookmarkEnd w:id="68"/>
      <w:bookmarkEnd w:id="69"/>
      <w:bookmarkEnd w:id="70"/>
      <w:bookmarkEnd w:id="71"/>
    </w:p>
    <w:p w14:paraId="00F55067" w14:textId="77777777" w:rsidR="007E252F" w:rsidRPr="007E252F" w:rsidRDefault="007E252F" w:rsidP="007E252F">
      <w:pPr>
        <w:widowControl/>
        <w:rPr>
          <w:lang w:bidi="ar-SA"/>
        </w:rPr>
      </w:pPr>
    </w:p>
    <w:p w14:paraId="5E1A38A9" w14:textId="77777777" w:rsidR="007E252F" w:rsidRPr="007E252F" w:rsidRDefault="007E252F" w:rsidP="007E252F">
      <w:pPr>
        <w:widowControl/>
        <w:rPr>
          <w:lang w:bidi="ar-SA"/>
        </w:rPr>
      </w:pPr>
      <w:r w:rsidRPr="007E252F">
        <w:rPr>
          <w:lang w:bidi="ar-SA"/>
        </w:rPr>
        <w:t xml:space="preserve">Kavalactones (also referred to as kavapyrones) are 4-methoxy-2-pyrones with phenyl or styryl substitutes at the 6th position (Appendix 1; Lebot et al., 1997). They are lipophilic compounds that are sparingly soluble in water and ethanol (Appendix 2; Lebot et al., 1992). </w:t>
      </w:r>
    </w:p>
    <w:p w14:paraId="2EFCA2E8" w14:textId="77777777" w:rsidR="007E252F" w:rsidRPr="007E252F" w:rsidRDefault="007E252F" w:rsidP="007E252F">
      <w:pPr>
        <w:widowControl/>
        <w:rPr>
          <w:lang w:bidi="ar-SA"/>
        </w:rPr>
      </w:pPr>
    </w:p>
    <w:p w14:paraId="2D0278B9" w14:textId="77777777" w:rsidR="007E252F" w:rsidRPr="007E252F" w:rsidRDefault="007E252F" w:rsidP="007E252F">
      <w:pPr>
        <w:widowControl/>
        <w:rPr>
          <w:lang w:bidi="ar-SA"/>
        </w:rPr>
      </w:pPr>
      <w:r w:rsidRPr="007E252F">
        <w:rPr>
          <w:lang w:bidi="ar-SA"/>
        </w:rPr>
        <w:t>The total kavalactone content in kava varies from 3% to 20% of dry weight, depending on subspecies, growth conditions and plant component. Concentrations of kavalactones are highest in the lateral roots and decrease progressively towards the aerial parts of the plant (Lebot and Lèvesque, 1996). Some tu-dei varieties are known to have higher kavalactone concentrations than the noble kava plant varieties (Lebot and Lèvesque, 1996; Bian et al., 2020).</w:t>
      </w:r>
    </w:p>
    <w:p w14:paraId="52DE0DE6" w14:textId="77777777" w:rsidR="007E252F" w:rsidRPr="007E252F" w:rsidRDefault="007E252F" w:rsidP="007E252F">
      <w:pPr>
        <w:widowControl/>
        <w:rPr>
          <w:lang w:bidi="ar-SA"/>
        </w:rPr>
      </w:pPr>
    </w:p>
    <w:p w14:paraId="2BC80F57" w14:textId="77777777" w:rsidR="007E252F" w:rsidRPr="007E252F" w:rsidRDefault="007E252F" w:rsidP="007E252F">
      <w:pPr>
        <w:widowControl/>
        <w:rPr>
          <w:lang w:bidi="ar-SA"/>
        </w:rPr>
      </w:pPr>
      <w:r w:rsidRPr="007E252F">
        <w:rPr>
          <w:lang w:bidi="ar-SA"/>
        </w:rPr>
        <w:t>There are six major kavalactones and up to thirteen minor kavalactones extracted from the root extracts of the kava plant (Appendix 2). Kavalactones are subject to degradation when stored at room temperature, such that the pharmacological effects of stored kava plant material becomes diminished over time (Duve &amp; Prasad, 1983)</w:t>
      </w:r>
    </w:p>
    <w:p w14:paraId="35014DD4" w14:textId="77777777" w:rsidR="007E252F" w:rsidRPr="007E252F" w:rsidRDefault="007E252F" w:rsidP="007E252F">
      <w:pPr>
        <w:widowControl/>
        <w:rPr>
          <w:lang w:val="en-AU" w:bidi="ar-SA"/>
        </w:rPr>
      </w:pPr>
    </w:p>
    <w:p w14:paraId="0E1393F6" w14:textId="77777777" w:rsidR="007E252F" w:rsidRPr="007E252F" w:rsidRDefault="007E252F" w:rsidP="007E252F">
      <w:pPr>
        <w:widowControl/>
        <w:rPr>
          <w:i/>
          <w:u w:val="single"/>
          <w:lang w:val="en-AU" w:bidi="ar-SA"/>
        </w:rPr>
      </w:pPr>
      <w:r w:rsidRPr="007E252F">
        <w:rPr>
          <w:i/>
          <w:u w:val="single"/>
          <w:lang w:val="en-AU" w:bidi="ar-SA"/>
        </w:rPr>
        <w:t>Minor kava components</w:t>
      </w:r>
    </w:p>
    <w:p w14:paraId="202004F5" w14:textId="77777777" w:rsidR="007E252F" w:rsidRPr="007E252F" w:rsidRDefault="007E252F" w:rsidP="007E252F">
      <w:pPr>
        <w:widowControl/>
        <w:rPr>
          <w:lang w:val="en-AU" w:bidi="ar-SA"/>
        </w:rPr>
      </w:pPr>
    </w:p>
    <w:p w14:paraId="076AF483" w14:textId="77777777" w:rsidR="007E252F" w:rsidRPr="007E252F" w:rsidRDefault="007E252F" w:rsidP="007E252F">
      <w:pPr>
        <w:widowControl/>
        <w:rPr>
          <w:lang w:val="en-AU" w:bidi="ar-SA"/>
        </w:rPr>
      </w:pPr>
      <w:r w:rsidRPr="007E252F">
        <w:rPr>
          <w:lang w:val="en-AU" w:bidi="ar-SA"/>
        </w:rPr>
        <w:t>In addition to the kavalactones, chalcones and alkaloids are other biologically relevant compounds found in kava plant.</w:t>
      </w:r>
    </w:p>
    <w:p w14:paraId="2D330056" w14:textId="77777777" w:rsidR="007E252F" w:rsidRPr="007E252F" w:rsidRDefault="007E252F" w:rsidP="007E252F">
      <w:pPr>
        <w:widowControl/>
        <w:rPr>
          <w:lang w:val="en-AU" w:bidi="ar-SA"/>
        </w:rPr>
      </w:pPr>
    </w:p>
    <w:p w14:paraId="18A0A64E" w14:textId="77777777" w:rsidR="007E252F" w:rsidRPr="007E252F" w:rsidRDefault="007E252F" w:rsidP="007E252F">
      <w:pPr>
        <w:widowControl/>
        <w:rPr>
          <w:lang w:bidi="ar-SA"/>
        </w:rPr>
      </w:pPr>
      <w:r w:rsidRPr="007E252F">
        <w:rPr>
          <w:lang w:bidi="ar-SA"/>
        </w:rPr>
        <w:t>Flavokawain A, B and C are dihydrochalcones that can be extracted into kava beverage (Appendix 2; Lebot et al., 2014). Analytical testing has shown these flavokawains constitute less than 1% dry weight of the chemical component of kava plant. Tu-dei kava plant varieties were found to be higher in flavokawains when compared with noble kava varieties, but still at concentrations &lt; 1% (Lebot et al., 2014).</w:t>
      </w:r>
      <w:r w:rsidRPr="007E252F">
        <w:rPr>
          <w:i/>
          <w:lang w:val="en-AU" w:bidi="ar-SA"/>
        </w:rPr>
        <w:t xml:space="preserve"> </w:t>
      </w:r>
    </w:p>
    <w:p w14:paraId="6618C79D" w14:textId="77777777" w:rsidR="007E252F" w:rsidRPr="007E252F" w:rsidRDefault="007E252F" w:rsidP="007E252F">
      <w:pPr>
        <w:widowControl/>
        <w:rPr>
          <w:lang w:bidi="ar-SA"/>
        </w:rPr>
      </w:pPr>
    </w:p>
    <w:p w14:paraId="5FAEC499" w14:textId="77777777" w:rsidR="007E252F" w:rsidRPr="007E252F" w:rsidRDefault="007E252F" w:rsidP="007E252F">
      <w:pPr>
        <w:widowControl/>
        <w:rPr>
          <w:lang w:bidi="ar-SA"/>
        </w:rPr>
      </w:pPr>
      <w:r w:rsidRPr="007E252F">
        <w:rPr>
          <w:lang w:bidi="ar-SA"/>
        </w:rPr>
        <w:t xml:space="preserve">Five distinct alkaloids have been extracted from kava plant and are collectively called piperidine alkaloids (Appendix 2; Achenbach &amp; Karl, 1970; Dragull et al., 2003; Lechtenberg et al., 2008). Piperidine alkaloids, such as pipermethystine, are found at the highest levels in the aerial parts of the plant (Dragull et al., 2003). </w:t>
      </w:r>
    </w:p>
    <w:p w14:paraId="4EB9175E" w14:textId="77777777" w:rsidR="007E252F" w:rsidRPr="007E252F" w:rsidRDefault="007E252F" w:rsidP="007E252F">
      <w:pPr>
        <w:widowControl/>
        <w:rPr>
          <w:lang w:bidi="ar-SA"/>
        </w:rPr>
      </w:pPr>
    </w:p>
    <w:p w14:paraId="2DC25FAB" w14:textId="77777777" w:rsidR="007E252F" w:rsidRPr="007E252F" w:rsidRDefault="007E252F" w:rsidP="007E252F">
      <w:pPr>
        <w:keepNext/>
        <w:widowControl/>
        <w:outlineLvl w:val="1"/>
        <w:rPr>
          <w:rFonts w:cs="Arial"/>
          <w:b/>
          <w:bCs/>
          <w:sz w:val="28"/>
          <w:szCs w:val="22"/>
          <w:lang w:val="en-AU" w:bidi="ar-SA"/>
        </w:rPr>
      </w:pPr>
      <w:bookmarkStart w:id="72" w:name="_Toc95830167"/>
      <w:r w:rsidRPr="007E252F">
        <w:rPr>
          <w:rFonts w:cs="Arial"/>
          <w:b/>
          <w:bCs/>
          <w:sz w:val="28"/>
          <w:szCs w:val="22"/>
          <w:lang w:val="en-AU" w:bidi="ar-SA"/>
        </w:rPr>
        <w:lastRenderedPageBreak/>
        <w:t>2.2</w:t>
      </w:r>
      <w:r w:rsidRPr="007E252F">
        <w:rPr>
          <w:rFonts w:cs="Arial"/>
          <w:b/>
          <w:bCs/>
          <w:sz w:val="28"/>
          <w:szCs w:val="22"/>
          <w:lang w:val="en-AU" w:bidi="ar-SA"/>
        </w:rPr>
        <w:tab/>
        <w:t>Kava Beverage Quality</w:t>
      </w:r>
      <w:bookmarkEnd w:id="72"/>
    </w:p>
    <w:p w14:paraId="14DCF9E4" w14:textId="77777777" w:rsidR="007E252F" w:rsidRPr="007E252F" w:rsidRDefault="007E252F" w:rsidP="007E252F">
      <w:pPr>
        <w:widowControl/>
        <w:rPr>
          <w:lang w:val="en-AU" w:bidi="ar-SA"/>
        </w:rPr>
      </w:pPr>
    </w:p>
    <w:p w14:paraId="7C6B6057" w14:textId="77777777" w:rsidR="007E252F" w:rsidRPr="007E252F" w:rsidRDefault="007E252F" w:rsidP="007E252F">
      <w:pPr>
        <w:widowControl/>
        <w:rPr>
          <w:lang w:val="en-AU" w:bidi="ar-SA"/>
        </w:rPr>
      </w:pPr>
      <w:r w:rsidRPr="007E252F">
        <w:rPr>
          <w:lang w:val="en-AU" w:bidi="ar-SA"/>
        </w:rPr>
        <w:t xml:space="preserve">Kava beverage prepared from kava plant material that is contaminated with leaves, stems or bark, or that is not of a noble kava plant variety, can contain higher concentrations of flavokawains and piperidine alkaloids, and is considered to be toxic (Dragull et al., 2003; </w:t>
      </w:r>
      <w:r w:rsidRPr="007E252F">
        <w:rPr>
          <w:lang w:bidi="ar-SA"/>
        </w:rPr>
        <w:t xml:space="preserve">Lebot et al., 2014; </w:t>
      </w:r>
      <w:r w:rsidRPr="007E252F">
        <w:rPr>
          <w:lang w:val="en-AU"/>
        </w:rPr>
        <w:t>Martin et al., 2014)</w:t>
      </w:r>
      <w:r w:rsidRPr="007E252F">
        <w:rPr>
          <w:lang w:val="en-AU" w:bidi="ar-SA"/>
        </w:rPr>
        <w:t xml:space="preserve">. </w:t>
      </w:r>
    </w:p>
    <w:p w14:paraId="3E5BD281" w14:textId="77777777" w:rsidR="007E252F" w:rsidRPr="007E252F" w:rsidRDefault="007E252F" w:rsidP="007E252F">
      <w:pPr>
        <w:widowControl/>
        <w:rPr>
          <w:lang w:val="en-AU" w:bidi="ar-SA"/>
        </w:rPr>
      </w:pPr>
    </w:p>
    <w:p w14:paraId="63A78417" w14:textId="77777777" w:rsidR="007E252F" w:rsidRPr="007E252F" w:rsidRDefault="007E252F" w:rsidP="007E252F">
      <w:pPr>
        <w:widowControl/>
        <w:rPr>
          <w:lang w:val="en-AU" w:bidi="ar-SA"/>
        </w:rPr>
      </w:pPr>
      <w:r w:rsidRPr="007E252F">
        <w:rPr>
          <w:lang w:val="en-AU" w:bidi="ar-SA"/>
        </w:rPr>
        <w:t xml:space="preserve">Additionally, the tropical climate in kava-production regions places kava product at greater risk of contamination and spoilage from aflatoxin-producing </w:t>
      </w:r>
      <w:r w:rsidRPr="007E252F">
        <w:rPr>
          <w:i/>
          <w:lang w:val="en-AU" w:bidi="ar-SA"/>
        </w:rPr>
        <w:t>Aspergillus</w:t>
      </w:r>
      <w:r w:rsidRPr="007E252F">
        <w:rPr>
          <w:lang w:val="en-AU" w:bidi="ar-SA"/>
        </w:rPr>
        <w:t xml:space="preserve"> species and low levels of aflatoxins have been detected in kava root (Weaver &amp; Trucksess, 2010). Kava material becoming contaminated with aflatoxins has been proposed as a key risk factor in historical hepatotoxicity arising from consuming kava extracts (Teschke et al., 2012). However, aflatoxin concentrations have not been reported at levels that would pose a risk to human health, nor have any adverse events linked to the presence of aflatoxins in kava beverage been demonstrated (Rowe &amp; Ramzan, 2012).</w:t>
      </w:r>
    </w:p>
    <w:p w14:paraId="2C834F68" w14:textId="77777777" w:rsidR="007E252F" w:rsidRPr="007E252F" w:rsidRDefault="007E252F" w:rsidP="007E252F">
      <w:pPr>
        <w:widowControl/>
        <w:rPr>
          <w:lang w:val="en-AU" w:bidi="ar-SA"/>
        </w:rPr>
      </w:pPr>
    </w:p>
    <w:p w14:paraId="448A1595" w14:textId="77777777" w:rsidR="007E252F" w:rsidRPr="007E252F" w:rsidRDefault="007E252F" w:rsidP="007E252F">
      <w:pPr>
        <w:widowControl/>
        <w:rPr>
          <w:i/>
          <w:u w:val="single"/>
          <w:lang w:val="en-AU" w:bidi="ar-SA"/>
        </w:rPr>
      </w:pPr>
      <w:r w:rsidRPr="007E252F">
        <w:rPr>
          <w:i/>
          <w:u w:val="single"/>
          <w:lang w:val="en-AU" w:bidi="ar-SA"/>
        </w:rPr>
        <w:t>Kava quality testing</w:t>
      </w:r>
    </w:p>
    <w:p w14:paraId="006AD5F1" w14:textId="77777777" w:rsidR="007E252F" w:rsidRPr="007E252F" w:rsidRDefault="007E252F" w:rsidP="007E252F">
      <w:pPr>
        <w:widowControl/>
        <w:rPr>
          <w:lang w:val="en-AU" w:bidi="ar-SA"/>
        </w:rPr>
      </w:pPr>
    </w:p>
    <w:p w14:paraId="1D9E25BE" w14:textId="77777777" w:rsidR="007E252F" w:rsidRPr="007E252F" w:rsidRDefault="007E252F" w:rsidP="007E252F">
      <w:pPr>
        <w:widowControl/>
        <w:rPr>
          <w:lang w:val="en-AU" w:bidi="ar-SA"/>
        </w:rPr>
      </w:pPr>
      <w:r w:rsidRPr="007E252F">
        <w:rPr>
          <w:lang w:val="en-AU" w:bidi="ar-SA"/>
        </w:rPr>
        <w:t>Analytical quantification of relative kavalactone, flavokawains and piperidine alkaloid abundance in kava plant material can be an effective method for determining kava quality (Teschke &amp; Lebot, 2011; Tang et al., 2019). With established reference samples, kava quality parameters such as plant variety, kavalactone strength and likely contamination with bark, leaves or other aerial parts, could all be verified by enforcement agencies.</w:t>
      </w:r>
    </w:p>
    <w:p w14:paraId="571A9D6D" w14:textId="77777777" w:rsidR="007E252F" w:rsidRPr="007E252F" w:rsidRDefault="007E252F" w:rsidP="007E252F">
      <w:pPr>
        <w:widowControl/>
        <w:rPr>
          <w:lang w:val="en-AU" w:bidi="ar-SA"/>
        </w:rPr>
      </w:pPr>
    </w:p>
    <w:p w14:paraId="331634CE" w14:textId="77777777" w:rsidR="007E252F" w:rsidRPr="007E252F" w:rsidRDefault="007E252F" w:rsidP="007E252F">
      <w:pPr>
        <w:widowControl/>
        <w:rPr>
          <w:lang w:val="en-AU" w:bidi="ar-SA"/>
        </w:rPr>
      </w:pPr>
      <w:r w:rsidRPr="007E252F">
        <w:rPr>
          <w:lang w:val="en-AU" w:bidi="ar-SA"/>
        </w:rPr>
        <w:t xml:space="preserve">Laboratory testing of kava plant material occurs in the United States, supported by the American Kava Association (White, 2018). Private laboratory testing providers claim that testing methodology can identify kava cultivar, plant material adulteration and kavalactone concentration, as well as microbiological, pesticide and heavy metal contamination. </w:t>
      </w:r>
    </w:p>
    <w:p w14:paraId="75F488AB" w14:textId="77777777" w:rsidR="007E252F" w:rsidRPr="007E252F" w:rsidRDefault="007E252F" w:rsidP="007E252F">
      <w:pPr>
        <w:widowControl/>
        <w:rPr>
          <w:lang w:val="en-AU" w:bidi="ar-SA"/>
        </w:rPr>
      </w:pPr>
    </w:p>
    <w:p w14:paraId="412BED0D" w14:textId="77777777" w:rsidR="007E252F" w:rsidRPr="007E252F" w:rsidRDefault="007E252F" w:rsidP="007E252F">
      <w:pPr>
        <w:keepNext/>
        <w:widowControl/>
        <w:outlineLvl w:val="1"/>
        <w:rPr>
          <w:rFonts w:cs="Arial"/>
          <w:b/>
          <w:bCs/>
          <w:sz w:val="28"/>
          <w:szCs w:val="22"/>
          <w:lang w:val="en-AU" w:bidi="ar-SA"/>
        </w:rPr>
      </w:pPr>
      <w:bookmarkStart w:id="73" w:name="_Toc95830168"/>
      <w:r w:rsidRPr="007E252F">
        <w:rPr>
          <w:rFonts w:cs="Arial"/>
          <w:b/>
          <w:bCs/>
          <w:sz w:val="28"/>
          <w:szCs w:val="22"/>
          <w:lang w:val="en-AU" w:bidi="ar-SA"/>
        </w:rPr>
        <w:t>2.3</w:t>
      </w:r>
      <w:r w:rsidRPr="007E252F">
        <w:rPr>
          <w:rFonts w:cs="Arial"/>
          <w:b/>
          <w:bCs/>
          <w:sz w:val="28"/>
          <w:szCs w:val="22"/>
          <w:lang w:val="en-AU" w:bidi="ar-SA"/>
        </w:rPr>
        <w:tab/>
        <w:t>Medicinal products</w:t>
      </w:r>
      <w:bookmarkEnd w:id="73"/>
    </w:p>
    <w:p w14:paraId="4D31D8F9" w14:textId="77777777" w:rsidR="007E252F" w:rsidRPr="007E252F" w:rsidRDefault="007E252F" w:rsidP="007E252F">
      <w:pPr>
        <w:widowControl/>
        <w:rPr>
          <w:lang w:val="en-AU" w:bidi="ar-SA"/>
        </w:rPr>
      </w:pPr>
    </w:p>
    <w:p w14:paraId="0C5DACB7" w14:textId="77777777" w:rsidR="007E252F" w:rsidRPr="007E252F" w:rsidRDefault="007E252F" w:rsidP="007E252F">
      <w:pPr>
        <w:widowControl/>
      </w:pPr>
      <w:r w:rsidRPr="007E252F">
        <w:t xml:space="preserve">Kava extracts for medicinal purposes are sold as concentrated powders, capsules or liquid extracts, and are </w:t>
      </w:r>
      <w:r w:rsidRPr="007E252F">
        <w:rPr>
          <w:lang w:val="en-AU" w:bidi="ar-SA"/>
        </w:rPr>
        <w:t xml:space="preserve">manufactured to </w:t>
      </w:r>
      <w:r w:rsidRPr="007E252F">
        <w:t xml:space="preserve">maximise the extraction of kavalactones from plant material. </w:t>
      </w:r>
    </w:p>
    <w:p w14:paraId="00B79D4F" w14:textId="77777777" w:rsidR="007E252F" w:rsidRPr="007E252F" w:rsidRDefault="007E252F" w:rsidP="007E252F">
      <w:pPr>
        <w:widowControl/>
      </w:pPr>
    </w:p>
    <w:p w14:paraId="1F1A955A" w14:textId="77777777" w:rsidR="007E252F" w:rsidRPr="007E252F" w:rsidRDefault="007E252F" w:rsidP="007E252F">
      <w:pPr>
        <w:widowControl/>
        <w:rPr>
          <w:lang w:val="en-AU" w:bidi="ar-SA"/>
        </w:rPr>
      </w:pPr>
      <w:r w:rsidRPr="007E252F">
        <w:t>Organic solvents (60% and above of ethanol or acetone) are used to increase t</w:t>
      </w:r>
      <w:r w:rsidRPr="007E252F">
        <w:rPr>
          <w:lang w:val="en-AU" w:bidi="ar-SA"/>
        </w:rPr>
        <w:t xml:space="preserve">he total amount of kavalactones extracted from kava plant. These commercial kava extracts are generally standardised to contain approximately 30% kavalactones (Whitton et al., 2003; Brown et al., 2007). </w:t>
      </w:r>
    </w:p>
    <w:p w14:paraId="59E05345" w14:textId="77777777" w:rsidR="007E252F" w:rsidRPr="007E252F" w:rsidRDefault="007E252F" w:rsidP="007E252F">
      <w:pPr>
        <w:widowControl/>
        <w:rPr>
          <w:lang w:val="en-AU" w:bidi="ar-SA"/>
        </w:rPr>
      </w:pPr>
    </w:p>
    <w:p w14:paraId="0DE75E8A" w14:textId="77777777" w:rsidR="007E252F" w:rsidRPr="007E252F" w:rsidRDefault="007E252F" w:rsidP="007E252F">
      <w:pPr>
        <w:widowControl/>
      </w:pPr>
      <w:r w:rsidRPr="007E252F">
        <w:rPr>
          <w:lang w:val="en-AU" w:bidi="ar-SA"/>
        </w:rPr>
        <w:t xml:space="preserve">The kavalactone and flavokawain profile in commercial extracts differs from that of aqueous preparations. Kava extract prepared using ethanol has been reported to contain up to fifty times higher concentrations of flavokawains when compared to water extracts prepared using the same kava plant variety (Côté et al., 2004; Martin et al., 2014). Commercial extracts do not generally contain </w:t>
      </w:r>
      <w:r w:rsidRPr="007E252F">
        <w:t>proteins, amino acids or sugars (Xuan et al., 2008).</w:t>
      </w:r>
    </w:p>
    <w:p w14:paraId="00229579" w14:textId="77777777" w:rsidR="007E252F" w:rsidRPr="007E252F" w:rsidRDefault="007E252F" w:rsidP="007E252F">
      <w:pPr>
        <w:widowControl/>
      </w:pPr>
    </w:p>
    <w:p w14:paraId="49CD056B" w14:textId="77777777" w:rsidR="007E252F" w:rsidRPr="007E252F" w:rsidRDefault="007E252F" w:rsidP="007E252F">
      <w:pPr>
        <w:widowControl/>
        <w:rPr>
          <w:lang w:val="en-AU" w:bidi="ar-SA"/>
        </w:rPr>
      </w:pPr>
      <w:r w:rsidRPr="007E252F">
        <w:rPr>
          <w:lang w:val="en-AU" w:bidi="ar-SA"/>
        </w:rPr>
        <w:t xml:space="preserve">Kava extract preparations included on the Australian Register of Therapeutic Goods have a recommended maximum daily dose of 250 mg or less of kavalactones. </w:t>
      </w:r>
    </w:p>
    <w:p w14:paraId="5955B822" w14:textId="77777777" w:rsidR="007E252F" w:rsidRPr="007E252F" w:rsidRDefault="007E252F" w:rsidP="007E252F">
      <w:pPr>
        <w:widowControl/>
      </w:pPr>
    </w:p>
    <w:p w14:paraId="4885C58B" w14:textId="77777777" w:rsidR="007E252F" w:rsidRPr="007E252F" w:rsidRDefault="007E252F" w:rsidP="007E252F">
      <w:pPr>
        <w:widowControl/>
        <w:rPr>
          <w:lang w:val="en-AU" w:bidi="ar-SA"/>
        </w:rPr>
      </w:pPr>
    </w:p>
    <w:p w14:paraId="4EF8537E" w14:textId="77777777" w:rsidR="007E252F" w:rsidRPr="007E252F" w:rsidRDefault="007E252F" w:rsidP="007E252F">
      <w:pPr>
        <w:keepNext/>
        <w:widowControl/>
        <w:outlineLvl w:val="1"/>
        <w:rPr>
          <w:rFonts w:cs="Arial"/>
          <w:b/>
          <w:bCs/>
          <w:sz w:val="28"/>
          <w:szCs w:val="22"/>
          <w:lang w:val="en-AU" w:bidi="ar-SA"/>
        </w:rPr>
      </w:pPr>
      <w:bookmarkStart w:id="74" w:name="_Toc82168575"/>
      <w:bookmarkStart w:id="75" w:name="_Toc83287714"/>
      <w:bookmarkStart w:id="76" w:name="_Toc83297176"/>
      <w:bookmarkStart w:id="77" w:name="_Toc83324796"/>
      <w:bookmarkStart w:id="78" w:name="_Toc95830169"/>
      <w:bookmarkStart w:id="79" w:name="_Toc412023695"/>
      <w:bookmarkStart w:id="80" w:name="_Toc433120817"/>
      <w:bookmarkStart w:id="81" w:name="_Toc442711371"/>
      <w:bookmarkStart w:id="82" w:name="_Toc442868282"/>
      <w:bookmarkStart w:id="83" w:name="_Toc443409050"/>
      <w:bookmarkStart w:id="84" w:name="_Toc443465448"/>
      <w:r w:rsidRPr="007E252F">
        <w:rPr>
          <w:rFonts w:cs="Arial"/>
          <w:b/>
          <w:bCs/>
          <w:sz w:val="28"/>
          <w:szCs w:val="22"/>
          <w:lang w:val="en-AU" w:bidi="ar-SA"/>
        </w:rPr>
        <w:t>2.4</w:t>
      </w:r>
      <w:r w:rsidRPr="007E252F">
        <w:rPr>
          <w:rFonts w:cs="Arial"/>
          <w:b/>
          <w:bCs/>
          <w:sz w:val="28"/>
          <w:szCs w:val="22"/>
          <w:lang w:val="en-AU" w:bidi="ar-SA"/>
        </w:rPr>
        <w:tab/>
        <w:t>Pharmacological properties and pharmacokinetics</w:t>
      </w:r>
      <w:bookmarkEnd w:id="74"/>
      <w:bookmarkEnd w:id="75"/>
      <w:bookmarkEnd w:id="76"/>
      <w:bookmarkEnd w:id="77"/>
      <w:bookmarkEnd w:id="78"/>
      <w:r w:rsidRPr="007E252F">
        <w:rPr>
          <w:rFonts w:cs="Arial"/>
          <w:b/>
          <w:bCs/>
          <w:sz w:val="28"/>
          <w:szCs w:val="22"/>
          <w:lang w:val="en-AU" w:bidi="ar-SA"/>
        </w:rPr>
        <w:t xml:space="preserve"> </w:t>
      </w:r>
    </w:p>
    <w:p w14:paraId="27A7D521" w14:textId="77777777" w:rsidR="007E252F" w:rsidRPr="007E252F" w:rsidRDefault="007E252F" w:rsidP="007E252F">
      <w:pPr>
        <w:widowControl/>
      </w:pPr>
    </w:p>
    <w:p w14:paraId="6CA809FC" w14:textId="77777777" w:rsidR="007E252F" w:rsidRPr="007E252F" w:rsidRDefault="007E252F" w:rsidP="007E252F">
      <w:pPr>
        <w:widowControl/>
        <w:rPr>
          <w:i/>
          <w:u w:val="single"/>
        </w:rPr>
      </w:pPr>
      <w:r w:rsidRPr="007E252F">
        <w:rPr>
          <w:i/>
          <w:u w:val="single"/>
        </w:rPr>
        <w:t>Pharmacology</w:t>
      </w:r>
    </w:p>
    <w:p w14:paraId="0593EED4" w14:textId="77777777" w:rsidR="007E252F" w:rsidRPr="007E252F" w:rsidRDefault="007E252F" w:rsidP="007E252F">
      <w:pPr>
        <w:widowControl/>
        <w:rPr>
          <w:i/>
        </w:rPr>
      </w:pPr>
    </w:p>
    <w:p w14:paraId="173DEC3F" w14:textId="77777777" w:rsidR="007E252F" w:rsidRPr="007E252F" w:rsidRDefault="007E252F" w:rsidP="007E252F">
      <w:pPr>
        <w:widowControl/>
      </w:pPr>
      <w:r w:rsidRPr="007E252F">
        <w:lastRenderedPageBreak/>
        <w:t xml:space="preserve">Kavalactones have been reported to have psychopharmacological effects as well as muscle relaxant, local anaesthetic, anxiolytic and anticonvulsive properties. Moderate to high doses of kavalactones leads to drowsiness and sedation, without reducing cognitive performance (Cairney et al., 2002; LaPorte et al., 2011).  </w:t>
      </w:r>
    </w:p>
    <w:p w14:paraId="3D9CED53" w14:textId="77777777" w:rsidR="007E252F" w:rsidRPr="007E252F" w:rsidRDefault="007E252F" w:rsidP="007E252F">
      <w:pPr>
        <w:widowControl/>
      </w:pPr>
    </w:p>
    <w:p w14:paraId="48496B15" w14:textId="77777777" w:rsidR="007E252F" w:rsidRPr="007E252F" w:rsidRDefault="007E252F" w:rsidP="007E252F">
      <w:pPr>
        <w:widowControl/>
      </w:pPr>
      <w:r w:rsidRPr="007E252F">
        <w:t>A systematic review of clinical trials investigating the efficacy of kava extracts supported a small but statistically significant therapeutic effect on anxiety (Pittler &amp; Ernst, 2003; Smith &amp; Leiras, 2018). However, apparent differences were observed between kava extracts, and there were some concerns about reporting bias in the body of evidence (Pittler &amp; Ernst, 2003).</w:t>
      </w:r>
    </w:p>
    <w:p w14:paraId="439DEDFA" w14:textId="77777777" w:rsidR="007E252F" w:rsidRPr="007E252F" w:rsidRDefault="007E252F" w:rsidP="007E252F">
      <w:pPr>
        <w:widowControl/>
      </w:pPr>
    </w:p>
    <w:p w14:paraId="1CBF787F" w14:textId="77777777" w:rsidR="007E252F" w:rsidRPr="007E252F" w:rsidRDefault="007E252F" w:rsidP="007E252F">
      <w:pPr>
        <w:widowControl/>
      </w:pPr>
      <w:r w:rsidRPr="007E252F">
        <w:t xml:space="preserve">The mechanism of action of kavalactones has not been well established, but may involve direct interactions with voltage-operated ion channels or activities through the cognate receptors for </w:t>
      </w:r>
      <w:r w:rsidRPr="007E252F">
        <w:rPr>
          <w:rFonts w:cs="Arial"/>
        </w:rPr>
        <w:t>γ</w:t>
      </w:r>
      <w:r w:rsidRPr="007E252F">
        <w:t xml:space="preserve">-aminobutyric acid, serotonin, endocannabinoids and glycine (Bian et al., 2020). </w:t>
      </w:r>
    </w:p>
    <w:p w14:paraId="787E7075" w14:textId="77777777" w:rsidR="007E252F" w:rsidRPr="007E252F" w:rsidRDefault="007E252F" w:rsidP="007E252F">
      <w:pPr>
        <w:widowControl/>
      </w:pPr>
    </w:p>
    <w:p w14:paraId="25AD2DEB" w14:textId="77777777" w:rsidR="007E252F" w:rsidRPr="007E252F" w:rsidRDefault="007E252F" w:rsidP="007E252F">
      <w:pPr>
        <w:widowControl/>
        <w:rPr>
          <w:i/>
          <w:u w:val="single"/>
          <w:lang w:val="en-AU"/>
        </w:rPr>
      </w:pPr>
      <w:r w:rsidRPr="007E252F">
        <w:rPr>
          <w:i/>
          <w:u w:val="single"/>
          <w:lang w:val="en-AU"/>
        </w:rPr>
        <w:t>Pharmacokinetics</w:t>
      </w:r>
    </w:p>
    <w:p w14:paraId="7FC75C1F" w14:textId="77777777" w:rsidR="007E252F" w:rsidRPr="007E252F" w:rsidRDefault="007E252F" w:rsidP="007E252F">
      <w:pPr>
        <w:widowControl/>
        <w:rPr>
          <w:lang w:val="en-AU"/>
        </w:rPr>
      </w:pPr>
    </w:p>
    <w:p w14:paraId="1E26039B" w14:textId="77777777" w:rsidR="007E252F" w:rsidRPr="007E252F" w:rsidRDefault="007E252F" w:rsidP="007E252F">
      <w:pPr>
        <w:widowControl/>
        <w:rPr>
          <w:b/>
          <w:i/>
        </w:rPr>
      </w:pPr>
      <w:r w:rsidRPr="007E252F">
        <w:rPr>
          <w:b/>
          <w:i/>
        </w:rPr>
        <w:t>Kavalactones</w:t>
      </w:r>
    </w:p>
    <w:p w14:paraId="33650BFB" w14:textId="77777777" w:rsidR="007E252F" w:rsidRPr="007E252F" w:rsidRDefault="007E252F" w:rsidP="007E252F">
      <w:pPr>
        <w:widowControl/>
      </w:pPr>
    </w:p>
    <w:p w14:paraId="46895847" w14:textId="77777777" w:rsidR="007E252F" w:rsidRPr="007E252F" w:rsidRDefault="007E252F" w:rsidP="007E252F">
      <w:pPr>
        <w:widowControl/>
      </w:pPr>
      <w:r w:rsidRPr="007E252F">
        <w:t xml:space="preserve">Based on available data from human faeces and urine, kavalactone metabolism is complex and involves hydroxylation or demethylation by cytochrome P450 (CYP) monooxygenase enzymes in the liver, before undergoing sulfonation, glucuronidation or glutathione (GSH) conjugation (Tarbah et al., 2003; </w:t>
      </w:r>
      <w:r w:rsidRPr="007E252F">
        <w:rPr>
          <w:lang w:val="en-AU"/>
        </w:rPr>
        <w:t>Wang et al., 2019</w:t>
      </w:r>
      <w:r w:rsidRPr="007E252F">
        <w:t xml:space="preserve">). </w:t>
      </w:r>
    </w:p>
    <w:p w14:paraId="1E0C6932" w14:textId="77777777" w:rsidR="007E252F" w:rsidRPr="007E252F" w:rsidRDefault="007E252F" w:rsidP="007E252F">
      <w:pPr>
        <w:widowControl/>
      </w:pPr>
    </w:p>
    <w:p w14:paraId="5D2C6EFD" w14:textId="77777777" w:rsidR="007E252F" w:rsidRPr="007E252F" w:rsidRDefault="007E252F" w:rsidP="007E252F">
      <w:pPr>
        <w:widowControl/>
      </w:pPr>
      <w:r w:rsidRPr="007E252F">
        <w:t>Kavalactone metabolites or unchanged pyrones are excreted in the urine or faeces (</w:t>
      </w:r>
      <w:r w:rsidRPr="007E252F">
        <w:rPr>
          <w:lang w:bidi="ar-SA"/>
        </w:rPr>
        <w:t>Duffield et al., 1989; Tarbah et al., 2003; Mathews et al., 2005).</w:t>
      </w:r>
      <w:r w:rsidRPr="007E252F">
        <w:t xml:space="preserve"> </w:t>
      </w:r>
    </w:p>
    <w:p w14:paraId="0CAAD939" w14:textId="77777777" w:rsidR="007E252F" w:rsidRPr="007E252F" w:rsidRDefault="007E252F" w:rsidP="007E252F">
      <w:pPr>
        <w:widowControl/>
      </w:pPr>
    </w:p>
    <w:p w14:paraId="115C161C" w14:textId="77777777" w:rsidR="007E252F" w:rsidRPr="007E252F" w:rsidDel="00733147" w:rsidRDefault="007E252F" w:rsidP="007E252F">
      <w:pPr>
        <w:widowControl/>
      </w:pPr>
      <w:r w:rsidRPr="007E252F">
        <w:t xml:space="preserve">The major kavalactone kavain, which is abundant in kava extracts and noble kava varieties, </w:t>
      </w:r>
    </w:p>
    <w:p w14:paraId="14C8DEB5" w14:textId="77777777" w:rsidR="007E252F" w:rsidRPr="007E252F" w:rsidRDefault="007E252F" w:rsidP="007E252F">
      <w:pPr>
        <w:widowControl/>
      </w:pPr>
      <w:r w:rsidRPr="007E252F">
        <w:t xml:space="preserve">is readily absorbed after oral ingestion and approximately 50% bioavailable (Mathews et al., 2005). </w:t>
      </w:r>
    </w:p>
    <w:p w14:paraId="79147182" w14:textId="77777777" w:rsidR="007E252F" w:rsidRPr="007E252F" w:rsidRDefault="007E252F" w:rsidP="007E252F">
      <w:pPr>
        <w:widowControl/>
      </w:pPr>
    </w:p>
    <w:p w14:paraId="20538B6E" w14:textId="77777777" w:rsidR="007E252F" w:rsidRPr="007E252F" w:rsidRDefault="007E252F" w:rsidP="007E252F">
      <w:pPr>
        <w:widowControl/>
      </w:pPr>
      <w:r w:rsidRPr="007E252F">
        <w:t>In a single non-guideline study in humans, orally administered kavain reached peak serum concentration after 30 mins, and was rapidly metabolised. However, the short four hour study window used in this study was insufficient to determine a complete kinetic time course (Tarbah et al., 2003).</w:t>
      </w:r>
    </w:p>
    <w:p w14:paraId="4018B089" w14:textId="77777777" w:rsidR="007E252F" w:rsidRPr="007E252F" w:rsidRDefault="007E252F" w:rsidP="007E252F">
      <w:pPr>
        <w:widowControl/>
      </w:pPr>
    </w:p>
    <w:p w14:paraId="0E394CBE" w14:textId="77777777" w:rsidR="007E252F" w:rsidRPr="007E252F" w:rsidRDefault="007E252F" w:rsidP="007E252F">
      <w:pPr>
        <w:widowControl/>
      </w:pPr>
      <w:r w:rsidRPr="007E252F">
        <w:t xml:space="preserve">Kavain is extensively metabolised in the liver though CYP-mediated biotransformation with, 28 individual metabolites and conjugates detected (Wang et al., 2019). Both kavain and kavain metabolites have been detected in brain tissue, demonstrating an ability to cross the blood-brain barrier (Keledjian et al., 1998; Mathews et al., 2005). </w:t>
      </w:r>
    </w:p>
    <w:p w14:paraId="4741C7C0" w14:textId="77777777" w:rsidR="007E252F" w:rsidRPr="007E252F" w:rsidRDefault="007E252F" w:rsidP="007E252F">
      <w:pPr>
        <w:widowControl/>
      </w:pPr>
    </w:p>
    <w:p w14:paraId="4198E977" w14:textId="77777777" w:rsidR="007E252F" w:rsidRPr="007E252F" w:rsidRDefault="007E252F" w:rsidP="007E252F">
      <w:pPr>
        <w:widowControl/>
      </w:pPr>
      <w:r w:rsidRPr="007E252F">
        <w:t>Within 72 hours of an orally administered dose of 100 mg/kg bw in rats, more than 90% of kavain was excreted as either unchanged kavain or kavain metabolites in the urine and faeces. Excretion of kavain following intravenous injection is similar to that of orally administered kavain, demonstrating that the detection of unchanged pyrones excreted in rat faeces after oral ingestion does not preclude the absorption of kavalactones having occurred (Mathews et al., 2005).</w:t>
      </w:r>
    </w:p>
    <w:p w14:paraId="22415678" w14:textId="77777777" w:rsidR="007E252F" w:rsidRPr="007E252F" w:rsidRDefault="007E252F" w:rsidP="007E252F">
      <w:pPr>
        <w:widowControl/>
      </w:pPr>
    </w:p>
    <w:p w14:paraId="3F9F0413" w14:textId="77777777" w:rsidR="007E252F" w:rsidRPr="007E252F" w:rsidRDefault="007E252F" w:rsidP="007E252F">
      <w:pPr>
        <w:widowControl/>
        <w:rPr>
          <w:b/>
          <w:i/>
        </w:rPr>
      </w:pPr>
      <w:r w:rsidRPr="007E252F">
        <w:rPr>
          <w:b/>
          <w:i/>
        </w:rPr>
        <w:t>Flavokawains and piperidine alkaloids</w:t>
      </w:r>
    </w:p>
    <w:p w14:paraId="526C1582" w14:textId="77777777" w:rsidR="007E252F" w:rsidRPr="007E252F" w:rsidRDefault="007E252F" w:rsidP="007E252F">
      <w:pPr>
        <w:widowControl/>
      </w:pPr>
    </w:p>
    <w:p w14:paraId="1781F671" w14:textId="77777777" w:rsidR="007E252F" w:rsidRPr="007E252F" w:rsidRDefault="007E252F" w:rsidP="007E252F">
      <w:pPr>
        <w:widowControl/>
      </w:pPr>
      <w:r w:rsidRPr="007E252F">
        <w:t xml:space="preserve">In a single study in rats, maximum plasma concentration was achieved approximately one hour after oral administration of 10 mg/kg bw synthetic flavokawain B (Yang et al., 2019). </w:t>
      </w:r>
    </w:p>
    <w:p w14:paraId="6FD81B33" w14:textId="77777777" w:rsidR="007E252F" w:rsidRPr="007E252F" w:rsidRDefault="007E252F" w:rsidP="007E252F">
      <w:pPr>
        <w:widowControl/>
      </w:pPr>
    </w:p>
    <w:p w14:paraId="50985EAD" w14:textId="77777777" w:rsidR="007E252F" w:rsidRPr="007E252F" w:rsidRDefault="007E252F" w:rsidP="007E252F">
      <w:pPr>
        <w:widowControl/>
      </w:pPr>
      <w:r w:rsidRPr="007E252F">
        <w:rPr>
          <w:i/>
        </w:rPr>
        <w:lastRenderedPageBreak/>
        <w:t>In vitro</w:t>
      </w:r>
      <w:r w:rsidRPr="007E252F">
        <w:t xml:space="preserve"> studies show flavokawains can undergo CYP-mediated biotransformation and that GSH is depleted in HepG2 cells treated with flavokawains B (Zhou et al., 2010; Zenger et al., 2015).</w:t>
      </w:r>
    </w:p>
    <w:p w14:paraId="0074E31A" w14:textId="77777777" w:rsidR="007E252F" w:rsidRPr="007E252F" w:rsidRDefault="007E252F" w:rsidP="007E252F">
      <w:pPr>
        <w:widowControl/>
      </w:pPr>
    </w:p>
    <w:p w14:paraId="1F38FE2A" w14:textId="77777777" w:rsidR="007E252F" w:rsidRPr="007E252F" w:rsidRDefault="007E252F" w:rsidP="007E252F">
      <w:pPr>
        <w:widowControl/>
      </w:pPr>
      <w:r w:rsidRPr="007E252F">
        <w:t>No data was available for piperidine alkaloids.</w:t>
      </w:r>
    </w:p>
    <w:p w14:paraId="687B610E" w14:textId="77777777" w:rsidR="007E252F" w:rsidRPr="007E252F" w:rsidRDefault="007E252F" w:rsidP="007E252F">
      <w:pPr>
        <w:widowControl/>
      </w:pPr>
    </w:p>
    <w:p w14:paraId="60474C95" w14:textId="77777777" w:rsidR="007E252F" w:rsidRPr="007E252F" w:rsidRDefault="007E252F" w:rsidP="007E252F">
      <w:pPr>
        <w:keepNext/>
        <w:widowControl/>
        <w:outlineLvl w:val="1"/>
        <w:rPr>
          <w:rFonts w:cs="Arial"/>
          <w:b/>
          <w:bCs/>
          <w:sz w:val="28"/>
          <w:szCs w:val="22"/>
          <w:lang w:val="en-AU" w:bidi="ar-SA"/>
        </w:rPr>
      </w:pPr>
      <w:bookmarkStart w:id="85" w:name="_Toc95830170"/>
      <w:r w:rsidRPr="007E252F">
        <w:rPr>
          <w:rFonts w:cs="Arial"/>
          <w:b/>
          <w:bCs/>
          <w:sz w:val="28"/>
          <w:szCs w:val="22"/>
          <w:lang w:bidi="ar-SA"/>
        </w:rPr>
        <w:t>2</w:t>
      </w:r>
      <w:r w:rsidRPr="007E252F">
        <w:rPr>
          <w:rFonts w:cs="Arial"/>
          <w:b/>
          <w:bCs/>
          <w:sz w:val="28"/>
          <w:szCs w:val="22"/>
          <w:lang w:val="en-AU" w:bidi="ar-SA"/>
        </w:rPr>
        <w:t>.5</w:t>
      </w:r>
      <w:r w:rsidRPr="007E252F">
        <w:rPr>
          <w:rFonts w:cs="Arial"/>
          <w:b/>
          <w:bCs/>
          <w:sz w:val="28"/>
          <w:szCs w:val="22"/>
          <w:lang w:val="en-AU" w:bidi="ar-SA"/>
        </w:rPr>
        <w:tab/>
        <w:t>Toxicological Studies</w:t>
      </w:r>
      <w:bookmarkEnd w:id="85"/>
    </w:p>
    <w:p w14:paraId="2A51E744" w14:textId="77777777" w:rsidR="007E252F" w:rsidRPr="007E252F" w:rsidRDefault="007E252F" w:rsidP="007E252F">
      <w:pPr>
        <w:widowControl/>
        <w:rPr>
          <w:lang w:val="en-AU" w:bidi="ar-SA"/>
        </w:rPr>
      </w:pPr>
    </w:p>
    <w:p w14:paraId="2321EE34" w14:textId="77777777" w:rsidR="007E252F" w:rsidRPr="007E252F" w:rsidRDefault="007E252F" w:rsidP="007E252F">
      <w:pPr>
        <w:widowControl/>
        <w:rPr>
          <w:i/>
          <w:u w:val="single"/>
          <w:lang w:val="en-AU" w:bidi="ar-SA"/>
        </w:rPr>
      </w:pPr>
      <w:r w:rsidRPr="007E252F">
        <w:rPr>
          <w:i/>
          <w:u w:val="single"/>
          <w:lang w:val="en-AU" w:bidi="ar-SA"/>
        </w:rPr>
        <w:t>In vitro studies</w:t>
      </w:r>
    </w:p>
    <w:p w14:paraId="67BBF3D7" w14:textId="77777777" w:rsidR="007E252F" w:rsidRPr="007E252F" w:rsidRDefault="007E252F" w:rsidP="007E252F">
      <w:pPr>
        <w:widowControl/>
        <w:rPr>
          <w:lang w:val="en-AU" w:bidi="ar-SA"/>
        </w:rPr>
      </w:pPr>
    </w:p>
    <w:p w14:paraId="30866CBA" w14:textId="77777777" w:rsidR="007E252F" w:rsidRPr="007E252F" w:rsidRDefault="007E252F" w:rsidP="007E252F">
      <w:pPr>
        <w:widowControl/>
        <w:rPr>
          <w:lang w:val="en-AU" w:bidi="ar-SA"/>
        </w:rPr>
      </w:pPr>
      <w:r w:rsidRPr="007E252F">
        <w:rPr>
          <w:lang w:val="en-AU" w:bidi="ar-SA"/>
        </w:rPr>
        <w:t xml:space="preserve">Weak cytotoxic potential was observed in HepG2 cells for the major kavalactone yangonin (LC50 = 100 </w:t>
      </w:r>
      <w:r w:rsidRPr="007E252F">
        <w:rPr>
          <w:rFonts w:cs="Arial"/>
          <w:lang w:val="en-AU" w:bidi="ar-SA"/>
        </w:rPr>
        <w:t>µ</w:t>
      </w:r>
      <w:r w:rsidRPr="007E252F">
        <w:rPr>
          <w:lang w:val="en-AU" w:bidi="ar-SA"/>
        </w:rPr>
        <w:t xml:space="preserve">M) (Zhou et al., 2010). </w:t>
      </w:r>
    </w:p>
    <w:p w14:paraId="3005EB72" w14:textId="77777777" w:rsidR="007E252F" w:rsidRPr="007E252F" w:rsidRDefault="007E252F" w:rsidP="007E252F">
      <w:pPr>
        <w:widowControl/>
        <w:rPr>
          <w:lang w:val="en-AU" w:bidi="ar-SA"/>
        </w:rPr>
      </w:pPr>
    </w:p>
    <w:p w14:paraId="6E264004" w14:textId="77777777" w:rsidR="007E252F" w:rsidRPr="007E252F" w:rsidRDefault="007E252F" w:rsidP="007E252F">
      <w:pPr>
        <w:widowControl/>
        <w:rPr>
          <w:lang w:val="en-AU" w:bidi="ar-SA"/>
        </w:rPr>
      </w:pPr>
      <w:r w:rsidRPr="007E252F">
        <w:rPr>
          <w:lang w:val="en-AU" w:bidi="ar-SA"/>
        </w:rPr>
        <w:t xml:space="preserve">The LC50 values for flavokawains A and C were between 10 - 50 </w:t>
      </w:r>
      <w:r w:rsidRPr="007E252F">
        <w:rPr>
          <w:rFonts w:cs="Arial"/>
          <w:lang w:val="en-AU" w:bidi="ar-SA"/>
        </w:rPr>
        <w:t>µ</w:t>
      </w:r>
      <w:r w:rsidRPr="007E252F">
        <w:rPr>
          <w:lang w:val="en-AU" w:bidi="ar-SA"/>
        </w:rPr>
        <w:t xml:space="preserve">M and for flavokawain B the LC50 was 15 </w:t>
      </w:r>
      <w:r w:rsidRPr="007E252F">
        <w:rPr>
          <w:rFonts w:cs="Arial"/>
          <w:lang w:val="en-AU" w:bidi="ar-SA"/>
        </w:rPr>
        <w:t>µ</w:t>
      </w:r>
      <w:r w:rsidRPr="007E252F">
        <w:rPr>
          <w:lang w:val="en-AU" w:bidi="ar-SA"/>
        </w:rPr>
        <w:t>M. A cytotoxic potency value was not determined for pipermethystine, but treatment with 50</w:t>
      </w:r>
      <w:r w:rsidRPr="007E252F">
        <w:rPr>
          <w:rFonts w:cs="Arial"/>
          <w:lang w:val="en-AU" w:bidi="ar-SA"/>
        </w:rPr>
        <w:t xml:space="preserve"> µ</w:t>
      </w:r>
      <w:r w:rsidRPr="007E252F">
        <w:rPr>
          <w:lang w:val="en-AU" w:bidi="ar-SA"/>
        </w:rPr>
        <w:t>M caused 65% cell death (Nerurkar et al., 2004; Zhou et al., 2010)..</w:t>
      </w:r>
    </w:p>
    <w:p w14:paraId="4C72BDDB" w14:textId="77777777" w:rsidR="007E252F" w:rsidRPr="007E252F" w:rsidRDefault="007E252F" w:rsidP="007E252F">
      <w:pPr>
        <w:widowControl/>
        <w:rPr>
          <w:lang w:val="en-AU" w:bidi="ar-SA"/>
        </w:rPr>
      </w:pPr>
    </w:p>
    <w:p w14:paraId="68EA63AE" w14:textId="77777777" w:rsidR="007E252F" w:rsidRPr="007E252F" w:rsidRDefault="007E252F" w:rsidP="007E252F">
      <w:pPr>
        <w:widowControl/>
        <w:rPr>
          <w:lang w:val="en-AU" w:bidi="ar-SA"/>
        </w:rPr>
      </w:pPr>
      <w:r w:rsidRPr="007E252F">
        <w:rPr>
          <w:lang w:val="en-AU" w:bidi="ar-SA"/>
        </w:rPr>
        <w:t xml:space="preserve">Flavokawains A and B have been identified through </w:t>
      </w:r>
      <w:r w:rsidRPr="007E252F">
        <w:rPr>
          <w:i/>
          <w:lang w:val="en-AU" w:bidi="ar-SA"/>
        </w:rPr>
        <w:t>in vitro</w:t>
      </w:r>
      <w:r w:rsidRPr="007E252F">
        <w:rPr>
          <w:lang w:val="en-AU" w:bidi="ar-SA"/>
        </w:rPr>
        <w:t xml:space="preserve"> screening as potential precursors for future selective inhibitors of malignant cell growth, with higher cytotoxic activities recorded for cancer cell lines when compared to controls (Zhou et al., 2010; Martin et al., 2014; Wang et al., 2021).</w:t>
      </w:r>
    </w:p>
    <w:p w14:paraId="02FF0459" w14:textId="77777777" w:rsidR="007E252F" w:rsidRPr="007E252F" w:rsidRDefault="007E252F" w:rsidP="007E252F">
      <w:pPr>
        <w:widowControl/>
        <w:rPr>
          <w:lang w:val="en-AU" w:bidi="ar-SA"/>
        </w:rPr>
      </w:pPr>
    </w:p>
    <w:p w14:paraId="0C5680A9" w14:textId="77777777" w:rsidR="007E252F" w:rsidRPr="007E252F" w:rsidRDefault="007E252F" w:rsidP="007E252F">
      <w:pPr>
        <w:widowControl/>
        <w:rPr>
          <w:i/>
          <w:u w:val="single"/>
          <w:lang w:val="en-AU" w:bidi="ar-SA"/>
        </w:rPr>
      </w:pPr>
      <w:r w:rsidRPr="007E252F">
        <w:rPr>
          <w:i/>
          <w:u w:val="single"/>
          <w:lang w:val="en-AU" w:bidi="ar-SA"/>
        </w:rPr>
        <w:t>Animal toxicity data</w:t>
      </w:r>
    </w:p>
    <w:p w14:paraId="6D927AF5" w14:textId="77777777" w:rsidR="007E252F" w:rsidRPr="007E252F" w:rsidRDefault="007E252F" w:rsidP="007E252F">
      <w:pPr>
        <w:widowControl/>
        <w:rPr>
          <w:lang w:val="en-AU" w:bidi="ar-SA"/>
        </w:rPr>
      </w:pPr>
    </w:p>
    <w:p w14:paraId="2783F63E" w14:textId="77777777" w:rsidR="007E252F" w:rsidRPr="007E252F" w:rsidRDefault="007E252F" w:rsidP="007E252F">
      <w:pPr>
        <w:widowControl/>
        <w:rPr>
          <w:b/>
          <w:i/>
          <w:lang w:val="en-AU" w:bidi="ar-SA"/>
        </w:rPr>
      </w:pPr>
      <w:r w:rsidRPr="007E252F">
        <w:rPr>
          <w:b/>
          <w:i/>
          <w:lang w:val="en-AU" w:bidi="ar-SA"/>
        </w:rPr>
        <w:t>Kavalactones</w:t>
      </w:r>
    </w:p>
    <w:p w14:paraId="0C8A6CC9" w14:textId="77777777" w:rsidR="007E252F" w:rsidRPr="007E252F" w:rsidRDefault="007E252F" w:rsidP="007E252F">
      <w:pPr>
        <w:widowControl/>
        <w:rPr>
          <w:lang w:val="en-AU" w:bidi="ar-SA"/>
        </w:rPr>
      </w:pPr>
    </w:p>
    <w:p w14:paraId="357C20B4" w14:textId="77777777" w:rsidR="007E252F" w:rsidRPr="007E252F" w:rsidRDefault="007E252F" w:rsidP="007E252F">
      <w:pPr>
        <w:widowControl/>
        <w:rPr>
          <w:lang w:val="en-AU" w:bidi="ar-SA"/>
        </w:rPr>
      </w:pPr>
      <w:r w:rsidRPr="007E252F">
        <w:rPr>
          <w:lang w:val="en-AU" w:bidi="ar-SA"/>
        </w:rPr>
        <w:t>A non-guideline, four week study in rats using orally administered aqueous extract of kava that was intended to be representative of kava beverage, did not report any adverse effects at doses of up to 500 mg/kg bw/day kavalactones (Singh &amp; Devkota, 2003).</w:t>
      </w:r>
    </w:p>
    <w:p w14:paraId="75FF7061" w14:textId="77777777" w:rsidR="007E252F" w:rsidRPr="007E252F" w:rsidRDefault="007E252F" w:rsidP="007E252F">
      <w:pPr>
        <w:widowControl/>
        <w:rPr>
          <w:lang w:val="en-AU" w:bidi="ar-SA"/>
        </w:rPr>
      </w:pPr>
    </w:p>
    <w:p w14:paraId="63873505" w14:textId="77777777" w:rsidR="007E252F" w:rsidRPr="007E252F" w:rsidRDefault="007E252F" w:rsidP="007E252F">
      <w:pPr>
        <w:widowControl/>
        <w:rPr>
          <w:lang w:val="en-AU" w:bidi="ar-SA"/>
        </w:rPr>
      </w:pPr>
      <w:r w:rsidRPr="007E252F">
        <w:rPr>
          <w:lang w:val="en-AU" w:bidi="ar-SA"/>
        </w:rPr>
        <w:t xml:space="preserve">Short-term and long-term toxicity studies were carried out on kava extract in mice and rats by the U.S. National Toxicology Program (NTP, 2012). The test item was characterised as containing yangonin (42.76%), 7,8-dihydrokawain (34.69%), kavain (8.87%), 7,8-dihydromethysticin (4.03%), methysticin (3.23%), and 5,6-dehydrokawain (2.42%) (Clayton et al., 2007). Mice and rats were administered the test substance by oral gavage up to a maximum dose of 2000 mg/kg bw/day for 90 days, or 1000 mg/kg bw/day for two years. </w:t>
      </w:r>
    </w:p>
    <w:p w14:paraId="5509DD5A" w14:textId="77777777" w:rsidR="007E252F" w:rsidRPr="007E252F" w:rsidRDefault="007E252F" w:rsidP="007E252F">
      <w:pPr>
        <w:widowControl/>
        <w:rPr>
          <w:lang w:val="en-AU" w:bidi="ar-SA"/>
        </w:rPr>
      </w:pPr>
    </w:p>
    <w:p w14:paraId="767DAC0B" w14:textId="77777777" w:rsidR="007E252F" w:rsidRPr="007E252F" w:rsidRDefault="007E252F" w:rsidP="007E252F">
      <w:pPr>
        <w:widowControl/>
        <w:rPr>
          <w:lang w:val="en-AU" w:bidi="ar-SA"/>
        </w:rPr>
      </w:pPr>
      <w:r w:rsidRPr="007E252F">
        <w:rPr>
          <w:lang w:val="en-AU" w:bidi="ar-SA"/>
        </w:rPr>
        <w:t>In the two-year study in rats, statistically significant reductions in body weight occurred in the high-dose group (1000 mg/kg bw/day) for both male and females. Dose related increases were seen in liver weights (all treatment groups) and were associated with hepatocellular hypertrophy in the high dose groups (1000 mg/kg bw/day). Twitching/seizures were observed in all treatment groups after 1 year, with higher incidences in the high dose groups (1000mg/kg bw/day). In male rats, there was small but statistically significant dose-related increase in the occurrence of testicular interstitial (Leydig) cell adenomas in all treatment groups (NTP, 2012).</w:t>
      </w:r>
    </w:p>
    <w:p w14:paraId="4E3E26D8" w14:textId="77777777" w:rsidR="007E252F" w:rsidRPr="007E252F" w:rsidRDefault="007E252F" w:rsidP="007E252F">
      <w:pPr>
        <w:widowControl/>
        <w:rPr>
          <w:lang w:val="en-AU" w:bidi="ar-SA"/>
        </w:rPr>
      </w:pPr>
    </w:p>
    <w:p w14:paraId="41650842" w14:textId="77777777" w:rsidR="007E252F" w:rsidRPr="007E252F" w:rsidRDefault="007E252F" w:rsidP="007E252F">
      <w:pPr>
        <w:widowControl/>
        <w:rPr>
          <w:shd w:val="clear" w:color="auto" w:fill="FFFFFF"/>
          <w:lang w:val="en-AU"/>
        </w:rPr>
      </w:pPr>
      <w:r w:rsidRPr="007E252F">
        <w:rPr>
          <w:lang w:val="en-AU" w:bidi="ar-SA"/>
        </w:rPr>
        <w:t>In the two-year study in mice, statistically significant reductions in body weight occurred in the high-dose groups (1000 mg/kg bw/day) for both male and females. Dose related increases were seen in liver weights (all treatment groups) and the occurrence of centrilobular hypertrophy (all treatment groups). In male mice, there was a dose-related increase in the incidence of hepatoblastoma between the 500 mg/kg bw/day and 1000 mg/kg bw/day test groups. In female rats, hepatocellular adenoma or carcinoma were observed in all treatment groups (NTP, 2012).</w:t>
      </w:r>
      <w:r w:rsidRPr="007E252F">
        <w:rPr>
          <w:shd w:val="clear" w:color="auto" w:fill="FFFFFF"/>
          <w:lang w:val="en-AU"/>
        </w:rPr>
        <w:t xml:space="preserve"> </w:t>
      </w:r>
    </w:p>
    <w:p w14:paraId="5BFA9302" w14:textId="77777777" w:rsidR="007E252F" w:rsidRPr="007E252F" w:rsidRDefault="007E252F" w:rsidP="007E252F">
      <w:pPr>
        <w:widowControl/>
        <w:rPr>
          <w:shd w:val="clear" w:color="auto" w:fill="FFFFFF"/>
          <w:lang w:val="en-AU"/>
        </w:rPr>
      </w:pPr>
    </w:p>
    <w:p w14:paraId="36E6950F" w14:textId="77777777" w:rsidR="007E252F" w:rsidRPr="007E252F" w:rsidRDefault="007E252F" w:rsidP="007E252F">
      <w:pPr>
        <w:widowControl/>
        <w:rPr>
          <w:lang w:val="en-AU" w:bidi="ar-SA"/>
        </w:rPr>
      </w:pPr>
      <w:r w:rsidRPr="007E252F">
        <w:rPr>
          <w:shd w:val="clear" w:color="auto" w:fill="FFFFFF"/>
          <w:lang w:val="en-AU"/>
        </w:rPr>
        <w:lastRenderedPageBreak/>
        <w:t xml:space="preserve">Concurrent bacterial mutagenicity and </w:t>
      </w:r>
      <w:r w:rsidRPr="007E252F">
        <w:rPr>
          <w:i/>
          <w:shd w:val="clear" w:color="auto" w:fill="FFFFFF"/>
          <w:lang w:val="en-AU"/>
        </w:rPr>
        <w:t>in vivo</w:t>
      </w:r>
      <w:r w:rsidRPr="007E252F">
        <w:rPr>
          <w:shd w:val="clear" w:color="auto" w:fill="FFFFFF"/>
          <w:lang w:val="en-AU"/>
        </w:rPr>
        <w:t xml:space="preserve"> micronucleus studies were undertaken by the NTP that indicated kava extract was not genotoxic, consistent with previously published results (Jhoo et al., 2007; Whittaker et al., 2008). Therefore, it was suggested that the observed carcinogenic activity in mice was mediated independently of genotoxicity, most likely through the upregulation of liver enzymes or generation of free radicals and subsequent oxidative stress.</w:t>
      </w:r>
    </w:p>
    <w:p w14:paraId="46F1386A" w14:textId="77777777" w:rsidR="007E252F" w:rsidRPr="007E252F" w:rsidRDefault="007E252F" w:rsidP="007E252F">
      <w:pPr>
        <w:widowControl/>
        <w:rPr>
          <w:shd w:val="clear" w:color="auto" w:fill="FFFFFF"/>
          <w:lang w:val="en-AU"/>
        </w:rPr>
      </w:pPr>
    </w:p>
    <w:p w14:paraId="2F0E1DCA" w14:textId="77777777" w:rsidR="007E252F" w:rsidRPr="007E252F" w:rsidRDefault="007E252F" w:rsidP="007E252F">
      <w:pPr>
        <w:widowControl/>
        <w:rPr>
          <w:shd w:val="clear" w:color="auto" w:fill="FFFFFF"/>
          <w:lang w:val="en-AU"/>
        </w:rPr>
      </w:pPr>
      <w:r w:rsidRPr="007E252F">
        <w:rPr>
          <w:shd w:val="clear" w:color="auto" w:fill="FFFFFF"/>
          <w:lang w:val="en-AU"/>
        </w:rPr>
        <w:t>A no-observed adverse effect level could not be determined from the results of the NTP study. These results are of questionable significance to the consumption of aqueous kava beverages as the test substance is not representative of aqueous kava beverage.</w:t>
      </w:r>
    </w:p>
    <w:p w14:paraId="4B999BB5" w14:textId="77777777" w:rsidR="007E252F" w:rsidRPr="007E252F" w:rsidRDefault="007E252F" w:rsidP="007E252F">
      <w:pPr>
        <w:widowControl/>
        <w:rPr>
          <w:lang w:val="en-AU" w:bidi="ar-SA"/>
        </w:rPr>
      </w:pPr>
    </w:p>
    <w:p w14:paraId="5EF759FA" w14:textId="77777777" w:rsidR="007E252F" w:rsidRPr="007E252F" w:rsidRDefault="007E252F" w:rsidP="007E252F">
      <w:pPr>
        <w:widowControl/>
        <w:rPr>
          <w:lang w:val="en-AU" w:bidi="ar-SA"/>
        </w:rPr>
      </w:pPr>
      <w:r w:rsidRPr="007E252F">
        <w:rPr>
          <w:b/>
          <w:i/>
          <w:lang w:val="en-AU" w:bidi="ar-SA"/>
        </w:rPr>
        <w:t>Flavokawains and piperidine alkaloids</w:t>
      </w:r>
    </w:p>
    <w:p w14:paraId="5243A2E3" w14:textId="77777777" w:rsidR="007E252F" w:rsidRPr="007E252F" w:rsidRDefault="007E252F" w:rsidP="007E252F">
      <w:pPr>
        <w:widowControl/>
        <w:rPr>
          <w:lang w:val="en-AU" w:bidi="ar-SA"/>
        </w:rPr>
      </w:pPr>
    </w:p>
    <w:p w14:paraId="07CCBADB" w14:textId="77777777" w:rsidR="007E252F" w:rsidRPr="007E252F" w:rsidRDefault="007E252F" w:rsidP="007E252F">
      <w:pPr>
        <w:widowControl/>
        <w:rPr>
          <w:lang w:val="en-AU" w:bidi="ar-SA"/>
        </w:rPr>
      </w:pPr>
      <w:r w:rsidRPr="007E252F">
        <w:rPr>
          <w:lang w:val="en-AU" w:bidi="ar-SA"/>
        </w:rPr>
        <w:t>In a non-guideline study, mice were administered of flavokawain A at dietary concentrations of 6 g/kg over 3 weeks. No signs of toxicity were observed (Li et al., 2014).</w:t>
      </w:r>
    </w:p>
    <w:p w14:paraId="5429159C" w14:textId="77777777" w:rsidR="007E252F" w:rsidRPr="007E252F" w:rsidRDefault="007E252F" w:rsidP="007E252F">
      <w:pPr>
        <w:widowControl/>
        <w:rPr>
          <w:lang w:val="en-AU" w:bidi="ar-SA"/>
        </w:rPr>
      </w:pPr>
    </w:p>
    <w:p w14:paraId="472EE866" w14:textId="77777777" w:rsidR="007E252F" w:rsidRPr="007E252F" w:rsidRDefault="007E252F" w:rsidP="007E252F">
      <w:pPr>
        <w:widowControl/>
        <w:rPr>
          <w:lang w:val="en-AU" w:bidi="ar-SA"/>
        </w:rPr>
      </w:pPr>
      <w:r w:rsidRPr="007E252F">
        <w:rPr>
          <w:lang w:val="en-AU" w:bidi="ar-SA"/>
        </w:rPr>
        <w:t xml:space="preserve">The liver was the target organ in a non-guideline, seven day study in mice using orally administered flavokawain B at a single concentration of 25 mg/kg bw/day (Zhou et al., 2010). Hepatocellular swelling and macrophage infiltration, with increases in serum aspartate transaminase (AST) and alkaline phosphatase (AP) levels, was described in treated animals (Zhou et al., 2010). </w:t>
      </w:r>
    </w:p>
    <w:p w14:paraId="6D966C04" w14:textId="77777777" w:rsidR="007E252F" w:rsidRPr="007E252F" w:rsidRDefault="007E252F" w:rsidP="007E252F">
      <w:pPr>
        <w:widowControl/>
        <w:rPr>
          <w:lang w:val="en-AU" w:bidi="ar-SA"/>
        </w:rPr>
      </w:pPr>
    </w:p>
    <w:p w14:paraId="3EBAC2EC" w14:textId="77777777" w:rsidR="007E252F" w:rsidRPr="007E252F" w:rsidRDefault="007E252F" w:rsidP="007E252F">
      <w:pPr>
        <w:widowControl/>
        <w:rPr>
          <w:lang w:val="en-AU" w:bidi="ar-SA"/>
        </w:rPr>
      </w:pPr>
      <w:r w:rsidRPr="007E252F">
        <w:rPr>
          <w:lang w:val="en-AU" w:bidi="ar-SA"/>
        </w:rPr>
        <w:t xml:space="preserve">A non-guideline study in mice examined orally administered the piperidine alkaloid, </w:t>
      </w:r>
      <w:r w:rsidRPr="007E252F">
        <w:rPr>
          <w:lang w:val="en-AU"/>
        </w:rPr>
        <w:t>pipermethystine,</w:t>
      </w:r>
      <w:r w:rsidRPr="007E252F">
        <w:rPr>
          <w:lang w:val="en-AU" w:bidi="ar-SA"/>
        </w:rPr>
        <w:t xml:space="preserve"> at a single concentration of 10 mg/kg bw/day for two weeks (Lim et al., 2007). </w:t>
      </w:r>
      <w:r w:rsidRPr="007E252F">
        <w:rPr>
          <w:lang w:val="en-AU"/>
        </w:rPr>
        <w:t xml:space="preserve">No signs of toxicity were observed. Levels of </w:t>
      </w:r>
      <w:r w:rsidRPr="007E252F">
        <w:rPr>
          <w:lang w:val="en-AU" w:bidi="ar-SA"/>
        </w:rPr>
        <w:t>alanine aminotransferase (</w:t>
      </w:r>
      <w:r w:rsidRPr="007E252F">
        <w:rPr>
          <w:lang w:val="en-AU"/>
        </w:rPr>
        <w:t>ALT) and AST were unchanged after treatment</w:t>
      </w:r>
      <w:r w:rsidRPr="007E252F">
        <w:rPr>
          <w:lang w:val="en-AU" w:bidi="ar-SA"/>
        </w:rPr>
        <w:t>. Reactive oxygen species production and oxidative stress were reported in the livers of treated animals (Lim et al., 2007).</w:t>
      </w:r>
    </w:p>
    <w:p w14:paraId="1DD4C01D" w14:textId="77777777" w:rsidR="007E252F" w:rsidRPr="007E252F" w:rsidRDefault="007E252F" w:rsidP="007E252F">
      <w:pPr>
        <w:widowControl/>
      </w:pPr>
    </w:p>
    <w:p w14:paraId="05DACCFD" w14:textId="77777777" w:rsidR="007E252F" w:rsidRPr="007E252F" w:rsidRDefault="007E252F" w:rsidP="007E252F">
      <w:pPr>
        <w:widowControl/>
        <w:rPr>
          <w:i/>
          <w:u w:val="single"/>
        </w:rPr>
      </w:pPr>
      <w:r w:rsidRPr="007E252F">
        <w:rPr>
          <w:i/>
          <w:u w:val="single"/>
        </w:rPr>
        <w:t>Human Clinical Trials</w:t>
      </w:r>
    </w:p>
    <w:p w14:paraId="35F6BF15" w14:textId="77777777" w:rsidR="007E252F" w:rsidRPr="007E252F" w:rsidRDefault="007E252F" w:rsidP="007E252F">
      <w:pPr>
        <w:widowControl/>
      </w:pPr>
    </w:p>
    <w:p w14:paraId="560D52CF" w14:textId="77777777" w:rsidR="007E252F" w:rsidRPr="007E252F" w:rsidRDefault="007E252F" w:rsidP="007E252F">
      <w:pPr>
        <w:widowControl/>
        <w:rPr>
          <w:rFonts w:cs="Arial"/>
          <w:shd w:val="clear" w:color="auto" w:fill="FFFFFF"/>
          <w:lang w:val="en-AU"/>
        </w:rPr>
      </w:pPr>
      <w:r w:rsidRPr="007E252F">
        <w:rPr>
          <w:rFonts w:cs="Arial"/>
          <w:shd w:val="clear" w:color="auto" w:fill="FFFFFF"/>
          <w:lang w:val="en-AU"/>
        </w:rPr>
        <w:t xml:space="preserve">Multiple clinical trials were available using kava extracts as the test subject (see the references reviewed in: </w:t>
      </w:r>
      <w:r w:rsidRPr="007E252F">
        <w:t>Pittler &amp; Ernst, 2003; Smith &amp; Leiras, 2018). However, as these did not reflect kava beverage, they were unsuitable for risk assessment.</w:t>
      </w:r>
    </w:p>
    <w:p w14:paraId="582EA24B" w14:textId="77777777" w:rsidR="007E252F" w:rsidRPr="007E252F" w:rsidRDefault="007E252F" w:rsidP="007E252F">
      <w:pPr>
        <w:widowControl/>
        <w:rPr>
          <w:rFonts w:cs="Arial"/>
          <w:shd w:val="clear" w:color="auto" w:fill="FFFFFF"/>
          <w:lang w:val="en-AU"/>
        </w:rPr>
      </w:pPr>
    </w:p>
    <w:p w14:paraId="101501F2" w14:textId="77777777" w:rsidR="007E252F" w:rsidRPr="007E252F" w:rsidRDefault="007E252F" w:rsidP="007E252F">
      <w:pPr>
        <w:widowControl/>
        <w:rPr>
          <w:rFonts w:cs="Arial"/>
          <w:shd w:val="clear" w:color="auto" w:fill="FFFFFF"/>
          <w:lang w:val="en-AU"/>
        </w:rPr>
      </w:pPr>
      <w:r w:rsidRPr="007E252F">
        <w:rPr>
          <w:rFonts w:cs="Arial"/>
          <w:shd w:val="clear" w:color="auto" w:fill="FFFFFF"/>
          <w:lang w:val="en-AU"/>
        </w:rPr>
        <w:t>A 16-week phase III randomised, double-blind, placebo-controlled clinical trial investigated the effects of kava extract tablets (240 mg/day kavalactones) using non-medicated participants with diagnosed generalised anxiety disorder (Sarris et al., 2020). The kava extract was prepared by hot water extraction from a noble variety of kava plant, and the dose of kavalactones (70.2 mg/day kavain; 58.6 mg/day dihydrokavain; 33.3 mg/day trans-yangonin; 1.6 mg/day cis-yangonin; 24.5 mg/day des-methoxy yangonin; 24.7 mg/day dihydromethysticin; 27.1 mg/day methysticin) and flavokawains (4.92 mg/day flavokawain A; 5.56 mg/day flavokawain B) was determined by high-performance liquid chromatography (Sarris et al., 2020). Flavokawain B concentrations in these herbal extracts are higher than those reported for kava beverage prepared from noble kava varieties (</w:t>
      </w:r>
      <w:r w:rsidRPr="007E252F">
        <w:rPr>
          <w:lang w:bidi="ar-SA"/>
        </w:rPr>
        <w:t>Lebot et al., 2014)</w:t>
      </w:r>
      <w:r w:rsidRPr="007E252F">
        <w:rPr>
          <w:rFonts w:cs="Arial"/>
          <w:shd w:val="clear" w:color="auto" w:fill="FFFFFF"/>
          <w:lang w:val="en-AU"/>
        </w:rPr>
        <w:t>.</w:t>
      </w:r>
    </w:p>
    <w:p w14:paraId="10F86D92" w14:textId="77777777" w:rsidR="007E252F" w:rsidRPr="007E252F" w:rsidRDefault="007E252F" w:rsidP="007E252F">
      <w:pPr>
        <w:widowControl/>
        <w:rPr>
          <w:rFonts w:cs="Arial"/>
          <w:shd w:val="clear" w:color="auto" w:fill="FFFFFF"/>
          <w:lang w:val="en-AU"/>
        </w:rPr>
      </w:pPr>
    </w:p>
    <w:p w14:paraId="2590268C" w14:textId="77777777" w:rsidR="007E252F" w:rsidRPr="007E252F" w:rsidRDefault="007E252F" w:rsidP="007E252F">
      <w:pPr>
        <w:widowControl/>
        <w:rPr>
          <w:lang w:val="en-AU"/>
        </w:rPr>
      </w:pPr>
      <w:r w:rsidRPr="007E252F">
        <w:rPr>
          <w:rFonts w:cs="Arial"/>
          <w:shd w:val="clear" w:color="auto" w:fill="FFFFFF"/>
          <w:lang w:val="en-AU"/>
        </w:rPr>
        <w:t xml:space="preserve">Participants </w:t>
      </w:r>
      <w:r w:rsidRPr="007E252F">
        <w:rPr>
          <w:lang w:val="en-AU"/>
        </w:rPr>
        <w:t>in the Kava treatment group</w:t>
      </w:r>
      <w:r w:rsidRPr="007E252F">
        <w:rPr>
          <w:rFonts w:cs="Arial"/>
          <w:shd w:val="clear" w:color="auto" w:fill="FFFFFF"/>
          <w:lang w:val="en-AU"/>
        </w:rPr>
        <w:t xml:space="preserve"> self-reported </w:t>
      </w:r>
      <w:r w:rsidRPr="007E252F">
        <w:rPr>
          <w:rFonts w:cs="Arial"/>
          <w:color w:val="333333"/>
          <w:shd w:val="clear" w:color="auto" w:fill="FFFFFF"/>
          <w:lang w:val="en-AU"/>
        </w:rPr>
        <w:t xml:space="preserve">more frequent occurrences of </w:t>
      </w:r>
      <w:r w:rsidRPr="007E252F">
        <w:rPr>
          <w:lang w:val="en-AU"/>
        </w:rPr>
        <w:t>poorer memory and tremor/shakiness</w:t>
      </w:r>
      <w:r w:rsidRPr="007E252F">
        <w:rPr>
          <w:rFonts w:cs="Arial"/>
          <w:color w:val="333333"/>
          <w:shd w:val="clear" w:color="auto" w:fill="FFFFFF"/>
          <w:lang w:val="en-AU"/>
        </w:rPr>
        <w:t xml:space="preserve"> (Sarris et al., 2020)</w:t>
      </w:r>
      <w:r w:rsidRPr="007E252F">
        <w:rPr>
          <w:lang w:val="en-AU"/>
        </w:rPr>
        <w:t xml:space="preserve">. A statistically significant increase in the proportion of liver function tests reporting above baseline abnormalities were observed in the Kava group, measured by increases in </w:t>
      </w:r>
      <w:r w:rsidRPr="007E252F">
        <w:rPr>
          <w:lang w:val="en-AU" w:bidi="ar-SA"/>
        </w:rPr>
        <w:t>γ-glutamyl transferase (</w:t>
      </w:r>
      <w:r w:rsidRPr="007E252F">
        <w:rPr>
          <w:lang w:val="en-AU"/>
        </w:rPr>
        <w:t xml:space="preserve">GGT) and AST, with concomitant increases in ALT. These readings were not sufficiently elevated to indicate liver injury. </w:t>
      </w:r>
    </w:p>
    <w:p w14:paraId="26239EA7" w14:textId="77777777" w:rsidR="007E252F" w:rsidRPr="007E252F" w:rsidRDefault="007E252F" w:rsidP="007E252F">
      <w:pPr>
        <w:widowControl/>
        <w:rPr>
          <w:lang w:val="en-AU"/>
        </w:rPr>
      </w:pPr>
    </w:p>
    <w:p w14:paraId="3F8A45AF" w14:textId="77777777" w:rsidR="007E252F" w:rsidRPr="007E252F" w:rsidRDefault="007E252F" w:rsidP="007E252F">
      <w:pPr>
        <w:widowControl/>
        <w:rPr>
          <w:lang w:val="en-AU"/>
        </w:rPr>
      </w:pPr>
      <w:r w:rsidRPr="007E252F">
        <w:rPr>
          <w:lang w:val="en-AU"/>
        </w:rPr>
        <w:t>Although not statistically significant, an additional 8% of participants in the kava treatment group were withdrawn over the study period due to abnormalities in liver function tests, compared to 2% of the control group</w:t>
      </w:r>
      <w:r w:rsidRPr="007E252F">
        <w:rPr>
          <w:rFonts w:cs="Arial"/>
          <w:color w:val="333333"/>
          <w:shd w:val="clear" w:color="auto" w:fill="FFFFFF"/>
          <w:lang w:val="en-AU"/>
        </w:rPr>
        <w:t xml:space="preserve"> (Sarris et al., 2020)</w:t>
      </w:r>
      <w:r w:rsidRPr="007E252F">
        <w:rPr>
          <w:lang w:val="en-AU"/>
        </w:rPr>
        <w:t xml:space="preserve">. </w:t>
      </w:r>
    </w:p>
    <w:p w14:paraId="36A01C52" w14:textId="77777777" w:rsidR="007E252F" w:rsidRPr="007E252F" w:rsidRDefault="007E252F" w:rsidP="007E252F">
      <w:pPr>
        <w:widowControl/>
        <w:rPr>
          <w:lang w:val="en-AU"/>
        </w:rPr>
      </w:pPr>
    </w:p>
    <w:p w14:paraId="376B5626" w14:textId="77777777" w:rsidR="007E252F" w:rsidRPr="007E252F" w:rsidRDefault="007E252F" w:rsidP="007E252F">
      <w:pPr>
        <w:widowControl/>
      </w:pPr>
      <w:r w:rsidRPr="007E252F">
        <w:t>No change in liver abnormalities or adverse events were observed in clinical trials with lower participant numbers, occurring over three (Sarris et al., 2009) and six weeks (Sarris et al., 2013). Both clinical trials used comparable aqueous kava extract preparations, which was also generally comparable to the 16-week trial of aqueous kava extract (Sarris et al., 2020). An increased incidence of headaches in the kava group was observed in the six week study (Sarris et al., 2013), while some participants in the kava group reported nausea and/or gastrointestinal side-effects in the three weeks study (Sarris et al., 2009).</w:t>
      </w:r>
    </w:p>
    <w:p w14:paraId="2BD4B9E9" w14:textId="77777777" w:rsidR="007E252F" w:rsidRPr="007E252F" w:rsidRDefault="007E252F" w:rsidP="007E252F">
      <w:pPr>
        <w:widowControl/>
      </w:pPr>
    </w:p>
    <w:p w14:paraId="1AECEBC6" w14:textId="77777777" w:rsidR="007E252F" w:rsidRPr="007E252F" w:rsidRDefault="007E252F" w:rsidP="007E252F">
      <w:pPr>
        <w:widowControl/>
      </w:pPr>
      <w:r w:rsidRPr="007E252F">
        <w:t>While kava beverage was not used as the test substance in these clinical trials, the quantities of kavalactones in the aqueous kava extract better reflects kava beverage than organic kava extracts (</w:t>
      </w:r>
      <w:r w:rsidRPr="007E252F">
        <w:rPr>
          <w:lang w:bidi="ar-SA"/>
        </w:rPr>
        <w:t>Lebot and Lèvesque, 1996; NTP, 2006; Sarris et al., 2020)</w:t>
      </w:r>
      <w:r w:rsidRPr="007E252F">
        <w:t>.</w:t>
      </w:r>
    </w:p>
    <w:p w14:paraId="0E1DD364" w14:textId="77777777" w:rsidR="007E252F" w:rsidRPr="007E252F" w:rsidRDefault="007E252F" w:rsidP="007E252F">
      <w:pPr>
        <w:widowControl/>
      </w:pPr>
    </w:p>
    <w:p w14:paraId="2943493E" w14:textId="77777777" w:rsidR="007E252F" w:rsidRPr="007E252F" w:rsidRDefault="007E252F" w:rsidP="007E252F">
      <w:pPr>
        <w:keepNext/>
        <w:widowControl/>
        <w:numPr>
          <w:ilvl w:val="0"/>
          <w:numId w:val="12"/>
        </w:numPr>
        <w:spacing w:before="240" w:after="240"/>
        <w:outlineLvl w:val="0"/>
        <w:rPr>
          <w:b/>
          <w:bCs/>
          <w:sz w:val="36"/>
          <w:szCs w:val="28"/>
          <w:lang w:val="en-AU" w:bidi="ar-SA"/>
        </w:rPr>
      </w:pPr>
      <w:bookmarkStart w:id="86" w:name="_Toc82168576"/>
      <w:bookmarkStart w:id="87" w:name="_Toc83287715"/>
      <w:bookmarkStart w:id="88" w:name="_Toc83297177"/>
      <w:bookmarkStart w:id="89" w:name="_Toc83324797"/>
      <w:bookmarkStart w:id="90" w:name="_Toc95830171"/>
      <w:bookmarkEnd w:id="79"/>
      <w:bookmarkEnd w:id="80"/>
      <w:bookmarkEnd w:id="81"/>
      <w:bookmarkEnd w:id="82"/>
      <w:bookmarkEnd w:id="83"/>
      <w:bookmarkEnd w:id="84"/>
      <w:r w:rsidRPr="007E252F">
        <w:rPr>
          <w:b/>
          <w:bCs/>
          <w:sz w:val="36"/>
          <w:szCs w:val="28"/>
          <w:lang w:val="en-AU" w:bidi="ar-SA"/>
        </w:rPr>
        <w:t>Human health risks</w:t>
      </w:r>
      <w:bookmarkEnd w:id="86"/>
      <w:bookmarkEnd w:id="87"/>
      <w:bookmarkEnd w:id="88"/>
      <w:bookmarkEnd w:id="89"/>
      <w:bookmarkEnd w:id="90"/>
    </w:p>
    <w:p w14:paraId="155DA5EB" w14:textId="77777777" w:rsidR="007E252F" w:rsidRPr="007E252F" w:rsidRDefault="007E252F" w:rsidP="007E252F">
      <w:pPr>
        <w:keepNext/>
        <w:widowControl/>
        <w:outlineLvl w:val="1"/>
        <w:rPr>
          <w:rFonts w:cs="Arial"/>
          <w:b/>
          <w:bCs/>
          <w:sz w:val="28"/>
          <w:szCs w:val="22"/>
          <w:lang w:val="en-AU" w:bidi="ar-SA"/>
        </w:rPr>
      </w:pPr>
      <w:bookmarkStart w:id="91" w:name="_Toc25667599"/>
      <w:bookmarkStart w:id="92" w:name="_Toc70520109"/>
      <w:bookmarkStart w:id="93" w:name="_Toc70587642"/>
      <w:bookmarkStart w:id="94" w:name="_Toc71545274"/>
      <w:bookmarkStart w:id="95" w:name="_Toc72504650"/>
      <w:bookmarkStart w:id="96" w:name="_Toc74035737"/>
      <w:bookmarkStart w:id="97" w:name="_Toc74056538"/>
      <w:bookmarkStart w:id="98" w:name="_Toc74665243"/>
      <w:bookmarkStart w:id="99" w:name="_Toc82168577"/>
      <w:bookmarkStart w:id="100" w:name="_Toc83287716"/>
      <w:bookmarkStart w:id="101" w:name="_Toc83297178"/>
      <w:bookmarkStart w:id="102" w:name="_Toc83324798"/>
      <w:bookmarkStart w:id="103" w:name="_Toc95830172"/>
      <w:r w:rsidRPr="007E252F">
        <w:rPr>
          <w:rFonts w:cs="Arial"/>
          <w:b/>
          <w:bCs/>
          <w:sz w:val="28"/>
          <w:szCs w:val="22"/>
          <w:lang w:val="en-AU" w:bidi="ar-SA"/>
        </w:rPr>
        <w:t>3.1</w:t>
      </w:r>
      <w:r w:rsidRPr="007E252F">
        <w:rPr>
          <w:rFonts w:cs="Arial"/>
          <w:b/>
          <w:bCs/>
          <w:sz w:val="28"/>
          <w:szCs w:val="22"/>
          <w:lang w:val="en-AU" w:bidi="ar-SA"/>
        </w:rPr>
        <w:tab/>
      </w:r>
      <w:bookmarkEnd w:id="91"/>
      <w:bookmarkEnd w:id="92"/>
      <w:bookmarkEnd w:id="93"/>
      <w:bookmarkEnd w:id="94"/>
      <w:bookmarkEnd w:id="95"/>
      <w:bookmarkEnd w:id="96"/>
      <w:bookmarkEnd w:id="97"/>
      <w:bookmarkEnd w:id="98"/>
      <w:r w:rsidRPr="007E252F">
        <w:rPr>
          <w:rFonts w:cs="Arial"/>
          <w:b/>
          <w:bCs/>
          <w:sz w:val="28"/>
          <w:szCs w:val="22"/>
          <w:lang w:val="en-AU" w:bidi="ar-SA"/>
        </w:rPr>
        <w:t>Kava beverage</w:t>
      </w:r>
      <w:bookmarkEnd w:id="99"/>
      <w:bookmarkEnd w:id="100"/>
      <w:bookmarkEnd w:id="101"/>
      <w:bookmarkEnd w:id="102"/>
      <w:r w:rsidRPr="007E252F">
        <w:rPr>
          <w:rFonts w:cs="Arial"/>
          <w:b/>
          <w:bCs/>
          <w:sz w:val="28"/>
          <w:szCs w:val="22"/>
          <w:lang w:val="en-AU" w:bidi="ar-SA"/>
        </w:rPr>
        <w:t xml:space="preserve"> consumption</w:t>
      </w:r>
      <w:bookmarkEnd w:id="103"/>
    </w:p>
    <w:p w14:paraId="44B2EC68" w14:textId="77777777" w:rsidR="007E252F" w:rsidRPr="007E252F" w:rsidRDefault="007E252F" w:rsidP="007E252F">
      <w:pPr>
        <w:widowControl/>
        <w:rPr>
          <w:lang w:val="en-AU" w:bidi="ar-SA"/>
        </w:rPr>
      </w:pPr>
    </w:p>
    <w:p w14:paraId="1F2428ED" w14:textId="77777777" w:rsidR="007E252F" w:rsidRPr="007E252F" w:rsidRDefault="007E252F" w:rsidP="007E252F">
      <w:pPr>
        <w:widowControl/>
        <w:rPr>
          <w:color w:val="000000" w:themeColor="text1"/>
          <w:lang w:val="en-AU" w:bidi="ar-SA"/>
        </w:rPr>
      </w:pPr>
      <w:r w:rsidRPr="007E252F">
        <w:rPr>
          <w:color w:val="000000" w:themeColor="text1"/>
          <w:lang w:val="en-AU" w:bidi="ar-SA"/>
        </w:rPr>
        <w:t xml:space="preserve">There is little evidence of significant adverse health effects in Pacific communities with high levels of kava beverage consumption. The lack of reports available may indicate a low incidence of adverse events associated with kava beverage, or reflect the limited mechanisms for collecting and reporting the incidences of adverse events that arise within these communities (FAO/WHO, 2016). </w:t>
      </w:r>
    </w:p>
    <w:p w14:paraId="4942C917" w14:textId="77777777" w:rsidR="007E252F" w:rsidRPr="007E252F" w:rsidRDefault="007E252F" w:rsidP="007E252F">
      <w:pPr>
        <w:widowControl/>
        <w:rPr>
          <w:color w:val="000000" w:themeColor="text1"/>
          <w:lang w:val="en-AU" w:bidi="ar-SA"/>
        </w:rPr>
      </w:pPr>
    </w:p>
    <w:p w14:paraId="22294BA7" w14:textId="77777777" w:rsidR="007E252F" w:rsidRPr="007E252F" w:rsidRDefault="007E252F" w:rsidP="007E252F">
      <w:pPr>
        <w:widowControl/>
        <w:rPr>
          <w:lang w:val="en-AU" w:bidi="ar-SA"/>
        </w:rPr>
      </w:pPr>
      <w:r w:rsidRPr="007E252F">
        <w:rPr>
          <w:color w:val="000000" w:themeColor="text1"/>
          <w:lang w:val="en-AU" w:bidi="ar-SA"/>
        </w:rPr>
        <w:t xml:space="preserve">However available studies conducted in communities with established patterns of kava beverage consumption in Australia and the South Pacific indicates that ongoing consumption of high levels of kava beverage is associated with a scaly skin rash, altered liver function and other general physical health effects </w:t>
      </w:r>
      <w:r w:rsidRPr="007E252F">
        <w:rPr>
          <w:lang w:val="en-AU"/>
        </w:rPr>
        <w:t>(Rychetnik &amp; Madronio, 2011)</w:t>
      </w:r>
      <w:r w:rsidRPr="007E252F">
        <w:rPr>
          <w:rFonts w:cs="Arial"/>
          <w:lang w:val="en-AU"/>
        </w:rPr>
        <w:t>.</w:t>
      </w:r>
      <w:r w:rsidRPr="007E252F">
        <w:rPr>
          <w:color w:val="000000" w:themeColor="text1"/>
          <w:lang w:val="en-AU" w:bidi="ar-SA"/>
        </w:rPr>
        <w:t xml:space="preserve"> Based on observations of Australian consumers in Arnhem land, </w:t>
      </w:r>
      <w:r w:rsidRPr="007E252F">
        <w:rPr>
          <w:lang w:eastAsia="en-GB" w:bidi="ar-SA"/>
        </w:rPr>
        <w:t xml:space="preserve">240 - 440 g/week of dried kava powder </w:t>
      </w:r>
      <w:r w:rsidRPr="007E252F">
        <w:rPr>
          <w:color w:val="000000" w:themeColor="text1"/>
          <w:lang w:val="en-AU" w:bidi="ar-SA"/>
        </w:rPr>
        <w:t xml:space="preserve">has been proposed as the level where </w:t>
      </w:r>
      <w:r w:rsidRPr="007E252F">
        <w:rPr>
          <w:lang w:val="en-AU" w:bidi="ar-SA"/>
        </w:rPr>
        <w:t xml:space="preserve">negative effects from kava beverage consumption begin to occur (Clough, 2003). </w:t>
      </w:r>
    </w:p>
    <w:p w14:paraId="25480668" w14:textId="77777777" w:rsidR="007E252F" w:rsidRPr="007E252F" w:rsidRDefault="007E252F" w:rsidP="007E252F">
      <w:pPr>
        <w:widowControl/>
        <w:rPr>
          <w:lang w:val="en-AU" w:bidi="ar-SA"/>
        </w:rPr>
      </w:pPr>
    </w:p>
    <w:p w14:paraId="572A9B39" w14:textId="77777777" w:rsidR="007E252F" w:rsidRPr="007E252F" w:rsidRDefault="007E252F" w:rsidP="007E252F">
      <w:pPr>
        <w:widowControl/>
        <w:rPr>
          <w:rFonts w:cs="Arial"/>
          <w:i/>
          <w:u w:val="single"/>
          <w:lang w:val="en-AU"/>
        </w:rPr>
      </w:pPr>
      <w:r w:rsidRPr="007E252F">
        <w:rPr>
          <w:rFonts w:cs="Arial"/>
          <w:i/>
          <w:u w:val="single"/>
          <w:lang w:val="en-AU"/>
        </w:rPr>
        <w:t>Scaly skin rash</w:t>
      </w:r>
    </w:p>
    <w:p w14:paraId="1891B293" w14:textId="77777777" w:rsidR="007E252F" w:rsidRPr="007E252F" w:rsidRDefault="007E252F" w:rsidP="007E252F">
      <w:pPr>
        <w:widowControl/>
        <w:rPr>
          <w:rFonts w:cs="Arial"/>
          <w:lang w:val="en-AU"/>
        </w:rPr>
      </w:pPr>
    </w:p>
    <w:p w14:paraId="287C7537" w14:textId="77777777" w:rsidR="007E252F" w:rsidRPr="007E252F" w:rsidRDefault="007E252F" w:rsidP="007E252F">
      <w:pPr>
        <w:widowControl/>
        <w:rPr>
          <w:rFonts w:cs="Arial"/>
          <w:lang w:val="en-AU"/>
        </w:rPr>
      </w:pPr>
      <w:r w:rsidRPr="007E252F">
        <w:rPr>
          <w:rFonts w:cs="Arial"/>
          <w:lang w:val="en-AU"/>
        </w:rPr>
        <w:t xml:space="preserve">The most commonly observed side effect of ongoing consumption of high-quantities of kava beverage is a form of ichthyosiform skin rash or kava dermopathy. Kava dermopathy is characterised by dry, flaky skin and yellow discolouration of skin and nails (Hannam et al., 2014). </w:t>
      </w:r>
    </w:p>
    <w:p w14:paraId="49A98138" w14:textId="77777777" w:rsidR="007E252F" w:rsidRPr="007E252F" w:rsidRDefault="007E252F" w:rsidP="007E252F">
      <w:pPr>
        <w:widowControl/>
        <w:rPr>
          <w:rFonts w:cs="Arial"/>
          <w:lang w:val="en-AU"/>
        </w:rPr>
      </w:pPr>
    </w:p>
    <w:p w14:paraId="06CF0AB4" w14:textId="77777777" w:rsidR="007E252F" w:rsidRPr="007E252F" w:rsidRDefault="007E252F" w:rsidP="007E252F">
      <w:pPr>
        <w:widowControl/>
        <w:rPr>
          <w:rFonts w:cs="Arial"/>
          <w:lang w:val="en-AU"/>
        </w:rPr>
      </w:pPr>
      <w:r w:rsidRPr="007E252F">
        <w:rPr>
          <w:rFonts w:cs="Arial"/>
          <w:lang w:val="en-AU"/>
        </w:rPr>
        <w:t xml:space="preserve">Onset typically begins in the face and descends towards the feet, with subsequent </w:t>
      </w:r>
      <w:r w:rsidRPr="007E252F">
        <w:rPr>
          <w:lang w:val="en-AU"/>
        </w:rPr>
        <w:t>desquamation</w:t>
      </w:r>
      <w:r w:rsidRPr="007E252F">
        <w:rPr>
          <w:rFonts w:cs="Arial"/>
          <w:lang w:val="en-AU"/>
        </w:rPr>
        <w:t xml:space="preserve"> and cracking in a scaly pattern. In addition to the desquamating keratosis, palmar and plantar keratoderma and ocular photosensitivity can also develop (Singh, 1992). These effects are reversible once kava consumption has been discontinued (Hannam et al., 2014).</w:t>
      </w:r>
    </w:p>
    <w:p w14:paraId="4FDA4832" w14:textId="77777777" w:rsidR="007E252F" w:rsidRPr="007E252F" w:rsidRDefault="007E252F" w:rsidP="007E252F">
      <w:pPr>
        <w:widowControl/>
        <w:rPr>
          <w:rFonts w:cs="Arial"/>
          <w:lang w:val="en-AU"/>
        </w:rPr>
      </w:pPr>
    </w:p>
    <w:p w14:paraId="041097D6" w14:textId="77777777" w:rsidR="007E252F" w:rsidRPr="007E252F" w:rsidRDefault="007E252F" w:rsidP="007E252F">
      <w:pPr>
        <w:widowControl/>
        <w:rPr>
          <w:rFonts w:cs="Arial"/>
          <w:i/>
          <w:u w:val="single"/>
          <w:lang w:val="en-AU"/>
        </w:rPr>
      </w:pPr>
      <w:r w:rsidRPr="007E252F">
        <w:rPr>
          <w:rFonts w:cs="Arial"/>
          <w:i/>
          <w:u w:val="single"/>
          <w:lang w:val="en-AU"/>
        </w:rPr>
        <w:t>Altered Liver Function</w:t>
      </w:r>
    </w:p>
    <w:p w14:paraId="0B9D8EEA" w14:textId="77777777" w:rsidR="007E252F" w:rsidRPr="007E252F" w:rsidRDefault="007E252F" w:rsidP="007E252F">
      <w:pPr>
        <w:widowControl/>
        <w:rPr>
          <w:rFonts w:cs="Arial"/>
          <w:lang w:val="en-AU"/>
        </w:rPr>
      </w:pPr>
    </w:p>
    <w:p w14:paraId="368053E4" w14:textId="77777777" w:rsidR="007E252F" w:rsidRPr="007E252F" w:rsidRDefault="007E252F" w:rsidP="007E252F">
      <w:pPr>
        <w:widowControl/>
        <w:rPr>
          <w:lang w:val="en-AU" w:bidi="ar-SA"/>
        </w:rPr>
      </w:pPr>
      <w:r w:rsidRPr="007E252F">
        <w:rPr>
          <w:lang w:val="en-AU" w:bidi="ar-SA"/>
        </w:rPr>
        <w:t>Changes in liver function parameters, including liver enzyme levels have been reported with kava beverage consumption. Studies of the health effects of kava beverage use in Arnhem land communities documented changes in liver function tests in kava drinkers, with increased serum GGT and AP activity in 61% and 50% of kava users respectively (</w:t>
      </w:r>
      <w:r w:rsidRPr="007E252F">
        <w:rPr>
          <w:rFonts w:cs="Arial"/>
          <w:lang w:val="en-AU"/>
        </w:rPr>
        <w:t>Mathews et al., 1988; Clough et al., 2003)</w:t>
      </w:r>
      <w:r w:rsidRPr="007E252F">
        <w:rPr>
          <w:lang w:val="en-AU" w:bidi="ar-SA"/>
        </w:rPr>
        <w:t>. Serum levels of ALT were not raised in any kava drinkers in the study, which included very heavy users. Hence, these changes in liver function did not appear to be indicative of acute liver inflammation and generally returned to normal within 1-</w:t>
      </w:r>
      <w:r w:rsidRPr="007E252F">
        <w:rPr>
          <w:lang w:val="en-AU" w:bidi="ar-SA"/>
        </w:rPr>
        <w:lastRenderedPageBreak/>
        <w:t>2 months of stopping kava use (</w:t>
      </w:r>
      <w:r w:rsidRPr="007E252F">
        <w:rPr>
          <w:rFonts w:cs="Arial"/>
          <w:lang w:val="en-AU"/>
        </w:rPr>
        <w:t>Mathews et al., 1988; Clough et al., 2003; Brown et al., 2007)</w:t>
      </w:r>
      <w:r w:rsidRPr="007E252F">
        <w:rPr>
          <w:lang w:val="en-AU" w:bidi="ar-SA"/>
        </w:rPr>
        <w:t xml:space="preserve">. </w:t>
      </w:r>
    </w:p>
    <w:p w14:paraId="741F2419" w14:textId="77777777" w:rsidR="007E252F" w:rsidRPr="007E252F" w:rsidRDefault="007E252F" w:rsidP="007E252F">
      <w:pPr>
        <w:widowControl/>
        <w:rPr>
          <w:lang w:val="en-AU" w:bidi="ar-SA"/>
        </w:rPr>
      </w:pPr>
    </w:p>
    <w:p w14:paraId="69B8BDDA" w14:textId="77777777" w:rsidR="007E252F" w:rsidRPr="007E252F" w:rsidRDefault="007E252F" w:rsidP="007E252F">
      <w:pPr>
        <w:widowControl/>
        <w:rPr>
          <w:lang w:val="en-AU" w:bidi="ar-SA"/>
        </w:rPr>
      </w:pPr>
      <w:r w:rsidRPr="007E252F">
        <w:rPr>
          <w:lang w:val="en-AU" w:bidi="ar-SA"/>
        </w:rPr>
        <w:t>Three potential hepatotoxicity events have been reported associated with kava beverage consumption (Russmann et al., 2003; Christl et al., 2009). These rare events were characterised as increased GGT and AP activity, accompanied by concomitant increases in ALT and AST. Hepatotoxicity has not been widely reported in Pacific communities that regularly consume kava beverage.</w:t>
      </w:r>
    </w:p>
    <w:p w14:paraId="6F584E40" w14:textId="77777777" w:rsidR="007E252F" w:rsidRPr="007E252F" w:rsidRDefault="007E252F" w:rsidP="007E252F">
      <w:pPr>
        <w:widowControl/>
        <w:rPr>
          <w:lang w:val="en-AU" w:bidi="ar-SA"/>
        </w:rPr>
      </w:pPr>
    </w:p>
    <w:p w14:paraId="29BEE955" w14:textId="77777777" w:rsidR="007E252F" w:rsidRPr="007E252F" w:rsidRDefault="007E252F" w:rsidP="007E252F">
      <w:pPr>
        <w:widowControl/>
        <w:rPr>
          <w:rFonts w:cs="Arial"/>
          <w:i/>
          <w:u w:val="single"/>
          <w:lang w:val="en-AU"/>
        </w:rPr>
      </w:pPr>
      <w:r w:rsidRPr="007E252F">
        <w:rPr>
          <w:rFonts w:cs="Arial"/>
          <w:i/>
          <w:u w:val="single"/>
          <w:lang w:val="en-AU"/>
        </w:rPr>
        <w:t>General physical health effects</w:t>
      </w:r>
    </w:p>
    <w:p w14:paraId="1C0A33EE" w14:textId="77777777" w:rsidR="007E252F" w:rsidRPr="007E252F" w:rsidRDefault="007E252F" w:rsidP="007E252F">
      <w:pPr>
        <w:widowControl/>
        <w:rPr>
          <w:rFonts w:cs="Arial"/>
          <w:lang w:val="en-AU"/>
        </w:rPr>
      </w:pPr>
    </w:p>
    <w:p w14:paraId="4E76E0F7" w14:textId="77777777" w:rsidR="007E252F" w:rsidRPr="007E252F" w:rsidRDefault="007E252F" w:rsidP="007E252F">
      <w:pPr>
        <w:widowControl/>
        <w:rPr>
          <w:rFonts w:cs="Arial"/>
          <w:lang w:val="en-AU"/>
        </w:rPr>
      </w:pPr>
      <w:r w:rsidRPr="007E252F">
        <w:rPr>
          <w:rFonts w:cs="Arial"/>
          <w:lang w:val="en-AU"/>
        </w:rPr>
        <w:t xml:space="preserve">Ongoing excessive consumption of kava beverage has been associated with a decrease in body weights </w:t>
      </w:r>
      <w:r w:rsidRPr="007E252F">
        <w:rPr>
          <w:lang w:val="en-AU"/>
        </w:rPr>
        <w:t>(Rychetnik &amp; Madronio, 2011)</w:t>
      </w:r>
      <w:r w:rsidRPr="007E252F">
        <w:rPr>
          <w:rFonts w:cs="Arial"/>
          <w:lang w:val="en-AU"/>
        </w:rPr>
        <w:t xml:space="preserve">. More work is needed to determine the direct cause of this observation. However, a regular reduction in dietary intakes due to acute kava beverage side effects such as nausea, indigestion and loss of appetite, is a likely factor in consumers of high amounts of kava beverage </w:t>
      </w:r>
      <w:r w:rsidRPr="007E252F">
        <w:rPr>
          <w:lang w:val="en-AU"/>
        </w:rPr>
        <w:t>(Rychetnik &amp; Madronio, 2011)</w:t>
      </w:r>
      <w:r w:rsidRPr="007E252F">
        <w:rPr>
          <w:rFonts w:cs="Arial"/>
          <w:lang w:val="en-AU"/>
        </w:rPr>
        <w:t>.</w:t>
      </w:r>
    </w:p>
    <w:p w14:paraId="41A143B7" w14:textId="77777777" w:rsidR="007E252F" w:rsidRPr="007E252F" w:rsidRDefault="007E252F" w:rsidP="007E252F">
      <w:pPr>
        <w:widowControl/>
        <w:rPr>
          <w:rFonts w:cs="Arial"/>
          <w:lang w:val="en-AU"/>
        </w:rPr>
      </w:pPr>
    </w:p>
    <w:p w14:paraId="62AF911B" w14:textId="77777777" w:rsidR="007E252F" w:rsidRPr="007E252F" w:rsidRDefault="007E252F" w:rsidP="007E252F">
      <w:pPr>
        <w:widowControl/>
        <w:rPr>
          <w:rFonts w:cs="Arial"/>
          <w:lang w:val="en-AU"/>
        </w:rPr>
      </w:pPr>
      <w:r w:rsidRPr="007E252F">
        <w:rPr>
          <w:rFonts w:cs="Arial"/>
          <w:lang w:val="en-AU"/>
        </w:rPr>
        <w:t xml:space="preserve">Other reported general health effects with a clear association with ongoing high levels of kava consumption include conjunctivitis, loss of sexual drive and raised cholesterol </w:t>
      </w:r>
      <w:r w:rsidRPr="007E252F">
        <w:rPr>
          <w:lang w:val="en-AU"/>
        </w:rPr>
        <w:t>(Rychetnik &amp; Madronio, 2011)</w:t>
      </w:r>
      <w:r w:rsidRPr="007E252F">
        <w:rPr>
          <w:rFonts w:cs="Arial"/>
          <w:lang w:val="en-AU"/>
        </w:rPr>
        <w:t>.</w:t>
      </w:r>
    </w:p>
    <w:p w14:paraId="045E998C" w14:textId="77777777" w:rsidR="007E252F" w:rsidRPr="007E252F" w:rsidRDefault="007E252F" w:rsidP="007E252F">
      <w:pPr>
        <w:widowControl/>
        <w:rPr>
          <w:rFonts w:cs="Arial"/>
          <w:lang w:val="en-AU"/>
        </w:rPr>
      </w:pPr>
    </w:p>
    <w:p w14:paraId="3C353014" w14:textId="77777777" w:rsidR="007E252F" w:rsidRPr="007E252F" w:rsidRDefault="007E252F" w:rsidP="007E252F">
      <w:pPr>
        <w:widowControl/>
        <w:rPr>
          <w:rFonts w:cs="Arial"/>
          <w:i/>
          <w:u w:val="single"/>
          <w:lang w:val="en-AU"/>
        </w:rPr>
      </w:pPr>
      <w:r w:rsidRPr="007E252F">
        <w:rPr>
          <w:rFonts w:cs="Arial"/>
          <w:i/>
          <w:u w:val="single"/>
          <w:lang w:val="en-AU"/>
        </w:rPr>
        <w:t>Allergenicity</w:t>
      </w:r>
    </w:p>
    <w:p w14:paraId="5F824D26" w14:textId="77777777" w:rsidR="007E252F" w:rsidRPr="007E252F" w:rsidRDefault="007E252F" w:rsidP="007E252F">
      <w:pPr>
        <w:widowControl/>
        <w:rPr>
          <w:rFonts w:cs="Arial"/>
          <w:lang w:val="en-AU"/>
        </w:rPr>
      </w:pPr>
    </w:p>
    <w:p w14:paraId="24D69B80" w14:textId="77777777" w:rsidR="007E252F" w:rsidRPr="007E252F" w:rsidRDefault="007E252F" w:rsidP="007E252F">
      <w:pPr>
        <w:widowControl/>
        <w:rPr>
          <w:rFonts w:cs="Arial"/>
          <w:lang w:val="en-AU"/>
        </w:rPr>
      </w:pPr>
      <w:r w:rsidRPr="007E252F">
        <w:rPr>
          <w:rFonts w:cs="Arial"/>
          <w:lang w:val="en-AU"/>
        </w:rPr>
        <w:t xml:space="preserve">Acute formation of </w:t>
      </w:r>
      <w:r w:rsidRPr="007E252F">
        <w:rPr>
          <w:lang w:val="en-AU"/>
        </w:rPr>
        <w:t xml:space="preserve">urticarial rash arising from </w:t>
      </w:r>
      <w:r w:rsidRPr="007E252F">
        <w:rPr>
          <w:rFonts w:cs="Arial"/>
          <w:lang w:val="en-AU"/>
        </w:rPr>
        <w:t xml:space="preserve">contact with kava plant or consumption of kava beverage has been reported </w:t>
      </w:r>
      <w:bookmarkStart w:id="104" w:name="OLE_LINK2"/>
      <w:r w:rsidRPr="007E252F">
        <w:rPr>
          <w:rFonts w:cs="Arial"/>
          <w:lang w:val="en-AU"/>
        </w:rPr>
        <w:t>(Süss &amp; Lehmann, 1996</w:t>
      </w:r>
      <w:bookmarkEnd w:id="104"/>
      <w:r w:rsidRPr="007E252F">
        <w:rPr>
          <w:rFonts w:cs="Arial"/>
          <w:lang w:val="en-AU"/>
        </w:rPr>
        <w:t>; Grace, 2005; Steele et al., 2019).</w:t>
      </w:r>
    </w:p>
    <w:p w14:paraId="5818382B" w14:textId="77777777" w:rsidR="007E252F" w:rsidRPr="007E252F" w:rsidRDefault="007E252F" w:rsidP="007E252F">
      <w:pPr>
        <w:widowControl/>
        <w:rPr>
          <w:rFonts w:cs="Arial"/>
          <w:lang w:val="en-AU"/>
        </w:rPr>
      </w:pPr>
    </w:p>
    <w:p w14:paraId="342FAC14" w14:textId="77777777" w:rsidR="007E252F" w:rsidRPr="007E252F" w:rsidRDefault="007E252F" w:rsidP="007E252F">
      <w:pPr>
        <w:keepNext/>
        <w:widowControl/>
        <w:outlineLvl w:val="1"/>
        <w:rPr>
          <w:rFonts w:cs="Arial"/>
          <w:b/>
          <w:bCs/>
          <w:sz w:val="28"/>
          <w:szCs w:val="22"/>
          <w:lang w:val="en-AU" w:bidi="ar-SA"/>
        </w:rPr>
      </w:pPr>
      <w:bookmarkStart w:id="105" w:name="_Toc95830173"/>
      <w:r w:rsidRPr="007E252F">
        <w:rPr>
          <w:rFonts w:cs="Arial"/>
          <w:b/>
          <w:bCs/>
          <w:sz w:val="28"/>
          <w:szCs w:val="22"/>
          <w:lang w:val="en-AU" w:bidi="ar-SA"/>
        </w:rPr>
        <w:t>3.2</w:t>
      </w:r>
      <w:r w:rsidRPr="007E252F">
        <w:rPr>
          <w:rFonts w:cs="Arial"/>
          <w:b/>
          <w:bCs/>
          <w:sz w:val="28"/>
          <w:szCs w:val="22"/>
          <w:lang w:val="en-AU" w:bidi="ar-SA"/>
        </w:rPr>
        <w:tab/>
        <w:t>Kava beverage as a substance of abuse</w:t>
      </w:r>
      <w:bookmarkEnd w:id="105"/>
    </w:p>
    <w:p w14:paraId="23E948AB" w14:textId="77777777" w:rsidR="007E252F" w:rsidRPr="007E252F" w:rsidRDefault="007E252F" w:rsidP="007E252F">
      <w:pPr>
        <w:widowControl/>
        <w:rPr>
          <w:lang w:val="en-AU" w:bidi="ar-SA"/>
        </w:rPr>
      </w:pPr>
    </w:p>
    <w:p w14:paraId="479593F3" w14:textId="77777777" w:rsidR="007E252F" w:rsidRPr="007E252F" w:rsidRDefault="007E252F" w:rsidP="007E252F">
      <w:pPr>
        <w:widowControl/>
        <w:rPr>
          <w:lang w:val="en-AU" w:bidi="ar-SA"/>
        </w:rPr>
      </w:pPr>
      <w:r w:rsidRPr="007E252F">
        <w:rPr>
          <w:lang w:val="en-AU" w:bidi="ar-SA"/>
        </w:rPr>
        <w:t>Infrequent consumption of kava beverage in line</w:t>
      </w:r>
      <w:r w:rsidRPr="007E252F">
        <w:rPr>
          <w:color w:val="000000" w:themeColor="text1"/>
          <w:lang w:val="en-AU" w:bidi="ar-SA"/>
        </w:rPr>
        <w:t xml:space="preserve"> with historical preparation and consumption practices</w:t>
      </w:r>
      <w:r w:rsidRPr="007E252F">
        <w:rPr>
          <w:lang w:val="en-AU" w:bidi="ar-SA"/>
        </w:rPr>
        <w:t xml:space="preserve"> does not pose significant risk to public health (FAO/WHO, 2016). Kava beverage does not demonstrate the same addictive properties as other substances of abuse, and is seen to be far less harmful to individual users and the community (FAO/WHO, 2016; Bonomo et al., 2019). However, excessive and recurrent consumption of kava (</w:t>
      </w:r>
      <w:r w:rsidRPr="007E252F">
        <w:rPr>
          <w:lang w:eastAsia="en-GB" w:bidi="ar-SA"/>
        </w:rPr>
        <w:t>240 - 440 g/week or more of</w:t>
      </w:r>
      <w:r w:rsidRPr="007E252F">
        <w:rPr>
          <w:lang w:val="en-AU" w:bidi="ar-SA"/>
        </w:rPr>
        <w:t xml:space="preserve"> dried kava powder) is associated with adverse outcomes for both individuals and communities (Clough, 2003).</w:t>
      </w:r>
    </w:p>
    <w:p w14:paraId="5059A439" w14:textId="77777777" w:rsidR="007E252F" w:rsidRPr="007E252F" w:rsidRDefault="007E252F" w:rsidP="007E252F">
      <w:pPr>
        <w:widowControl/>
        <w:rPr>
          <w:lang w:val="en-AU" w:bidi="ar-SA"/>
        </w:rPr>
      </w:pPr>
    </w:p>
    <w:p w14:paraId="19FDFB79" w14:textId="77777777" w:rsidR="007E252F" w:rsidRPr="007E252F" w:rsidRDefault="007E252F" w:rsidP="007E252F">
      <w:pPr>
        <w:widowControl/>
        <w:rPr>
          <w:lang w:val="en-AU" w:bidi="ar-SA"/>
        </w:rPr>
      </w:pPr>
      <w:r w:rsidRPr="007E252F">
        <w:rPr>
          <w:lang w:val="en-AU" w:bidi="ar-SA"/>
        </w:rPr>
        <w:t xml:space="preserve">Increasing the availability of kava introduces the potential for misuse in the wider population outside communities with established </w:t>
      </w:r>
      <w:r w:rsidRPr="007E252F">
        <w:rPr>
          <w:lang w:val="en-AU"/>
        </w:rPr>
        <w:t>cultural practices and values around consumption</w:t>
      </w:r>
      <w:r w:rsidRPr="007E252F">
        <w:rPr>
          <w:lang w:val="en-AU" w:bidi="ar-SA"/>
        </w:rPr>
        <w:t>. Kava was introduced to Arnhem Land in the 1980s, where it was thought that kava beverage may provide a safer alternative to alcohol. Over the subsequent years, kava became a substance of abuse in these communities, and steadily increased in prevalence and quantity during periods where regulatory settings permitted commercial importation (Clough et al., 2000; Butt, 2019). In 2007, the Australian Government imposed import restrictions in a policy effort to reduce the kava abuse in Arnhem Land communities. Kava consumption still persists in some communities in East and West Arnhem land, despite import restrictions being enforced since 2007 (Butt, 2019).</w:t>
      </w:r>
    </w:p>
    <w:p w14:paraId="3FA4FF7D" w14:textId="77777777" w:rsidR="007E252F" w:rsidRPr="007E252F" w:rsidRDefault="007E252F" w:rsidP="007E252F">
      <w:pPr>
        <w:widowControl/>
        <w:rPr>
          <w:lang w:val="en-AU" w:bidi="ar-SA"/>
        </w:rPr>
      </w:pPr>
    </w:p>
    <w:p w14:paraId="37EA3088" w14:textId="77777777" w:rsidR="007E252F" w:rsidRPr="007E252F" w:rsidRDefault="007E252F" w:rsidP="007E252F">
      <w:pPr>
        <w:widowControl/>
        <w:rPr>
          <w:lang w:val="en-AU" w:bidi="ar-SA"/>
        </w:rPr>
      </w:pPr>
      <w:r w:rsidRPr="007E252F">
        <w:rPr>
          <w:lang w:val="en-AU" w:bidi="ar-SA"/>
        </w:rPr>
        <w:t>An increase in kava beverage consumption occurring in communities without a historical and cultural connection to kava beverage, at quantities indicative of substance abuse, is not unique to Australia. In Fiji, Indo-Fijian communities have developed recreational kava beverage consumption at levels that can exceed typical consumption of native-Fijian communities, where over-consumption reveals social and economic implications (Aporosa, 2012).</w:t>
      </w:r>
    </w:p>
    <w:p w14:paraId="2E54AE3E" w14:textId="77777777" w:rsidR="007E252F" w:rsidRPr="007E252F" w:rsidRDefault="007E252F" w:rsidP="007E252F">
      <w:pPr>
        <w:widowControl/>
        <w:rPr>
          <w:rFonts w:cs="Arial"/>
          <w:lang w:val="en-AU"/>
        </w:rPr>
      </w:pPr>
    </w:p>
    <w:p w14:paraId="01AD5C64" w14:textId="77777777" w:rsidR="007E252F" w:rsidRPr="007E252F" w:rsidRDefault="007E252F" w:rsidP="007E252F">
      <w:pPr>
        <w:keepNext/>
        <w:widowControl/>
        <w:outlineLvl w:val="1"/>
        <w:rPr>
          <w:rFonts w:cs="Arial"/>
          <w:b/>
          <w:bCs/>
          <w:sz w:val="28"/>
          <w:szCs w:val="22"/>
          <w:lang w:val="en-AU" w:bidi="ar-SA"/>
        </w:rPr>
      </w:pPr>
      <w:bookmarkStart w:id="106" w:name="_Toc25667600"/>
      <w:bookmarkStart w:id="107" w:name="_Toc70520110"/>
      <w:bookmarkStart w:id="108" w:name="_Toc70587643"/>
      <w:bookmarkStart w:id="109" w:name="_Toc71545275"/>
      <w:bookmarkStart w:id="110" w:name="_Toc72504651"/>
      <w:bookmarkStart w:id="111" w:name="_Toc74035738"/>
      <w:bookmarkStart w:id="112" w:name="_Toc74056539"/>
      <w:bookmarkStart w:id="113" w:name="_Toc74665244"/>
      <w:bookmarkStart w:id="114" w:name="_Toc82168578"/>
      <w:bookmarkStart w:id="115" w:name="_Toc83287717"/>
      <w:bookmarkStart w:id="116" w:name="_Toc83297179"/>
      <w:bookmarkStart w:id="117" w:name="_Toc83324799"/>
      <w:bookmarkStart w:id="118" w:name="_Toc95830174"/>
      <w:r w:rsidRPr="007E252F">
        <w:rPr>
          <w:rFonts w:cs="Arial"/>
          <w:b/>
          <w:bCs/>
          <w:sz w:val="28"/>
          <w:szCs w:val="22"/>
          <w:lang w:val="en-AU" w:bidi="ar-SA"/>
        </w:rPr>
        <w:lastRenderedPageBreak/>
        <w:t>3.3</w:t>
      </w:r>
      <w:r w:rsidRPr="007E252F">
        <w:rPr>
          <w:rFonts w:cs="Arial"/>
          <w:b/>
          <w:bCs/>
          <w:sz w:val="28"/>
          <w:szCs w:val="22"/>
          <w:lang w:val="en-AU" w:bidi="ar-SA"/>
        </w:rPr>
        <w:tab/>
      </w:r>
      <w:bookmarkEnd w:id="106"/>
      <w:bookmarkEnd w:id="107"/>
      <w:bookmarkEnd w:id="108"/>
      <w:bookmarkEnd w:id="109"/>
      <w:bookmarkEnd w:id="110"/>
      <w:bookmarkEnd w:id="111"/>
      <w:bookmarkEnd w:id="112"/>
      <w:bookmarkEnd w:id="113"/>
      <w:bookmarkEnd w:id="114"/>
      <w:bookmarkEnd w:id="115"/>
      <w:bookmarkEnd w:id="116"/>
      <w:bookmarkEnd w:id="117"/>
      <w:r w:rsidRPr="007E252F">
        <w:rPr>
          <w:rFonts w:cs="Arial"/>
          <w:b/>
          <w:bCs/>
          <w:sz w:val="28"/>
          <w:szCs w:val="22"/>
          <w:lang w:val="en-AU" w:bidi="ar-SA"/>
        </w:rPr>
        <w:t>Sensitive sub-populations</w:t>
      </w:r>
      <w:bookmarkEnd w:id="118"/>
    </w:p>
    <w:p w14:paraId="72BE0FF6" w14:textId="77777777" w:rsidR="007E252F" w:rsidRPr="007E252F" w:rsidRDefault="007E252F" w:rsidP="007E252F">
      <w:pPr>
        <w:widowControl/>
        <w:rPr>
          <w:lang w:val="en-AU" w:bidi="ar-SA"/>
        </w:rPr>
      </w:pPr>
    </w:p>
    <w:p w14:paraId="007753F3" w14:textId="77777777" w:rsidR="007E252F" w:rsidRPr="007E252F" w:rsidRDefault="007E252F" w:rsidP="007E252F">
      <w:pPr>
        <w:widowControl/>
        <w:rPr>
          <w:color w:val="FF0000"/>
          <w:lang w:val="en-AU" w:bidi="ar-SA"/>
        </w:rPr>
      </w:pPr>
      <w:r w:rsidRPr="007E252F">
        <w:rPr>
          <w:lang w:val="en-AU" w:bidi="ar-SA"/>
        </w:rPr>
        <w:t>No information was available to allow an assessment of the safety of kava beverage consumption in pregnant or lactating females, adolescents or children. Therefore it is not possible to draw a conclusion on the safety of kava beverage consumption by these population subgroups.</w:t>
      </w:r>
    </w:p>
    <w:p w14:paraId="7CDC33F7" w14:textId="77777777" w:rsidR="007E252F" w:rsidRPr="007E252F" w:rsidRDefault="007E252F" w:rsidP="007E252F">
      <w:pPr>
        <w:widowControl/>
        <w:rPr>
          <w:lang w:val="en-AU" w:bidi="ar-SA"/>
        </w:rPr>
      </w:pPr>
    </w:p>
    <w:p w14:paraId="26C28EC2" w14:textId="77777777" w:rsidR="007E252F" w:rsidRPr="007E252F" w:rsidRDefault="007E252F" w:rsidP="007E252F">
      <w:pPr>
        <w:keepNext/>
        <w:widowControl/>
        <w:outlineLvl w:val="1"/>
        <w:rPr>
          <w:rFonts w:cs="Arial"/>
          <w:b/>
          <w:bCs/>
          <w:sz w:val="28"/>
          <w:szCs w:val="22"/>
          <w:lang w:val="en-AU" w:bidi="ar-SA"/>
        </w:rPr>
      </w:pPr>
      <w:bookmarkStart w:id="119" w:name="_Toc95830175"/>
      <w:r w:rsidRPr="007E252F">
        <w:rPr>
          <w:rFonts w:cs="Arial"/>
          <w:b/>
          <w:bCs/>
          <w:sz w:val="28"/>
          <w:szCs w:val="22"/>
          <w:lang w:val="en-AU" w:bidi="ar-SA"/>
        </w:rPr>
        <w:t>3.4</w:t>
      </w:r>
      <w:r w:rsidRPr="007E252F">
        <w:rPr>
          <w:rFonts w:cs="Arial"/>
          <w:b/>
          <w:bCs/>
          <w:sz w:val="28"/>
          <w:szCs w:val="22"/>
          <w:lang w:val="en-AU" w:bidi="ar-SA"/>
        </w:rPr>
        <w:tab/>
        <w:t>Kava extracts used for medicinal purposes</w:t>
      </w:r>
      <w:bookmarkEnd w:id="119"/>
    </w:p>
    <w:p w14:paraId="10EB6971" w14:textId="77777777" w:rsidR="007E252F" w:rsidRPr="007E252F" w:rsidRDefault="007E252F" w:rsidP="007E252F">
      <w:pPr>
        <w:widowControl/>
        <w:rPr>
          <w:lang w:val="en-AU" w:bidi="ar-SA"/>
        </w:rPr>
      </w:pPr>
    </w:p>
    <w:p w14:paraId="3238DA09" w14:textId="77777777" w:rsidR="007E252F" w:rsidRPr="007E252F" w:rsidRDefault="007E252F" w:rsidP="007E252F">
      <w:pPr>
        <w:widowControl/>
        <w:rPr>
          <w:lang w:val="en-AU"/>
        </w:rPr>
      </w:pPr>
      <w:r w:rsidRPr="007E252F">
        <w:rPr>
          <w:lang w:val="en-AU"/>
        </w:rPr>
        <w:t xml:space="preserve">Liver toxicity is the main adverse effect that has been associated with kava extracts used for medicinal purposes. Reports of hepatotoxicity emerged in Europe in 1998 and cases were later reported in non-European countries, including Australia (WHO, 2008; Teschke, 2010). </w:t>
      </w:r>
    </w:p>
    <w:p w14:paraId="4A1157C5" w14:textId="77777777" w:rsidR="007E252F" w:rsidRPr="007E252F" w:rsidRDefault="007E252F" w:rsidP="007E252F">
      <w:pPr>
        <w:widowControl/>
        <w:rPr>
          <w:lang w:val="en-AU"/>
        </w:rPr>
      </w:pPr>
    </w:p>
    <w:p w14:paraId="16610BDE" w14:textId="77777777" w:rsidR="007E252F" w:rsidRPr="007E252F" w:rsidRDefault="007E252F" w:rsidP="007E252F">
      <w:pPr>
        <w:widowControl/>
        <w:rPr>
          <w:lang w:val="en-AU"/>
        </w:rPr>
      </w:pPr>
      <w:r w:rsidRPr="007E252F">
        <w:rPr>
          <w:lang w:val="en-AU" w:bidi="ar-SA"/>
        </w:rPr>
        <w:t>These</w:t>
      </w:r>
      <w:r w:rsidRPr="007E252F">
        <w:t xml:space="preserve"> reports contrast significantly to the effects of consuming kava beverage that are discussed above. </w:t>
      </w:r>
      <w:r w:rsidRPr="007E252F">
        <w:rPr>
          <w:lang w:val="en-AU"/>
        </w:rPr>
        <w:t xml:space="preserve">Reported dosages ranged from 45 mg to 1200 mg kavalactones per day, taken for one week to twelve months. </w:t>
      </w:r>
    </w:p>
    <w:p w14:paraId="2410FB52" w14:textId="77777777" w:rsidR="007E252F" w:rsidRPr="007E252F" w:rsidRDefault="007E252F" w:rsidP="007E252F">
      <w:pPr>
        <w:widowControl/>
        <w:rPr>
          <w:lang w:val="en-AU"/>
        </w:rPr>
      </w:pPr>
    </w:p>
    <w:p w14:paraId="3A86510E" w14:textId="77777777" w:rsidR="007E252F" w:rsidRPr="007E252F" w:rsidRDefault="007E252F" w:rsidP="007E252F">
      <w:pPr>
        <w:widowControl/>
      </w:pPr>
      <w:r w:rsidRPr="007E252F">
        <w:t>In November 2001 the German Federal Institute for Drugs and Medicinal Products (BfArM) published evidence that suggested an association of kava consumption with liver damage in 26 cases reported from Germany and Switzerland (Teschke et al., 2008). These cases varied in severity from abnormal liver function (high levels of GGT and AP, with associated increases of ALT) to liver failure, including fatality and liver transplants. T</w:t>
      </w:r>
      <w:r w:rsidRPr="007E252F">
        <w:rPr>
          <w:lang w:val="en-AU" w:bidi="ar-SA"/>
        </w:rPr>
        <w:t>he causative factor of these observed hepatotoxicity events remains unknown. T</w:t>
      </w:r>
      <w:r w:rsidRPr="007E252F">
        <w:t xml:space="preserve">he evidence in some cases is compounded by other factors including previous history of compromised liver function, missing information in relation to patient history, co-medication and the consumption of alcohol. In all of these reported cases, kava had been consumed as complementary medicines, supplements or herbal medicines (WHO, 2008).  </w:t>
      </w:r>
    </w:p>
    <w:p w14:paraId="4DE05EE0" w14:textId="77777777" w:rsidR="007E252F" w:rsidRPr="007E252F" w:rsidRDefault="007E252F" w:rsidP="007E252F">
      <w:pPr>
        <w:widowControl/>
      </w:pPr>
    </w:p>
    <w:p w14:paraId="33A49A95" w14:textId="77777777" w:rsidR="007E252F" w:rsidRPr="007E252F" w:rsidRDefault="007E252F" w:rsidP="007E252F">
      <w:pPr>
        <w:widowControl/>
        <w:rPr>
          <w:lang w:val="en-AU" w:bidi="ar-SA"/>
        </w:rPr>
      </w:pPr>
      <w:r w:rsidRPr="007E252F">
        <w:rPr>
          <w:lang w:val="en-AU" w:bidi="ar-SA"/>
        </w:rPr>
        <w:t>A review by the World Health Organization (WHO) found that, out of 93 cases, eight had probable association with kava use (WHO, 2008). Subsequent analysis supported that there is a likely association with kava use for medicinal purposes and hepatotoxicity (Teschke et al., 2008; Teschke, 2010).</w:t>
      </w:r>
    </w:p>
    <w:p w14:paraId="4CCB0C7C" w14:textId="77777777" w:rsidR="007E252F" w:rsidRPr="007E252F" w:rsidRDefault="007E252F" w:rsidP="007E252F">
      <w:pPr>
        <w:widowControl/>
      </w:pPr>
    </w:p>
    <w:p w14:paraId="24AAE064" w14:textId="77777777" w:rsidR="007E252F" w:rsidRPr="007E252F" w:rsidRDefault="007E252F" w:rsidP="007E252F">
      <w:pPr>
        <w:widowControl/>
        <w:rPr>
          <w:lang w:val="en-AU" w:bidi="ar-SA"/>
        </w:rPr>
      </w:pPr>
      <w:r w:rsidRPr="007E252F">
        <w:rPr>
          <w:lang w:val="en-AU" w:bidi="ar-SA"/>
        </w:rPr>
        <w:t xml:space="preserve">The following have been proposed as explanations for the difference in liver effects seen between historical use of aqueous kava beverages and kava extracts used for medicinal purposes:  </w:t>
      </w:r>
    </w:p>
    <w:p w14:paraId="4A6F3305" w14:textId="77777777" w:rsidR="007E252F" w:rsidRPr="007E252F" w:rsidRDefault="007E252F" w:rsidP="007E252F">
      <w:pPr>
        <w:widowControl/>
        <w:ind w:left="426" w:hanging="426"/>
        <w:rPr>
          <w:lang w:val="en-AU" w:bidi="ar-SA"/>
        </w:rPr>
      </w:pPr>
    </w:p>
    <w:p w14:paraId="270526BA" w14:textId="77777777" w:rsidR="007E252F" w:rsidRPr="007E252F" w:rsidRDefault="007E252F" w:rsidP="007E252F">
      <w:pPr>
        <w:widowControl/>
        <w:numPr>
          <w:ilvl w:val="0"/>
          <w:numId w:val="9"/>
        </w:numPr>
        <w:ind w:left="426" w:hanging="426"/>
        <w:contextualSpacing/>
        <w:rPr>
          <w:lang w:val="en-AU" w:bidi="ar-SA"/>
        </w:rPr>
      </w:pPr>
      <w:r w:rsidRPr="007E252F">
        <w:rPr>
          <w:lang w:val="en-AU" w:bidi="ar-SA"/>
        </w:rPr>
        <w:t>Different chemical composition of extracts produced using organic solvents (</w:t>
      </w:r>
      <w:r w:rsidRPr="007E252F">
        <w:rPr>
          <w:lang w:val="en-AU"/>
        </w:rPr>
        <w:t>Teschke et al., 2012)</w:t>
      </w:r>
      <w:r w:rsidRPr="007E252F">
        <w:rPr>
          <w:lang w:val="en-AU" w:bidi="ar-SA"/>
        </w:rPr>
        <w:t>.</w:t>
      </w:r>
    </w:p>
    <w:p w14:paraId="0BAB743B" w14:textId="77777777" w:rsidR="007E252F" w:rsidRPr="007E252F" w:rsidRDefault="007E252F" w:rsidP="007E252F">
      <w:pPr>
        <w:widowControl/>
        <w:numPr>
          <w:ilvl w:val="0"/>
          <w:numId w:val="9"/>
        </w:numPr>
        <w:ind w:left="426" w:hanging="426"/>
        <w:contextualSpacing/>
        <w:rPr>
          <w:lang w:val="en-AU" w:bidi="ar-SA"/>
        </w:rPr>
      </w:pPr>
      <w:r w:rsidRPr="007E252F">
        <w:rPr>
          <w:lang w:val="en-AU" w:bidi="ar-SA"/>
        </w:rPr>
        <w:t>Potentially sourced from non-noble kava varieties, different parts of the plant or aflatoxin contamination (Teschke et al., 2011; Teschke 2012).</w:t>
      </w:r>
    </w:p>
    <w:p w14:paraId="4B96B9EC" w14:textId="77777777" w:rsidR="007E252F" w:rsidRPr="007E252F" w:rsidRDefault="007E252F" w:rsidP="007E252F">
      <w:pPr>
        <w:widowControl/>
        <w:numPr>
          <w:ilvl w:val="0"/>
          <w:numId w:val="9"/>
        </w:numPr>
        <w:ind w:left="426" w:hanging="426"/>
        <w:contextualSpacing/>
        <w:rPr>
          <w:lang w:val="en-AU" w:bidi="ar-SA"/>
        </w:rPr>
      </w:pPr>
      <w:r w:rsidRPr="007E252F">
        <w:rPr>
          <w:lang w:val="en-AU" w:bidi="ar-SA"/>
        </w:rPr>
        <w:t>Potential interactions with other medicines or herbal medicines (</w:t>
      </w:r>
      <w:r w:rsidRPr="007E252F">
        <w:rPr>
          <w:lang w:val="en-AU"/>
        </w:rPr>
        <w:t>WHO, 2008; Teschke, 2008; Teschke, 2010)</w:t>
      </w:r>
      <w:r w:rsidRPr="007E252F">
        <w:rPr>
          <w:lang w:val="en-AU" w:bidi="ar-SA"/>
        </w:rPr>
        <w:t>.</w:t>
      </w:r>
    </w:p>
    <w:p w14:paraId="70677F4E" w14:textId="77777777" w:rsidR="007E252F" w:rsidRPr="007E252F" w:rsidRDefault="007E252F" w:rsidP="007E252F">
      <w:pPr>
        <w:widowControl/>
        <w:numPr>
          <w:ilvl w:val="0"/>
          <w:numId w:val="9"/>
        </w:numPr>
        <w:ind w:left="426" w:hanging="426"/>
        <w:contextualSpacing/>
        <w:rPr>
          <w:lang w:val="en-AU" w:bidi="ar-SA"/>
        </w:rPr>
      </w:pPr>
      <w:r w:rsidRPr="007E252F">
        <w:rPr>
          <w:lang w:val="en-AU" w:bidi="ar-SA"/>
        </w:rPr>
        <w:t>Possible genetic differences between Polynesian populations and Western populations with respect to CYP 2D6 (Wanwimolruk et al., 1998; Poolsup et al., 2000).</w:t>
      </w:r>
    </w:p>
    <w:p w14:paraId="4D8BB4BE" w14:textId="77777777" w:rsidR="007E252F" w:rsidRPr="007E252F" w:rsidRDefault="007E252F" w:rsidP="007E252F">
      <w:pPr>
        <w:widowControl/>
        <w:ind w:left="426" w:hanging="426"/>
        <w:rPr>
          <w:lang w:val="en-AU" w:bidi="ar-SA"/>
        </w:rPr>
      </w:pPr>
    </w:p>
    <w:p w14:paraId="03A1BBF6" w14:textId="77777777" w:rsidR="007E252F" w:rsidRPr="007E252F" w:rsidRDefault="007E252F" w:rsidP="007E252F">
      <w:pPr>
        <w:widowControl/>
      </w:pPr>
      <w:r w:rsidRPr="007E252F">
        <w:t xml:space="preserve">This highlights the difficulty of comparing the effects of kava beverage to standardised kava extracts, which can contain up to 30 times the kavalactone concentration. </w:t>
      </w:r>
    </w:p>
    <w:p w14:paraId="6EB48529" w14:textId="77777777" w:rsidR="007E252F" w:rsidRPr="007E252F" w:rsidRDefault="007E252F" w:rsidP="007E252F">
      <w:pPr>
        <w:widowControl/>
        <w:rPr>
          <w:lang w:val="en-AU" w:bidi="ar-SA"/>
        </w:rPr>
      </w:pPr>
    </w:p>
    <w:p w14:paraId="1E6569F6" w14:textId="77777777" w:rsidR="007E252F" w:rsidRPr="007E252F" w:rsidRDefault="007E252F" w:rsidP="007E252F">
      <w:pPr>
        <w:keepNext/>
        <w:widowControl/>
        <w:outlineLvl w:val="1"/>
        <w:rPr>
          <w:rFonts w:cs="Arial"/>
          <w:b/>
          <w:bCs/>
          <w:sz w:val="28"/>
          <w:szCs w:val="22"/>
          <w:lang w:val="en-AU" w:bidi="ar-SA"/>
        </w:rPr>
      </w:pPr>
      <w:bookmarkStart w:id="120" w:name="_Toc95830176"/>
      <w:r w:rsidRPr="007E252F">
        <w:rPr>
          <w:rFonts w:cs="Arial"/>
          <w:b/>
          <w:bCs/>
          <w:sz w:val="28"/>
          <w:szCs w:val="22"/>
          <w:lang w:val="en-AU" w:bidi="ar-SA"/>
        </w:rPr>
        <w:t>3.5</w:t>
      </w:r>
      <w:r w:rsidRPr="007E252F">
        <w:rPr>
          <w:rFonts w:cs="Arial"/>
          <w:b/>
          <w:bCs/>
          <w:sz w:val="28"/>
          <w:szCs w:val="22"/>
          <w:lang w:val="en-AU" w:bidi="ar-SA"/>
        </w:rPr>
        <w:tab/>
        <w:t>Drug interactions</w:t>
      </w:r>
      <w:bookmarkEnd w:id="120"/>
    </w:p>
    <w:p w14:paraId="339EC3C8" w14:textId="77777777" w:rsidR="007E252F" w:rsidRPr="007E252F" w:rsidRDefault="007E252F" w:rsidP="007E252F">
      <w:pPr>
        <w:widowControl/>
        <w:rPr>
          <w:lang w:val="en-AU" w:bidi="ar-SA"/>
        </w:rPr>
      </w:pPr>
    </w:p>
    <w:p w14:paraId="6CC99915" w14:textId="77777777" w:rsidR="007E252F" w:rsidRPr="007E252F" w:rsidRDefault="007E252F" w:rsidP="007E252F">
      <w:pPr>
        <w:widowControl/>
        <w:rPr>
          <w:i/>
          <w:u w:val="single"/>
          <w:lang w:val="en-AU" w:bidi="ar-SA"/>
        </w:rPr>
      </w:pPr>
      <w:r w:rsidRPr="007E252F">
        <w:rPr>
          <w:i/>
          <w:u w:val="single"/>
          <w:lang w:val="en-AU" w:bidi="ar-SA"/>
        </w:rPr>
        <w:t>Alcohol</w:t>
      </w:r>
    </w:p>
    <w:p w14:paraId="0D02BB22" w14:textId="77777777" w:rsidR="007E252F" w:rsidRPr="007E252F" w:rsidRDefault="007E252F" w:rsidP="007E252F">
      <w:pPr>
        <w:widowControl/>
        <w:rPr>
          <w:b/>
          <w:i/>
          <w:lang w:val="en-AU" w:bidi="ar-SA"/>
        </w:rPr>
      </w:pPr>
    </w:p>
    <w:p w14:paraId="3CD1CE9C" w14:textId="77777777" w:rsidR="007E252F" w:rsidRPr="007E252F" w:rsidRDefault="007E252F" w:rsidP="007E252F">
      <w:pPr>
        <w:widowControl/>
        <w:rPr>
          <w:lang w:val="en-AU" w:bidi="ar-SA"/>
        </w:rPr>
      </w:pPr>
      <w:r w:rsidRPr="007E252F">
        <w:rPr>
          <w:lang w:val="en-AU" w:bidi="ar-SA"/>
        </w:rPr>
        <w:lastRenderedPageBreak/>
        <w:t xml:space="preserve">Alcohol consumption did not feature in Pacific cultures with kava consumption practices until the arrival of European traders. Heavy alcohol consumption has been identified as a risk factor associated with hepatotoxicity events (Li &amp; Ramzan, 2010; FAO/WHO, 2016). However, no direct mechanism for kava beverage potentiating the incidence of alcohol related hepatotoxicity events has been demonstrated (Li &amp; Ramzan, 2010; Teschke, 2010). </w:t>
      </w:r>
    </w:p>
    <w:p w14:paraId="57F0068B" w14:textId="77777777" w:rsidR="007E252F" w:rsidRPr="007E252F" w:rsidRDefault="007E252F" w:rsidP="007E252F">
      <w:pPr>
        <w:widowControl/>
        <w:rPr>
          <w:lang w:val="en-AU" w:bidi="ar-SA"/>
        </w:rPr>
      </w:pPr>
    </w:p>
    <w:p w14:paraId="2E37F477" w14:textId="77777777" w:rsidR="007E252F" w:rsidRPr="007E252F" w:rsidRDefault="007E252F" w:rsidP="007E252F">
      <w:pPr>
        <w:widowControl/>
        <w:rPr>
          <w:lang w:val="en-AU" w:bidi="ar-SA"/>
        </w:rPr>
      </w:pPr>
      <w:r w:rsidRPr="007E252F">
        <w:rPr>
          <w:lang w:val="en-AU" w:bidi="ar-SA"/>
        </w:rPr>
        <w:t>The co-consumption of kava and alcohol intensifies the effects of alcohol on cognition, and alcohol and kava co-consumption has been identified as a risk factor in motor vehicle accidents on Fijian roads (Foo &amp; Lemon, 1997; Wainiqolo et al., 2016).</w:t>
      </w:r>
    </w:p>
    <w:p w14:paraId="33AA3746" w14:textId="77777777" w:rsidR="007E252F" w:rsidRPr="007E252F" w:rsidRDefault="007E252F" w:rsidP="007E252F">
      <w:pPr>
        <w:widowControl/>
        <w:rPr>
          <w:b/>
          <w:i/>
          <w:lang w:val="en-AU" w:bidi="ar-SA"/>
        </w:rPr>
      </w:pPr>
    </w:p>
    <w:p w14:paraId="24173B31" w14:textId="77777777" w:rsidR="007E252F" w:rsidRPr="007E252F" w:rsidRDefault="007E252F" w:rsidP="007E252F">
      <w:pPr>
        <w:widowControl/>
        <w:rPr>
          <w:i/>
          <w:u w:val="single"/>
          <w:lang w:val="en-AU" w:bidi="ar-SA"/>
        </w:rPr>
      </w:pPr>
      <w:r w:rsidRPr="007E252F">
        <w:rPr>
          <w:i/>
          <w:u w:val="single"/>
          <w:lang w:val="en-AU" w:bidi="ar-SA"/>
        </w:rPr>
        <w:t>Drugs and other herbal preparations</w:t>
      </w:r>
    </w:p>
    <w:p w14:paraId="2A469A92" w14:textId="77777777" w:rsidR="007E252F" w:rsidRPr="007E252F" w:rsidRDefault="007E252F" w:rsidP="007E252F">
      <w:pPr>
        <w:widowControl/>
        <w:rPr>
          <w:b/>
          <w:i/>
          <w:lang w:val="en-AU" w:bidi="ar-SA"/>
        </w:rPr>
      </w:pPr>
    </w:p>
    <w:p w14:paraId="71A4AFB9" w14:textId="77777777" w:rsidR="007E252F" w:rsidRPr="007E252F" w:rsidRDefault="007E252F" w:rsidP="007E252F">
      <w:pPr>
        <w:widowControl/>
      </w:pPr>
      <w:r w:rsidRPr="007E252F">
        <w:rPr>
          <w:lang w:val="en-AU" w:bidi="ar-SA"/>
        </w:rPr>
        <w:t>The xenobiotic metabolism pathway for k</w:t>
      </w:r>
      <w:r w:rsidRPr="007E252F">
        <w:t xml:space="preserve">avalactones and flavokawains is shared with other active drugs and herbal products. Substances in kava have been shown to inhibit CYP isoforms 1A2, 2C9, 2C19, 2D6, 3A4 and 4A9/11 </w:t>
      </w:r>
      <w:r w:rsidRPr="007E252F">
        <w:rPr>
          <w:i/>
        </w:rPr>
        <w:t>in vitro</w:t>
      </w:r>
      <w:r w:rsidRPr="007E252F">
        <w:t xml:space="preserve"> (Anke &amp; Razman, 2004; Mathews et al., 2005; Li et al., 2016). Consequently, kava beverage consumption may increase the likelihood of adverse events by changing the pharmacokinetics of co-administered drugs or herbal extracts (Rowe et al., 2011). </w:t>
      </w:r>
      <w:r w:rsidRPr="007E252F">
        <w:rPr>
          <w:lang w:val="en-AU" w:bidi="ar-SA"/>
        </w:rPr>
        <w:t>To demonstrate this potential, a single study in mice has revealed that flavokawains may increase</w:t>
      </w:r>
      <w:r w:rsidRPr="007E252F">
        <w:rPr>
          <w:lang w:val="en-AU" w:bidi="ar-SA"/>
        </w:rPr>
        <w:fldChar w:fldCharType="begin" w:fldLock="1"/>
      </w:r>
      <w:r w:rsidRPr="007E252F">
        <w:rPr>
          <w:lang w:val="en-AU" w:bidi="ar-SA"/>
        </w:rPr>
        <w:instrText xml:space="preserve"> DOCPROPERTY bjHeaderBothDocProperty \* MERGEFORMAT </w:instrText>
      </w:r>
      <w:r w:rsidRPr="007E252F">
        <w:rPr>
          <w:lang w:val="en-AU" w:bidi="ar-SA"/>
        </w:rPr>
        <w:fldChar w:fldCharType="end"/>
      </w:r>
      <w:r w:rsidRPr="007E252F">
        <w:rPr>
          <w:lang w:val="en-AU" w:bidi="ar-SA"/>
        </w:rPr>
        <w:t xml:space="preserve"> paracetamol-induced hepatotoxicity (Narayanapillai et al., 2014)</w:t>
      </w:r>
    </w:p>
    <w:p w14:paraId="55F6407F" w14:textId="77777777" w:rsidR="007E252F" w:rsidRPr="007E252F" w:rsidRDefault="007E252F" w:rsidP="007E252F">
      <w:pPr>
        <w:widowControl/>
        <w:rPr>
          <w:lang w:val="en-AU" w:bidi="ar-SA"/>
        </w:rPr>
      </w:pPr>
    </w:p>
    <w:p w14:paraId="63151E61" w14:textId="77777777" w:rsidR="007E252F" w:rsidRPr="007E252F" w:rsidRDefault="007E252F" w:rsidP="007E252F">
      <w:pPr>
        <w:widowControl/>
        <w:rPr>
          <w:rFonts w:cs="Arial"/>
          <w:lang w:val="en-AU"/>
        </w:rPr>
      </w:pPr>
      <w:r w:rsidRPr="007E252F">
        <w:t xml:space="preserve">There is insufficient </w:t>
      </w:r>
      <w:r w:rsidRPr="007E252F">
        <w:rPr>
          <w:i/>
        </w:rPr>
        <w:t>in vivo</w:t>
      </w:r>
      <w:r w:rsidRPr="007E252F">
        <w:t xml:space="preserve"> information available to definitively outline substances that must be avoided when consuming kava. However, given the anxiolytic activity of kavalactones (Pittler &amp; Ernst., 2003), and the potential of kavalactones and flavokawains to inhibit CYP-mediated drug metabolism pathways, care should be taken when consuming kava beverage in combination with medicinal drugs (particularly benzodiazapines, opiods, barbiturates and paracetamol) or other herbal preparations.</w:t>
      </w:r>
    </w:p>
    <w:p w14:paraId="3C3B4BB3" w14:textId="77777777" w:rsidR="007E252F" w:rsidRPr="007E252F" w:rsidRDefault="007E252F" w:rsidP="007E252F">
      <w:pPr>
        <w:widowControl/>
        <w:rPr>
          <w:lang w:val="en-AU" w:bidi="ar-SA"/>
        </w:rPr>
      </w:pPr>
    </w:p>
    <w:p w14:paraId="49D3F169" w14:textId="77777777" w:rsidR="007E252F" w:rsidRPr="007E252F" w:rsidRDefault="007E252F" w:rsidP="007E252F">
      <w:pPr>
        <w:keepNext/>
        <w:keepLines/>
        <w:widowControl/>
        <w:ind w:left="851" w:hanging="851"/>
        <w:outlineLvl w:val="0"/>
        <w:rPr>
          <w:b/>
          <w:bCs/>
          <w:sz w:val="36"/>
          <w:szCs w:val="28"/>
          <w:lang w:val="en-AU" w:bidi="ar-SA"/>
        </w:rPr>
      </w:pPr>
      <w:bookmarkStart w:id="121" w:name="_Toc83297189"/>
      <w:bookmarkStart w:id="122" w:name="_Toc83324801"/>
      <w:bookmarkStart w:id="123" w:name="_Toc95830177"/>
      <w:r w:rsidRPr="007E252F">
        <w:rPr>
          <w:b/>
          <w:bCs/>
          <w:sz w:val="36"/>
          <w:szCs w:val="28"/>
          <w:lang w:val="en-AU" w:bidi="ar-SA"/>
        </w:rPr>
        <w:t>4</w:t>
      </w:r>
      <w:r w:rsidRPr="007E252F">
        <w:rPr>
          <w:b/>
          <w:bCs/>
          <w:sz w:val="36"/>
          <w:szCs w:val="28"/>
          <w:lang w:val="en-AU" w:bidi="ar-SA"/>
        </w:rPr>
        <w:tab/>
        <w:t>Microbiological Risks</w:t>
      </w:r>
      <w:bookmarkEnd w:id="121"/>
      <w:bookmarkEnd w:id="122"/>
      <w:bookmarkEnd w:id="123"/>
    </w:p>
    <w:p w14:paraId="62E12BC0" w14:textId="77777777" w:rsidR="007E252F" w:rsidRPr="007E252F" w:rsidRDefault="007E252F" w:rsidP="007E252F">
      <w:pPr>
        <w:widowControl/>
        <w:rPr>
          <w:lang w:val="en-AU" w:bidi="ar-SA"/>
        </w:rPr>
      </w:pPr>
    </w:p>
    <w:p w14:paraId="73584016" w14:textId="77777777" w:rsidR="007E252F" w:rsidRPr="007E252F" w:rsidRDefault="007E252F" w:rsidP="007E252F">
      <w:pPr>
        <w:widowControl/>
        <w:rPr>
          <w:rFonts w:cs="Arial"/>
          <w:szCs w:val="22"/>
          <w:lang w:val="en-AU" w:bidi="ar-SA"/>
        </w:rPr>
      </w:pPr>
      <w:r w:rsidRPr="007E252F">
        <w:rPr>
          <w:lang w:val="en-AU" w:bidi="ar-SA"/>
        </w:rPr>
        <w:t xml:space="preserve">A qualitative analysis was undertaken of microbiological risks pertinent to the consumption of </w:t>
      </w:r>
      <w:r w:rsidRPr="007E252F">
        <w:rPr>
          <w:rFonts w:cs="Arial"/>
          <w:szCs w:val="22"/>
          <w:lang w:val="en-AU" w:bidi="ar-SA"/>
        </w:rPr>
        <w:t>kava beverages obtained by aqueous suspension of dried/powdered or raw kava root by Australian and New Zealand consumers. The assessment includes an analysis of risk factors in the growing and primary processing of kava root, and in the storage distribution and consumption of kava beverages prepared from kava root. The likely effect of risk mitigation measures, including application of Good Agricultural Practices (GAP) on-farm, Good Hygienic Practices (GHP) in handling and processing of kava, and other potential food safety / quality assurance measures is analysed.</w:t>
      </w:r>
    </w:p>
    <w:p w14:paraId="1B9F75F1" w14:textId="77777777" w:rsidR="007E252F" w:rsidRPr="007E252F" w:rsidRDefault="007E252F" w:rsidP="007E252F">
      <w:pPr>
        <w:widowControl/>
        <w:rPr>
          <w:rFonts w:cs="Arial"/>
          <w:szCs w:val="22"/>
          <w:lang w:val="en-AU" w:bidi="ar-SA"/>
        </w:rPr>
      </w:pPr>
    </w:p>
    <w:p w14:paraId="4F7C7265" w14:textId="77777777" w:rsidR="007E252F" w:rsidRPr="007E252F" w:rsidRDefault="007E252F" w:rsidP="007E252F">
      <w:pPr>
        <w:keepNext/>
        <w:widowControl/>
        <w:outlineLvl w:val="1"/>
        <w:rPr>
          <w:rFonts w:cs="Arial"/>
          <w:b/>
          <w:bCs/>
          <w:sz w:val="28"/>
          <w:szCs w:val="22"/>
          <w:lang w:val="en-AU" w:bidi="ar-SA"/>
        </w:rPr>
      </w:pPr>
      <w:bookmarkStart w:id="124" w:name="_Toc83297190"/>
      <w:bookmarkStart w:id="125" w:name="_Toc83324802"/>
      <w:bookmarkStart w:id="126" w:name="_Toc95830178"/>
      <w:r w:rsidRPr="007E252F">
        <w:rPr>
          <w:rFonts w:cs="Arial"/>
          <w:b/>
          <w:bCs/>
          <w:sz w:val="28"/>
          <w:szCs w:val="22"/>
          <w:lang w:val="en-AU" w:bidi="ar-SA"/>
        </w:rPr>
        <w:t>4.1</w:t>
      </w:r>
      <w:r w:rsidRPr="007E252F">
        <w:rPr>
          <w:rFonts w:cs="Arial"/>
          <w:b/>
          <w:bCs/>
          <w:sz w:val="28"/>
          <w:szCs w:val="22"/>
          <w:lang w:val="en-AU" w:bidi="ar-SA"/>
        </w:rPr>
        <w:tab/>
        <w:t>Primary production of kava</w:t>
      </w:r>
      <w:bookmarkEnd w:id="124"/>
      <w:bookmarkEnd w:id="125"/>
      <w:bookmarkEnd w:id="126"/>
    </w:p>
    <w:p w14:paraId="743D7058" w14:textId="77777777" w:rsidR="007E252F" w:rsidRPr="007E252F" w:rsidRDefault="007E252F" w:rsidP="007E252F">
      <w:pPr>
        <w:widowControl/>
        <w:rPr>
          <w:rFonts w:cs="Arial"/>
          <w:szCs w:val="22"/>
          <w:lang w:val="en-AU" w:bidi="ar-SA"/>
        </w:rPr>
      </w:pPr>
    </w:p>
    <w:p w14:paraId="740BD022" w14:textId="77777777" w:rsidR="007E252F" w:rsidRPr="007E252F" w:rsidRDefault="007E252F" w:rsidP="007E252F">
      <w:pPr>
        <w:widowControl/>
        <w:rPr>
          <w:rFonts w:cs="Arial"/>
          <w:szCs w:val="22"/>
          <w:lang w:val="en-AU"/>
        </w:rPr>
      </w:pPr>
      <w:r w:rsidRPr="007E252F">
        <w:rPr>
          <w:rFonts w:cs="Arial"/>
          <w:szCs w:val="22"/>
          <w:lang w:val="en-AU"/>
        </w:rPr>
        <w:t>Kava is a root crop—roots, rhizomes and basal stems are harvested from plants typically after 3–5 years of cultivation. There is very limited information available on risk factors and hazards specifically associated with the primary production of kava. As a result, the following analysis draws on information on other similarly cultivated fresh produce—particularly root/rhizome crops, such as carrots and sweet potato—and the known properties of potential associated pathogens. It is noted that the FAO/WHO expert meeting on microbiological hazards associated with fresh produce (FAO/WHO 2008) considered carrots to be a level 3 priority product. This priority group of products (i.e. level 3), although linked to foodborne illness, had limited public health impact, and there was little information available on associated hazards and potential control measures. The expert meeting did not provide a priority ranking for any other root/rhizome crop, reflecting the lack of concern about such products expressed by countries that provided data for the meeting.</w:t>
      </w:r>
    </w:p>
    <w:p w14:paraId="043CA569" w14:textId="77777777" w:rsidR="007E252F" w:rsidRPr="007E252F" w:rsidRDefault="007E252F" w:rsidP="007E252F">
      <w:pPr>
        <w:widowControl/>
        <w:rPr>
          <w:rFonts w:cs="Arial"/>
          <w:szCs w:val="22"/>
          <w:lang w:val="en-AU"/>
        </w:rPr>
      </w:pPr>
    </w:p>
    <w:p w14:paraId="25A266C4" w14:textId="77777777" w:rsidR="007E252F" w:rsidRPr="007E252F" w:rsidRDefault="007E252F" w:rsidP="007E252F">
      <w:pPr>
        <w:widowControl/>
        <w:rPr>
          <w:rFonts w:cs="Arial"/>
          <w:szCs w:val="22"/>
          <w:lang w:val="en-AU"/>
        </w:rPr>
      </w:pPr>
      <w:r w:rsidRPr="007E252F">
        <w:rPr>
          <w:rFonts w:cs="Arial"/>
          <w:szCs w:val="22"/>
          <w:lang w:val="en-AU"/>
        </w:rPr>
        <w:lastRenderedPageBreak/>
        <w:t>It is generally recognised that contamination of fresh produce during primary production is mainly due to contact of edible parts of the plant with untreated or insufficiently treated manure/compost soil amendments and contaminated pre-harvest water (for irrigation or application of agricultural chemicals) (EFSA, 2014).</w:t>
      </w:r>
    </w:p>
    <w:p w14:paraId="624D3AD4" w14:textId="77777777" w:rsidR="007E252F" w:rsidRPr="007E252F" w:rsidRDefault="007E252F" w:rsidP="007E252F">
      <w:pPr>
        <w:widowControl/>
        <w:rPr>
          <w:rFonts w:cs="Arial"/>
          <w:szCs w:val="22"/>
          <w:lang w:val="en-AU"/>
        </w:rPr>
      </w:pPr>
    </w:p>
    <w:p w14:paraId="47D6B7BF" w14:textId="77777777" w:rsidR="007E252F" w:rsidRPr="007E252F" w:rsidRDefault="007E252F" w:rsidP="007E252F">
      <w:pPr>
        <w:widowControl/>
        <w:rPr>
          <w:rFonts w:cs="Arial"/>
          <w:szCs w:val="22"/>
          <w:lang w:val="en-AU"/>
        </w:rPr>
      </w:pPr>
      <w:r w:rsidRPr="007E252F">
        <w:rPr>
          <w:rFonts w:cs="Arial"/>
          <w:szCs w:val="22"/>
          <w:lang w:val="en-AU"/>
        </w:rPr>
        <w:t>In its microbiological assessment for Proposal P1052 – Primary production and processing requirements for horticulture (berries, leafy vegetables and melons) – FSANZ identified that the risk of agricultural water being contaminated with pathogenic microorganisms is dependent on its source (e.g. surface, underground, reticulated); the location of growing areas near or on land used for livestock production, as a wildlife habitat, or for dumping of urban or industrial waste; and the occurrence of extreme weather events, such as flooding or heavy rain (FSANZ, 2021). Other risk factors during primary production include wildlife incursion into growing areas, inadequate worker health and hygiene; and contaminated harvesting and field storage equipment. Hand harvesting can also increase the risk of contamination of the crop (FSANZ, 2021).</w:t>
      </w:r>
    </w:p>
    <w:p w14:paraId="13540756" w14:textId="77777777" w:rsidR="007E252F" w:rsidRPr="007E252F" w:rsidRDefault="007E252F" w:rsidP="007E252F">
      <w:pPr>
        <w:widowControl/>
        <w:rPr>
          <w:rFonts w:cs="Arial"/>
          <w:szCs w:val="22"/>
          <w:lang w:val="en-AU"/>
        </w:rPr>
      </w:pPr>
    </w:p>
    <w:p w14:paraId="19AA25C4" w14:textId="77777777" w:rsidR="007E252F" w:rsidRPr="007E252F" w:rsidRDefault="007E252F" w:rsidP="007E252F">
      <w:pPr>
        <w:widowControl/>
        <w:rPr>
          <w:rFonts w:cs="Arial"/>
          <w:szCs w:val="22"/>
          <w:lang w:val="en-AU"/>
        </w:rPr>
      </w:pPr>
      <w:r w:rsidRPr="007E252F">
        <w:rPr>
          <w:rFonts w:cs="Arial"/>
          <w:szCs w:val="22"/>
          <w:lang w:val="en-AU"/>
        </w:rPr>
        <w:t xml:space="preserve">Kava is considered to be a heavy feeder, and producers are advised to use composts and animal manures to meet the crop’s nutritional needs (Secretariat of the Pacific Community 2001). Hence, </w:t>
      </w:r>
      <w:r w:rsidRPr="007E252F">
        <w:rPr>
          <w:rFonts w:cs="Arial"/>
          <w:i/>
          <w:szCs w:val="22"/>
          <w:lang w:val="en-AU"/>
        </w:rPr>
        <w:t>Salmonella</w:t>
      </w:r>
      <w:r w:rsidRPr="007E252F">
        <w:rPr>
          <w:rFonts w:cs="Arial"/>
          <w:szCs w:val="22"/>
          <w:lang w:val="en-AU"/>
        </w:rPr>
        <w:t xml:space="preserve"> spp. and pathogenic strains of </w:t>
      </w:r>
      <w:r w:rsidRPr="007E252F">
        <w:rPr>
          <w:rFonts w:cs="Arial"/>
          <w:i/>
          <w:szCs w:val="22"/>
          <w:lang w:val="en-AU"/>
        </w:rPr>
        <w:t>E. coli</w:t>
      </w:r>
      <w:r w:rsidRPr="007E252F">
        <w:rPr>
          <w:rFonts w:cs="Arial"/>
          <w:szCs w:val="22"/>
          <w:lang w:val="en-AU"/>
        </w:rPr>
        <w:t xml:space="preserve"> are the microbiological hazards most likely to be associated with kava during primary production. Data on the prevalence of these pathogens in dried/powdered kava root products are lacking.</w:t>
      </w:r>
    </w:p>
    <w:p w14:paraId="2F779A89" w14:textId="77777777" w:rsidR="007E252F" w:rsidRPr="007E252F" w:rsidRDefault="007E252F" w:rsidP="007E252F">
      <w:pPr>
        <w:widowControl/>
        <w:rPr>
          <w:rFonts w:cs="Arial"/>
          <w:szCs w:val="22"/>
          <w:lang w:val="en-AU"/>
        </w:rPr>
      </w:pPr>
    </w:p>
    <w:p w14:paraId="1A703471" w14:textId="77777777" w:rsidR="007E252F" w:rsidRPr="007E252F" w:rsidRDefault="007E252F" w:rsidP="007E252F">
      <w:pPr>
        <w:keepNext/>
        <w:widowControl/>
        <w:outlineLvl w:val="1"/>
        <w:rPr>
          <w:rFonts w:cs="Arial"/>
          <w:b/>
          <w:bCs/>
          <w:sz w:val="28"/>
          <w:szCs w:val="22"/>
          <w:lang w:val="en-AU" w:bidi="ar-SA"/>
        </w:rPr>
      </w:pPr>
      <w:bookmarkStart w:id="127" w:name="_Toc83297191"/>
      <w:bookmarkStart w:id="128" w:name="_Toc83324803"/>
      <w:bookmarkStart w:id="129" w:name="_Toc95830179"/>
      <w:r w:rsidRPr="007E252F">
        <w:rPr>
          <w:rFonts w:cs="Arial"/>
          <w:b/>
          <w:bCs/>
          <w:sz w:val="28"/>
          <w:szCs w:val="22"/>
          <w:lang w:val="en-AU" w:bidi="ar-SA"/>
        </w:rPr>
        <w:t>4.2</w:t>
      </w:r>
      <w:r w:rsidRPr="007E252F">
        <w:rPr>
          <w:rFonts w:cs="Arial"/>
          <w:b/>
          <w:bCs/>
          <w:sz w:val="28"/>
          <w:szCs w:val="22"/>
          <w:lang w:val="en-AU" w:bidi="ar-SA"/>
        </w:rPr>
        <w:tab/>
        <w:t>Primary processing</w:t>
      </w:r>
      <w:bookmarkEnd w:id="127"/>
      <w:bookmarkEnd w:id="128"/>
      <w:bookmarkEnd w:id="129"/>
    </w:p>
    <w:p w14:paraId="5D988F24" w14:textId="77777777" w:rsidR="007E252F" w:rsidRPr="007E252F" w:rsidRDefault="007E252F" w:rsidP="007E252F">
      <w:pPr>
        <w:widowControl/>
        <w:rPr>
          <w:rFonts w:cs="Arial"/>
          <w:szCs w:val="22"/>
          <w:lang w:val="en-AU"/>
        </w:rPr>
      </w:pPr>
    </w:p>
    <w:p w14:paraId="40B84BD8" w14:textId="77777777" w:rsidR="007E252F" w:rsidRPr="007E252F" w:rsidRDefault="007E252F" w:rsidP="007E252F">
      <w:pPr>
        <w:widowControl/>
        <w:rPr>
          <w:rFonts w:cs="Arial"/>
          <w:szCs w:val="22"/>
          <w:lang w:val="en-AU"/>
        </w:rPr>
      </w:pPr>
      <w:r w:rsidRPr="007E252F">
        <w:rPr>
          <w:rFonts w:cs="Arial"/>
          <w:szCs w:val="22"/>
          <w:lang w:val="en-AU"/>
        </w:rPr>
        <w:t>The lateral roots, rootstock and part of the basal stems of kava plants are harvested. Other parts of the plant are considered toxic. The product is washed to remove soil, then sorted, peeled, cut into pieces and dried. The dried roots may then be further processed into powdered kava by maceration in a mortar and pestle or by use of a mechanical grinder. Risk factors for microbiological contamination in primary processing include:</w:t>
      </w:r>
    </w:p>
    <w:p w14:paraId="7942694B" w14:textId="77777777" w:rsidR="007E252F" w:rsidRPr="007E252F" w:rsidRDefault="007E252F" w:rsidP="007E252F">
      <w:pPr>
        <w:widowControl/>
        <w:numPr>
          <w:ilvl w:val="0"/>
          <w:numId w:val="8"/>
        </w:numPr>
        <w:ind w:left="426" w:hanging="426"/>
        <w:rPr>
          <w:rFonts w:cs="Arial"/>
          <w:szCs w:val="22"/>
          <w:lang w:val="en-AU"/>
        </w:rPr>
      </w:pPr>
      <w:r w:rsidRPr="007E252F">
        <w:rPr>
          <w:rFonts w:cs="Arial"/>
          <w:szCs w:val="22"/>
          <w:lang w:val="en-AU"/>
        </w:rPr>
        <w:t>the quality of water used for washing, including the frequency of changing the wash water. Poor practices in washing can cause cross-contamination, increasing the risk of pathogens being present in the product at this stage.</w:t>
      </w:r>
    </w:p>
    <w:p w14:paraId="03CE5B8F" w14:textId="77777777" w:rsidR="007E252F" w:rsidRPr="007E252F" w:rsidRDefault="007E252F" w:rsidP="007E252F">
      <w:pPr>
        <w:widowControl/>
        <w:numPr>
          <w:ilvl w:val="0"/>
          <w:numId w:val="8"/>
        </w:numPr>
        <w:ind w:left="426" w:hanging="426"/>
        <w:rPr>
          <w:rFonts w:cs="Arial"/>
          <w:szCs w:val="22"/>
          <w:lang w:val="en-AU"/>
        </w:rPr>
      </w:pPr>
      <w:r w:rsidRPr="007E252F">
        <w:rPr>
          <w:rFonts w:cs="Arial"/>
          <w:szCs w:val="22"/>
          <w:lang w:val="en-AU"/>
        </w:rPr>
        <w:t>worker and equipment hygiene and sanitation during sorting, peeling, cutting, drying and grinding. Extensive handling of the product is another cross-contamination risk.</w:t>
      </w:r>
    </w:p>
    <w:p w14:paraId="1E9B336D" w14:textId="77777777" w:rsidR="007E252F" w:rsidRPr="007E252F" w:rsidRDefault="007E252F" w:rsidP="007E252F">
      <w:pPr>
        <w:widowControl/>
        <w:numPr>
          <w:ilvl w:val="0"/>
          <w:numId w:val="8"/>
        </w:numPr>
        <w:ind w:left="426" w:hanging="426"/>
        <w:rPr>
          <w:rFonts w:cs="Arial"/>
          <w:szCs w:val="22"/>
          <w:lang w:val="en-AU"/>
        </w:rPr>
      </w:pPr>
      <w:r w:rsidRPr="007E252F">
        <w:rPr>
          <w:rFonts w:cs="Arial"/>
          <w:szCs w:val="22"/>
          <w:lang w:val="en-AU"/>
        </w:rPr>
        <w:t>contamination by animals, birds, insects or dust during drying. Traditionally, drying is carried out in the open air, in the sun, on racks or screens off the ground. Increasingly, as the scale of kava production increases, drying is carried out under plastic covers or in dedicated drying sheds, which reduces the risk somewhat.</w:t>
      </w:r>
    </w:p>
    <w:p w14:paraId="43109219" w14:textId="77777777" w:rsidR="007E252F" w:rsidRPr="007E252F" w:rsidRDefault="007E252F" w:rsidP="007E252F">
      <w:pPr>
        <w:widowControl/>
        <w:rPr>
          <w:rFonts w:cs="Arial"/>
          <w:szCs w:val="22"/>
          <w:lang w:val="en-AU"/>
        </w:rPr>
      </w:pPr>
    </w:p>
    <w:p w14:paraId="6DC19714" w14:textId="77777777" w:rsidR="007E252F" w:rsidRPr="007E252F" w:rsidRDefault="007E252F" w:rsidP="007E252F">
      <w:pPr>
        <w:widowControl/>
        <w:rPr>
          <w:rFonts w:cs="Arial"/>
          <w:szCs w:val="22"/>
          <w:lang w:val="en-AU"/>
        </w:rPr>
      </w:pPr>
      <w:r w:rsidRPr="007E252F">
        <w:rPr>
          <w:rFonts w:cs="Arial"/>
          <w:szCs w:val="22"/>
          <w:lang w:val="en-AU"/>
        </w:rPr>
        <w:t>The risk arising from cross-contamination during washing is largely ameliorated by subsequent peeling of the product. The main risk factors in primary processing are, therefore, those arising during peeling, cutting, drying and grinding. The extensive amount of product handling risks introduction of norovirus and hepatitis A virus from infected food handlers, while inadequate protection of the product during drying could lead to re</w:t>
      </w:r>
      <w:r w:rsidRPr="007E252F">
        <w:rPr>
          <w:rFonts w:cs="Arial"/>
          <w:szCs w:val="22"/>
          <w:lang w:val="en-AU"/>
        </w:rPr>
        <w:noBreakHyphen/>
        <w:t xml:space="preserve">introduction of </w:t>
      </w:r>
      <w:r w:rsidRPr="007E252F">
        <w:rPr>
          <w:rFonts w:cs="Arial"/>
          <w:i/>
          <w:szCs w:val="22"/>
          <w:lang w:val="en-AU"/>
        </w:rPr>
        <w:t>Salmonella</w:t>
      </w:r>
      <w:r w:rsidRPr="007E252F">
        <w:rPr>
          <w:rFonts w:cs="Arial"/>
          <w:szCs w:val="22"/>
          <w:lang w:val="en-AU"/>
        </w:rPr>
        <w:t xml:space="preserve"> spp. and pathogenic </w:t>
      </w:r>
      <w:r w:rsidRPr="007E252F">
        <w:rPr>
          <w:rFonts w:cs="Arial"/>
          <w:i/>
          <w:szCs w:val="22"/>
          <w:lang w:val="en-AU"/>
        </w:rPr>
        <w:t>E. coli</w:t>
      </w:r>
      <w:r w:rsidRPr="007E252F">
        <w:rPr>
          <w:rFonts w:cs="Arial"/>
          <w:szCs w:val="22"/>
          <w:lang w:val="en-AU"/>
        </w:rPr>
        <w:t>. Data on the prevalence of these pathogens in dried/powdered kava root products are lacking.</w:t>
      </w:r>
    </w:p>
    <w:p w14:paraId="36CDDDD7" w14:textId="77777777" w:rsidR="007E252F" w:rsidRPr="007E252F" w:rsidRDefault="007E252F" w:rsidP="007E252F">
      <w:pPr>
        <w:widowControl/>
        <w:rPr>
          <w:rFonts w:cs="Arial"/>
          <w:szCs w:val="22"/>
          <w:lang w:val="en-AU"/>
        </w:rPr>
      </w:pPr>
    </w:p>
    <w:p w14:paraId="12C45973" w14:textId="77777777" w:rsidR="007E252F" w:rsidRPr="007E252F" w:rsidRDefault="007E252F" w:rsidP="007E252F">
      <w:pPr>
        <w:keepNext/>
        <w:widowControl/>
        <w:outlineLvl w:val="1"/>
        <w:rPr>
          <w:rFonts w:cs="Arial"/>
          <w:b/>
          <w:bCs/>
          <w:sz w:val="28"/>
          <w:szCs w:val="22"/>
          <w:lang w:val="en-AU" w:bidi="ar-SA"/>
        </w:rPr>
      </w:pPr>
      <w:bookmarkStart w:id="130" w:name="_Toc83297192"/>
      <w:bookmarkStart w:id="131" w:name="_Toc83324804"/>
      <w:bookmarkStart w:id="132" w:name="_Toc95830180"/>
      <w:r w:rsidRPr="007E252F">
        <w:rPr>
          <w:rFonts w:cs="Arial"/>
          <w:b/>
          <w:bCs/>
          <w:sz w:val="28"/>
          <w:szCs w:val="22"/>
          <w:lang w:val="en-AU" w:bidi="ar-SA"/>
        </w:rPr>
        <w:t>4.3</w:t>
      </w:r>
      <w:r w:rsidRPr="007E252F">
        <w:rPr>
          <w:rFonts w:cs="Arial"/>
          <w:b/>
          <w:bCs/>
          <w:sz w:val="28"/>
          <w:szCs w:val="22"/>
          <w:lang w:val="en-AU" w:bidi="ar-SA"/>
        </w:rPr>
        <w:tab/>
        <w:t>Handling, storage, distribution and retail of dried/powdered kava products</w:t>
      </w:r>
      <w:bookmarkEnd w:id="130"/>
      <w:bookmarkEnd w:id="131"/>
      <w:bookmarkEnd w:id="132"/>
    </w:p>
    <w:p w14:paraId="11A84A2D" w14:textId="77777777" w:rsidR="007E252F" w:rsidRPr="007E252F" w:rsidRDefault="007E252F" w:rsidP="007E252F">
      <w:pPr>
        <w:widowControl/>
        <w:rPr>
          <w:rFonts w:cs="Arial"/>
          <w:szCs w:val="22"/>
          <w:lang w:val="en-AU"/>
        </w:rPr>
      </w:pPr>
    </w:p>
    <w:p w14:paraId="00325913" w14:textId="77777777" w:rsidR="007E252F" w:rsidRPr="007E252F" w:rsidRDefault="007E252F" w:rsidP="007E252F">
      <w:pPr>
        <w:widowControl/>
        <w:rPr>
          <w:rFonts w:cs="Arial"/>
          <w:szCs w:val="22"/>
          <w:lang w:val="en-AU"/>
        </w:rPr>
      </w:pPr>
      <w:r w:rsidRPr="007E252F">
        <w:rPr>
          <w:rFonts w:cs="Arial"/>
          <w:szCs w:val="22"/>
          <w:lang w:val="en-AU"/>
        </w:rPr>
        <w:t>Further product handling of kava after drying/grinding adds further opportunity for contamination of the product with norovirus and hepatitis A virus from infected food handlers. GHP throughout the post-harvest processing/supply chain can help to reduce that risk.</w:t>
      </w:r>
    </w:p>
    <w:p w14:paraId="268FCE46" w14:textId="77777777" w:rsidR="007E252F" w:rsidRPr="007E252F" w:rsidRDefault="007E252F" w:rsidP="007E252F">
      <w:pPr>
        <w:widowControl/>
        <w:rPr>
          <w:rFonts w:cs="Arial"/>
          <w:szCs w:val="22"/>
          <w:lang w:val="en-AU"/>
        </w:rPr>
      </w:pPr>
    </w:p>
    <w:p w14:paraId="75E918E3" w14:textId="77777777" w:rsidR="007E252F" w:rsidRPr="007E252F" w:rsidRDefault="007E252F" w:rsidP="007E252F">
      <w:pPr>
        <w:widowControl/>
        <w:rPr>
          <w:rFonts w:cs="Arial"/>
          <w:szCs w:val="22"/>
          <w:lang w:val="en-AU"/>
        </w:rPr>
      </w:pPr>
      <w:r w:rsidRPr="007E252F">
        <w:rPr>
          <w:rFonts w:cs="Arial"/>
          <w:szCs w:val="22"/>
          <w:lang w:val="en-AU"/>
        </w:rPr>
        <w:lastRenderedPageBreak/>
        <w:t xml:space="preserve">A further risk arises from the potential for growth of mycotoxigenic fungi, such as </w:t>
      </w:r>
      <w:r w:rsidRPr="007E252F">
        <w:rPr>
          <w:rFonts w:cs="Arial"/>
          <w:i/>
          <w:szCs w:val="22"/>
          <w:lang w:val="en-AU"/>
        </w:rPr>
        <w:t>Aspergillus</w:t>
      </w:r>
      <w:r w:rsidRPr="007E252F">
        <w:rPr>
          <w:rFonts w:cs="Arial"/>
          <w:szCs w:val="22"/>
          <w:lang w:val="en-AU"/>
        </w:rPr>
        <w:t xml:space="preserve"> spp., on dried kava root and root products (e.g. powdered kava). Fresh kava root has a water content of around 80%, and the recovery of dried kava from fresh kava is about 20–25%, depending on drying time, temperature and humidity. For quality and safety reasons, producers are advised that the dried product should not contain more than 12% moisture, and typically aim for around 6%. The dried product is usually packed and stored in woven polypropylene bags so it can continue to dry/equilibrate during storage (Secretariat of the Pacific Community, 2001). Inadequate drying and improper storage conditions (e.g. high humidity), leading to water content above 12%, are the key risk factors that could lead to growth and production of aflatoxin spoilage by </w:t>
      </w:r>
      <w:r w:rsidRPr="007E252F">
        <w:rPr>
          <w:rFonts w:cs="Arial"/>
          <w:i/>
          <w:szCs w:val="22"/>
          <w:lang w:val="en-AU"/>
        </w:rPr>
        <w:t>Aspergillus</w:t>
      </w:r>
      <w:r w:rsidRPr="007E252F">
        <w:rPr>
          <w:rFonts w:cs="Arial"/>
          <w:szCs w:val="22"/>
          <w:lang w:val="en-AU"/>
        </w:rPr>
        <w:t xml:space="preserve"> spp. Data on the prevalence of aspergilli in dried and/or powdered kava root products are lacking.</w:t>
      </w:r>
      <w:bookmarkStart w:id="133" w:name="_Toc83297193"/>
      <w:bookmarkStart w:id="134" w:name="_Toc83324805"/>
    </w:p>
    <w:p w14:paraId="0A6CB34E" w14:textId="77777777" w:rsidR="007E252F" w:rsidRPr="007E252F" w:rsidRDefault="007E252F" w:rsidP="007E252F">
      <w:pPr>
        <w:widowControl/>
        <w:rPr>
          <w:rFonts w:cs="Arial"/>
          <w:b/>
          <w:bCs/>
          <w:sz w:val="28"/>
          <w:szCs w:val="22"/>
          <w:lang w:val="en-AU" w:bidi="ar-SA"/>
        </w:rPr>
      </w:pPr>
    </w:p>
    <w:p w14:paraId="07276E1D" w14:textId="77777777" w:rsidR="007E252F" w:rsidRPr="007E252F" w:rsidRDefault="007E252F" w:rsidP="007E252F">
      <w:pPr>
        <w:keepNext/>
        <w:widowControl/>
        <w:outlineLvl w:val="1"/>
        <w:rPr>
          <w:rFonts w:cs="Arial"/>
          <w:b/>
          <w:bCs/>
          <w:sz w:val="28"/>
          <w:szCs w:val="22"/>
          <w:lang w:val="en-AU" w:bidi="ar-SA"/>
        </w:rPr>
      </w:pPr>
      <w:bookmarkStart w:id="135" w:name="_Toc95830181"/>
      <w:r w:rsidRPr="007E252F">
        <w:rPr>
          <w:rFonts w:cs="Arial"/>
          <w:b/>
          <w:bCs/>
          <w:sz w:val="28"/>
          <w:szCs w:val="22"/>
          <w:lang w:val="en-AU" w:bidi="ar-SA"/>
        </w:rPr>
        <w:t>4.4</w:t>
      </w:r>
      <w:r w:rsidRPr="007E252F">
        <w:rPr>
          <w:rFonts w:cs="Arial"/>
          <w:b/>
          <w:bCs/>
          <w:sz w:val="28"/>
          <w:szCs w:val="22"/>
          <w:lang w:val="en-AU" w:bidi="ar-SA"/>
        </w:rPr>
        <w:tab/>
        <w:t>Preparation and consumption of kava beverage</w:t>
      </w:r>
      <w:bookmarkEnd w:id="133"/>
      <w:bookmarkEnd w:id="134"/>
      <w:bookmarkEnd w:id="135"/>
    </w:p>
    <w:p w14:paraId="0EB7F98C" w14:textId="77777777" w:rsidR="007E252F" w:rsidRPr="007E252F" w:rsidRDefault="007E252F" w:rsidP="007E252F">
      <w:pPr>
        <w:widowControl/>
        <w:rPr>
          <w:rFonts w:cs="Arial"/>
          <w:szCs w:val="22"/>
          <w:lang w:val="en-AU"/>
        </w:rPr>
      </w:pPr>
    </w:p>
    <w:p w14:paraId="42ED2D60" w14:textId="77777777" w:rsidR="007E252F" w:rsidRPr="007E252F" w:rsidRDefault="007E252F" w:rsidP="007E252F">
      <w:pPr>
        <w:widowControl/>
        <w:rPr>
          <w:rFonts w:cs="Arial"/>
          <w:szCs w:val="22"/>
          <w:lang w:val="en-AU"/>
        </w:rPr>
      </w:pPr>
      <w:r w:rsidRPr="007E252F">
        <w:rPr>
          <w:rFonts w:cs="Arial"/>
          <w:szCs w:val="22"/>
          <w:lang w:val="en-AU"/>
        </w:rPr>
        <w:t xml:space="preserve">Kava beverage is prepared from root pieces by soaking macerated roots in water, then filtering to remove the extracted solids. While the tradition of pulverising the root by mastication holds in some regions of the Pacific, it is more generally prepared by pounding the root in a mortar and pestle or using a mechanical grinder before soaking in water (FSANZ, 2004). When kava beverage is prepared from powdered kava root, the powder is mixed with water, strained and consumed. Extensive handling of the product during preparation, including the practice of mixing the suspension by hand, again raises the risk of contamination with norovirus or hepatitis A from infected food handlers. Hepatitis A is considered to be endemic in the Asia-Pacific region, as evidence by high rates of seropositivity in young children (Brown, 1987; Getahun et al., 2015). It has also been hypothesised that high rates of transmission of </w:t>
      </w:r>
      <w:r w:rsidRPr="007E252F">
        <w:rPr>
          <w:rFonts w:cs="Arial"/>
          <w:i/>
          <w:szCs w:val="22"/>
          <w:lang w:val="en-AU"/>
        </w:rPr>
        <w:t>Salmonella</w:t>
      </w:r>
      <w:r w:rsidRPr="007E252F">
        <w:rPr>
          <w:rFonts w:cs="Arial"/>
          <w:szCs w:val="22"/>
          <w:lang w:val="en-AU"/>
        </w:rPr>
        <w:t xml:space="preserve"> Typhi in Fiji is related to preparation and consumption of kava, but direct evidence is lacking (Thompson et al., 2014).</w:t>
      </w:r>
    </w:p>
    <w:p w14:paraId="1FF29A96" w14:textId="77777777" w:rsidR="007E252F" w:rsidRPr="007E252F" w:rsidRDefault="007E252F" w:rsidP="007E252F">
      <w:pPr>
        <w:widowControl/>
        <w:rPr>
          <w:rFonts w:cs="Arial"/>
          <w:szCs w:val="22"/>
          <w:lang w:val="en-AU"/>
        </w:rPr>
      </w:pPr>
    </w:p>
    <w:p w14:paraId="392136BF" w14:textId="77777777" w:rsidR="007E252F" w:rsidRPr="007E252F" w:rsidRDefault="007E252F" w:rsidP="007E252F">
      <w:pPr>
        <w:widowControl/>
        <w:rPr>
          <w:rFonts w:cs="Arial"/>
          <w:szCs w:val="22"/>
          <w:lang w:val="en-AU" w:bidi="ar-SA"/>
        </w:rPr>
      </w:pPr>
      <w:r w:rsidRPr="007E252F">
        <w:rPr>
          <w:rFonts w:cs="Arial"/>
          <w:szCs w:val="22"/>
          <w:lang w:val="en-AU" w:bidi="ar-SA"/>
        </w:rPr>
        <w:t>Data on illness caused by consuming kava beverages contaminated with pathogenic microorganism is extremely limited. There is a single report of 2 cases of illness due to hepatitis A linked to kava consumption in Australia (Parker et al., 2014). Cases were linked to preparation of kava beverage by someone who had been recently-diagnosed as having contracted hepatitis A during recent overseas travel. No other reports of illness due to pathogens in kava beverages were identified.</w:t>
      </w:r>
    </w:p>
    <w:p w14:paraId="4A3E1773" w14:textId="77777777" w:rsidR="007E252F" w:rsidRPr="007E252F" w:rsidRDefault="007E252F" w:rsidP="007E252F">
      <w:pPr>
        <w:widowControl/>
        <w:rPr>
          <w:rFonts w:cs="Arial"/>
          <w:szCs w:val="22"/>
          <w:lang w:val="en-AU"/>
        </w:rPr>
      </w:pPr>
    </w:p>
    <w:p w14:paraId="4B167D5B" w14:textId="77777777" w:rsidR="007E252F" w:rsidRPr="007E252F" w:rsidRDefault="007E252F" w:rsidP="007E252F">
      <w:pPr>
        <w:widowControl/>
        <w:rPr>
          <w:rFonts w:cs="Arial"/>
          <w:szCs w:val="22"/>
          <w:lang w:val="en-AU"/>
        </w:rPr>
      </w:pPr>
      <w:r w:rsidRPr="007E252F">
        <w:rPr>
          <w:rFonts w:cs="Arial"/>
          <w:szCs w:val="22"/>
          <w:lang w:val="en-AU"/>
        </w:rPr>
        <w:t xml:space="preserve">There is some evidence that kava beverage is highly susceptible to microbial growth and is unsuitable for storage, even under refrigeration. Kandukuru et al. (2009) identified 16 genera of bacteria—including </w:t>
      </w:r>
      <w:r w:rsidRPr="007E252F">
        <w:rPr>
          <w:rFonts w:cs="Arial"/>
          <w:i/>
          <w:szCs w:val="22"/>
          <w:lang w:val="en-AU"/>
        </w:rPr>
        <w:t>Bacillus</w:t>
      </w:r>
      <w:r w:rsidRPr="007E252F">
        <w:rPr>
          <w:rFonts w:cs="Arial"/>
          <w:szCs w:val="22"/>
          <w:lang w:val="en-AU"/>
        </w:rPr>
        <w:t xml:space="preserve">, </w:t>
      </w:r>
      <w:r w:rsidRPr="007E252F">
        <w:rPr>
          <w:rFonts w:cs="Arial"/>
          <w:i/>
          <w:szCs w:val="22"/>
          <w:lang w:val="en-AU"/>
        </w:rPr>
        <w:t>Klebsiella</w:t>
      </w:r>
      <w:r w:rsidRPr="007E252F">
        <w:rPr>
          <w:rFonts w:cs="Arial"/>
          <w:szCs w:val="22"/>
          <w:lang w:val="en-AU"/>
        </w:rPr>
        <w:t xml:space="preserve">, and </w:t>
      </w:r>
      <w:r w:rsidRPr="007E252F">
        <w:rPr>
          <w:rFonts w:cs="Arial"/>
          <w:i/>
          <w:szCs w:val="22"/>
          <w:lang w:val="en-AU"/>
        </w:rPr>
        <w:t>Staphylococcus</w:t>
      </w:r>
      <w:r w:rsidRPr="007E252F">
        <w:rPr>
          <w:rFonts w:cs="Arial"/>
          <w:szCs w:val="22"/>
          <w:lang w:val="en-AU"/>
        </w:rPr>
        <w:t xml:space="preserve">—in extracts of kava root by PCR and DNA sequencing. Identification of </w:t>
      </w:r>
      <w:r w:rsidRPr="007E252F">
        <w:rPr>
          <w:rFonts w:cs="Arial"/>
          <w:i/>
          <w:szCs w:val="22"/>
          <w:lang w:val="en-AU"/>
        </w:rPr>
        <w:t>Pseudomonas</w:t>
      </w:r>
      <w:r w:rsidRPr="007E252F">
        <w:rPr>
          <w:rFonts w:cs="Arial"/>
          <w:szCs w:val="22"/>
          <w:lang w:val="en-AU"/>
        </w:rPr>
        <w:t xml:space="preserve"> spp. implied that the extract was prone to spoilage, even at refrigeration temperatures. In further studies, Dong et al. (2011) analysed the dynamics of the microbiota of freshly made kava beverages obtained from ‘kava bars’ and stored at 4°C for up to 6 days. Increases in populations of lactic acid bacteria and </w:t>
      </w:r>
      <w:r w:rsidRPr="007E252F">
        <w:rPr>
          <w:rFonts w:cs="Arial"/>
          <w:i/>
          <w:szCs w:val="22"/>
          <w:lang w:val="en-AU"/>
        </w:rPr>
        <w:t>Pseudomanas</w:t>
      </w:r>
      <w:r w:rsidRPr="007E252F">
        <w:rPr>
          <w:rFonts w:cs="Arial"/>
          <w:szCs w:val="22"/>
          <w:lang w:val="en-AU"/>
        </w:rPr>
        <w:t xml:space="preserve"> species correlated with acidification and spoilage of the product during refrigerated storage. The combination of the rapid drop in </w:t>
      </w:r>
      <w:r w:rsidRPr="007E252F">
        <w:rPr>
          <w:rFonts w:cs="Arial"/>
          <w:i/>
          <w:szCs w:val="22"/>
          <w:lang w:val="en-AU"/>
        </w:rPr>
        <w:t>p</w:t>
      </w:r>
      <w:r w:rsidRPr="007E252F">
        <w:rPr>
          <w:rFonts w:cs="Arial"/>
          <w:szCs w:val="22"/>
          <w:lang w:val="en-AU"/>
        </w:rPr>
        <w:t>H and short shelf life reduces the food safety risk from the storage of kava beverage, in spite of its high starch content and near neutral pH initially providing a suitable environment for growth of bacterial pathogens.</w:t>
      </w:r>
    </w:p>
    <w:p w14:paraId="38D3D916" w14:textId="77777777" w:rsidR="007E252F" w:rsidRPr="007E252F" w:rsidRDefault="007E252F" w:rsidP="007E252F">
      <w:pPr>
        <w:widowControl/>
        <w:rPr>
          <w:rFonts w:cs="Arial"/>
          <w:szCs w:val="22"/>
          <w:lang w:val="en-AU" w:bidi="ar-SA"/>
        </w:rPr>
      </w:pPr>
    </w:p>
    <w:p w14:paraId="323BF058" w14:textId="77777777" w:rsidR="007E252F" w:rsidRPr="007E252F" w:rsidRDefault="007E252F" w:rsidP="007E252F">
      <w:pPr>
        <w:widowControl/>
        <w:rPr>
          <w:rFonts w:cstheme="minorHAnsi"/>
          <w:szCs w:val="20"/>
          <w:lang w:val="en-AU"/>
        </w:rPr>
      </w:pPr>
      <w:r w:rsidRPr="007E252F">
        <w:rPr>
          <w:rFonts w:cstheme="minorHAnsi"/>
          <w:szCs w:val="20"/>
          <w:lang w:val="en-AU"/>
        </w:rPr>
        <w:t>Kava beverage is not widely consumed in Australia or New Zealand, except in some Pacific communities, and some First Nations communities in Australia. Kava plant or beverage is not currently commercially available as a food in Australia. There is little data on actual levels and frequency of consumption, or on potential levels of consumption if kava were more readily available in Australia (see Section 5 – Dietary intake).</w:t>
      </w:r>
    </w:p>
    <w:p w14:paraId="40802128" w14:textId="77777777" w:rsidR="007E252F" w:rsidRPr="007E252F" w:rsidRDefault="007E252F" w:rsidP="007E252F">
      <w:pPr>
        <w:widowControl/>
        <w:rPr>
          <w:lang w:val="en-AU" w:bidi="ar-SA"/>
        </w:rPr>
      </w:pPr>
    </w:p>
    <w:p w14:paraId="0E84D66C" w14:textId="77777777" w:rsidR="007E252F" w:rsidRPr="007E252F" w:rsidRDefault="007E252F" w:rsidP="007E252F">
      <w:pPr>
        <w:keepNext/>
        <w:widowControl/>
        <w:outlineLvl w:val="1"/>
        <w:rPr>
          <w:rFonts w:cs="Arial"/>
          <w:b/>
          <w:bCs/>
          <w:sz w:val="28"/>
          <w:szCs w:val="22"/>
          <w:lang w:val="en-AU" w:bidi="ar-SA"/>
        </w:rPr>
      </w:pPr>
      <w:bookmarkStart w:id="136" w:name="_Toc83297194"/>
      <w:bookmarkStart w:id="137" w:name="_Toc83324814"/>
      <w:bookmarkStart w:id="138" w:name="_Toc95830182"/>
      <w:r w:rsidRPr="007E252F">
        <w:rPr>
          <w:rFonts w:cs="Arial"/>
          <w:b/>
          <w:bCs/>
          <w:sz w:val="28"/>
          <w:szCs w:val="22"/>
          <w:lang w:val="en-AU" w:bidi="ar-SA"/>
        </w:rPr>
        <w:t>4.5</w:t>
      </w:r>
      <w:r w:rsidRPr="007E252F">
        <w:rPr>
          <w:rFonts w:cs="Arial"/>
          <w:b/>
          <w:bCs/>
          <w:sz w:val="28"/>
          <w:szCs w:val="22"/>
          <w:lang w:val="en-AU" w:bidi="ar-SA"/>
        </w:rPr>
        <w:tab/>
      </w:r>
      <w:bookmarkEnd w:id="136"/>
      <w:bookmarkEnd w:id="137"/>
      <w:r w:rsidRPr="007E252F">
        <w:rPr>
          <w:rFonts w:cs="Arial"/>
          <w:b/>
          <w:bCs/>
          <w:sz w:val="28"/>
          <w:szCs w:val="22"/>
          <w:lang w:val="en-AU" w:bidi="ar-SA"/>
        </w:rPr>
        <w:t>Risk characterisation and mitigation</w:t>
      </w:r>
      <w:bookmarkEnd w:id="138"/>
    </w:p>
    <w:p w14:paraId="1922AD60" w14:textId="77777777" w:rsidR="007E252F" w:rsidRPr="007E252F" w:rsidRDefault="007E252F" w:rsidP="007E252F">
      <w:pPr>
        <w:widowControl/>
        <w:rPr>
          <w:rFonts w:cstheme="minorHAnsi"/>
          <w:szCs w:val="20"/>
          <w:lang w:val="en-AU"/>
        </w:rPr>
      </w:pPr>
    </w:p>
    <w:p w14:paraId="626201EE" w14:textId="77777777" w:rsidR="007E252F" w:rsidRPr="007E252F" w:rsidRDefault="007E252F" w:rsidP="007E252F">
      <w:pPr>
        <w:widowControl/>
        <w:rPr>
          <w:rFonts w:cs="Arial"/>
          <w:szCs w:val="22"/>
          <w:lang w:val="en-AU" w:bidi="ar-SA"/>
        </w:rPr>
      </w:pPr>
      <w:r w:rsidRPr="007E252F">
        <w:rPr>
          <w:rFonts w:cs="Arial"/>
          <w:szCs w:val="22"/>
          <w:lang w:val="en-AU" w:bidi="ar-SA"/>
        </w:rPr>
        <w:lastRenderedPageBreak/>
        <w:t xml:space="preserve">The extremely limited available data and evidence on the presence of microbial pathogens on kava products or in kava beverages presents challenges to assessing the risk posed to consumers in Australia and New Zealand. The one identified outbreak report demonstrates the potential for illness arising from unhygienic preparation of kava beverage by a food handler shedding hepatitis A. This can readily be extrapolated to risk arising from pathogens similarly capable of being transmitted by the faecal-oral route, such as norovirus, </w:t>
      </w:r>
      <w:r w:rsidRPr="007E252F">
        <w:rPr>
          <w:rFonts w:cs="Arial"/>
          <w:i/>
          <w:szCs w:val="22"/>
          <w:lang w:val="en-AU" w:bidi="ar-SA"/>
        </w:rPr>
        <w:t>Salmonella</w:t>
      </w:r>
      <w:r w:rsidRPr="007E252F">
        <w:rPr>
          <w:rFonts w:cs="Arial"/>
          <w:szCs w:val="22"/>
          <w:lang w:val="en-AU" w:bidi="ar-SA"/>
        </w:rPr>
        <w:t xml:space="preserve"> spp, </w:t>
      </w:r>
      <w:r w:rsidRPr="007E252F">
        <w:rPr>
          <w:rFonts w:cs="Arial"/>
          <w:i/>
          <w:szCs w:val="22"/>
          <w:lang w:val="en-AU" w:bidi="ar-SA"/>
        </w:rPr>
        <w:t>Shigella</w:t>
      </w:r>
      <w:r w:rsidRPr="007E252F">
        <w:rPr>
          <w:rFonts w:cs="Arial"/>
          <w:szCs w:val="22"/>
          <w:lang w:val="en-AU" w:bidi="ar-SA"/>
        </w:rPr>
        <w:t xml:space="preserve"> spp. and so on. However, the literature does not support any hypothesis that this occurs commonly. The often communal nature of kava consumption would tend to lead to any illness arising from microbial contamination of kava during production, processing or preparation being evident as outbreaks, as opposed to isolated sporadic cases of illness.</w:t>
      </w:r>
    </w:p>
    <w:p w14:paraId="64F1014B" w14:textId="77777777" w:rsidR="007E252F" w:rsidRPr="007E252F" w:rsidRDefault="007E252F" w:rsidP="007E252F">
      <w:pPr>
        <w:widowControl/>
        <w:rPr>
          <w:rFonts w:cs="Arial"/>
          <w:szCs w:val="22"/>
          <w:lang w:val="en-AU" w:bidi="ar-SA"/>
        </w:rPr>
      </w:pPr>
    </w:p>
    <w:p w14:paraId="0CCB816D" w14:textId="77777777" w:rsidR="007E252F" w:rsidRPr="007E252F" w:rsidRDefault="007E252F" w:rsidP="007E252F">
      <w:pPr>
        <w:widowControl/>
        <w:rPr>
          <w:rFonts w:cs="Arial"/>
          <w:szCs w:val="22"/>
          <w:lang w:val="en-AU" w:bidi="ar-SA"/>
        </w:rPr>
      </w:pPr>
      <w:r w:rsidRPr="007E252F">
        <w:rPr>
          <w:rFonts w:cs="Arial"/>
          <w:szCs w:val="22"/>
          <w:lang w:val="en-AU" w:bidi="ar-SA"/>
        </w:rPr>
        <w:t>Available production and risk management guidelines for kava include the Codex regional standard for kava products for use as a beverage when mixed with water (Codex, 2020); the Pacific kava producer’s guide (Secretariat of the Pacific Community, 2001); and some national standards (Appendix 1). These outline the risk mitigation measures necessary for the production of kava and preparation of kava beverages. They emphasise the application of Good Agricultural Practices (GAP) in the production, harvesting and post</w:t>
      </w:r>
      <w:r w:rsidRPr="007E252F">
        <w:rPr>
          <w:rFonts w:cs="Arial"/>
          <w:szCs w:val="22"/>
          <w:lang w:val="en-AU" w:bidi="ar-SA"/>
        </w:rPr>
        <w:noBreakHyphen/>
        <w:t>harvest preparation of kava root; and Good Hygienic Practices (GHP) in processing and handling of the product. The standards specify a maximum moisture content of 10% or 12% for dried, powdered kava products, to reduce the risk of fungal growth and the production of mycotoxins. The use of potable water for cleaning of kava root and in the preparation of kava beverages is also specified.</w:t>
      </w:r>
    </w:p>
    <w:p w14:paraId="7630EAA4" w14:textId="77777777" w:rsidR="007E252F" w:rsidRPr="007E252F" w:rsidRDefault="007E252F" w:rsidP="007E252F">
      <w:pPr>
        <w:widowControl/>
        <w:rPr>
          <w:rFonts w:cs="Arial"/>
          <w:szCs w:val="22"/>
          <w:lang w:val="en-AU" w:bidi="ar-SA"/>
        </w:rPr>
      </w:pPr>
    </w:p>
    <w:p w14:paraId="4DA690AF" w14:textId="77777777" w:rsidR="007E252F" w:rsidRPr="007E252F" w:rsidRDefault="007E252F" w:rsidP="007E252F">
      <w:pPr>
        <w:widowControl/>
        <w:rPr>
          <w:rFonts w:cs="Arial"/>
          <w:szCs w:val="22"/>
          <w:lang w:val="en-AU" w:bidi="ar-SA"/>
        </w:rPr>
      </w:pPr>
      <w:r w:rsidRPr="007E252F">
        <w:rPr>
          <w:rFonts w:cs="Arial"/>
          <w:szCs w:val="22"/>
          <w:lang w:val="en-AU" w:bidi="ar-SA"/>
        </w:rPr>
        <w:t>Evidence for the potential growth of bacteria in prepared kava beverages indicates that they should be consumed soon after preparation, and not stored or transported, in line with requirements for potentially hazardous foods in Standard 3.2.2 – Food safety practices and general requirements – of the Australia New Zealand Food Standards Code.</w:t>
      </w:r>
    </w:p>
    <w:p w14:paraId="0A097433" w14:textId="77777777" w:rsidR="007E252F" w:rsidRPr="007E252F" w:rsidRDefault="007E252F" w:rsidP="007E252F">
      <w:pPr>
        <w:widowControl/>
        <w:rPr>
          <w:rFonts w:cs="Arial"/>
          <w:szCs w:val="22"/>
          <w:lang w:val="en-AU" w:bidi="ar-SA"/>
        </w:rPr>
      </w:pPr>
    </w:p>
    <w:p w14:paraId="27BB8E36" w14:textId="77777777" w:rsidR="007E252F" w:rsidRPr="007E252F" w:rsidRDefault="007E252F" w:rsidP="007E252F">
      <w:pPr>
        <w:widowControl/>
        <w:rPr>
          <w:rFonts w:cs="Arial"/>
          <w:szCs w:val="22"/>
          <w:lang w:val="en-AU" w:bidi="ar-SA"/>
        </w:rPr>
      </w:pPr>
      <w:r w:rsidRPr="007E252F">
        <w:rPr>
          <w:rFonts w:cs="Arial"/>
          <w:szCs w:val="22"/>
          <w:lang w:val="en-AU" w:bidi="ar-SA"/>
        </w:rPr>
        <w:t>In the absence of data to the contrary, it is concluded that the microbiological risk from the consumption of kava beverages obtained by aqueous suspension of dried or raw kava root is low when kava is produced and prepared in line with current risk management measures, including the application of GAP and GHP.</w:t>
      </w:r>
    </w:p>
    <w:p w14:paraId="614B849B" w14:textId="77777777" w:rsidR="007E252F" w:rsidRPr="007E252F" w:rsidRDefault="007E252F" w:rsidP="007E252F">
      <w:pPr>
        <w:widowControl/>
        <w:rPr>
          <w:rFonts w:cstheme="minorHAnsi"/>
          <w:szCs w:val="20"/>
          <w:lang w:val="en-AU"/>
        </w:rPr>
      </w:pPr>
    </w:p>
    <w:p w14:paraId="292B2A18" w14:textId="77777777" w:rsidR="007E252F" w:rsidRPr="007E252F" w:rsidRDefault="007E252F" w:rsidP="007E252F">
      <w:pPr>
        <w:keepNext/>
        <w:keepLines/>
        <w:widowControl/>
        <w:numPr>
          <w:ilvl w:val="0"/>
          <w:numId w:val="5"/>
        </w:numPr>
        <w:tabs>
          <w:tab w:val="left" w:pos="851"/>
        </w:tabs>
        <w:outlineLvl w:val="0"/>
        <w:rPr>
          <w:b/>
          <w:bCs/>
          <w:sz w:val="36"/>
          <w:szCs w:val="28"/>
          <w:lang w:val="en-AU" w:bidi="ar-SA"/>
        </w:rPr>
      </w:pPr>
      <w:bookmarkStart w:id="139" w:name="_Toc82168580"/>
      <w:bookmarkStart w:id="140" w:name="_Toc83287719"/>
      <w:bookmarkStart w:id="141" w:name="_Toc83297181"/>
      <w:bookmarkStart w:id="142" w:name="_Toc83324806"/>
      <w:bookmarkStart w:id="143" w:name="_Toc95830183"/>
      <w:r w:rsidRPr="007E252F">
        <w:rPr>
          <w:b/>
          <w:bCs/>
          <w:sz w:val="36"/>
          <w:szCs w:val="28"/>
          <w:lang w:val="en-AU" w:bidi="ar-SA"/>
        </w:rPr>
        <w:t>Dietary intake</w:t>
      </w:r>
      <w:bookmarkEnd w:id="139"/>
      <w:bookmarkEnd w:id="140"/>
      <w:bookmarkEnd w:id="141"/>
      <w:bookmarkEnd w:id="142"/>
      <w:bookmarkEnd w:id="143"/>
    </w:p>
    <w:p w14:paraId="77FA90E4" w14:textId="77777777" w:rsidR="007E252F" w:rsidRPr="007E252F" w:rsidRDefault="007E252F" w:rsidP="007E252F">
      <w:pPr>
        <w:widowControl/>
        <w:ind w:left="855"/>
        <w:contextualSpacing/>
        <w:rPr>
          <w:lang w:val="en-AU" w:bidi="ar-SA"/>
        </w:rPr>
      </w:pPr>
    </w:p>
    <w:p w14:paraId="6295612E" w14:textId="77777777" w:rsidR="007E252F" w:rsidRPr="007E252F" w:rsidRDefault="007E252F" w:rsidP="007E252F">
      <w:pPr>
        <w:keepNext/>
        <w:widowControl/>
        <w:outlineLvl w:val="1"/>
        <w:rPr>
          <w:rFonts w:cs="Arial"/>
          <w:b/>
          <w:bCs/>
          <w:sz w:val="28"/>
          <w:szCs w:val="22"/>
          <w:lang w:val="en-AU" w:bidi="ar-SA"/>
        </w:rPr>
      </w:pPr>
      <w:bookmarkStart w:id="144" w:name="_Toc95830184"/>
      <w:r w:rsidRPr="007E252F">
        <w:rPr>
          <w:rFonts w:cs="Arial"/>
          <w:b/>
          <w:bCs/>
          <w:sz w:val="28"/>
          <w:szCs w:val="22"/>
          <w:lang w:val="en-AU" w:bidi="ar-SA"/>
        </w:rPr>
        <w:t>5.1</w:t>
      </w:r>
      <w:r w:rsidRPr="007E252F">
        <w:rPr>
          <w:rFonts w:cs="Arial"/>
          <w:b/>
          <w:bCs/>
          <w:sz w:val="28"/>
          <w:szCs w:val="22"/>
          <w:lang w:val="en-AU" w:bidi="ar-SA"/>
        </w:rPr>
        <w:tab/>
        <w:t>Consumption of kava</w:t>
      </w:r>
      <w:bookmarkEnd w:id="144"/>
    </w:p>
    <w:p w14:paraId="17BE0059" w14:textId="77777777" w:rsidR="007E252F" w:rsidRPr="007E252F" w:rsidRDefault="007E252F" w:rsidP="007E252F">
      <w:pPr>
        <w:widowControl/>
        <w:rPr>
          <w:lang w:val="en-AU" w:bidi="ar-SA"/>
        </w:rPr>
      </w:pPr>
    </w:p>
    <w:p w14:paraId="6F20199D" w14:textId="77777777" w:rsidR="007E252F" w:rsidRPr="007E252F" w:rsidRDefault="007E252F" w:rsidP="007E252F">
      <w:pPr>
        <w:widowControl/>
        <w:rPr>
          <w:lang w:val="en-AU" w:bidi="ar-SA"/>
        </w:rPr>
      </w:pPr>
      <w:r w:rsidRPr="007E252F">
        <w:rPr>
          <w:lang w:val="en-AU" w:bidi="ar-SA"/>
        </w:rPr>
        <w:t>Kava beverage is not a widely consumed food in Australia or New Zealand, except in some Pacific communities, or select First Nations communities in Australia. Kava plant or beverage is not currently available in Australia as a commercial food commodity. A small number of businesses are already operating in New Zealand that offer kava beverage as a recreational product for consumption on-site or as a take-away option.</w:t>
      </w:r>
    </w:p>
    <w:p w14:paraId="3D83A095" w14:textId="77777777" w:rsidR="007E252F" w:rsidRPr="007E252F" w:rsidRDefault="007E252F" w:rsidP="007E252F">
      <w:pPr>
        <w:widowControl/>
        <w:rPr>
          <w:lang w:val="en-AU" w:bidi="ar-SA"/>
        </w:rPr>
      </w:pPr>
    </w:p>
    <w:p w14:paraId="7DB45A67" w14:textId="77777777" w:rsidR="007E252F" w:rsidRPr="007E252F" w:rsidRDefault="007E252F" w:rsidP="007E252F">
      <w:pPr>
        <w:widowControl/>
        <w:tabs>
          <w:tab w:val="left" w:pos="851"/>
          <w:tab w:val="left" w:pos="1584"/>
          <w:tab w:val="left" w:pos="2736"/>
          <w:tab w:val="left" w:pos="3888"/>
          <w:tab w:val="left" w:pos="5040"/>
          <w:tab w:val="left" w:pos="6192"/>
          <w:tab w:val="left" w:pos="7344"/>
          <w:tab w:val="left" w:pos="8496"/>
          <w:tab w:val="left" w:pos="9440"/>
          <w:tab w:val="left" w:pos="9648"/>
        </w:tabs>
        <w:spacing w:line="240" w:lineRule="atLeast"/>
        <w:ind w:right="-334"/>
        <w:rPr>
          <w:lang w:val="en-AU" w:bidi="ar-SA"/>
        </w:rPr>
      </w:pPr>
      <w:r w:rsidRPr="007E252F">
        <w:t xml:space="preserve">Kava consumption was not a feature in the traditions of Aboriginal and Torres Strait Islander peoples until it was introduced into Arnhem land in the 1980s as an alternative to alcohol (Cawte, 1985; Mathews et al., 1988). Kava beverage was not a documented feature in Māori cultural practices after migration to Aotearoa New Zealand, although recent work suggests that consumption within Māori communities may be increasing, in part as a means of reinvigorating ancestral and cultural Māori-Pasifika connections (Aporosa, 2015). In addition, </w:t>
      </w:r>
      <w:r w:rsidRPr="007E252F">
        <w:rPr>
          <w:i/>
        </w:rPr>
        <w:t>kawakawa</w:t>
      </w:r>
      <w:r w:rsidRPr="007E252F">
        <w:t xml:space="preserve"> or </w:t>
      </w:r>
      <w:r w:rsidRPr="007E252F">
        <w:rPr>
          <w:i/>
        </w:rPr>
        <w:t>kava</w:t>
      </w:r>
      <w:r w:rsidRPr="007E252F">
        <w:t xml:space="preserve"> refers to the closely related </w:t>
      </w:r>
      <w:r w:rsidRPr="007E252F">
        <w:rPr>
          <w:i/>
        </w:rPr>
        <w:t xml:space="preserve">Piper excelsum, </w:t>
      </w:r>
      <w:r w:rsidRPr="007E252F">
        <w:t xml:space="preserve">which is used as an ingredient in traditional medicine and features in traditional Māori culture. </w:t>
      </w:r>
      <w:r w:rsidRPr="007E252F">
        <w:rPr>
          <w:i/>
        </w:rPr>
        <w:t>P. excelsum</w:t>
      </w:r>
      <w:r w:rsidRPr="007E252F">
        <w:t xml:space="preserve"> does not possess psychotropic properties (Singh, 1992; Butts et al., 2019).</w:t>
      </w:r>
    </w:p>
    <w:p w14:paraId="0AFD1F4D" w14:textId="77777777" w:rsidR="007E252F" w:rsidRPr="007E252F" w:rsidRDefault="007E252F" w:rsidP="007E252F">
      <w:pPr>
        <w:widowControl/>
        <w:rPr>
          <w:lang w:val="en-AU" w:bidi="ar-SA"/>
        </w:rPr>
      </w:pPr>
    </w:p>
    <w:p w14:paraId="2BA68672" w14:textId="77777777" w:rsidR="007E252F" w:rsidRPr="007E252F" w:rsidRDefault="007E252F" w:rsidP="007E252F">
      <w:pPr>
        <w:widowControl/>
        <w:rPr>
          <w:lang w:val="en-AU" w:bidi="ar-SA"/>
        </w:rPr>
      </w:pPr>
      <w:r w:rsidRPr="007E252F">
        <w:rPr>
          <w:lang w:val="en-AU" w:bidi="ar-SA"/>
        </w:rPr>
        <w:lastRenderedPageBreak/>
        <w:t xml:space="preserve">Kava extracts are used in complementary medicines listed on the Australian Register of Therapeutic Goods and are available in New Zealand in products that are marketed as dietary supplements. The principal means of exposure of the broader Australian and New Zealand community to kava products would be through kava extracts in such goods. </w:t>
      </w:r>
    </w:p>
    <w:p w14:paraId="2E80831B" w14:textId="77777777" w:rsidR="007E252F" w:rsidRPr="007E252F" w:rsidRDefault="007E252F" w:rsidP="007E252F">
      <w:pPr>
        <w:widowControl/>
        <w:rPr>
          <w:lang w:val="en-AU" w:bidi="ar-SA"/>
        </w:rPr>
      </w:pPr>
    </w:p>
    <w:p w14:paraId="1332656C" w14:textId="77777777" w:rsidR="007E252F" w:rsidRPr="007E252F" w:rsidRDefault="007E252F" w:rsidP="007E252F">
      <w:pPr>
        <w:widowControl/>
        <w:rPr>
          <w:lang w:val="en-AU" w:bidi="ar-SA"/>
        </w:rPr>
      </w:pPr>
      <w:r w:rsidRPr="007E252F">
        <w:rPr>
          <w:lang w:val="en-AU" w:bidi="ar-SA"/>
        </w:rPr>
        <w:t>No information on kava consumption is captured by the 2011-2012 Australian National Nutrition and Physical Activity Survey (ABS, 2014) or the 2012-2013 Australian National Aboriginal and Torres Strait Islander Nutrition and Physical Activity Survey (ABS, 2015). In the 2007 National Drug Strategy Household Survey, 1.8 % of Australians 14 years and older reported being offered or having the opportunity to use kava within the last 12 months (AIHW, 2008). This was highest for males in the 20-29 year old age group at 3.4% (AIHW, 2008).</w:t>
      </w:r>
    </w:p>
    <w:p w14:paraId="0F69A612" w14:textId="77777777" w:rsidR="007E252F" w:rsidRPr="007E252F" w:rsidRDefault="007E252F" w:rsidP="007E252F">
      <w:pPr>
        <w:widowControl/>
        <w:rPr>
          <w:lang w:val="en-AU" w:bidi="ar-SA"/>
        </w:rPr>
      </w:pPr>
    </w:p>
    <w:p w14:paraId="6314BF1A" w14:textId="77777777" w:rsidR="007E252F" w:rsidRPr="007E252F" w:rsidRDefault="007E252F" w:rsidP="007E252F">
      <w:pPr>
        <w:widowControl/>
        <w:rPr>
          <w:lang w:val="en-AU" w:bidi="ar-SA"/>
        </w:rPr>
      </w:pPr>
      <w:r w:rsidRPr="007E252F">
        <w:rPr>
          <w:lang w:val="en-AU" w:bidi="ar-SA"/>
        </w:rPr>
        <w:t xml:space="preserve">A 1988 assessment of the health status of Australian kava beverage consumers in a community in Arnhem land categorised kava users into occasional consumers (average 100 g/week dried kava root powder), heavy consumers (average 310 g/week) and very heavy consumers (average 440 g/week) (Mathews et al., 1988). This is consistent with a 1991 assessment in a nearby Arnhem land community, where the average kava drinker consumed an estimated average of 368 g/week of dried kava powder (Clough et al., 2000; Clough, 2003b). Based on these observations, 240 - 440 g/week of dried kava powder has been proposed as the level where negative effects from kava beverage consumption begin to occur (Clough, 2003). </w:t>
      </w:r>
    </w:p>
    <w:p w14:paraId="2DF43BFC" w14:textId="77777777" w:rsidR="007E252F" w:rsidRPr="007E252F" w:rsidRDefault="007E252F" w:rsidP="007E252F">
      <w:pPr>
        <w:widowControl/>
        <w:rPr>
          <w:lang w:val="en-AU" w:bidi="ar-SA"/>
        </w:rPr>
      </w:pPr>
    </w:p>
    <w:p w14:paraId="0DAE0FD6" w14:textId="77777777" w:rsidR="007E252F" w:rsidRPr="007E252F" w:rsidRDefault="007E252F" w:rsidP="007E252F">
      <w:pPr>
        <w:widowControl/>
        <w:rPr>
          <w:lang w:val="en-AU" w:bidi="ar-SA"/>
        </w:rPr>
      </w:pPr>
      <w:r w:rsidRPr="007E252F">
        <w:rPr>
          <w:lang w:val="en-AU" w:bidi="ar-SA"/>
        </w:rPr>
        <w:t>Subsequent observational studies in Australian and Pacific communities show that, while some variances exist, these Australian estimates of high kava beverage consumption largely reflect wider kava beverage consumption patterns (Jowitt &amp; Binihi, 2001; Grace, 2003; Shimoda et al., 2015; Aporosa et al., 2020).</w:t>
      </w:r>
    </w:p>
    <w:p w14:paraId="69A23DAF" w14:textId="77777777" w:rsidR="007E252F" w:rsidRPr="007E252F" w:rsidRDefault="007E252F" w:rsidP="007E252F">
      <w:pPr>
        <w:widowControl/>
        <w:rPr>
          <w:rFonts w:cs="Arial"/>
          <w:lang w:val="en-AU"/>
        </w:rPr>
      </w:pPr>
    </w:p>
    <w:p w14:paraId="10256494" w14:textId="77777777" w:rsidR="007E252F" w:rsidRPr="007E252F" w:rsidRDefault="007E252F" w:rsidP="007E252F">
      <w:pPr>
        <w:keepNext/>
        <w:widowControl/>
        <w:outlineLvl w:val="1"/>
        <w:rPr>
          <w:rFonts w:cs="Arial"/>
          <w:b/>
          <w:bCs/>
          <w:sz w:val="28"/>
          <w:szCs w:val="22"/>
          <w:lang w:val="en-AU" w:bidi="ar-SA"/>
        </w:rPr>
      </w:pPr>
      <w:bookmarkStart w:id="145" w:name="_Toc83287720"/>
      <w:bookmarkStart w:id="146" w:name="_Toc83297182"/>
      <w:bookmarkStart w:id="147" w:name="_Toc83324807"/>
      <w:bookmarkStart w:id="148" w:name="_Toc95830185"/>
      <w:r w:rsidRPr="007E252F">
        <w:rPr>
          <w:rFonts w:cs="Arial"/>
          <w:b/>
          <w:bCs/>
          <w:sz w:val="28"/>
          <w:szCs w:val="22"/>
          <w:lang w:val="en-AU" w:bidi="ar-SA"/>
        </w:rPr>
        <w:t>5.2</w:t>
      </w:r>
      <w:r w:rsidRPr="007E252F">
        <w:rPr>
          <w:rFonts w:cs="Arial"/>
          <w:b/>
          <w:bCs/>
          <w:sz w:val="28"/>
          <w:szCs w:val="22"/>
          <w:lang w:val="en-AU" w:bidi="ar-SA"/>
        </w:rPr>
        <w:tab/>
        <w:t>Kavalactone intake from kava beverage</w:t>
      </w:r>
      <w:bookmarkEnd w:id="145"/>
      <w:bookmarkEnd w:id="146"/>
      <w:bookmarkEnd w:id="147"/>
      <w:bookmarkEnd w:id="148"/>
    </w:p>
    <w:p w14:paraId="05903ADD" w14:textId="77777777" w:rsidR="007E252F" w:rsidRPr="007E252F" w:rsidRDefault="007E252F" w:rsidP="007E252F">
      <w:pPr>
        <w:widowControl/>
        <w:rPr>
          <w:lang w:val="en-AU" w:bidi="ar-SA"/>
        </w:rPr>
      </w:pPr>
    </w:p>
    <w:p w14:paraId="092EF380" w14:textId="77777777" w:rsidR="007E252F" w:rsidRPr="007E252F" w:rsidRDefault="007E252F" w:rsidP="007E252F">
      <w:pPr>
        <w:widowControl/>
        <w:rPr>
          <w:lang w:val="en-AU" w:bidi="ar-SA"/>
        </w:rPr>
      </w:pPr>
      <w:r w:rsidRPr="007E252F">
        <w:rPr>
          <w:lang w:val="en-AU" w:bidi="ar-SA"/>
        </w:rPr>
        <w:t>Total kavalactone content of kava plant varies from 3%-20% of dry weight, depending on plant variety, the age of kava plant when harvested, product storage conditions and post-harvest processing (i.e. fresh or dry) (Duve &amp; Prasad, 1983; Lebot &amp; Lèvesque, 1996; Lebot et al., 1997). Kavalactone concentration in beverages is impacted by the method used for preparation, often heavily influenced by social context and practices (Aporosa, 2019).</w:t>
      </w:r>
    </w:p>
    <w:p w14:paraId="6940265A" w14:textId="77777777" w:rsidR="007E252F" w:rsidRPr="007E252F" w:rsidRDefault="007E252F" w:rsidP="007E252F">
      <w:pPr>
        <w:widowControl/>
        <w:rPr>
          <w:lang w:val="en-AU" w:bidi="ar-SA"/>
        </w:rPr>
      </w:pPr>
    </w:p>
    <w:p w14:paraId="5D0C3504" w14:textId="77777777" w:rsidR="007E252F" w:rsidRPr="007E252F" w:rsidRDefault="007E252F" w:rsidP="007E252F">
      <w:pPr>
        <w:widowControl/>
        <w:rPr>
          <w:lang w:val="en-AU" w:bidi="ar-SA"/>
        </w:rPr>
      </w:pPr>
      <w:r w:rsidRPr="007E252F">
        <w:rPr>
          <w:lang w:val="en-AU" w:bidi="ar-SA"/>
        </w:rPr>
        <w:t>Clough et al. (2000) estimated the quantity of kavalactones consumed by kava beverage drinkers in an Arnhem land community with a high level of kava consumption. Assuming a total kavalactone content in kava powder of 12.5% of dry weight, a kavalactone extraction efficiency of 83%, and ingestion of 670 mL of liquid containing 37 g of kava powder per hour, the estimated intake of kavalactones would be 3800 mg per hour by high consumers (Clough et al., 2000).</w:t>
      </w:r>
    </w:p>
    <w:p w14:paraId="385AD0FE" w14:textId="77777777" w:rsidR="007E252F" w:rsidRPr="007E252F" w:rsidRDefault="007E252F" w:rsidP="007E252F">
      <w:pPr>
        <w:widowControl/>
        <w:rPr>
          <w:lang w:val="en-AU" w:bidi="ar-SA"/>
        </w:rPr>
      </w:pPr>
    </w:p>
    <w:p w14:paraId="0F106164" w14:textId="77777777" w:rsidR="007E252F" w:rsidRPr="007E252F" w:rsidRDefault="007E252F" w:rsidP="007E252F">
      <w:pPr>
        <w:widowControl/>
        <w:rPr>
          <w:lang w:val="en-AU" w:bidi="ar-SA"/>
        </w:rPr>
      </w:pPr>
      <w:r w:rsidRPr="007E252F">
        <w:rPr>
          <w:lang w:val="en-AU" w:bidi="ar-SA"/>
        </w:rPr>
        <w:t>Aporosa et al. (2020) examined the effects of a six hour kava session on cognitive function of regular kava in New Zealand consumers. The kavalactone content of a single batch of commercially available kava powder, obtained in Hamilton, New Zealand, was determined to be 9.26% w/w kavalactones. When used to prepare kava beverage reflective of an average ‘strength’, a kava consumer would consume 145 mg kavalactones in a 100 mL serving. Assuming an average consumption rate of 500 mL per hour, the authors concluded that kavalactone intake would equal 725 mg per hour.</w:t>
      </w:r>
    </w:p>
    <w:p w14:paraId="0274E6E3" w14:textId="77777777" w:rsidR="007E252F" w:rsidRPr="007E252F" w:rsidRDefault="007E252F" w:rsidP="007E252F">
      <w:pPr>
        <w:widowControl/>
        <w:rPr>
          <w:lang w:val="en-AU" w:bidi="ar-SA"/>
        </w:rPr>
      </w:pPr>
    </w:p>
    <w:p w14:paraId="59CA56B9" w14:textId="77777777" w:rsidR="007E252F" w:rsidRPr="007E252F" w:rsidRDefault="007E252F" w:rsidP="007E252F">
      <w:pPr>
        <w:widowControl/>
        <w:rPr>
          <w:lang w:val="en-AU" w:bidi="ar-SA"/>
        </w:rPr>
      </w:pPr>
      <w:r w:rsidRPr="007E252F">
        <w:rPr>
          <w:lang w:val="en-AU" w:bidi="ar-SA"/>
        </w:rPr>
        <w:t xml:space="preserve">The duration of a single kava drinking session can vary widely based on cultural norms, occasions and user preferences, where individuals have self-reported drinking kava for up to 22 hours in a single session (Jowitt &amp; Binihi, 2001; Cairney et al., 2003). </w:t>
      </w:r>
    </w:p>
    <w:p w14:paraId="426DE342" w14:textId="77777777" w:rsidR="007E252F" w:rsidRPr="007E252F" w:rsidRDefault="007E252F" w:rsidP="007E252F">
      <w:pPr>
        <w:widowControl/>
        <w:rPr>
          <w:lang w:val="en-AU" w:bidi="ar-SA"/>
        </w:rPr>
      </w:pPr>
    </w:p>
    <w:p w14:paraId="0CB4229D" w14:textId="77777777" w:rsidR="007E252F" w:rsidRPr="007E252F" w:rsidRDefault="007E252F" w:rsidP="007E252F">
      <w:pPr>
        <w:widowControl/>
        <w:rPr>
          <w:lang w:val="en-AU" w:bidi="ar-SA"/>
        </w:rPr>
      </w:pPr>
      <w:r w:rsidRPr="007E252F">
        <w:rPr>
          <w:lang w:val="en-AU" w:bidi="ar-SA"/>
        </w:rPr>
        <w:lastRenderedPageBreak/>
        <w:t xml:space="preserve">The consumption of kava beverage therefore results in intakes of kavalactones which are far in excess of the recommended maximum daily dose of 250 mg kavalactones for preparations included on the Australian Register of Therapeutic Goods. </w:t>
      </w:r>
    </w:p>
    <w:p w14:paraId="75A08705" w14:textId="77777777" w:rsidR="007E252F" w:rsidRPr="007E252F" w:rsidRDefault="007E252F" w:rsidP="007E252F">
      <w:pPr>
        <w:widowControl/>
        <w:rPr>
          <w:lang w:val="en-AU" w:bidi="ar-SA"/>
        </w:rPr>
      </w:pPr>
    </w:p>
    <w:p w14:paraId="2A68CE8B" w14:textId="77777777" w:rsidR="007E252F" w:rsidRPr="007E252F" w:rsidRDefault="007E252F" w:rsidP="007E252F">
      <w:pPr>
        <w:keepNext/>
        <w:widowControl/>
        <w:ind w:left="851" w:hanging="851"/>
        <w:outlineLvl w:val="0"/>
        <w:rPr>
          <w:b/>
          <w:bCs/>
          <w:sz w:val="36"/>
          <w:szCs w:val="28"/>
          <w:lang w:val="en-AU" w:bidi="ar-SA"/>
        </w:rPr>
      </w:pPr>
      <w:bookmarkStart w:id="149" w:name="_Toc412023708"/>
      <w:bookmarkStart w:id="150" w:name="_Toc433120830"/>
      <w:bookmarkStart w:id="151" w:name="_Toc442711383"/>
      <w:bookmarkStart w:id="152" w:name="_Toc442868294"/>
      <w:bookmarkStart w:id="153" w:name="_Toc443409062"/>
      <w:bookmarkStart w:id="154" w:name="_Toc443465460"/>
      <w:bookmarkStart w:id="155" w:name="_Toc25667606"/>
      <w:bookmarkStart w:id="156" w:name="_Toc70520112"/>
      <w:bookmarkStart w:id="157" w:name="_Toc70587645"/>
      <w:bookmarkStart w:id="158" w:name="_Toc71545277"/>
      <w:bookmarkStart w:id="159" w:name="_Toc72504658"/>
      <w:bookmarkStart w:id="160" w:name="_Toc74035745"/>
      <w:bookmarkStart w:id="161" w:name="_Toc74056546"/>
      <w:bookmarkStart w:id="162" w:name="_Toc74665251"/>
      <w:bookmarkStart w:id="163" w:name="_Toc82168581"/>
      <w:bookmarkStart w:id="164" w:name="_Toc83287721"/>
      <w:bookmarkStart w:id="165" w:name="_Toc83297183"/>
      <w:bookmarkStart w:id="166" w:name="_Toc83324808"/>
      <w:bookmarkStart w:id="167" w:name="_Toc95830186"/>
      <w:r w:rsidRPr="007E252F">
        <w:rPr>
          <w:b/>
          <w:bCs/>
          <w:sz w:val="36"/>
          <w:szCs w:val="28"/>
          <w:lang w:val="en-AU" w:bidi="ar-SA"/>
        </w:rPr>
        <w:t>6</w:t>
      </w:r>
      <w:r w:rsidRPr="007E252F">
        <w:rPr>
          <w:b/>
          <w:bCs/>
          <w:sz w:val="36"/>
          <w:szCs w:val="28"/>
          <w:lang w:val="en-AU" w:bidi="ar-SA"/>
        </w:rPr>
        <w:tab/>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E252F">
        <w:rPr>
          <w:b/>
          <w:bCs/>
          <w:sz w:val="36"/>
          <w:szCs w:val="28"/>
          <w:lang w:val="en-AU" w:bidi="ar-SA"/>
        </w:rPr>
        <w:t>Nutrition</w:t>
      </w:r>
      <w:bookmarkEnd w:id="163"/>
      <w:r w:rsidRPr="007E252F">
        <w:rPr>
          <w:b/>
          <w:bCs/>
          <w:sz w:val="36"/>
          <w:szCs w:val="28"/>
          <w:lang w:val="en-AU" w:bidi="ar-SA"/>
        </w:rPr>
        <w:t>al Impact</w:t>
      </w:r>
      <w:bookmarkEnd w:id="164"/>
      <w:bookmarkEnd w:id="165"/>
      <w:bookmarkEnd w:id="166"/>
      <w:bookmarkEnd w:id="167"/>
    </w:p>
    <w:p w14:paraId="11C86A90" w14:textId="77777777" w:rsidR="007E252F" w:rsidRPr="007E252F" w:rsidRDefault="007E252F" w:rsidP="007E252F">
      <w:pPr>
        <w:widowControl/>
        <w:rPr>
          <w:lang w:val="en-AU" w:bidi="ar-SA"/>
        </w:rPr>
      </w:pPr>
    </w:p>
    <w:p w14:paraId="50ACD567" w14:textId="77777777" w:rsidR="007E252F" w:rsidRPr="007E252F" w:rsidRDefault="007E252F" w:rsidP="007E252F">
      <w:pPr>
        <w:widowControl/>
        <w:rPr>
          <w:lang w:val="en-AU"/>
        </w:rPr>
      </w:pPr>
      <w:r w:rsidRPr="007E252F">
        <w:rPr>
          <w:lang w:val="en-AU"/>
        </w:rPr>
        <w:t xml:space="preserve">Kava beverage is not consumed for nutritional benefit, rather as part of cultural practices and for its intoxicating properties. </w:t>
      </w:r>
    </w:p>
    <w:p w14:paraId="1183A803" w14:textId="77777777" w:rsidR="007E252F" w:rsidRPr="007E252F" w:rsidRDefault="007E252F" w:rsidP="007E252F">
      <w:pPr>
        <w:widowControl/>
        <w:rPr>
          <w:lang w:val="en-AU"/>
        </w:rPr>
      </w:pPr>
    </w:p>
    <w:p w14:paraId="02D13B88" w14:textId="77777777" w:rsidR="007E252F" w:rsidRPr="007E252F" w:rsidRDefault="007E252F" w:rsidP="007E252F">
      <w:pPr>
        <w:widowControl/>
        <w:rPr>
          <w:lang w:val="en-AU"/>
        </w:rPr>
      </w:pPr>
      <w:r w:rsidRPr="007E252F">
        <w:rPr>
          <w:lang w:val="en-AU"/>
        </w:rPr>
        <w:t>There are no known nutritional problems associated with the moderate use of kava beverage. Kava root consists of 43% starch, 3.2% sugars and 3.6% protein (</w:t>
      </w:r>
      <w:r w:rsidRPr="007E252F">
        <w:rPr>
          <w:lang w:bidi="ar-SA"/>
        </w:rPr>
        <w:t>Lebot et al., 1992</w:t>
      </w:r>
      <w:r w:rsidRPr="007E252F">
        <w:rPr>
          <w:lang w:val="en-AU"/>
        </w:rPr>
        <w:t xml:space="preserve"> ). It is unclear what nutritional impacts these constituents may have in high consumers of kava beverage. </w:t>
      </w:r>
    </w:p>
    <w:p w14:paraId="2FE58BFA" w14:textId="77777777" w:rsidR="007E252F" w:rsidRPr="007E252F" w:rsidRDefault="007E252F" w:rsidP="007E252F">
      <w:pPr>
        <w:widowControl/>
        <w:rPr>
          <w:lang w:val="en-AU"/>
        </w:rPr>
      </w:pPr>
    </w:p>
    <w:p w14:paraId="1437B8D0" w14:textId="77777777" w:rsidR="007E252F" w:rsidRPr="007E252F" w:rsidRDefault="007E252F" w:rsidP="007E252F">
      <w:pPr>
        <w:widowControl/>
        <w:rPr>
          <w:lang w:val="en-AU"/>
        </w:rPr>
      </w:pPr>
      <w:r w:rsidRPr="007E252F">
        <w:rPr>
          <w:lang w:val="en-AU"/>
        </w:rPr>
        <w:t>Malnutrition can be higher amongst kava users than non-users in communities with high rates of kava abuse. A 2000 study of kava use in some First Nations communities in Arnhem land found that kava users was associated with markers of malnutrition; however, these results were confounded by the general malnutrition rate that occurred in these communities (Clough et al., 2004).</w:t>
      </w:r>
    </w:p>
    <w:p w14:paraId="38B9B684" w14:textId="77777777" w:rsidR="007E252F" w:rsidRPr="007E252F" w:rsidRDefault="007E252F" w:rsidP="007E252F">
      <w:pPr>
        <w:widowControl/>
        <w:rPr>
          <w:lang w:val="en-AU"/>
        </w:rPr>
      </w:pPr>
    </w:p>
    <w:p w14:paraId="479BAD36" w14:textId="77777777" w:rsidR="007E252F" w:rsidRPr="007E252F" w:rsidRDefault="007E252F" w:rsidP="007E252F">
      <w:pPr>
        <w:keepNext/>
        <w:keepLines/>
        <w:widowControl/>
        <w:ind w:left="851" w:hanging="851"/>
        <w:outlineLvl w:val="0"/>
        <w:rPr>
          <w:b/>
          <w:bCs/>
          <w:sz w:val="36"/>
          <w:szCs w:val="28"/>
          <w:lang w:val="en-AU" w:bidi="ar-SA"/>
        </w:rPr>
      </w:pPr>
      <w:bookmarkStart w:id="168" w:name="_Toc95830187"/>
      <w:r w:rsidRPr="007E252F">
        <w:rPr>
          <w:b/>
          <w:bCs/>
          <w:sz w:val="36"/>
          <w:szCs w:val="28"/>
          <w:lang w:val="en-AU" w:bidi="ar-SA"/>
        </w:rPr>
        <w:t>7</w:t>
      </w:r>
      <w:r w:rsidRPr="007E252F">
        <w:rPr>
          <w:b/>
          <w:bCs/>
          <w:sz w:val="36"/>
          <w:szCs w:val="28"/>
          <w:lang w:val="en-AU" w:bidi="ar-SA"/>
        </w:rPr>
        <w:tab/>
        <w:t>Data limitations</w:t>
      </w:r>
      <w:bookmarkEnd w:id="168"/>
    </w:p>
    <w:p w14:paraId="3A50C07E" w14:textId="77777777" w:rsidR="007E252F" w:rsidRPr="007E252F" w:rsidRDefault="007E252F" w:rsidP="007E252F">
      <w:pPr>
        <w:widowControl/>
        <w:rPr>
          <w:lang w:val="en-AU" w:bidi="ar-SA"/>
        </w:rPr>
      </w:pPr>
    </w:p>
    <w:p w14:paraId="46F56D60" w14:textId="77777777" w:rsidR="007E252F" w:rsidRPr="007E252F" w:rsidRDefault="007E252F" w:rsidP="007E252F">
      <w:pPr>
        <w:widowControl/>
        <w:rPr>
          <w:lang w:val="en-AU" w:bidi="ar-SA"/>
        </w:rPr>
      </w:pPr>
      <w:r w:rsidRPr="007E252F">
        <w:rPr>
          <w:lang w:val="en-AU" w:bidi="ar-SA"/>
        </w:rPr>
        <w:t xml:space="preserve">In preparing this rapid risk assessment FSANZ has identified a number of limitations in the evidence base. These include: </w:t>
      </w:r>
    </w:p>
    <w:p w14:paraId="5071E047" w14:textId="77777777" w:rsidR="007E252F" w:rsidRPr="007E252F" w:rsidRDefault="007E252F" w:rsidP="007E252F">
      <w:pPr>
        <w:widowControl/>
        <w:rPr>
          <w:lang w:val="en-AU" w:bidi="ar-SA"/>
        </w:rPr>
      </w:pPr>
    </w:p>
    <w:p w14:paraId="3BB5ECEB"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Comprehensive information was not available with regard to the source of kava plant, kava plant varieties or parts (root, rhizome or lateral roots) to ensure that supplied kava plant and powder is of a consistent quality.</w:t>
      </w:r>
    </w:p>
    <w:p w14:paraId="4D4EC724" w14:textId="77777777" w:rsidR="007E252F" w:rsidRPr="007E252F" w:rsidRDefault="007E252F" w:rsidP="007E252F">
      <w:pPr>
        <w:widowControl/>
        <w:ind w:left="426" w:hanging="426"/>
        <w:contextualSpacing/>
        <w:rPr>
          <w:lang w:val="en-AU" w:bidi="ar-SA"/>
        </w:rPr>
      </w:pPr>
    </w:p>
    <w:p w14:paraId="623A8CC3"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Validated analytical methodology for regulatory compliance has not been established for monitoring kava chemical components such as kavalactones, alkaloids and flavokawains, and other potential contaminants.</w:t>
      </w:r>
    </w:p>
    <w:p w14:paraId="7B370920" w14:textId="77777777" w:rsidR="007E252F" w:rsidRPr="007E252F" w:rsidRDefault="007E252F" w:rsidP="007E252F">
      <w:pPr>
        <w:widowControl/>
        <w:ind w:left="426" w:hanging="426"/>
        <w:contextualSpacing/>
        <w:rPr>
          <w:lang w:val="en-AU" w:bidi="ar-SA"/>
        </w:rPr>
      </w:pPr>
    </w:p>
    <w:p w14:paraId="09660D3C"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 xml:space="preserve">Reliable and reproducible information on the concentration ranges of kavalactones, alkaloids and flavokawains, and other potential contaminants from different parts of the plant was not available </w:t>
      </w:r>
    </w:p>
    <w:p w14:paraId="2B166CF9" w14:textId="77777777" w:rsidR="007E252F" w:rsidRPr="007E252F" w:rsidRDefault="007E252F" w:rsidP="007E252F">
      <w:pPr>
        <w:widowControl/>
        <w:rPr>
          <w:lang w:val="en-AU" w:bidi="ar-SA"/>
        </w:rPr>
      </w:pPr>
    </w:p>
    <w:p w14:paraId="165F4C73"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Independently verified analytical methodology has not been established for identifying imported kava plant material that is sourced from unsafe kava plant varieties or unsafe kava plant parts.</w:t>
      </w:r>
    </w:p>
    <w:p w14:paraId="61048FE6" w14:textId="77777777" w:rsidR="007E252F" w:rsidRPr="007E252F" w:rsidRDefault="007E252F" w:rsidP="007E252F">
      <w:pPr>
        <w:widowControl/>
        <w:ind w:left="426" w:hanging="426"/>
        <w:contextualSpacing/>
        <w:rPr>
          <w:lang w:val="en-AU" w:bidi="ar-SA"/>
        </w:rPr>
      </w:pPr>
    </w:p>
    <w:p w14:paraId="07114645"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 xml:space="preserve">The toxicological database for aqueous and solvent extracts of kava is very limited. No data are available to support the use of kava in pregnant or lactating women or in children or infants. </w:t>
      </w:r>
    </w:p>
    <w:p w14:paraId="3CC18521" w14:textId="77777777" w:rsidR="007E252F" w:rsidRPr="007E252F" w:rsidRDefault="007E252F" w:rsidP="007E252F">
      <w:pPr>
        <w:widowControl/>
        <w:ind w:left="720"/>
        <w:contextualSpacing/>
        <w:rPr>
          <w:lang w:val="en-AU" w:bidi="ar-SA"/>
        </w:rPr>
      </w:pPr>
    </w:p>
    <w:p w14:paraId="671D2870"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 xml:space="preserve">The risks of adverse events posed by kava consumption and co-medications are poorly described. This is especially pertinent given kava substances have anxiolytic activity and the potential to inhibit CYP-mediated drug metabolism pathways. </w:t>
      </w:r>
    </w:p>
    <w:p w14:paraId="64A54EA4" w14:textId="77777777" w:rsidR="007E252F" w:rsidRPr="007E252F" w:rsidRDefault="007E252F" w:rsidP="007E252F">
      <w:pPr>
        <w:widowControl/>
        <w:ind w:left="426" w:hanging="426"/>
        <w:contextualSpacing/>
        <w:rPr>
          <w:lang w:val="en-AU" w:bidi="ar-SA"/>
        </w:rPr>
      </w:pPr>
    </w:p>
    <w:p w14:paraId="34C6D061"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 xml:space="preserve">There is insufficient information on the </w:t>
      </w:r>
      <w:r w:rsidRPr="007E252F">
        <w:rPr>
          <w:i/>
          <w:lang w:val="en-AU" w:bidi="ar-SA"/>
        </w:rPr>
        <w:t>in vivo</w:t>
      </w:r>
      <w:r w:rsidRPr="007E252F">
        <w:rPr>
          <w:lang w:val="en-AU" w:bidi="ar-SA"/>
        </w:rPr>
        <w:t xml:space="preserve"> toxicity of kavalactones, flavokawains, piperidine alkaloids, and their metabolites, to establish health-based guidance values for these substances in kava beverage.</w:t>
      </w:r>
    </w:p>
    <w:p w14:paraId="4A34FB2B" w14:textId="77777777" w:rsidR="007E252F" w:rsidRPr="007E252F" w:rsidRDefault="007E252F" w:rsidP="007E252F">
      <w:pPr>
        <w:widowControl/>
        <w:ind w:left="426" w:hanging="426"/>
        <w:rPr>
          <w:lang w:val="en-AU" w:bidi="ar-SA"/>
        </w:rPr>
      </w:pPr>
    </w:p>
    <w:p w14:paraId="6D9489F8"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lastRenderedPageBreak/>
        <w:t xml:space="preserve">There is insufficient data available to understand individual exposure levels to kavalactones from kava beverage consumption. </w:t>
      </w:r>
    </w:p>
    <w:p w14:paraId="767DD7C4" w14:textId="77777777" w:rsidR="007E252F" w:rsidRPr="007E252F" w:rsidRDefault="007E252F" w:rsidP="007E252F">
      <w:pPr>
        <w:widowControl/>
        <w:ind w:left="426" w:hanging="426"/>
        <w:rPr>
          <w:lang w:val="en-AU" w:bidi="ar-SA"/>
        </w:rPr>
      </w:pPr>
    </w:p>
    <w:p w14:paraId="54CB70F7" w14:textId="77777777" w:rsidR="007E252F" w:rsidRPr="007E252F" w:rsidRDefault="007E252F" w:rsidP="007E252F">
      <w:pPr>
        <w:widowControl/>
        <w:numPr>
          <w:ilvl w:val="0"/>
          <w:numId w:val="7"/>
        </w:numPr>
        <w:ind w:left="426" w:hanging="426"/>
        <w:contextualSpacing/>
        <w:rPr>
          <w:lang w:val="en-AU" w:bidi="ar-SA"/>
        </w:rPr>
      </w:pPr>
      <w:r w:rsidRPr="007E252F">
        <w:rPr>
          <w:lang w:val="en-AU" w:bidi="ar-SA"/>
        </w:rPr>
        <w:t>There is insufficient information on the prevalence of pathogenic microorganisms on fresh or dried/powdered kava root or in kava beverages; and on the potential for persistence or growth of any such pathogens on the product, aside from mycotoxigenic fungi.</w:t>
      </w:r>
    </w:p>
    <w:p w14:paraId="1BB989D3" w14:textId="77777777" w:rsidR="007E252F" w:rsidRPr="007E252F" w:rsidRDefault="007E252F" w:rsidP="007E252F">
      <w:pPr>
        <w:widowControl/>
        <w:rPr>
          <w:lang w:val="en-AU" w:bidi="ar-SA"/>
        </w:rPr>
      </w:pPr>
    </w:p>
    <w:p w14:paraId="37E9322E" w14:textId="77777777" w:rsidR="007E252F" w:rsidRPr="007E252F" w:rsidRDefault="007E252F" w:rsidP="007E252F">
      <w:pPr>
        <w:widowControl/>
        <w:rPr>
          <w:lang w:val="en-AU" w:bidi="ar-SA"/>
        </w:rPr>
      </w:pPr>
    </w:p>
    <w:p w14:paraId="0836CFFA" w14:textId="77777777" w:rsidR="007E252F" w:rsidRPr="007E252F" w:rsidRDefault="007E252F" w:rsidP="007E252F">
      <w:pPr>
        <w:keepNext/>
        <w:keepLines/>
        <w:widowControl/>
        <w:ind w:left="851" w:hanging="851"/>
        <w:outlineLvl w:val="0"/>
        <w:rPr>
          <w:b/>
          <w:bCs/>
          <w:sz w:val="36"/>
          <w:szCs w:val="28"/>
          <w:lang w:val="en-AU" w:bidi="ar-SA"/>
        </w:rPr>
      </w:pPr>
      <w:bookmarkStart w:id="169" w:name="_Toc25667624"/>
      <w:bookmarkStart w:id="170" w:name="_Toc70520126"/>
      <w:bookmarkStart w:id="171" w:name="_Toc70587659"/>
      <w:bookmarkStart w:id="172" w:name="_Toc71545290"/>
      <w:bookmarkStart w:id="173" w:name="_Toc72504671"/>
      <w:bookmarkStart w:id="174" w:name="_Toc74035758"/>
      <w:bookmarkStart w:id="175" w:name="_Toc74056559"/>
      <w:bookmarkStart w:id="176" w:name="_Toc74665264"/>
      <w:bookmarkStart w:id="177" w:name="_Toc83297184"/>
      <w:bookmarkStart w:id="178" w:name="_Toc83287722"/>
      <w:bookmarkStart w:id="179" w:name="_Toc83324809"/>
      <w:bookmarkStart w:id="180" w:name="_Toc95830188"/>
      <w:bookmarkStart w:id="181" w:name="_Toc82168582"/>
      <w:r w:rsidRPr="007E252F">
        <w:rPr>
          <w:b/>
          <w:bCs/>
          <w:sz w:val="36"/>
          <w:szCs w:val="28"/>
          <w:lang w:val="en-AU" w:bidi="ar-SA"/>
        </w:rPr>
        <w:t>8</w:t>
      </w:r>
      <w:r w:rsidRPr="007E252F">
        <w:rPr>
          <w:b/>
          <w:bCs/>
          <w:sz w:val="36"/>
          <w:szCs w:val="28"/>
          <w:lang w:val="en-AU" w:bidi="ar-SA"/>
        </w:rPr>
        <w:tab/>
      </w:r>
      <w:bookmarkEnd w:id="169"/>
      <w:bookmarkEnd w:id="170"/>
      <w:bookmarkEnd w:id="171"/>
      <w:bookmarkEnd w:id="172"/>
      <w:bookmarkEnd w:id="173"/>
      <w:bookmarkEnd w:id="174"/>
      <w:bookmarkEnd w:id="175"/>
      <w:bookmarkEnd w:id="176"/>
      <w:r w:rsidRPr="007E252F">
        <w:rPr>
          <w:b/>
          <w:bCs/>
          <w:sz w:val="36"/>
          <w:szCs w:val="28"/>
          <w:lang w:val="en-AU" w:bidi="ar-SA"/>
        </w:rPr>
        <w:t>Risk characterisation</w:t>
      </w:r>
      <w:bookmarkEnd w:id="177"/>
      <w:bookmarkEnd w:id="178"/>
      <w:bookmarkEnd w:id="179"/>
      <w:bookmarkEnd w:id="180"/>
      <w:r w:rsidRPr="007E252F">
        <w:rPr>
          <w:b/>
          <w:bCs/>
          <w:sz w:val="36"/>
          <w:szCs w:val="28"/>
          <w:lang w:val="en-AU" w:bidi="ar-SA"/>
        </w:rPr>
        <w:t xml:space="preserve"> </w:t>
      </w:r>
      <w:bookmarkEnd w:id="181"/>
    </w:p>
    <w:p w14:paraId="39D56550" w14:textId="77777777" w:rsidR="007E252F" w:rsidRPr="007E252F" w:rsidRDefault="007E252F" w:rsidP="007E252F">
      <w:pPr>
        <w:widowControl/>
        <w:rPr>
          <w:lang w:val="en-AU" w:bidi="ar-SA"/>
        </w:rPr>
      </w:pPr>
    </w:p>
    <w:p w14:paraId="4A9C9071" w14:textId="77777777" w:rsidR="007E252F" w:rsidRPr="007E252F" w:rsidRDefault="007E252F" w:rsidP="007E252F">
      <w:pPr>
        <w:widowControl/>
        <w:rPr>
          <w:lang w:val="en-AU" w:bidi="ar-SA"/>
        </w:rPr>
      </w:pPr>
      <w:r w:rsidRPr="007E252F">
        <w:rPr>
          <w:lang w:val="en-AU" w:bidi="ar-SA"/>
        </w:rPr>
        <w:t>Based on the available evidence assessed by FSANZ, the following risks associated with kava beverage have been identified as important considerations regarding public health and safety.</w:t>
      </w:r>
    </w:p>
    <w:p w14:paraId="735E2BD8" w14:textId="77777777" w:rsidR="007E252F" w:rsidRPr="007E252F" w:rsidRDefault="007E252F" w:rsidP="007E252F">
      <w:pPr>
        <w:widowControl/>
        <w:rPr>
          <w:lang w:val="en-AU" w:bidi="ar-SA"/>
        </w:rPr>
      </w:pPr>
    </w:p>
    <w:p w14:paraId="7EC4F3C7" w14:textId="77777777" w:rsidR="007E252F" w:rsidRPr="007E252F" w:rsidRDefault="007E252F" w:rsidP="007E252F">
      <w:pPr>
        <w:widowControl/>
        <w:numPr>
          <w:ilvl w:val="0"/>
          <w:numId w:val="10"/>
        </w:numPr>
        <w:ind w:left="426" w:hanging="436"/>
        <w:contextualSpacing/>
        <w:rPr>
          <w:lang w:eastAsia="en-GB" w:bidi="ar-SA"/>
        </w:rPr>
      </w:pPr>
      <w:r w:rsidRPr="007E252F">
        <w:rPr>
          <w:lang w:eastAsia="en-GB" w:bidi="ar-SA"/>
        </w:rPr>
        <w:t xml:space="preserve">Ongoing consumption of high quantities of kava beverage (240 - 440 g/week of dried kava powder or more) is associated with ichthyosiform skin rash, altered liver function and a decline in general health. </w:t>
      </w:r>
    </w:p>
    <w:p w14:paraId="64C9124D" w14:textId="77777777" w:rsidR="007E252F" w:rsidRPr="007E252F" w:rsidRDefault="007E252F" w:rsidP="007E252F">
      <w:pPr>
        <w:widowControl/>
        <w:rPr>
          <w:lang w:eastAsia="en-GB" w:bidi="ar-SA"/>
        </w:rPr>
      </w:pPr>
    </w:p>
    <w:p w14:paraId="10CFFB4D" w14:textId="77777777" w:rsidR="007E252F" w:rsidRPr="007E252F" w:rsidRDefault="007E252F" w:rsidP="007E252F">
      <w:pPr>
        <w:widowControl/>
        <w:numPr>
          <w:ilvl w:val="0"/>
          <w:numId w:val="10"/>
        </w:numPr>
        <w:ind w:left="426" w:hanging="436"/>
        <w:contextualSpacing/>
        <w:rPr>
          <w:lang w:eastAsia="en-GB" w:bidi="ar-SA"/>
        </w:rPr>
      </w:pPr>
      <w:r w:rsidRPr="007E252F">
        <w:rPr>
          <w:lang w:eastAsia="en-GB" w:bidi="ar-SA"/>
        </w:rPr>
        <w:t xml:space="preserve">Moderate consumption of kava beverage can develop over time into over-consumption indicative of substance abuse. This can occur in communities with and without previously established kava beverage consumption. </w:t>
      </w:r>
    </w:p>
    <w:p w14:paraId="15E87EF5" w14:textId="77777777" w:rsidR="007E252F" w:rsidRPr="007E252F" w:rsidRDefault="007E252F" w:rsidP="007E252F">
      <w:pPr>
        <w:widowControl/>
        <w:ind w:left="426" w:hanging="436"/>
        <w:contextualSpacing/>
        <w:rPr>
          <w:lang w:eastAsia="en-GB" w:bidi="ar-SA"/>
        </w:rPr>
      </w:pPr>
    </w:p>
    <w:p w14:paraId="135B4982" w14:textId="77777777" w:rsidR="007E252F" w:rsidRPr="007E252F" w:rsidRDefault="007E252F" w:rsidP="007E252F">
      <w:pPr>
        <w:widowControl/>
        <w:numPr>
          <w:ilvl w:val="0"/>
          <w:numId w:val="10"/>
        </w:numPr>
        <w:ind w:left="426" w:hanging="436"/>
        <w:contextualSpacing/>
        <w:rPr>
          <w:lang w:eastAsia="en-GB" w:bidi="ar-SA"/>
        </w:rPr>
      </w:pPr>
      <w:r w:rsidRPr="007E252F">
        <w:rPr>
          <w:lang w:eastAsia="en-GB" w:bidi="ar-SA"/>
        </w:rPr>
        <w:t xml:space="preserve">Kava beverage prepared using kava plant varieties without a history of safe use, or using aerial parts of the kava plant, are considered to be potentially toxic and not safe for human consumption. </w:t>
      </w:r>
    </w:p>
    <w:p w14:paraId="301FC529" w14:textId="77777777" w:rsidR="007E252F" w:rsidRPr="007E252F" w:rsidRDefault="007E252F" w:rsidP="007E252F">
      <w:pPr>
        <w:widowControl/>
        <w:rPr>
          <w:lang w:eastAsia="en-GB" w:bidi="ar-SA"/>
        </w:rPr>
      </w:pPr>
    </w:p>
    <w:p w14:paraId="4DDB93EE" w14:textId="77777777" w:rsidR="007E252F" w:rsidRPr="007E252F" w:rsidRDefault="007E252F" w:rsidP="007E252F">
      <w:pPr>
        <w:widowControl/>
        <w:numPr>
          <w:ilvl w:val="0"/>
          <w:numId w:val="10"/>
        </w:numPr>
        <w:ind w:left="426" w:hanging="436"/>
        <w:contextualSpacing/>
        <w:rPr>
          <w:lang w:eastAsia="en-GB" w:bidi="ar-SA"/>
        </w:rPr>
      </w:pPr>
      <w:r w:rsidRPr="007E252F">
        <w:rPr>
          <w:lang w:eastAsia="en-GB" w:bidi="ar-SA"/>
        </w:rPr>
        <w:t xml:space="preserve">No information was available to allow an assessment of the safety of kava beverage consumption in pregnant or lactating females, adolescents or children. </w:t>
      </w:r>
    </w:p>
    <w:p w14:paraId="7BC6E9B9" w14:textId="77777777" w:rsidR="007E252F" w:rsidRPr="007E252F" w:rsidRDefault="007E252F" w:rsidP="007E252F">
      <w:pPr>
        <w:widowControl/>
        <w:rPr>
          <w:lang w:eastAsia="en-GB" w:bidi="ar-SA"/>
        </w:rPr>
      </w:pPr>
    </w:p>
    <w:p w14:paraId="19015D5D" w14:textId="77777777" w:rsidR="007E252F" w:rsidRPr="007E252F" w:rsidRDefault="007E252F" w:rsidP="007E252F">
      <w:pPr>
        <w:widowControl/>
        <w:numPr>
          <w:ilvl w:val="0"/>
          <w:numId w:val="10"/>
        </w:numPr>
        <w:ind w:left="426" w:hanging="426"/>
        <w:contextualSpacing/>
        <w:rPr>
          <w:lang w:eastAsia="en-GB" w:bidi="ar-SA"/>
        </w:rPr>
      </w:pPr>
      <w:r w:rsidRPr="007E252F">
        <w:rPr>
          <w:lang w:eastAsia="en-GB" w:bidi="ar-SA"/>
        </w:rPr>
        <w:t xml:space="preserve">In rare cases, hepatotoxicity has been reported following consumption of kava beverage and complementary medicines containing kava. The aetiology of these cases is not well understood but may relate to factors including non-historical varieties of kava plants, methods of extraction, drug interactions, or aflatoxin contaminated kava. </w:t>
      </w:r>
    </w:p>
    <w:p w14:paraId="646775B3" w14:textId="77777777" w:rsidR="007E252F" w:rsidRPr="007E252F" w:rsidRDefault="007E252F" w:rsidP="007E252F">
      <w:pPr>
        <w:widowControl/>
        <w:rPr>
          <w:lang w:eastAsia="en-GB" w:bidi="ar-SA"/>
        </w:rPr>
      </w:pPr>
    </w:p>
    <w:p w14:paraId="701B47B7" w14:textId="77777777" w:rsidR="007E252F" w:rsidRPr="007E252F" w:rsidRDefault="007E252F" w:rsidP="007E252F">
      <w:pPr>
        <w:widowControl/>
        <w:numPr>
          <w:ilvl w:val="0"/>
          <w:numId w:val="10"/>
        </w:numPr>
        <w:ind w:left="426" w:hanging="426"/>
        <w:contextualSpacing/>
        <w:rPr>
          <w:lang w:eastAsia="en-GB" w:bidi="ar-SA"/>
        </w:rPr>
      </w:pPr>
      <w:r w:rsidRPr="007E252F">
        <w:t>Given the anxiolytic activity of kavalactones and the potential to inhibit CYP-mediated drug metabolism pathways, care should be taken when consuming kava beverage in combination with medicinal drugs (particularly benzodiazapines, opiods, barbiturates and paracetamol) or other herbal preparations.</w:t>
      </w:r>
    </w:p>
    <w:p w14:paraId="619B22B3" w14:textId="77777777" w:rsidR="007E252F" w:rsidRPr="007E252F" w:rsidRDefault="007E252F" w:rsidP="007E252F">
      <w:pPr>
        <w:widowControl/>
        <w:ind w:left="720"/>
        <w:contextualSpacing/>
        <w:rPr>
          <w:lang w:eastAsia="en-GB" w:bidi="ar-SA"/>
        </w:rPr>
      </w:pPr>
    </w:p>
    <w:p w14:paraId="178F2A89" w14:textId="77777777" w:rsidR="007E252F" w:rsidRPr="007E252F" w:rsidRDefault="007E252F" w:rsidP="007E252F">
      <w:pPr>
        <w:widowControl/>
        <w:numPr>
          <w:ilvl w:val="0"/>
          <w:numId w:val="10"/>
        </w:numPr>
        <w:ind w:left="426" w:hanging="426"/>
        <w:contextualSpacing/>
        <w:rPr>
          <w:lang w:eastAsia="en-GB" w:bidi="ar-SA"/>
        </w:rPr>
      </w:pPr>
      <w:r w:rsidRPr="007E252F">
        <w:rPr>
          <w:lang w:eastAsia="en-GB" w:bidi="ar-SA"/>
        </w:rPr>
        <w:t>Kava beverage causes drowsiness, potentiates the effects of alcohol and has been linked with increased motor vehicle accidents. Individuals should not drive motor vehicles or operate heavy machinery after consuming kava beverage.</w:t>
      </w:r>
    </w:p>
    <w:p w14:paraId="6A5F86C2" w14:textId="77777777" w:rsidR="007E252F" w:rsidRPr="007E252F" w:rsidRDefault="007E252F" w:rsidP="007E252F">
      <w:pPr>
        <w:widowControl/>
        <w:rPr>
          <w:lang w:eastAsia="en-GB" w:bidi="ar-SA"/>
        </w:rPr>
      </w:pPr>
    </w:p>
    <w:p w14:paraId="6DC1BB22" w14:textId="77777777" w:rsidR="007E252F" w:rsidRPr="007E252F" w:rsidRDefault="007E252F" w:rsidP="007E252F">
      <w:pPr>
        <w:widowControl/>
        <w:numPr>
          <w:ilvl w:val="0"/>
          <w:numId w:val="10"/>
        </w:numPr>
        <w:ind w:left="426" w:hanging="426"/>
        <w:contextualSpacing/>
        <w:rPr>
          <w:lang w:eastAsia="en-GB" w:bidi="ar-SA"/>
        </w:rPr>
      </w:pPr>
      <w:r w:rsidRPr="007E252F">
        <w:rPr>
          <w:rFonts w:cs="Arial"/>
          <w:szCs w:val="22"/>
          <w:lang w:val="en-AU" w:bidi="ar-SA"/>
        </w:rPr>
        <w:t>The microbiological risk from the consumption of kava beverages obtained by aqueous suspension of dried or raw kava root is low when kava is produced and prepared in line with current risk management measures, including the application of GAP and GHP.</w:t>
      </w:r>
      <w:r w:rsidRPr="007E252F">
        <w:rPr>
          <w:lang w:eastAsia="en-GB" w:bidi="ar-SA"/>
        </w:rPr>
        <w:t xml:space="preserve"> </w:t>
      </w:r>
    </w:p>
    <w:p w14:paraId="3C34EE74" w14:textId="77777777" w:rsidR="007E252F" w:rsidRPr="007E252F" w:rsidRDefault="007E252F" w:rsidP="007E252F">
      <w:pPr>
        <w:widowControl/>
        <w:rPr>
          <w:lang w:val="en-AU" w:bidi="ar-SA"/>
        </w:rPr>
      </w:pPr>
    </w:p>
    <w:p w14:paraId="55ACAF95" w14:textId="77777777" w:rsidR="007E252F" w:rsidRPr="007E252F" w:rsidRDefault="007E252F" w:rsidP="007E252F">
      <w:pPr>
        <w:keepNext/>
        <w:keepLines/>
        <w:widowControl/>
        <w:numPr>
          <w:ilvl w:val="0"/>
          <w:numId w:val="11"/>
        </w:numPr>
        <w:ind w:hanging="720"/>
        <w:outlineLvl w:val="0"/>
        <w:rPr>
          <w:b/>
          <w:bCs/>
          <w:sz w:val="36"/>
          <w:szCs w:val="28"/>
          <w:lang w:val="en-AU" w:bidi="ar-SA"/>
        </w:rPr>
      </w:pPr>
      <w:bookmarkStart w:id="182" w:name="_Toc83287729"/>
      <w:bookmarkStart w:id="183" w:name="_Toc83297196"/>
      <w:bookmarkStart w:id="184" w:name="_Toc83324816"/>
      <w:bookmarkStart w:id="185" w:name="_Toc95830189"/>
      <w:bookmarkStart w:id="186" w:name="_Toc25667620"/>
      <w:bookmarkStart w:id="187" w:name="_Toc70520125"/>
      <w:bookmarkStart w:id="188" w:name="_Toc70587658"/>
      <w:r w:rsidRPr="007E252F">
        <w:rPr>
          <w:b/>
          <w:bCs/>
          <w:sz w:val="36"/>
          <w:szCs w:val="28"/>
          <w:lang w:val="en-AU" w:bidi="ar-SA"/>
        </w:rPr>
        <w:t>Conclusions</w:t>
      </w:r>
      <w:bookmarkEnd w:id="182"/>
      <w:bookmarkEnd w:id="183"/>
      <w:bookmarkEnd w:id="184"/>
      <w:bookmarkEnd w:id="185"/>
    </w:p>
    <w:p w14:paraId="5CD8BFFE" w14:textId="77777777" w:rsidR="007E252F" w:rsidRPr="007E252F" w:rsidRDefault="007E252F" w:rsidP="007E252F">
      <w:pPr>
        <w:widowControl/>
        <w:rPr>
          <w:lang w:val="en-AU" w:bidi="ar-SA"/>
        </w:rPr>
      </w:pPr>
    </w:p>
    <w:p w14:paraId="024A5D73" w14:textId="77777777" w:rsidR="007E252F" w:rsidRPr="007E252F" w:rsidRDefault="007E252F" w:rsidP="007E252F">
      <w:pPr>
        <w:widowControl/>
        <w:rPr>
          <w:lang w:val="en-AU" w:bidi="ar-SA"/>
        </w:rPr>
      </w:pPr>
      <w:bookmarkStart w:id="189" w:name="_Toc74035764"/>
      <w:bookmarkStart w:id="190" w:name="_Toc74056565"/>
      <w:bookmarkStart w:id="191" w:name="_Toc74665270"/>
      <w:bookmarkEnd w:id="186"/>
      <w:bookmarkEnd w:id="187"/>
      <w:bookmarkEnd w:id="188"/>
      <w:r w:rsidRPr="007E252F">
        <w:rPr>
          <w:lang w:val="en-AU" w:bidi="ar-SA"/>
        </w:rPr>
        <w:t xml:space="preserve">Kava beverage has a long history of consumption in the South Pacific and plays </w:t>
      </w:r>
      <w:r w:rsidRPr="007E252F">
        <w:rPr>
          <w:lang w:val="en-AU"/>
        </w:rPr>
        <w:t>an integral role in maintaining the cultural continuity and identity of many Pacific peoples</w:t>
      </w:r>
      <w:r w:rsidRPr="007E252F">
        <w:rPr>
          <w:lang w:val="en-AU" w:bidi="ar-SA"/>
        </w:rPr>
        <w:t xml:space="preserve">. This significant </w:t>
      </w:r>
      <w:r w:rsidRPr="007E252F">
        <w:rPr>
          <w:lang w:val="en-AU" w:bidi="ar-SA"/>
        </w:rPr>
        <w:lastRenderedPageBreak/>
        <w:t xml:space="preserve">history of use demonstrates that it is possible to safely consume kava beverage in moderation </w:t>
      </w:r>
      <w:r w:rsidRPr="007E252F">
        <w:rPr>
          <w:szCs w:val="22"/>
          <w:lang w:val="en-AU" w:bidi="ar-SA"/>
        </w:rPr>
        <w:t>when prepared and consumed in line with historically safe cultural practices</w:t>
      </w:r>
      <w:r w:rsidRPr="007E252F">
        <w:rPr>
          <w:lang w:val="en-AU" w:bidi="ar-SA"/>
        </w:rPr>
        <w:t>.</w:t>
      </w:r>
    </w:p>
    <w:p w14:paraId="79EFC703" w14:textId="77777777" w:rsidR="007E252F" w:rsidRPr="007E252F" w:rsidRDefault="007E252F" w:rsidP="007E252F">
      <w:pPr>
        <w:widowControl/>
        <w:rPr>
          <w:lang w:val="en-AU" w:bidi="ar-SA"/>
        </w:rPr>
      </w:pPr>
    </w:p>
    <w:p w14:paraId="7EB2ADCF" w14:textId="77777777" w:rsidR="007E252F" w:rsidRPr="007E252F" w:rsidRDefault="007E252F" w:rsidP="007E252F">
      <w:pPr>
        <w:widowControl/>
        <w:rPr>
          <w:lang w:val="en-AU" w:bidi="ar-SA"/>
        </w:rPr>
      </w:pPr>
      <w:r w:rsidRPr="007E252F">
        <w:rPr>
          <w:lang w:val="en-AU" w:bidi="ar-SA"/>
        </w:rPr>
        <w:t>No information was available to allow an assessment of the safety of kava beverage consumption in pregnant or lactating females, adolescents or children. Therefore it is not possible to draw a conclusion on the safety of kava beverage consumption by these population subgroups.</w:t>
      </w:r>
      <w:r w:rsidRPr="007E252F">
        <w:rPr>
          <w:lang w:val="en-AU"/>
        </w:rPr>
        <w:br w:type="page"/>
      </w:r>
    </w:p>
    <w:p w14:paraId="27C2C860" w14:textId="77777777" w:rsidR="007E252F" w:rsidRPr="007E252F" w:rsidRDefault="007E252F" w:rsidP="007E252F">
      <w:pPr>
        <w:keepNext/>
        <w:widowControl/>
        <w:ind w:left="851" w:hanging="851"/>
        <w:outlineLvl w:val="0"/>
        <w:rPr>
          <w:b/>
          <w:bCs/>
          <w:sz w:val="36"/>
          <w:szCs w:val="28"/>
          <w:lang w:val="en-AU" w:bidi="ar-SA"/>
        </w:rPr>
      </w:pPr>
      <w:bookmarkStart w:id="192" w:name="_Toc82168590"/>
      <w:bookmarkStart w:id="193" w:name="_Toc83287730"/>
      <w:bookmarkStart w:id="194" w:name="_Toc83297197"/>
      <w:bookmarkStart w:id="195" w:name="_Toc83324817"/>
      <w:bookmarkStart w:id="196" w:name="_Toc95830190"/>
      <w:r w:rsidRPr="007E252F">
        <w:rPr>
          <w:b/>
          <w:bCs/>
          <w:sz w:val="36"/>
          <w:szCs w:val="28"/>
          <w:lang w:val="en-AU" w:bidi="ar-SA"/>
        </w:rPr>
        <w:lastRenderedPageBreak/>
        <w:t>References</w:t>
      </w:r>
      <w:bookmarkEnd w:id="189"/>
      <w:bookmarkEnd w:id="190"/>
      <w:bookmarkEnd w:id="191"/>
      <w:bookmarkEnd w:id="192"/>
      <w:bookmarkEnd w:id="193"/>
      <w:bookmarkEnd w:id="194"/>
      <w:bookmarkEnd w:id="195"/>
      <w:bookmarkEnd w:id="196"/>
    </w:p>
    <w:p w14:paraId="768DCD2F" w14:textId="77777777" w:rsidR="007E252F" w:rsidRPr="007E252F" w:rsidRDefault="007E252F" w:rsidP="007E252F">
      <w:pPr>
        <w:widowControl/>
        <w:rPr>
          <w:lang w:val="en-AU"/>
        </w:rPr>
      </w:pPr>
    </w:p>
    <w:p w14:paraId="39057AC3" w14:textId="77777777" w:rsidR="007E252F" w:rsidRPr="007E252F" w:rsidRDefault="007E252F" w:rsidP="007E252F">
      <w:pPr>
        <w:widowControl/>
        <w:tabs>
          <w:tab w:val="left" w:pos="397"/>
        </w:tabs>
        <w:ind w:left="397" w:hanging="397"/>
        <w:rPr>
          <w:lang w:val="en-AU"/>
        </w:rPr>
      </w:pPr>
      <w:bookmarkStart w:id="197" w:name="_CTVL00124fec25b369a4145b776c982b32bc592"/>
      <w:r w:rsidRPr="007E252F">
        <w:rPr>
          <w:lang w:val="en-AU"/>
        </w:rPr>
        <w:t>ABS (2014) National Nutrition and Physical Activity Survey, 2011-12, Australian Bureau of Statistics.</w:t>
      </w:r>
    </w:p>
    <w:p w14:paraId="224359E4" w14:textId="77777777" w:rsidR="007E252F" w:rsidRPr="007E252F" w:rsidRDefault="007E252F" w:rsidP="007E252F">
      <w:pPr>
        <w:widowControl/>
        <w:tabs>
          <w:tab w:val="left" w:pos="397"/>
        </w:tabs>
        <w:ind w:left="397" w:hanging="397"/>
        <w:rPr>
          <w:lang w:val="en-AU"/>
        </w:rPr>
      </w:pPr>
      <w:bookmarkStart w:id="198" w:name="_CTVL0018e4cfdae66ff45d4a966e46024205f8f"/>
      <w:bookmarkEnd w:id="197"/>
      <w:r w:rsidRPr="007E252F">
        <w:rPr>
          <w:lang w:val="en-AU"/>
        </w:rPr>
        <w:t>ABS (2015) Australian Aboriginal and Torres Strait Islander Health Survey, 2012-13, Australian Bureau of Statistics.</w:t>
      </w:r>
    </w:p>
    <w:p w14:paraId="0CDC4B82" w14:textId="77777777" w:rsidR="007E252F" w:rsidRPr="007E252F" w:rsidRDefault="007E252F" w:rsidP="007E252F">
      <w:pPr>
        <w:widowControl/>
        <w:tabs>
          <w:tab w:val="left" w:pos="397"/>
        </w:tabs>
        <w:ind w:left="397" w:hanging="397"/>
        <w:rPr>
          <w:lang w:val="en-AU"/>
        </w:rPr>
      </w:pPr>
      <w:bookmarkStart w:id="199" w:name="_CTVL001232a0a7104e84132bcb5deb876c4d7db"/>
      <w:bookmarkEnd w:id="198"/>
      <w:r w:rsidRPr="007E252F">
        <w:rPr>
          <w:lang w:val="en-AU"/>
        </w:rPr>
        <w:t xml:space="preserve">Anke, J., &amp; Ramzan, I. (2004) Pharmacokinetic and pharmacodynamic drug interactions with Kava (Piper methysticum Forst. F.). </w:t>
      </w:r>
      <w:bookmarkEnd w:id="199"/>
      <w:r w:rsidRPr="007E252F">
        <w:rPr>
          <w:i/>
          <w:lang w:val="en-AU"/>
        </w:rPr>
        <w:t>Journal of Ethnopharmacology</w:t>
      </w:r>
      <w:r w:rsidRPr="007E252F">
        <w:rPr>
          <w:lang w:val="en-AU"/>
        </w:rPr>
        <w:t xml:space="preserve">, </w:t>
      </w:r>
      <w:r w:rsidRPr="007E252F">
        <w:rPr>
          <w:i/>
          <w:lang w:val="en-AU"/>
        </w:rPr>
        <w:t>93</w:t>
      </w:r>
      <w:r w:rsidRPr="007E252F">
        <w:rPr>
          <w:lang w:val="en-AU"/>
        </w:rPr>
        <w:t xml:space="preserve">(2-3), 153–160. </w:t>
      </w:r>
      <w:hyperlink r:id="rId16" w:history="1">
        <w:r w:rsidRPr="007E252F">
          <w:rPr>
            <w:color w:val="3333FF"/>
            <w:u w:val="single"/>
            <w:lang w:val="en-AU"/>
          </w:rPr>
          <w:t>https://doi.org/10.1016/j.jep.2004.04.009</w:t>
        </w:r>
      </w:hyperlink>
    </w:p>
    <w:p w14:paraId="7A497F3B" w14:textId="77777777" w:rsidR="007E252F" w:rsidRPr="007E252F" w:rsidRDefault="007E252F" w:rsidP="007E252F">
      <w:pPr>
        <w:widowControl/>
        <w:tabs>
          <w:tab w:val="left" w:pos="397"/>
        </w:tabs>
        <w:ind w:left="397" w:hanging="397"/>
        <w:rPr>
          <w:lang w:val="en-AU"/>
        </w:rPr>
      </w:pPr>
      <w:r w:rsidRPr="007E252F">
        <w:rPr>
          <w:lang w:val="en-AU"/>
        </w:rPr>
        <w:t xml:space="preserve">Achenbach, H., Karl, N., (1970) Uber die Isolierung von zwei neuen Pyrrolidinen aus Rauschpfeffer. </w:t>
      </w:r>
      <w:r w:rsidRPr="007E252F">
        <w:rPr>
          <w:i/>
          <w:lang w:val="en-AU"/>
        </w:rPr>
        <w:t>Chem. Ber. 103</w:t>
      </w:r>
      <w:r w:rsidRPr="007E252F">
        <w:rPr>
          <w:lang w:val="en-AU"/>
        </w:rPr>
        <w:t>, 8 : 2535-2540.</w:t>
      </w:r>
    </w:p>
    <w:p w14:paraId="70A305CC" w14:textId="77777777" w:rsidR="007E252F" w:rsidRPr="007E252F" w:rsidRDefault="007E252F" w:rsidP="007E252F">
      <w:pPr>
        <w:widowControl/>
        <w:tabs>
          <w:tab w:val="left" w:pos="397"/>
        </w:tabs>
        <w:ind w:left="397" w:hanging="397"/>
        <w:rPr>
          <w:lang w:val="en-AU"/>
        </w:rPr>
      </w:pPr>
      <w:bookmarkStart w:id="200" w:name="_CTVL0010eccf9ba772b458b926ce8ae4cfba25c"/>
      <w:r w:rsidRPr="007E252F">
        <w:rPr>
          <w:lang w:val="en-AU"/>
        </w:rPr>
        <w:t xml:space="preserve">Aporosa, S. (2012) </w:t>
      </w:r>
      <w:bookmarkEnd w:id="200"/>
      <w:r w:rsidRPr="007E252F">
        <w:rPr>
          <w:i/>
          <w:lang w:val="en-AU"/>
        </w:rPr>
        <w:t>Yaqona (kava) and education in Fiji : investigating ‘cultural complexities’ from a post-development perspective</w:t>
      </w:r>
      <w:r w:rsidRPr="007E252F">
        <w:rPr>
          <w:lang w:val="en-AU"/>
        </w:rPr>
        <w:t xml:space="preserve"> [Thesis: Doctor of Philosophy]. Massey University, Palmerston North, NZ. </w:t>
      </w:r>
      <w:hyperlink r:id="rId17" w:history="1">
        <w:r w:rsidRPr="007E252F">
          <w:rPr>
            <w:color w:val="3333FF"/>
            <w:u w:val="single"/>
            <w:lang w:val="en-AU"/>
          </w:rPr>
          <w:t>https://mro-ns.massey.ac.nz/handle/10179/4683</w:t>
        </w:r>
      </w:hyperlink>
      <w:r w:rsidRPr="007E252F">
        <w:rPr>
          <w:lang w:val="en-AU"/>
        </w:rPr>
        <w:t xml:space="preserve"> </w:t>
      </w:r>
    </w:p>
    <w:p w14:paraId="39225D9E" w14:textId="77777777" w:rsidR="007E252F" w:rsidRPr="007E252F" w:rsidRDefault="007E252F" w:rsidP="007E252F">
      <w:pPr>
        <w:widowControl/>
        <w:tabs>
          <w:tab w:val="left" w:pos="397"/>
        </w:tabs>
        <w:ind w:left="397" w:hanging="397"/>
        <w:rPr>
          <w:lang w:val="en-AU"/>
        </w:rPr>
      </w:pPr>
      <w:r w:rsidRPr="007E252F">
        <w:rPr>
          <w:lang w:val="en-AU"/>
        </w:rPr>
        <w:t xml:space="preserve">Aporosa, A. S. (2015). The new kava user: Diasporic identity formation in reverse. </w:t>
      </w:r>
      <w:r w:rsidRPr="007E252F">
        <w:rPr>
          <w:i/>
          <w:lang w:val="en-AU"/>
        </w:rPr>
        <w:t>New Zealand Sociology</w:t>
      </w:r>
      <w:r w:rsidRPr="007E252F">
        <w:rPr>
          <w:lang w:val="en-AU"/>
        </w:rPr>
        <w:t xml:space="preserve">, 30(4): 58-77. </w:t>
      </w:r>
      <w:hyperlink r:id="rId18" w:history="1">
        <w:r w:rsidRPr="007E252F">
          <w:rPr>
            <w:color w:val="3333FF"/>
            <w:u w:val="single"/>
            <w:lang w:val="en-AU"/>
          </w:rPr>
          <w:t>https://researchcommons.waikato.ac.nz/handle/10289/12796</w:t>
        </w:r>
      </w:hyperlink>
    </w:p>
    <w:p w14:paraId="766E4FA3" w14:textId="77777777" w:rsidR="007E252F" w:rsidRPr="007E252F" w:rsidRDefault="007E252F" w:rsidP="007E252F">
      <w:pPr>
        <w:widowControl/>
        <w:tabs>
          <w:tab w:val="left" w:pos="397"/>
        </w:tabs>
        <w:ind w:left="397" w:hanging="397"/>
        <w:rPr>
          <w:lang w:val="en-AU"/>
        </w:rPr>
      </w:pPr>
      <w:bookmarkStart w:id="201" w:name="_CTVL00197f903b1419c4f57aa811a97e3efaed7"/>
      <w:r w:rsidRPr="007E252F">
        <w:rPr>
          <w:lang w:val="en-AU"/>
        </w:rPr>
        <w:t xml:space="preserve">Aporosa, A. S., Atkins, M., &amp; Brunton, R. (2020). Kava drinking in traditional settings: Towards understanding effects on cognitive function. </w:t>
      </w:r>
      <w:bookmarkEnd w:id="201"/>
      <w:r w:rsidRPr="007E252F">
        <w:rPr>
          <w:i/>
          <w:lang w:val="en-AU"/>
        </w:rPr>
        <w:t>Human Psychopharmacology</w:t>
      </w:r>
      <w:r w:rsidRPr="007E252F">
        <w:rPr>
          <w:lang w:val="en-AU"/>
        </w:rPr>
        <w:t xml:space="preserve">, </w:t>
      </w:r>
      <w:r w:rsidRPr="007E252F">
        <w:rPr>
          <w:i/>
          <w:lang w:val="en-AU"/>
        </w:rPr>
        <w:t>35</w:t>
      </w:r>
      <w:r w:rsidRPr="007E252F">
        <w:rPr>
          <w:lang w:val="en-AU"/>
        </w:rPr>
        <w:t xml:space="preserve">(2), e2725. </w:t>
      </w:r>
      <w:hyperlink r:id="rId19" w:history="1">
        <w:r w:rsidRPr="007E252F">
          <w:rPr>
            <w:color w:val="3333FF"/>
            <w:u w:val="single"/>
            <w:lang w:val="en-AU"/>
          </w:rPr>
          <w:t>https://doi.org/10.1002/hup.2725</w:t>
        </w:r>
      </w:hyperlink>
    </w:p>
    <w:p w14:paraId="00F206DF" w14:textId="77777777" w:rsidR="007E252F" w:rsidRPr="007E252F" w:rsidRDefault="007E252F" w:rsidP="007E252F">
      <w:pPr>
        <w:widowControl/>
        <w:tabs>
          <w:tab w:val="left" w:pos="397"/>
        </w:tabs>
        <w:ind w:left="397" w:hanging="397"/>
        <w:rPr>
          <w:lang w:val="en-AU"/>
        </w:rPr>
      </w:pPr>
      <w:bookmarkStart w:id="202" w:name="_CTVL00168a78434c65a47dfa658f8723d9a88b1"/>
      <w:r w:rsidRPr="007E252F">
        <w:rPr>
          <w:lang w:val="en-AU"/>
        </w:rPr>
        <w:t xml:space="preserve">Aporosa, S. A. (2019). Kava and Ethno-cultural Identity in Oceania. In S. Ratuva (Ed.), </w:t>
      </w:r>
      <w:bookmarkEnd w:id="202"/>
      <w:r w:rsidRPr="007E252F">
        <w:rPr>
          <w:i/>
          <w:lang w:val="en-AU"/>
        </w:rPr>
        <w:t xml:space="preserve">The Palgrave Handbook of Ethnicity </w:t>
      </w:r>
      <w:r w:rsidRPr="007E252F">
        <w:rPr>
          <w:lang w:val="en-AU"/>
        </w:rPr>
        <w:t xml:space="preserve">(Vol. 17, pp. 1923–1937). Springer Singapore. </w:t>
      </w:r>
      <w:hyperlink r:id="rId20" w:history="1">
        <w:r w:rsidRPr="007E252F">
          <w:rPr>
            <w:color w:val="3333FF"/>
            <w:u w:val="single"/>
            <w:lang w:val="en-AU"/>
          </w:rPr>
          <w:t>https://doi.org/10.1007/978-981-13-2898-5_134</w:t>
        </w:r>
      </w:hyperlink>
    </w:p>
    <w:p w14:paraId="5FFE46CB" w14:textId="77777777" w:rsidR="007E252F" w:rsidRPr="007E252F" w:rsidRDefault="007E252F" w:rsidP="007E252F">
      <w:pPr>
        <w:widowControl/>
        <w:tabs>
          <w:tab w:val="left" w:pos="397"/>
        </w:tabs>
        <w:ind w:left="397" w:hanging="397"/>
        <w:rPr>
          <w:lang w:val="en-AU"/>
        </w:rPr>
      </w:pPr>
      <w:bookmarkStart w:id="203" w:name="_CTVL001655acdfa995e4164b905892284cacc51"/>
      <w:r w:rsidRPr="007E252F">
        <w:rPr>
          <w:lang w:val="en-AU"/>
        </w:rPr>
        <w:t xml:space="preserve">Australian Institute Of Health And Welfare (2008). </w:t>
      </w:r>
      <w:bookmarkEnd w:id="203"/>
      <w:r w:rsidRPr="007E252F">
        <w:rPr>
          <w:i/>
          <w:lang w:val="en-AU"/>
        </w:rPr>
        <w:t>National Drug Strategy Household Survey, 2007</w:t>
      </w:r>
      <w:r w:rsidRPr="007E252F">
        <w:rPr>
          <w:lang w:val="en-AU"/>
        </w:rPr>
        <w:t xml:space="preserve">. Canberra. </w:t>
      </w:r>
      <w:hyperlink r:id="rId21" w:history="1">
        <w:r w:rsidRPr="007E252F">
          <w:rPr>
            <w:color w:val="3333FF"/>
            <w:u w:val="single"/>
            <w:lang w:val="en-AU"/>
          </w:rPr>
          <w:t>https://www.aihw.gov.au/getmedia/59dd97b5-a40b-47cf-99bd-7f0dd860fd1d/ndshs07-df.pdf.aspx</w:t>
        </w:r>
      </w:hyperlink>
    </w:p>
    <w:p w14:paraId="38EEB2EA" w14:textId="77777777" w:rsidR="007E252F" w:rsidRPr="007E252F" w:rsidRDefault="007E252F" w:rsidP="007E252F">
      <w:pPr>
        <w:widowControl/>
        <w:tabs>
          <w:tab w:val="left" w:pos="397"/>
        </w:tabs>
        <w:ind w:left="397" w:hanging="397"/>
        <w:rPr>
          <w:lang w:val="en-AU"/>
        </w:rPr>
      </w:pPr>
      <w:bookmarkStart w:id="204" w:name="_CTVL001d3debd5bc98f4754af9551eed7720e06"/>
      <w:r w:rsidRPr="007E252F">
        <w:rPr>
          <w:lang w:val="en-AU"/>
        </w:rPr>
        <w:t xml:space="preserve">Bian, T., Corral, P., Wang, Y., Botello, J., Kingston, R., Daniels, T., Salloum, R. G., Johnston, E., Huo, Z., Lu, J., Liu, A. C., &amp; Xing, C. (2020). Kava as a Clinical Nutrient: Promises and Challenges. </w:t>
      </w:r>
      <w:bookmarkEnd w:id="204"/>
      <w:r w:rsidRPr="007E252F">
        <w:rPr>
          <w:i/>
          <w:lang w:val="en-AU"/>
        </w:rPr>
        <w:t>Nutrients</w:t>
      </w:r>
      <w:r w:rsidRPr="007E252F">
        <w:rPr>
          <w:lang w:val="en-AU"/>
        </w:rPr>
        <w:t xml:space="preserve">, </w:t>
      </w:r>
      <w:r w:rsidRPr="007E252F">
        <w:rPr>
          <w:i/>
          <w:lang w:val="en-AU"/>
        </w:rPr>
        <w:t>12</w:t>
      </w:r>
      <w:r w:rsidRPr="007E252F">
        <w:rPr>
          <w:lang w:val="en-AU"/>
        </w:rPr>
        <w:t xml:space="preserve">(10). </w:t>
      </w:r>
      <w:hyperlink r:id="rId22" w:history="1">
        <w:r w:rsidRPr="007E252F">
          <w:rPr>
            <w:color w:val="3333FF"/>
            <w:u w:val="single"/>
            <w:lang w:val="en-AU"/>
          </w:rPr>
          <w:t>https://doi.org/10.3390/nu12103044</w:t>
        </w:r>
      </w:hyperlink>
    </w:p>
    <w:p w14:paraId="38527FCB" w14:textId="77777777" w:rsidR="007E252F" w:rsidRPr="007E252F" w:rsidRDefault="007E252F" w:rsidP="007E252F">
      <w:pPr>
        <w:widowControl/>
        <w:tabs>
          <w:tab w:val="left" w:pos="397"/>
        </w:tabs>
        <w:ind w:left="397" w:hanging="397"/>
        <w:rPr>
          <w:color w:val="3333FF"/>
          <w:u w:val="single"/>
          <w:lang w:val="en-AU"/>
        </w:rPr>
      </w:pPr>
      <w:bookmarkStart w:id="205" w:name="_CTVL001803225b0d43845579eaaedbd3dc1bdb0"/>
      <w:r w:rsidRPr="007E252F">
        <w:rPr>
          <w:lang w:val="en-AU"/>
        </w:rPr>
        <w:t xml:space="preserve">Bilia, A. R., Scalise, L., Bergonzi, M. C., &amp; Vincieri, F. F. (2004). Analysis of kavalactones from Piper methysticum (kava-kava). </w:t>
      </w:r>
      <w:bookmarkEnd w:id="205"/>
      <w:r w:rsidRPr="007E252F">
        <w:rPr>
          <w:i/>
          <w:lang w:val="en-AU"/>
        </w:rPr>
        <w:t>Journal of Chromatography. B, Analytical Technologies in the Biomedical and Life Sciences</w:t>
      </w:r>
      <w:r w:rsidRPr="007E252F">
        <w:rPr>
          <w:lang w:val="en-AU"/>
        </w:rPr>
        <w:t xml:space="preserve">, </w:t>
      </w:r>
      <w:r w:rsidRPr="007E252F">
        <w:rPr>
          <w:i/>
          <w:lang w:val="en-AU"/>
        </w:rPr>
        <w:t>812</w:t>
      </w:r>
      <w:r w:rsidRPr="007E252F">
        <w:rPr>
          <w:lang w:val="en-AU"/>
        </w:rPr>
        <w:t xml:space="preserve">(1-2), 203–214. </w:t>
      </w:r>
      <w:hyperlink r:id="rId23" w:history="1">
        <w:r w:rsidRPr="007E252F">
          <w:rPr>
            <w:color w:val="3333FF"/>
            <w:u w:val="single"/>
            <w:lang w:val="en-AU"/>
          </w:rPr>
          <w:t>https://doi.org/10.1016/j.jchromb.2004.07.038</w:t>
        </w:r>
      </w:hyperlink>
    </w:p>
    <w:p w14:paraId="4FFD5ED8" w14:textId="77777777" w:rsidR="007E252F" w:rsidRPr="007E252F" w:rsidRDefault="007E252F" w:rsidP="007E252F">
      <w:pPr>
        <w:widowControl/>
        <w:tabs>
          <w:tab w:val="left" w:pos="397"/>
        </w:tabs>
        <w:ind w:left="397" w:hanging="397"/>
        <w:rPr>
          <w:lang w:val="en-AU"/>
        </w:rPr>
      </w:pPr>
      <w:r w:rsidRPr="007E252F">
        <w:rPr>
          <w:lang w:val="en-AU"/>
        </w:rPr>
        <w:t xml:space="preserve">Bonomo, Y., Norman, A., Biondo, S., Bruno, R., Daglish, M., Dawe, S., Egerton-Warburton, D., Karro, J., Kim, C., Lenton, S., Lubman, D. I., Pastor, A., Rundle, J., Ryan, J., Gordon, P., Sharry, P., Nutt, D., &amp; Castle, D. (2019). The Australian drug harms ranking study. </w:t>
      </w:r>
      <w:r w:rsidRPr="007E252F">
        <w:rPr>
          <w:i/>
          <w:lang w:val="en-AU"/>
        </w:rPr>
        <w:t>Journal of Psychopharmacology</w:t>
      </w:r>
      <w:r w:rsidRPr="007E252F">
        <w:rPr>
          <w:lang w:val="en-AU"/>
        </w:rPr>
        <w:t xml:space="preserve">, 33(7), 759–768. </w:t>
      </w:r>
      <w:hyperlink r:id="rId24" w:history="1">
        <w:r w:rsidRPr="007E252F">
          <w:rPr>
            <w:color w:val="3333FF"/>
            <w:u w:val="single"/>
            <w:lang w:val="en-AU"/>
          </w:rPr>
          <w:t>https://doi.org/10.1177/0269881119841569</w:t>
        </w:r>
      </w:hyperlink>
    </w:p>
    <w:p w14:paraId="462C64FA" w14:textId="77777777" w:rsidR="007E252F" w:rsidRPr="007E252F" w:rsidRDefault="007E252F" w:rsidP="007E252F">
      <w:pPr>
        <w:widowControl/>
        <w:tabs>
          <w:tab w:val="left" w:pos="397"/>
        </w:tabs>
        <w:ind w:left="397" w:hanging="397"/>
        <w:rPr>
          <w:lang w:val="en-AU"/>
        </w:rPr>
      </w:pPr>
      <w:bookmarkStart w:id="206" w:name="_CTVL001080646ff43be49eb98b50267a006f79e"/>
      <w:r w:rsidRPr="007E252F">
        <w:rPr>
          <w:lang w:val="en-AU"/>
        </w:rPr>
        <w:t>Brown P. (1987) The seroepidemiology of hepatitis A and B in the Asia-Pacific region. Asia Pac J Public Health 1(3):62-78.</w:t>
      </w:r>
    </w:p>
    <w:p w14:paraId="302AA2DD" w14:textId="77777777" w:rsidR="007E252F" w:rsidRPr="007E252F" w:rsidRDefault="007E252F" w:rsidP="007E252F">
      <w:pPr>
        <w:widowControl/>
        <w:tabs>
          <w:tab w:val="left" w:pos="397"/>
        </w:tabs>
        <w:ind w:left="397" w:hanging="397"/>
        <w:rPr>
          <w:lang w:val="en-AU"/>
        </w:rPr>
      </w:pPr>
      <w:r w:rsidRPr="007E252F">
        <w:rPr>
          <w:lang w:val="en-AU"/>
        </w:rPr>
        <w:t xml:space="preserve">Brown, A. C., Onopa, J., Holck, P., Kaufusi, P., Kabasawa, D., Craig, W. J., Dragull, K., Levine, A. M., &amp; Baker, J. D. (2007). Traditional kava beverage consumption and liver function tests in a predominantly Tongan population in Hawaii. </w:t>
      </w:r>
      <w:bookmarkEnd w:id="206"/>
      <w:r w:rsidRPr="007E252F">
        <w:rPr>
          <w:i/>
          <w:lang w:val="en-AU"/>
        </w:rPr>
        <w:t>Clinical Toxicology (Philadelphia, Pa.)</w:t>
      </w:r>
      <w:r w:rsidRPr="007E252F">
        <w:rPr>
          <w:lang w:val="en-AU"/>
        </w:rPr>
        <w:t xml:space="preserve">, </w:t>
      </w:r>
      <w:r w:rsidRPr="007E252F">
        <w:rPr>
          <w:i/>
          <w:lang w:val="en-AU"/>
        </w:rPr>
        <w:t>45</w:t>
      </w:r>
      <w:r w:rsidRPr="007E252F">
        <w:rPr>
          <w:lang w:val="en-AU"/>
        </w:rPr>
        <w:t xml:space="preserve">(5), 549–556. </w:t>
      </w:r>
      <w:hyperlink r:id="rId25" w:history="1">
        <w:r w:rsidRPr="007E252F">
          <w:rPr>
            <w:color w:val="3333FF"/>
            <w:u w:val="single"/>
            <w:lang w:val="en-AU"/>
          </w:rPr>
          <w:t>https://doi.org/10.1080/15563650701365875</w:t>
        </w:r>
      </w:hyperlink>
    </w:p>
    <w:p w14:paraId="6EB6BC2B" w14:textId="77777777" w:rsidR="007E252F" w:rsidRPr="007E252F" w:rsidRDefault="007E252F" w:rsidP="007E252F">
      <w:pPr>
        <w:widowControl/>
        <w:tabs>
          <w:tab w:val="left" w:pos="397"/>
        </w:tabs>
        <w:ind w:left="397" w:hanging="397"/>
        <w:rPr>
          <w:lang w:val="en-AU"/>
        </w:rPr>
      </w:pPr>
      <w:bookmarkStart w:id="207" w:name="_CTVL00127b1ee65ca414f0792d9adfddb04347a"/>
      <w:r w:rsidRPr="007E252F">
        <w:rPr>
          <w:lang w:val="en-AU"/>
        </w:rPr>
        <w:t xml:space="preserve">Butt, J. (2019). </w:t>
      </w:r>
      <w:bookmarkEnd w:id="207"/>
      <w:r w:rsidRPr="007E252F">
        <w:rPr>
          <w:i/>
          <w:lang w:val="en-AU"/>
        </w:rPr>
        <w:t xml:space="preserve">Review of kava use among Aboriginal and Torres Strait Islander people </w:t>
      </w:r>
      <w:r w:rsidRPr="007E252F">
        <w:rPr>
          <w:lang w:val="en-AU"/>
        </w:rPr>
        <w:t xml:space="preserve">[Australian Indigenous HealthBulletin]. </w:t>
      </w:r>
      <w:hyperlink r:id="rId26" w:history="1">
        <w:r w:rsidRPr="007E252F">
          <w:rPr>
            <w:color w:val="3333FF"/>
            <w:u w:val="single"/>
            <w:lang w:val="en-AU"/>
          </w:rPr>
          <w:t>http://healthbulletin.org.au/wp-content/uploads/2019/04/kava-bulletin-web.pdf</w:t>
        </w:r>
      </w:hyperlink>
    </w:p>
    <w:p w14:paraId="735DAD30" w14:textId="77777777" w:rsidR="007E252F" w:rsidRPr="007E252F" w:rsidRDefault="007E252F" w:rsidP="007E252F">
      <w:pPr>
        <w:widowControl/>
        <w:tabs>
          <w:tab w:val="left" w:pos="397"/>
        </w:tabs>
        <w:ind w:left="397" w:hanging="397"/>
        <w:rPr>
          <w:lang w:val="en-AU"/>
        </w:rPr>
      </w:pPr>
      <w:bookmarkStart w:id="208" w:name="_CTVL0013df014bdccf14af3a7ea5cf3d2a1ec22"/>
      <w:r w:rsidRPr="007E252F">
        <w:rPr>
          <w:lang w:val="en-AU"/>
        </w:rPr>
        <w:t xml:space="preserve">Butts, C. A., van Klink, J. W., Joyce, N. I., Paturi, G., Hedderley, D. I., Martell, S., &amp; Harvey, D. (2019). Composition and safety evaluation of tea from New Zealand kawakawa (Piper excelsum). </w:t>
      </w:r>
      <w:bookmarkEnd w:id="208"/>
      <w:r w:rsidRPr="007E252F">
        <w:rPr>
          <w:i/>
          <w:lang w:val="en-AU"/>
        </w:rPr>
        <w:t>Journal of Ethnopharmacology</w:t>
      </w:r>
      <w:r w:rsidRPr="007E252F">
        <w:rPr>
          <w:lang w:val="en-AU"/>
        </w:rPr>
        <w:t xml:space="preserve">, </w:t>
      </w:r>
      <w:r w:rsidRPr="007E252F">
        <w:rPr>
          <w:i/>
          <w:lang w:val="en-AU"/>
        </w:rPr>
        <w:t>232</w:t>
      </w:r>
      <w:r w:rsidRPr="007E252F">
        <w:rPr>
          <w:lang w:val="en-AU"/>
        </w:rPr>
        <w:t xml:space="preserve">, 110–118. </w:t>
      </w:r>
      <w:hyperlink r:id="rId27" w:history="1">
        <w:r w:rsidRPr="007E252F">
          <w:rPr>
            <w:color w:val="3333FF"/>
            <w:u w:val="single"/>
            <w:lang w:val="en-AU"/>
          </w:rPr>
          <w:t>https://doi.org/10.1016/j.jep.2018.12.029</w:t>
        </w:r>
      </w:hyperlink>
    </w:p>
    <w:p w14:paraId="6BC9F61B" w14:textId="77777777" w:rsidR="007E252F" w:rsidRPr="007E252F" w:rsidRDefault="007E252F" w:rsidP="007E252F">
      <w:pPr>
        <w:widowControl/>
        <w:tabs>
          <w:tab w:val="left" w:pos="397"/>
        </w:tabs>
        <w:ind w:left="397" w:hanging="397"/>
        <w:rPr>
          <w:lang w:val="en-AU"/>
        </w:rPr>
      </w:pPr>
      <w:bookmarkStart w:id="209" w:name="_CTVL001aa4dc63ee98443fd8a4fca3283d51ad5"/>
      <w:r w:rsidRPr="007E252F">
        <w:rPr>
          <w:lang w:val="en-AU"/>
        </w:rPr>
        <w:t xml:space="preserve">Cairney, S., Maruff, P., &amp; Clough, A. R. (2002). The neurobehavioural effects of kava. </w:t>
      </w:r>
      <w:bookmarkEnd w:id="209"/>
      <w:r w:rsidRPr="007E252F">
        <w:rPr>
          <w:i/>
          <w:lang w:val="en-AU"/>
        </w:rPr>
        <w:t>The Australian and New Zealand Journal of Psychiatry</w:t>
      </w:r>
      <w:r w:rsidRPr="007E252F">
        <w:rPr>
          <w:lang w:val="en-AU"/>
        </w:rPr>
        <w:t xml:space="preserve">, </w:t>
      </w:r>
      <w:r w:rsidRPr="007E252F">
        <w:rPr>
          <w:i/>
          <w:lang w:val="en-AU"/>
        </w:rPr>
        <w:t>36</w:t>
      </w:r>
      <w:r w:rsidRPr="007E252F">
        <w:rPr>
          <w:lang w:val="en-AU"/>
        </w:rPr>
        <w:t xml:space="preserve">(5), 657–662. </w:t>
      </w:r>
      <w:hyperlink r:id="rId28" w:history="1">
        <w:r w:rsidRPr="007E252F">
          <w:rPr>
            <w:color w:val="3333FF"/>
            <w:u w:val="single"/>
            <w:lang w:val="en-AU"/>
          </w:rPr>
          <w:t>https://doi.org/10.1046/j.1440-1614.2002.01027.x</w:t>
        </w:r>
      </w:hyperlink>
    </w:p>
    <w:p w14:paraId="3DF36AC3" w14:textId="77777777" w:rsidR="007E252F" w:rsidRPr="007E252F" w:rsidRDefault="007E252F" w:rsidP="007E252F">
      <w:pPr>
        <w:widowControl/>
        <w:tabs>
          <w:tab w:val="left" w:pos="397"/>
        </w:tabs>
        <w:ind w:left="397" w:hanging="397"/>
        <w:rPr>
          <w:lang w:val="en-AU"/>
        </w:rPr>
      </w:pPr>
      <w:bookmarkStart w:id="210" w:name="_CTVL001b32abd1f08834590935342e9949e19d3"/>
      <w:r w:rsidRPr="007E252F">
        <w:rPr>
          <w:lang w:val="en-AU"/>
        </w:rPr>
        <w:lastRenderedPageBreak/>
        <w:t xml:space="preserve">Cairney, S., Maruff, P., Clough, A. R., Collie, A., Currie, J., &amp; Currie, B. J. (2003). Saccade and cognitive impairment associated with kava intoxication. </w:t>
      </w:r>
      <w:bookmarkEnd w:id="210"/>
      <w:r w:rsidRPr="007E252F">
        <w:rPr>
          <w:i/>
          <w:lang w:val="en-AU"/>
        </w:rPr>
        <w:t>Human Psychopharmacology</w:t>
      </w:r>
      <w:r w:rsidRPr="007E252F">
        <w:rPr>
          <w:lang w:val="en-AU"/>
        </w:rPr>
        <w:t xml:space="preserve">, </w:t>
      </w:r>
      <w:r w:rsidRPr="007E252F">
        <w:rPr>
          <w:i/>
          <w:lang w:val="en-AU"/>
        </w:rPr>
        <w:t>18</w:t>
      </w:r>
      <w:r w:rsidRPr="007E252F">
        <w:rPr>
          <w:lang w:val="en-AU"/>
        </w:rPr>
        <w:t xml:space="preserve">(7), 525–533. </w:t>
      </w:r>
      <w:hyperlink r:id="rId29" w:history="1">
        <w:r w:rsidRPr="007E252F">
          <w:rPr>
            <w:color w:val="3333FF"/>
            <w:u w:val="single"/>
            <w:lang w:val="en-AU"/>
          </w:rPr>
          <w:t>https://doi.org/10.1002/hup.532</w:t>
        </w:r>
      </w:hyperlink>
    </w:p>
    <w:p w14:paraId="3E53858B" w14:textId="77777777" w:rsidR="007E252F" w:rsidRPr="007E252F" w:rsidRDefault="007E252F" w:rsidP="007E252F">
      <w:pPr>
        <w:widowControl/>
        <w:tabs>
          <w:tab w:val="left" w:pos="397"/>
        </w:tabs>
        <w:ind w:left="397" w:hanging="397"/>
        <w:rPr>
          <w:lang w:val="en-AU"/>
        </w:rPr>
      </w:pPr>
      <w:bookmarkStart w:id="211" w:name="_CTVL001f08769e1ca85401b9f0afb19aed810ad"/>
      <w:r w:rsidRPr="007E252F">
        <w:rPr>
          <w:lang w:val="en-AU"/>
        </w:rPr>
        <w:t xml:space="preserve">Cawte, J. (1985). Psychoactive substances of the South Seas: Betel, kava and pituri. </w:t>
      </w:r>
      <w:bookmarkEnd w:id="211"/>
      <w:r w:rsidRPr="007E252F">
        <w:rPr>
          <w:i/>
          <w:lang w:val="en-AU"/>
        </w:rPr>
        <w:t>The Australian and New Zealand Journal of Psychiatry</w:t>
      </w:r>
      <w:r w:rsidRPr="007E252F">
        <w:rPr>
          <w:lang w:val="en-AU"/>
        </w:rPr>
        <w:t xml:space="preserve">, </w:t>
      </w:r>
      <w:r w:rsidRPr="007E252F">
        <w:rPr>
          <w:i/>
          <w:lang w:val="en-AU"/>
        </w:rPr>
        <w:t>19</w:t>
      </w:r>
      <w:r w:rsidRPr="007E252F">
        <w:rPr>
          <w:lang w:val="en-AU"/>
        </w:rPr>
        <w:t xml:space="preserve">(1), 83–87. </w:t>
      </w:r>
      <w:hyperlink r:id="rId30" w:history="1">
        <w:r w:rsidRPr="007E252F">
          <w:rPr>
            <w:color w:val="3333FF"/>
            <w:u w:val="single"/>
            <w:lang w:val="en-AU"/>
          </w:rPr>
          <w:t>https://doi.org/10.3109/00048678509158818</w:t>
        </w:r>
      </w:hyperlink>
    </w:p>
    <w:p w14:paraId="25370302" w14:textId="77777777" w:rsidR="007E252F" w:rsidRPr="007E252F" w:rsidRDefault="007E252F" w:rsidP="007E252F">
      <w:pPr>
        <w:widowControl/>
        <w:tabs>
          <w:tab w:val="left" w:pos="397"/>
        </w:tabs>
        <w:ind w:left="397" w:hanging="397"/>
        <w:rPr>
          <w:lang w:val="en-AU"/>
        </w:rPr>
      </w:pPr>
      <w:bookmarkStart w:id="212" w:name="_CTVL00184d3a44e11ab4bba8fe1f0f443069e96"/>
      <w:r w:rsidRPr="007E252F">
        <w:rPr>
          <w:lang w:val="en-AU"/>
        </w:rPr>
        <w:t xml:space="preserve">Clayton, N. P., Yoshizawa, K., Kissling, G. E., Burka, L. T., Chan, P.-C., &amp; Nyska, A. (2007). Immunohistochemical analysis of expressions of hepatic cytochrome P450 in F344 rats following oral treatment with kava extract. </w:t>
      </w:r>
      <w:bookmarkEnd w:id="212"/>
      <w:r w:rsidRPr="007E252F">
        <w:rPr>
          <w:i/>
          <w:lang w:val="en-AU"/>
        </w:rPr>
        <w:t>Experimental and Toxicologic Pathology : Official Journal of the Gesellschaft Fur Toxikologische Pathologie</w:t>
      </w:r>
      <w:r w:rsidRPr="007E252F">
        <w:rPr>
          <w:lang w:val="en-AU"/>
        </w:rPr>
        <w:t xml:space="preserve">, </w:t>
      </w:r>
      <w:r w:rsidRPr="007E252F">
        <w:rPr>
          <w:i/>
          <w:lang w:val="en-AU"/>
        </w:rPr>
        <w:t>58</w:t>
      </w:r>
      <w:r w:rsidRPr="007E252F">
        <w:rPr>
          <w:lang w:val="en-AU"/>
        </w:rPr>
        <w:t xml:space="preserve">(4), 223–236. </w:t>
      </w:r>
      <w:hyperlink r:id="rId31" w:history="1">
        <w:r w:rsidRPr="007E252F">
          <w:rPr>
            <w:color w:val="3333FF"/>
            <w:u w:val="single"/>
            <w:lang w:val="en-AU"/>
          </w:rPr>
          <w:t>https://doi.org/10.1016/j.etp.2006.08.002</w:t>
        </w:r>
      </w:hyperlink>
    </w:p>
    <w:p w14:paraId="4A7B3194" w14:textId="77777777" w:rsidR="007E252F" w:rsidRPr="007E252F" w:rsidRDefault="007E252F" w:rsidP="007E252F">
      <w:pPr>
        <w:widowControl/>
        <w:tabs>
          <w:tab w:val="left" w:pos="397"/>
        </w:tabs>
        <w:ind w:left="397" w:hanging="397"/>
        <w:rPr>
          <w:lang w:val="en-AU"/>
        </w:rPr>
      </w:pPr>
      <w:bookmarkStart w:id="213" w:name="_CTVL00166c3f2c9ed9b420eadcc73389d63550e"/>
      <w:r w:rsidRPr="007E252F">
        <w:rPr>
          <w:lang w:val="en-AU"/>
        </w:rPr>
        <w:t xml:space="preserve">Clough, A. R., Burns, C. B., &amp; Mununggurr, N. (2000). Kava in Arnhem Land: a review of consumption and its social correlates. </w:t>
      </w:r>
      <w:bookmarkEnd w:id="213"/>
      <w:r w:rsidRPr="007E252F">
        <w:rPr>
          <w:i/>
          <w:lang w:val="en-AU"/>
        </w:rPr>
        <w:t>Drug and Alcohol Review</w:t>
      </w:r>
      <w:r w:rsidRPr="007E252F">
        <w:rPr>
          <w:lang w:val="en-AU"/>
        </w:rPr>
        <w:t xml:space="preserve">, </w:t>
      </w:r>
      <w:r w:rsidRPr="007E252F">
        <w:rPr>
          <w:i/>
          <w:lang w:val="en-AU"/>
        </w:rPr>
        <w:t>19</w:t>
      </w:r>
      <w:r w:rsidRPr="007E252F">
        <w:rPr>
          <w:lang w:val="en-AU"/>
        </w:rPr>
        <w:t xml:space="preserve">(3), 319–328. </w:t>
      </w:r>
      <w:hyperlink r:id="rId32" w:history="1">
        <w:r w:rsidRPr="007E252F">
          <w:rPr>
            <w:color w:val="3333FF"/>
            <w:u w:val="single"/>
            <w:lang w:val="en-AU"/>
          </w:rPr>
          <w:t>https://doi.org/10.1080/cdar.19.3.319.328</w:t>
        </w:r>
      </w:hyperlink>
    </w:p>
    <w:p w14:paraId="7329CA09" w14:textId="77777777" w:rsidR="007E252F" w:rsidRPr="007E252F" w:rsidRDefault="007E252F" w:rsidP="007E252F">
      <w:pPr>
        <w:widowControl/>
        <w:tabs>
          <w:tab w:val="left" w:pos="397"/>
        </w:tabs>
        <w:ind w:left="397" w:hanging="397"/>
        <w:rPr>
          <w:lang w:val="en-AU"/>
        </w:rPr>
      </w:pPr>
      <w:bookmarkStart w:id="214" w:name="_CTVL001fddcffcd0a0e4a089c2a821c48e1a062"/>
      <w:r w:rsidRPr="007E252F">
        <w:rPr>
          <w:lang w:val="en-AU"/>
        </w:rPr>
        <w:t xml:space="preserve">Clough, A. R., Jacups, S. P., Wang, Z., Burns, C. B., Bailie, R. S., Cairney, S. J., Collie, A., Guyula, T., McDonald, S. P., &amp; Currie, B. J. (2003). Health effects of kava use in an eastern Arnhem Land Aboriginal community. </w:t>
      </w:r>
      <w:bookmarkEnd w:id="214"/>
      <w:r w:rsidRPr="007E252F">
        <w:rPr>
          <w:i/>
          <w:lang w:val="en-AU"/>
        </w:rPr>
        <w:t>Internal Medicine Journal</w:t>
      </w:r>
      <w:r w:rsidRPr="007E252F">
        <w:rPr>
          <w:lang w:val="en-AU"/>
        </w:rPr>
        <w:t xml:space="preserve">, </w:t>
      </w:r>
      <w:r w:rsidRPr="007E252F">
        <w:rPr>
          <w:i/>
          <w:lang w:val="en-AU"/>
        </w:rPr>
        <w:t>33</w:t>
      </w:r>
      <w:r w:rsidRPr="007E252F">
        <w:rPr>
          <w:lang w:val="en-AU"/>
        </w:rPr>
        <w:t xml:space="preserve">(8), 336–340. </w:t>
      </w:r>
      <w:hyperlink r:id="rId33" w:history="1">
        <w:r w:rsidRPr="007E252F">
          <w:rPr>
            <w:color w:val="3333FF"/>
            <w:u w:val="single"/>
            <w:lang w:val="en-AU"/>
          </w:rPr>
          <w:t>https://doi.org/10.1046/j.1444-0903.2003.00405.x</w:t>
        </w:r>
      </w:hyperlink>
    </w:p>
    <w:p w14:paraId="2538C238" w14:textId="77777777" w:rsidR="007E252F" w:rsidRPr="007E252F" w:rsidRDefault="007E252F" w:rsidP="007E252F">
      <w:pPr>
        <w:widowControl/>
        <w:tabs>
          <w:tab w:val="left" w:pos="397"/>
        </w:tabs>
        <w:ind w:left="397" w:hanging="397"/>
        <w:rPr>
          <w:lang w:val="en-AU"/>
        </w:rPr>
      </w:pPr>
      <w:bookmarkStart w:id="215" w:name="_CTVL00100133141a9ef4546b7b3a50f6d30f0ff"/>
      <w:r w:rsidRPr="007E252F">
        <w:rPr>
          <w:lang w:val="en-AU"/>
        </w:rPr>
        <w:t xml:space="preserve">Clough, A. R., Rowley, K., &amp; O’Dea, K. (2004). Kava use, dyslipidaemia and biomarkers of dietary quality in Aboriginal people in Arnhem Land in the Northern Territory (NT), Australia. </w:t>
      </w:r>
      <w:bookmarkEnd w:id="215"/>
      <w:r w:rsidRPr="007E252F">
        <w:rPr>
          <w:i/>
          <w:lang w:val="en-AU"/>
        </w:rPr>
        <w:t>European Journal of Clinical Nutrition</w:t>
      </w:r>
      <w:r w:rsidRPr="007E252F">
        <w:rPr>
          <w:lang w:val="en-AU"/>
        </w:rPr>
        <w:t xml:space="preserve">, </w:t>
      </w:r>
      <w:r w:rsidRPr="007E252F">
        <w:rPr>
          <w:i/>
          <w:lang w:val="en-AU"/>
        </w:rPr>
        <w:t>58</w:t>
      </w:r>
      <w:r w:rsidRPr="007E252F">
        <w:rPr>
          <w:lang w:val="en-AU"/>
        </w:rPr>
        <w:t xml:space="preserve">(7), 1090–1093. </w:t>
      </w:r>
      <w:hyperlink r:id="rId34" w:history="1">
        <w:r w:rsidRPr="007E252F">
          <w:rPr>
            <w:color w:val="3333FF"/>
            <w:u w:val="single"/>
            <w:lang w:val="en-AU"/>
          </w:rPr>
          <w:t>https://doi.org/10.1038/sj.ejcn.1601921</w:t>
        </w:r>
      </w:hyperlink>
    </w:p>
    <w:p w14:paraId="0D7F9711" w14:textId="77777777" w:rsidR="007E252F" w:rsidRPr="007E252F" w:rsidRDefault="007E252F" w:rsidP="007E252F">
      <w:pPr>
        <w:widowControl/>
        <w:tabs>
          <w:tab w:val="left" w:pos="397"/>
        </w:tabs>
        <w:ind w:left="397" w:hanging="397"/>
        <w:rPr>
          <w:lang w:val="en-AU"/>
        </w:rPr>
      </w:pPr>
      <w:bookmarkStart w:id="216" w:name="_CTVL0013517bf46124548e687ac1bae0107ce44"/>
      <w:r w:rsidRPr="007E252F">
        <w:rPr>
          <w:lang w:val="en-AU"/>
        </w:rPr>
        <w:t xml:space="preserve">Clough, A. (2003). Enough! Or too much. What is ‘excessive’ kava use in Arnhem Land? </w:t>
      </w:r>
      <w:bookmarkEnd w:id="216"/>
      <w:r w:rsidRPr="007E252F">
        <w:rPr>
          <w:i/>
          <w:lang w:val="en-AU"/>
        </w:rPr>
        <w:t>Drug and Alcohol Review</w:t>
      </w:r>
      <w:r w:rsidRPr="007E252F">
        <w:rPr>
          <w:lang w:val="en-AU"/>
        </w:rPr>
        <w:t xml:space="preserve">, </w:t>
      </w:r>
      <w:r w:rsidRPr="007E252F">
        <w:rPr>
          <w:i/>
          <w:lang w:val="en-AU"/>
        </w:rPr>
        <w:t>22</w:t>
      </w:r>
      <w:r w:rsidRPr="007E252F">
        <w:rPr>
          <w:lang w:val="en-AU"/>
        </w:rPr>
        <w:t xml:space="preserve">(1), 43–51. </w:t>
      </w:r>
      <w:hyperlink r:id="rId35" w:history="1">
        <w:r w:rsidRPr="007E252F">
          <w:rPr>
            <w:color w:val="3333FF"/>
            <w:u w:val="single"/>
            <w:lang w:val="en-AU"/>
          </w:rPr>
          <w:t>https://doi.org/10.1080/0959523021000059820</w:t>
        </w:r>
      </w:hyperlink>
    </w:p>
    <w:p w14:paraId="72D32DE8" w14:textId="77777777" w:rsidR="007E252F" w:rsidRPr="007E252F" w:rsidRDefault="007E252F" w:rsidP="007E252F">
      <w:pPr>
        <w:widowControl/>
        <w:tabs>
          <w:tab w:val="left" w:pos="397"/>
        </w:tabs>
        <w:ind w:left="397" w:hanging="397"/>
        <w:rPr>
          <w:lang w:val="en-AU"/>
        </w:rPr>
      </w:pPr>
      <w:bookmarkStart w:id="217" w:name="_CTVL001bdac697fe0804b51a4955f3a4ef68981"/>
      <w:r w:rsidRPr="007E252F">
        <w:rPr>
          <w:lang w:val="en-AU"/>
        </w:rPr>
        <w:t xml:space="preserve">Clough, A. R., Bailie, R. S., &amp; Currie, B. (2003). Liver function test abnormalities in users of aqueous kava extracts. </w:t>
      </w:r>
      <w:bookmarkEnd w:id="217"/>
      <w:r w:rsidRPr="007E252F">
        <w:rPr>
          <w:i/>
          <w:lang w:val="en-AU"/>
        </w:rPr>
        <w:t>Journal of Toxicology. Clinical Toxicology</w:t>
      </w:r>
      <w:r w:rsidRPr="007E252F">
        <w:rPr>
          <w:lang w:val="en-AU"/>
        </w:rPr>
        <w:t xml:space="preserve">, </w:t>
      </w:r>
      <w:r w:rsidRPr="007E252F">
        <w:rPr>
          <w:i/>
          <w:lang w:val="en-AU"/>
        </w:rPr>
        <w:t>41</w:t>
      </w:r>
      <w:r w:rsidRPr="007E252F">
        <w:rPr>
          <w:lang w:val="en-AU"/>
        </w:rPr>
        <w:t xml:space="preserve">(6), 821–829. </w:t>
      </w:r>
      <w:hyperlink r:id="rId36" w:history="1">
        <w:r w:rsidRPr="007E252F">
          <w:rPr>
            <w:color w:val="3333FF"/>
            <w:u w:val="single"/>
            <w:lang w:val="en-AU"/>
          </w:rPr>
          <w:t>https://doi.org/10.1081/clt-120025347</w:t>
        </w:r>
      </w:hyperlink>
    </w:p>
    <w:p w14:paraId="2A95091B" w14:textId="77777777" w:rsidR="007E252F" w:rsidRPr="007E252F" w:rsidRDefault="007E252F" w:rsidP="007E252F">
      <w:pPr>
        <w:widowControl/>
        <w:tabs>
          <w:tab w:val="left" w:pos="397"/>
        </w:tabs>
        <w:ind w:left="397" w:hanging="397"/>
        <w:rPr>
          <w:lang w:val="en-AU"/>
        </w:rPr>
      </w:pPr>
      <w:bookmarkStart w:id="218" w:name="_CTVL0012e844865c6414c89a9583a4527992682"/>
      <w:r w:rsidRPr="007E252F">
        <w:rPr>
          <w:lang w:val="en-AU"/>
        </w:rPr>
        <w:t xml:space="preserve">Codex Alimentarius Commission (2020) CXS 336R-2020 </w:t>
      </w:r>
      <w:r w:rsidRPr="007E252F">
        <w:rPr>
          <w:i/>
          <w:lang w:val="en-AU"/>
        </w:rPr>
        <w:t>Regional Standard for Kava Products for use as a Beverage When Mixed with Water</w:t>
      </w:r>
      <w:r w:rsidRPr="007E252F">
        <w:rPr>
          <w:lang w:val="en-AU"/>
        </w:rPr>
        <w:t xml:space="preserve">  </w:t>
      </w:r>
      <w:hyperlink r:id="rId37" w:history="1">
        <w:r w:rsidRPr="007E252F">
          <w:rPr>
            <w:color w:val="3333FF"/>
            <w:u w:val="single"/>
            <w:lang w:val="en-AU"/>
          </w:rPr>
          <w:t>https://www.fao.org/fao-who-codexalimentarius/sh-proxy/en/?lnk=1&amp;url=https%253A%252F%252Fworkspace.fao.org%252Fsites%252Fcodex%252FStandards%252FCXS%2B336R-2020%252FCXS_336Re.pdf</w:t>
        </w:r>
      </w:hyperlink>
      <w:r w:rsidRPr="007E252F">
        <w:rPr>
          <w:lang w:val="en-AU"/>
        </w:rPr>
        <w:t xml:space="preserve">  accessed 6 December 2021</w:t>
      </w:r>
    </w:p>
    <w:p w14:paraId="328B12F9" w14:textId="77777777" w:rsidR="007E252F" w:rsidRPr="007E252F" w:rsidRDefault="007E252F" w:rsidP="007E252F">
      <w:pPr>
        <w:widowControl/>
        <w:tabs>
          <w:tab w:val="left" w:pos="397"/>
        </w:tabs>
        <w:ind w:left="397" w:hanging="397"/>
        <w:rPr>
          <w:lang w:val="en-AU"/>
        </w:rPr>
      </w:pPr>
      <w:r w:rsidRPr="007E252F">
        <w:rPr>
          <w:lang w:val="en-AU"/>
        </w:rPr>
        <w:t xml:space="preserve">Côté, C. S., Kor, C., Cohen, J., &amp; Auclair, K. (2004). Composition and biological activity of traditional and commercial kava extracts. </w:t>
      </w:r>
      <w:bookmarkEnd w:id="218"/>
      <w:r w:rsidRPr="007E252F">
        <w:rPr>
          <w:i/>
          <w:lang w:val="en-AU"/>
        </w:rPr>
        <w:t>Biochemical and Biophysical Research Communications</w:t>
      </w:r>
      <w:r w:rsidRPr="007E252F">
        <w:rPr>
          <w:lang w:val="en-AU"/>
        </w:rPr>
        <w:t xml:space="preserve">, </w:t>
      </w:r>
      <w:r w:rsidRPr="007E252F">
        <w:rPr>
          <w:i/>
          <w:lang w:val="en-AU"/>
        </w:rPr>
        <w:t>322</w:t>
      </w:r>
      <w:r w:rsidRPr="007E252F">
        <w:rPr>
          <w:lang w:val="en-AU"/>
        </w:rPr>
        <w:t xml:space="preserve">(1), 147–152. </w:t>
      </w:r>
      <w:hyperlink r:id="rId38" w:history="1">
        <w:r w:rsidRPr="007E252F">
          <w:rPr>
            <w:color w:val="3333FF"/>
            <w:u w:val="single"/>
            <w:lang w:val="en-AU"/>
          </w:rPr>
          <w:t>https://doi.org/10.1016/j.bbrc.2004.07.093</w:t>
        </w:r>
      </w:hyperlink>
    </w:p>
    <w:p w14:paraId="1C639CD9" w14:textId="77777777" w:rsidR="007E252F" w:rsidRPr="007E252F" w:rsidRDefault="007E252F" w:rsidP="007E252F">
      <w:pPr>
        <w:widowControl/>
        <w:tabs>
          <w:tab w:val="left" w:pos="397"/>
        </w:tabs>
        <w:ind w:left="397" w:hanging="397"/>
        <w:rPr>
          <w:lang w:val="en-AU"/>
        </w:rPr>
      </w:pPr>
      <w:bookmarkStart w:id="219" w:name="_CTVL0010c36055b18954b6690a2da2446d390a5"/>
      <w:r w:rsidRPr="007E252F">
        <w:rPr>
          <w:lang w:val="en-AU"/>
        </w:rPr>
        <w:t xml:space="preserve">Christl S. U., Seifert A., Seeler D. (2009) Toxic hepatitis after consumption of traditional kava preparation. </w:t>
      </w:r>
      <w:r w:rsidRPr="007E252F">
        <w:rPr>
          <w:i/>
          <w:lang w:val="en-AU"/>
        </w:rPr>
        <w:t>J Travel Med</w:t>
      </w:r>
      <w:r w:rsidRPr="007E252F">
        <w:rPr>
          <w:lang w:val="en-AU"/>
        </w:rPr>
        <w:t>. Jan-Feb;16(1):55-6. doi: 10.1111/j.1708-8305.2008.00259.x.</w:t>
      </w:r>
    </w:p>
    <w:p w14:paraId="3484E1C3" w14:textId="77777777" w:rsidR="007E252F" w:rsidRPr="007E252F" w:rsidRDefault="007E252F" w:rsidP="007E252F">
      <w:pPr>
        <w:widowControl/>
        <w:tabs>
          <w:tab w:val="left" w:pos="397"/>
        </w:tabs>
        <w:ind w:left="397" w:hanging="397"/>
        <w:rPr>
          <w:lang w:val="en-AU"/>
        </w:rPr>
      </w:pPr>
      <w:r w:rsidRPr="007E252F">
        <w:rPr>
          <w:lang w:val="en-AU"/>
        </w:rPr>
        <w:t xml:space="preserve">Dentali, S. J., Amarillas, C., Blythe, T., Brown, P. N., Bzhelyansky, A., Fields, C., Johnson, H. E., Krepich, S., Kuszak, A., Metcalfe, C., Monagas, M., Mudge, E., Parisi, S., Reif, K., Rimmer, C. A., Sasser, M., Solyom, A. M., Stewart, J., Szpylka, J., . . . Coates, S. G. (2018). Standard Method Performance Requirements (SMPRs®) 2018.005: Determination of Kavalactones and/or Flavokavains from Kava (Piper methysticum). </w:t>
      </w:r>
      <w:bookmarkEnd w:id="219"/>
      <w:r w:rsidRPr="007E252F">
        <w:rPr>
          <w:i/>
          <w:lang w:val="en-AU"/>
        </w:rPr>
        <w:t>Journal of AOAC INTERNATIONAL</w:t>
      </w:r>
      <w:r w:rsidRPr="007E252F">
        <w:rPr>
          <w:lang w:val="en-AU"/>
        </w:rPr>
        <w:t xml:space="preserve">, </w:t>
      </w:r>
      <w:r w:rsidRPr="007E252F">
        <w:rPr>
          <w:i/>
          <w:lang w:val="en-AU"/>
        </w:rPr>
        <w:t>101</w:t>
      </w:r>
      <w:r w:rsidRPr="007E252F">
        <w:rPr>
          <w:lang w:val="en-AU"/>
        </w:rPr>
        <w:t xml:space="preserve">(4), 1256–1260. </w:t>
      </w:r>
      <w:hyperlink r:id="rId39" w:history="1">
        <w:r w:rsidRPr="007E252F">
          <w:rPr>
            <w:color w:val="3333FF"/>
            <w:u w:val="single"/>
            <w:lang w:val="en-AU"/>
          </w:rPr>
          <w:t>https://doi.org/10.5740/jaoacint.SMPR2018.005</w:t>
        </w:r>
      </w:hyperlink>
    </w:p>
    <w:p w14:paraId="68D5C0C4" w14:textId="77777777" w:rsidR="007E252F" w:rsidRPr="007E252F" w:rsidRDefault="007E252F" w:rsidP="007E252F">
      <w:pPr>
        <w:widowControl/>
        <w:tabs>
          <w:tab w:val="left" w:pos="397"/>
        </w:tabs>
        <w:ind w:left="397" w:hanging="397"/>
        <w:rPr>
          <w:lang w:val="en-AU"/>
        </w:rPr>
      </w:pPr>
      <w:bookmarkStart w:id="220" w:name="_CTVL001dde7f98e89794472b907113de6017eb6"/>
      <w:r w:rsidRPr="007E252F">
        <w:rPr>
          <w:lang w:val="en-AU"/>
        </w:rPr>
        <w:t xml:space="preserve">Dong, J., Kandukuru, P., Huang, A. S., &amp; Li, Y. (2011). Pcr-DGGE analysis of bacterial community dynamics in kava beverages during refrigeration. </w:t>
      </w:r>
      <w:bookmarkEnd w:id="220"/>
      <w:r w:rsidRPr="007E252F">
        <w:rPr>
          <w:i/>
          <w:lang w:val="en-AU"/>
        </w:rPr>
        <w:t>Letters in Applied Microbiology</w:t>
      </w:r>
      <w:r w:rsidRPr="007E252F">
        <w:rPr>
          <w:lang w:val="en-AU"/>
        </w:rPr>
        <w:t xml:space="preserve">, </w:t>
      </w:r>
      <w:r w:rsidRPr="007E252F">
        <w:rPr>
          <w:i/>
          <w:lang w:val="en-AU"/>
        </w:rPr>
        <w:t>53</w:t>
      </w:r>
      <w:r w:rsidRPr="007E252F">
        <w:rPr>
          <w:lang w:val="en-AU"/>
        </w:rPr>
        <w:t xml:space="preserve">(1), 30–34. </w:t>
      </w:r>
      <w:hyperlink r:id="rId40" w:history="1">
        <w:r w:rsidRPr="007E252F">
          <w:rPr>
            <w:color w:val="3333FF"/>
            <w:u w:val="single"/>
            <w:lang w:val="en-AU"/>
          </w:rPr>
          <w:t>https://doi.org/10.1111/j.1472-765X.2011.03065.x</w:t>
        </w:r>
      </w:hyperlink>
    </w:p>
    <w:p w14:paraId="6B51119E" w14:textId="77777777" w:rsidR="007E252F" w:rsidRPr="007E252F" w:rsidRDefault="007E252F" w:rsidP="007E252F">
      <w:pPr>
        <w:widowControl/>
        <w:tabs>
          <w:tab w:val="left" w:pos="397"/>
        </w:tabs>
        <w:ind w:left="397" w:hanging="397"/>
        <w:rPr>
          <w:lang w:val="en-AU"/>
        </w:rPr>
      </w:pPr>
      <w:bookmarkStart w:id="221" w:name="_CTVL001a84d84ccfc994cc8ac962024dd588fb5"/>
      <w:r w:rsidRPr="007E252F">
        <w:rPr>
          <w:lang w:val="en-AU"/>
        </w:rPr>
        <w:t xml:space="preserve">Dragull, K., Yoshida, W. Y., &amp; Tang, C.-S. (2003). Piperidine alkaloids from Piper methysticum. </w:t>
      </w:r>
      <w:bookmarkEnd w:id="221"/>
      <w:r w:rsidRPr="007E252F">
        <w:rPr>
          <w:i/>
          <w:lang w:val="en-AU"/>
        </w:rPr>
        <w:t>Phytochemistry</w:t>
      </w:r>
      <w:r w:rsidRPr="007E252F">
        <w:rPr>
          <w:lang w:val="en-AU"/>
        </w:rPr>
        <w:t xml:space="preserve">, </w:t>
      </w:r>
      <w:r w:rsidRPr="007E252F">
        <w:rPr>
          <w:i/>
          <w:lang w:val="en-AU"/>
        </w:rPr>
        <w:t>63</w:t>
      </w:r>
      <w:r w:rsidRPr="007E252F">
        <w:rPr>
          <w:lang w:val="en-AU"/>
        </w:rPr>
        <w:t xml:space="preserve">(2), 193–198. </w:t>
      </w:r>
      <w:hyperlink r:id="rId41" w:history="1">
        <w:r w:rsidRPr="007E252F">
          <w:rPr>
            <w:color w:val="3333FF"/>
            <w:u w:val="single"/>
            <w:lang w:val="en-AU"/>
          </w:rPr>
          <w:t>https://doi.org/10.1016/s0031-9422(03)00111-0</w:t>
        </w:r>
      </w:hyperlink>
    </w:p>
    <w:p w14:paraId="201DC240" w14:textId="77777777" w:rsidR="007E252F" w:rsidRPr="007E252F" w:rsidRDefault="007E252F" w:rsidP="007E252F">
      <w:pPr>
        <w:widowControl/>
        <w:tabs>
          <w:tab w:val="left" w:pos="397"/>
        </w:tabs>
        <w:ind w:left="397" w:hanging="397"/>
        <w:rPr>
          <w:lang w:val="en-AU"/>
        </w:rPr>
      </w:pPr>
      <w:bookmarkStart w:id="222" w:name="_CTVL00153d3bb9c95de4450ab50573742f6b0b0"/>
      <w:r w:rsidRPr="007E252F">
        <w:rPr>
          <w:lang w:val="en-AU"/>
        </w:rPr>
        <w:t xml:space="preserve">Duffield, A. M., Jamieson, D. D., Lidgard, R. O., Duffield, P. H., &amp; Bourne, D. J. (1989). Identification of some human urinary metabolites of the intoxicating beverage kava. </w:t>
      </w:r>
      <w:bookmarkEnd w:id="222"/>
      <w:r w:rsidRPr="007E252F">
        <w:rPr>
          <w:i/>
          <w:lang w:val="en-AU"/>
        </w:rPr>
        <w:t>Journal of Chromatography</w:t>
      </w:r>
      <w:r w:rsidRPr="007E252F">
        <w:rPr>
          <w:lang w:val="en-AU"/>
        </w:rPr>
        <w:t xml:space="preserve">, </w:t>
      </w:r>
      <w:r w:rsidRPr="007E252F">
        <w:rPr>
          <w:i/>
          <w:lang w:val="en-AU"/>
        </w:rPr>
        <w:t>475</w:t>
      </w:r>
      <w:r w:rsidRPr="007E252F">
        <w:rPr>
          <w:lang w:val="en-AU"/>
        </w:rPr>
        <w:t xml:space="preserve">, 273–281. </w:t>
      </w:r>
      <w:hyperlink r:id="rId42" w:history="1">
        <w:r w:rsidRPr="007E252F">
          <w:rPr>
            <w:color w:val="3333FF"/>
            <w:u w:val="single"/>
            <w:lang w:val="en-AU"/>
          </w:rPr>
          <w:t>https://doi.org/10.1016/s0021-9673(01)89682-5</w:t>
        </w:r>
      </w:hyperlink>
    </w:p>
    <w:p w14:paraId="30B1E1CD" w14:textId="77777777" w:rsidR="007E252F" w:rsidRPr="007E252F" w:rsidRDefault="007E252F" w:rsidP="007E252F">
      <w:pPr>
        <w:widowControl/>
        <w:tabs>
          <w:tab w:val="left" w:pos="397"/>
        </w:tabs>
        <w:ind w:left="397" w:hanging="397"/>
        <w:rPr>
          <w:lang w:val="en-AU"/>
        </w:rPr>
      </w:pPr>
      <w:bookmarkStart w:id="223" w:name="_CTVL001de6832988ee747508109af77b21e5dcd"/>
      <w:r w:rsidRPr="007E252F">
        <w:rPr>
          <w:lang w:val="en-AU"/>
        </w:rPr>
        <w:lastRenderedPageBreak/>
        <w:t xml:space="preserve">Duve, R. N., &amp; Prasad, J. (1983). Changes in the chemical composition of Yaqona Piper methysticum with time. </w:t>
      </w:r>
      <w:bookmarkEnd w:id="223"/>
      <w:r w:rsidRPr="007E252F">
        <w:rPr>
          <w:i/>
          <w:lang w:val="en-AU"/>
        </w:rPr>
        <w:t>Fiji Agric. J</w:t>
      </w:r>
      <w:r w:rsidRPr="007E252F">
        <w:rPr>
          <w:lang w:val="en-AU"/>
        </w:rPr>
        <w:t xml:space="preserve">, </w:t>
      </w:r>
      <w:r w:rsidRPr="007E252F">
        <w:rPr>
          <w:i/>
          <w:lang w:val="en-AU"/>
        </w:rPr>
        <w:t>45(2)</w:t>
      </w:r>
      <w:r w:rsidRPr="007E252F">
        <w:rPr>
          <w:lang w:val="en-AU"/>
        </w:rPr>
        <w:t>, 45–50.</w:t>
      </w:r>
    </w:p>
    <w:p w14:paraId="33303311" w14:textId="77777777" w:rsidR="007E252F" w:rsidRPr="007E252F" w:rsidRDefault="007E252F" w:rsidP="007E252F">
      <w:pPr>
        <w:widowControl/>
        <w:tabs>
          <w:tab w:val="left" w:pos="397"/>
        </w:tabs>
        <w:ind w:left="397" w:hanging="397"/>
        <w:rPr>
          <w:lang w:val="en-AU"/>
        </w:rPr>
      </w:pPr>
      <w:bookmarkStart w:id="224" w:name="_CTVL0010d7ad458bd314dfdabc554eaa865eccd"/>
      <w:r w:rsidRPr="007E252F">
        <w:rPr>
          <w:lang w:val="en-AU"/>
        </w:rPr>
        <w:t>EFSA (2014). Scientific Opinion on the risk posed by pathogens in food of non</w:t>
      </w:r>
      <w:r w:rsidRPr="007E252F">
        <w:rPr>
          <w:rFonts w:ascii="Cambria Math" w:hAnsi="Cambria Math" w:cs="Cambria Math"/>
          <w:lang w:val="en-AU"/>
        </w:rPr>
        <w:t>‐</w:t>
      </w:r>
      <w:r w:rsidRPr="007E252F">
        <w:rPr>
          <w:lang w:val="en-AU"/>
        </w:rPr>
        <w:t xml:space="preserve">animal origin. Part 2 (Salmonella, Yersinia, Shigella and Norovirus in bulb and stem vegetables, and carrots). </w:t>
      </w:r>
      <w:bookmarkEnd w:id="224"/>
      <w:r w:rsidRPr="007E252F">
        <w:rPr>
          <w:i/>
          <w:lang w:val="en-AU"/>
        </w:rPr>
        <w:t>EFSA Journal</w:t>
      </w:r>
      <w:r w:rsidRPr="007E252F">
        <w:rPr>
          <w:lang w:val="en-AU"/>
        </w:rPr>
        <w:t xml:space="preserve">, </w:t>
      </w:r>
      <w:r w:rsidRPr="007E252F">
        <w:rPr>
          <w:i/>
          <w:lang w:val="en-AU"/>
        </w:rPr>
        <w:t>12</w:t>
      </w:r>
      <w:r w:rsidRPr="007E252F">
        <w:rPr>
          <w:lang w:val="en-AU"/>
        </w:rPr>
        <w:t xml:space="preserve">(12), 121. </w:t>
      </w:r>
      <w:hyperlink r:id="rId43" w:history="1">
        <w:r w:rsidRPr="007E252F">
          <w:rPr>
            <w:color w:val="3333FF"/>
            <w:u w:val="single"/>
            <w:lang w:val="en-AU"/>
          </w:rPr>
          <w:t>https://doi.org/10.2903/j.efsa.2014.3937</w:t>
        </w:r>
      </w:hyperlink>
    </w:p>
    <w:p w14:paraId="5B23D27D" w14:textId="77777777" w:rsidR="007E252F" w:rsidRPr="007E252F" w:rsidRDefault="007E252F" w:rsidP="007E252F">
      <w:pPr>
        <w:widowControl/>
        <w:tabs>
          <w:tab w:val="left" w:pos="397"/>
        </w:tabs>
        <w:ind w:left="397" w:hanging="397"/>
        <w:rPr>
          <w:lang w:val="en-AU"/>
        </w:rPr>
      </w:pPr>
      <w:bookmarkStart w:id="225" w:name="_CTVL0018275e5c379b345e2b30408d529e2ce09"/>
      <w:r w:rsidRPr="007E252F">
        <w:rPr>
          <w:lang w:val="en-AU"/>
        </w:rPr>
        <w:t>FAO/WHO (2008) Microbiological hazards in fresh fruits and vegetables: Meeting report. Microbiological risk assessment series (pre-publication version). www.fao.org/fileadmin/templates/agns/pdf/jemra/FFV_2007_Final.pdf. Accessed: September 2021</w:t>
      </w:r>
    </w:p>
    <w:p w14:paraId="084EF1E9" w14:textId="77777777" w:rsidR="007E252F" w:rsidRPr="007E252F" w:rsidRDefault="007E252F" w:rsidP="007E252F">
      <w:pPr>
        <w:widowControl/>
        <w:tabs>
          <w:tab w:val="left" w:pos="397"/>
        </w:tabs>
        <w:ind w:left="397" w:hanging="397"/>
        <w:rPr>
          <w:lang w:val="en-AU"/>
        </w:rPr>
      </w:pPr>
      <w:r w:rsidRPr="007E252F">
        <w:rPr>
          <w:lang w:val="en-AU"/>
        </w:rPr>
        <w:t xml:space="preserve">FAO/WHO (2016). </w:t>
      </w:r>
      <w:bookmarkEnd w:id="225"/>
      <w:r w:rsidRPr="007E252F">
        <w:rPr>
          <w:i/>
          <w:lang w:val="en-AU"/>
        </w:rPr>
        <w:t xml:space="preserve">Kava: a review of the safety of traditional and recreational beverage consumption.: </w:t>
      </w:r>
      <w:r w:rsidRPr="007E252F">
        <w:rPr>
          <w:lang w:val="en-AU"/>
        </w:rPr>
        <w:t xml:space="preserve">Technical Report. Rome. </w:t>
      </w:r>
      <w:hyperlink r:id="rId44" w:history="1">
        <w:r w:rsidRPr="007E252F">
          <w:rPr>
            <w:color w:val="3333FF"/>
            <w:u w:val="single"/>
            <w:lang w:val="en-AU"/>
          </w:rPr>
          <w:t>http://www.fao.org/3/i5770e/i5770e.pdf</w:t>
        </w:r>
      </w:hyperlink>
    </w:p>
    <w:p w14:paraId="57A32BB8" w14:textId="77777777" w:rsidR="007E252F" w:rsidRPr="007E252F" w:rsidRDefault="007E252F" w:rsidP="007E252F">
      <w:pPr>
        <w:widowControl/>
        <w:tabs>
          <w:tab w:val="left" w:pos="397"/>
        </w:tabs>
        <w:ind w:left="397" w:hanging="397"/>
        <w:rPr>
          <w:lang w:val="en-AU"/>
        </w:rPr>
      </w:pPr>
      <w:bookmarkStart w:id="226" w:name="_CTVL001b927f8d58e8740898426a1a1c4cc8d11"/>
      <w:r w:rsidRPr="007E252F">
        <w:rPr>
          <w:lang w:val="en-AU"/>
        </w:rPr>
        <w:t xml:space="preserve">Fiji Ministry of Agriculture (2017). </w:t>
      </w:r>
      <w:bookmarkEnd w:id="226"/>
      <w:r w:rsidRPr="007E252F">
        <w:rPr>
          <w:i/>
          <w:lang w:val="en-AU"/>
        </w:rPr>
        <w:t>The Fiji Kava Standard</w:t>
      </w:r>
      <w:r w:rsidRPr="007E252F">
        <w:rPr>
          <w:lang w:val="en-AU"/>
        </w:rPr>
        <w:t xml:space="preserve">. Pacific Horticulture &amp; Agriculture market Access Program. </w:t>
      </w:r>
      <w:hyperlink r:id="rId45" w:history="1">
        <w:r w:rsidRPr="007E252F">
          <w:rPr>
            <w:color w:val="3333FF"/>
            <w:u w:val="single"/>
            <w:lang w:val="en-AU"/>
          </w:rPr>
          <w:t>https://phamaplus.com.au/wp-content/uploads/2017/03/Fiji_Kava_Standard_ecopy.pdf</w:t>
        </w:r>
      </w:hyperlink>
    </w:p>
    <w:p w14:paraId="29D114E7" w14:textId="77777777" w:rsidR="007E252F" w:rsidRPr="007E252F" w:rsidRDefault="007E252F" w:rsidP="007E252F">
      <w:pPr>
        <w:widowControl/>
        <w:tabs>
          <w:tab w:val="left" w:pos="397"/>
        </w:tabs>
        <w:ind w:left="397" w:hanging="397"/>
        <w:rPr>
          <w:lang w:val="en-AU"/>
        </w:rPr>
      </w:pPr>
      <w:bookmarkStart w:id="227" w:name="_CTVL0014c7caf8d7b874bb2ac2ff2283d671850"/>
      <w:r w:rsidRPr="007E252F">
        <w:rPr>
          <w:lang w:val="en-AU"/>
        </w:rPr>
        <w:t xml:space="preserve">Foo, H., &amp; Lemon, J. (1997). Acute effects of kava, alone or in combination with alcohol, on subjective measures of impairment and intoxication and on cognitive performance. </w:t>
      </w:r>
      <w:bookmarkEnd w:id="227"/>
      <w:r w:rsidRPr="007E252F">
        <w:rPr>
          <w:i/>
          <w:lang w:val="en-AU"/>
        </w:rPr>
        <w:t>Drug and Alcohol Review</w:t>
      </w:r>
      <w:r w:rsidRPr="007E252F">
        <w:rPr>
          <w:lang w:val="en-AU"/>
        </w:rPr>
        <w:t xml:space="preserve">, </w:t>
      </w:r>
      <w:r w:rsidRPr="007E252F">
        <w:rPr>
          <w:i/>
          <w:lang w:val="en-AU"/>
        </w:rPr>
        <w:t>16</w:t>
      </w:r>
      <w:r w:rsidRPr="007E252F">
        <w:rPr>
          <w:lang w:val="en-AU"/>
        </w:rPr>
        <w:t xml:space="preserve">(2), 147–155. </w:t>
      </w:r>
      <w:hyperlink r:id="rId46" w:history="1">
        <w:r w:rsidRPr="007E252F">
          <w:rPr>
            <w:color w:val="3333FF"/>
            <w:u w:val="single"/>
            <w:lang w:val="en-AU"/>
          </w:rPr>
          <w:t>https://doi.org/10.1080/09595239700186441</w:t>
        </w:r>
      </w:hyperlink>
    </w:p>
    <w:p w14:paraId="551B9A57" w14:textId="77777777" w:rsidR="007E252F" w:rsidRPr="007E252F" w:rsidRDefault="007E252F" w:rsidP="007E252F">
      <w:pPr>
        <w:widowControl/>
        <w:tabs>
          <w:tab w:val="left" w:pos="397"/>
        </w:tabs>
        <w:ind w:left="397" w:hanging="397"/>
        <w:rPr>
          <w:lang w:val="en-AU"/>
        </w:rPr>
      </w:pPr>
      <w:bookmarkStart w:id="228" w:name="_CTVL00127f0df866dbf4d5abccf7795d08e3b85"/>
      <w:r w:rsidRPr="007E252F">
        <w:rPr>
          <w:lang w:val="en-AU"/>
        </w:rPr>
        <w:t xml:space="preserve">FSANZ (2004) </w:t>
      </w:r>
      <w:bookmarkEnd w:id="228"/>
      <w:r w:rsidRPr="007E252F">
        <w:rPr>
          <w:i/>
          <w:lang w:val="en-AU"/>
        </w:rPr>
        <w:t xml:space="preserve">Kava - A human health risk assessment: </w:t>
      </w:r>
      <w:r w:rsidRPr="007E252F">
        <w:rPr>
          <w:lang w:val="en-AU"/>
        </w:rPr>
        <w:t xml:space="preserve">Technical Report Series (No.30). </w:t>
      </w:r>
      <w:hyperlink r:id="rId47" w:history="1">
        <w:r w:rsidRPr="007E252F">
          <w:rPr>
            <w:color w:val="3333FF"/>
            <w:u w:val="single"/>
            <w:lang w:val="en-AU"/>
          </w:rPr>
          <w:t>https://www.foodstandards.gov.au/publications/documents/30_Kava1.pdf</w:t>
        </w:r>
      </w:hyperlink>
    </w:p>
    <w:p w14:paraId="1EFCCCD5" w14:textId="77777777" w:rsidR="007E252F" w:rsidRPr="007E252F" w:rsidRDefault="007E252F" w:rsidP="007E252F">
      <w:pPr>
        <w:widowControl/>
        <w:tabs>
          <w:tab w:val="left" w:pos="397"/>
        </w:tabs>
        <w:ind w:left="397" w:hanging="397"/>
        <w:rPr>
          <w:lang w:val="en-AU"/>
        </w:rPr>
      </w:pPr>
      <w:bookmarkStart w:id="229" w:name="_CTVL001e848201663944d4d9b9baaf1f5124312"/>
      <w:r w:rsidRPr="007E252F">
        <w:rPr>
          <w:lang w:val="en-AU"/>
        </w:rPr>
        <w:t xml:space="preserve">FSANZ (2021) Microbiological assessment of berries, leafy vegetables and melons. </w:t>
      </w:r>
      <w:hyperlink r:id="rId48" w:history="1">
        <w:r w:rsidRPr="007E252F">
          <w:rPr>
            <w:color w:val="3333FF"/>
            <w:u w:val="single"/>
            <w:lang w:val="en-AU"/>
          </w:rPr>
          <w:t>www.foodstandards.gov.au/code/proposals/Documents/SD2%20FINAL_2nd%20CFS%20Micro%20RA%20P1052%20with%20appendices_ref%20unlinked.pdf</w:t>
        </w:r>
      </w:hyperlink>
      <w:r w:rsidRPr="007E252F">
        <w:rPr>
          <w:lang w:val="en-AU"/>
        </w:rPr>
        <w:t>. Accessed 22 November 2021.</w:t>
      </w:r>
    </w:p>
    <w:p w14:paraId="634AB6F5" w14:textId="77777777" w:rsidR="007E252F" w:rsidRPr="007E252F" w:rsidRDefault="007E252F" w:rsidP="007E252F">
      <w:pPr>
        <w:widowControl/>
        <w:tabs>
          <w:tab w:val="left" w:pos="397"/>
        </w:tabs>
        <w:ind w:left="397" w:hanging="397"/>
        <w:rPr>
          <w:lang w:val="en-AU"/>
        </w:rPr>
      </w:pPr>
      <w:r w:rsidRPr="007E252F">
        <w:rPr>
          <w:lang w:val="en-AU"/>
        </w:rPr>
        <w:t>Getahun A, Rafai E, Tolosa MX, Dawainavesi A, Tabua AM, Tabua J. (2015) Hepatitis A outbreak in Ba subdivision, Fiji, October-December 2013. Western Pac Surveill Response J. 6(2):32-6.</w:t>
      </w:r>
    </w:p>
    <w:p w14:paraId="4459BBF5" w14:textId="77777777" w:rsidR="007E252F" w:rsidRPr="007E252F" w:rsidRDefault="007E252F" w:rsidP="007E252F">
      <w:pPr>
        <w:widowControl/>
        <w:tabs>
          <w:tab w:val="left" w:pos="397"/>
        </w:tabs>
        <w:ind w:left="397" w:hanging="397"/>
        <w:rPr>
          <w:lang w:val="en-AU"/>
        </w:rPr>
      </w:pPr>
      <w:r w:rsidRPr="007E252F">
        <w:rPr>
          <w:lang w:val="en-AU"/>
        </w:rPr>
        <w:t xml:space="preserve">Government of Tonga (2020). </w:t>
      </w:r>
      <w:bookmarkEnd w:id="229"/>
      <w:r w:rsidRPr="007E252F">
        <w:rPr>
          <w:i/>
          <w:lang w:val="en-AU"/>
        </w:rPr>
        <w:t>Tonga Kava Quality Standard</w:t>
      </w:r>
      <w:r w:rsidRPr="007E252F">
        <w:rPr>
          <w:lang w:val="en-AU"/>
        </w:rPr>
        <w:t xml:space="preserve">. Pacific Horticulture &amp; Agriculture market Access Program. </w:t>
      </w:r>
      <w:hyperlink r:id="rId49" w:history="1">
        <w:r w:rsidRPr="007E252F">
          <w:rPr>
            <w:color w:val="3333FF"/>
            <w:u w:val="single"/>
            <w:lang w:val="en-AU"/>
          </w:rPr>
          <w:t>https://phamaplus.com.au/wp-content/uploads/2020/06/Tonga_Kava_Quality_Standard_Final_e-copy-1.pdf</w:t>
        </w:r>
      </w:hyperlink>
    </w:p>
    <w:p w14:paraId="418C6F82" w14:textId="77777777" w:rsidR="007E252F" w:rsidRPr="007E252F" w:rsidRDefault="007E252F" w:rsidP="007E252F">
      <w:pPr>
        <w:widowControl/>
        <w:tabs>
          <w:tab w:val="left" w:pos="397"/>
        </w:tabs>
        <w:ind w:left="397" w:hanging="397"/>
        <w:rPr>
          <w:lang w:val="en-AU"/>
        </w:rPr>
      </w:pPr>
      <w:bookmarkStart w:id="230" w:name="_CTVL001c4ec30c031c3456e94e78f84e8e02009"/>
      <w:r w:rsidRPr="007E252F">
        <w:rPr>
          <w:lang w:val="en-AU"/>
        </w:rPr>
        <w:t xml:space="preserve">Grace, R. (2005). Kava-induced urticaria. </w:t>
      </w:r>
      <w:bookmarkEnd w:id="230"/>
      <w:r w:rsidRPr="007E252F">
        <w:rPr>
          <w:i/>
          <w:lang w:val="en-AU"/>
        </w:rPr>
        <w:t>Journal of the American Academy of Dermatology</w:t>
      </w:r>
      <w:r w:rsidRPr="007E252F">
        <w:rPr>
          <w:lang w:val="en-AU"/>
        </w:rPr>
        <w:t xml:space="preserve">, </w:t>
      </w:r>
      <w:r w:rsidRPr="007E252F">
        <w:rPr>
          <w:i/>
          <w:lang w:val="en-AU"/>
        </w:rPr>
        <w:t>53</w:t>
      </w:r>
      <w:r w:rsidRPr="007E252F">
        <w:rPr>
          <w:lang w:val="en-AU"/>
        </w:rPr>
        <w:t xml:space="preserve">(5), 906. </w:t>
      </w:r>
      <w:hyperlink r:id="rId50" w:history="1">
        <w:r w:rsidRPr="007E252F">
          <w:rPr>
            <w:color w:val="3333FF"/>
            <w:u w:val="single"/>
            <w:lang w:val="en-AU"/>
          </w:rPr>
          <w:t>https://doi.org/10.1016/j.jaad.2005.04.068</w:t>
        </w:r>
      </w:hyperlink>
    </w:p>
    <w:p w14:paraId="439EAF55" w14:textId="77777777" w:rsidR="007E252F" w:rsidRPr="007E252F" w:rsidRDefault="007E252F" w:rsidP="007E252F">
      <w:pPr>
        <w:widowControl/>
        <w:tabs>
          <w:tab w:val="left" w:pos="397"/>
        </w:tabs>
        <w:ind w:left="397" w:hanging="397"/>
        <w:rPr>
          <w:lang w:val="en-AU"/>
        </w:rPr>
      </w:pPr>
      <w:bookmarkStart w:id="231" w:name="_CTVL0012ec053b98fbe46d0be7d9c95dac28ce9"/>
      <w:r w:rsidRPr="007E252F">
        <w:rPr>
          <w:lang w:val="en-AU"/>
        </w:rPr>
        <w:t xml:space="preserve">Grace, R. F. (2003). Kava drinking in Vanuatu—a hospital based survey. </w:t>
      </w:r>
      <w:bookmarkEnd w:id="231"/>
      <w:r w:rsidRPr="007E252F">
        <w:rPr>
          <w:i/>
          <w:lang w:val="en-AU"/>
        </w:rPr>
        <w:t>Pacific Health Dialog</w:t>
      </w:r>
      <w:r w:rsidRPr="007E252F">
        <w:rPr>
          <w:lang w:val="en-AU"/>
        </w:rPr>
        <w:t xml:space="preserve">, </w:t>
      </w:r>
      <w:r w:rsidRPr="007E252F">
        <w:rPr>
          <w:i/>
          <w:lang w:val="en-AU"/>
        </w:rPr>
        <w:t>10</w:t>
      </w:r>
      <w:r w:rsidRPr="007E252F">
        <w:rPr>
          <w:lang w:val="en-AU"/>
        </w:rPr>
        <w:t>(2), 41–44.</w:t>
      </w:r>
    </w:p>
    <w:p w14:paraId="39B9394E" w14:textId="77777777" w:rsidR="007E252F" w:rsidRPr="007E252F" w:rsidRDefault="007E252F" w:rsidP="007E252F">
      <w:pPr>
        <w:widowControl/>
        <w:tabs>
          <w:tab w:val="left" w:pos="397"/>
        </w:tabs>
        <w:ind w:left="397" w:hanging="397"/>
        <w:rPr>
          <w:lang w:val="en-AU"/>
        </w:rPr>
      </w:pPr>
      <w:bookmarkStart w:id="232" w:name="_CTVL001166df1d3893c487c86f5a82ed060e637"/>
      <w:r w:rsidRPr="007E252F">
        <w:rPr>
          <w:lang w:val="en-AU"/>
        </w:rPr>
        <w:t xml:space="preserve">Hannam, S., Murray, M., Romani, L., Tuicakau, M., &amp; J Whitfeld, M. (2014). Kava dermopathy in Fiji: An acquired ichthyosis? </w:t>
      </w:r>
      <w:bookmarkEnd w:id="232"/>
      <w:r w:rsidRPr="007E252F">
        <w:rPr>
          <w:i/>
          <w:lang w:val="en-AU"/>
        </w:rPr>
        <w:t>International Journal of Dermatology</w:t>
      </w:r>
      <w:r w:rsidRPr="007E252F">
        <w:rPr>
          <w:lang w:val="en-AU"/>
        </w:rPr>
        <w:t xml:space="preserve">, </w:t>
      </w:r>
      <w:r w:rsidRPr="007E252F">
        <w:rPr>
          <w:i/>
          <w:lang w:val="en-AU"/>
        </w:rPr>
        <w:t>53</w:t>
      </w:r>
      <w:r w:rsidRPr="007E252F">
        <w:rPr>
          <w:lang w:val="en-AU"/>
        </w:rPr>
        <w:t xml:space="preserve">(12), 1490–1494. </w:t>
      </w:r>
      <w:hyperlink r:id="rId51" w:history="1">
        <w:r w:rsidRPr="007E252F">
          <w:rPr>
            <w:color w:val="3333FF"/>
            <w:u w:val="single"/>
            <w:lang w:val="en-AU"/>
          </w:rPr>
          <w:t>https://doi.org/10.1111/ijd.12546</w:t>
        </w:r>
      </w:hyperlink>
    </w:p>
    <w:p w14:paraId="11D82E9E" w14:textId="77777777" w:rsidR="007E252F" w:rsidRPr="007E252F" w:rsidRDefault="007E252F" w:rsidP="007E252F">
      <w:pPr>
        <w:widowControl/>
        <w:tabs>
          <w:tab w:val="left" w:pos="397"/>
        </w:tabs>
        <w:ind w:left="397" w:hanging="397"/>
        <w:rPr>
          <w:lang w:val="en-AU"/>
        </w:rPr>
      </w:pPr>
      <w:bookmarkStart w:id="233" w:name="_CTVL001e3da6de6947b477b8b4598647fb5c74f"/>
      <w:r w:rsidRPr="007E252F">
        <w:rPr>
          <w:lang w:val="en-AU"/>
        </w:rPr>
        <w:t xml:space="preserve">Jhoo, J.-W., Ang, C. Y. W., Heinze, T. M., Deck, J., Schnackenberg, L. K., Beger, R. D., Dragull, K., &amp; Tang, C.-S. (2007). Identification of C-glycoside flavonoids as potential mutagenic compounds in kava. </w:t>
      </w:r>
      <w:bookmarkEnd w:id="233"/>
      <w:r w:rsidRPr="007E252F">
        <w:rPr>
          <w:i/>
          <w:lang w:val="en-AU"/>
        </w:rPr>
        <w:t>Journal of Food Science</w:t>
      </w:r>
      <w:r w:rsidRPr="007E252F">
        <w:rPr>
          <w:lang w:val="en-AU"/>
        </w:rPr>
        <w:t xml:space="preserve">, </w:t>
      </w:r>
      <w:r w:rsidRPr="007E252F">
        <w:rPr>
          <w:i/>
          <w:lang w:val="en-AU"/>
        </w:rPr>
        <w:t>72</w:t>
      </w:r>
      <w:r w:rsidRPr="007E252F">
        <w:rPr>
          <w:lang w:val="en-AU"/>
        </w:rPr>
        <w:t xml:space="preserve">(2), C120-5. </w:t>
      </w:r>
      <w:hyperlink r:id="rId52" w:history="1">
        <w:r w:rsidRPr="007E252F">
          <w:rPr>
            <w:color w:val="3333FF"/>
            <w:u w:val="single"/>
            <w:lang w:val="en-AU"/>
          </w:rPr>
          <w:t>https://doi.org/10.1111/j.1750-3841.2007.00278.x</w:t>
        </w:r>
      </w:hyperlink>
    </w:p>
    <w:p w14:paraId="2D812F9A" w14:textId="77777777" w:rsidR="007E252F" w:rsidRPr="007E252F" w:rsidRDefault="007E252F" w:rsidP="007E252F">
      <w:pPr>
        <w:widowControl/>
        <w:tabs>
          <w:tab w:val="left" w:pos="397"/>
        </w:tabs>
        <w:ind w:left="397" w:hanging="397"/>
        <w:rPr>
          <w:lang w:val="en-AU"/>
        </w:rPr>
      </w:pPr>
      <w:bookmarkStart w:id="234" w:name="_CTVL001ef8b895e151442f680588614784463f2"/>
      <w:r w:rsidRPr="007E252F">
        <w:rPr>
          <w:lang w:val="en-AU"/>
        </w:rPr>
        <w:t xml:space="preserve">Jowitt, A., &amp; Binihi, J. (2001). The commercialisation of kava in Vanuatu. </w:t>
      </w:r>
      <w:bookmarkEnd w:id="234"/>
      <w:r w:rsidRPr="007E252F">
        <w:rPr>
          <w:i/>
          <w:lang w:val="en-AU"/>
        </w:rPr>
        <w:t>Pacific Health Dialog</w:t>
      </w:r>
      <w:r w:rsidRPr="007E252F">
        <w:rPr>
          <w:lang w:val="en-AU"/>
        </w:rPr>
        <w:t xml:space="preserve">, </w:t>
      </w:r>
      <w:r w:rsidRPr="007E252F">
        <w:rPr>
          <w:i/>
          <w:lang w:val="en-AU"/>
        </w:rPr>
        <w:t>8</w:t>
      </w:r>
      <w:r w:rsidRPr="007E252F">
        <w:rPr>
          <w:lang w:val="en-AU"/>
        </w:rPr>
        <w:t>(1), 29–37.</w:t>
      </w:r>
    </w:p>
    <w:p w14:paraId="500BF65E" w14:textId="77777777" w:rsidR="007E252F" w:rsidRPr="007E252F" w:rsidRDefault="007E252F" w:rsidP="007E252F">
      <w:pPr>
        <w:widowControl/>
        <w:tabs>
          <w:tab w:val="left" w:pos="397"/>
        </w:tabs>
        <w:ind w:left="397" w:hanging="397"/>
        <w:rPr>
          <w:lang w:val="en-AU"/>
        </w:rPr>
      </w:pPr>
      <w:bookmarkStart w:id="235" w:name="_CTVL001c1418b358ff24ab6a39194f8b1364c12"/>
      <w:r w:rsidRPr="007E252F">
        <w:rPr>
          <w:lang w:val="en-AU"/>
        </w:rPr>
        <w:t xml:space="preserve">Kandukuru, P., Huang, A. S., Dong, J., Bittenbender, H. C., &amp; Li, Y. (2009). Rapid identification of bacterial isolates from aqueous kava (Piper methysticum) extracts by polymerase chain reaction and DNA sequencing. </w:t>
      </w:r>
      <w:bookmarkEnd w:id="235"/>
      <w:r w:rsidRPr="007E252F">
        <w:rPr>
          <w:i/>
          <w:lang w:val="en-AU"/>
        </w:rPr>
        <w:t>Letters in Applied Microbiology</w:t>
      </w:r>
      <w:r w:rsidRPr="007E252F">
        <w:rPr>
          <w:lang w:val="en-AU"/>
        </w:rPr>
        <w:t xml:space="preserve">, </w:t>
      </w:r>
      <w:r w:rsidRPr="007E252F">
        <w:rPr>
          <w:i/>
          <w:lang w:val="en-AU"/>
        </w:rPr>
        <w:t>49</w:t>
      </w:r>
      <w:r w:rsidRPr="007E252F">
        <w:rPr>
          <w:lang w:val="en-AU"/>
        </w:rPr>
        <w:t xml:space="preserve">(6), 764–768. </w:t>
      </w:r>
      <w:hyperlink r:id="rId53" w:history="1">
        <w:r w:rsidRPr="007E252F">
          <w:rPr>
            <w:color w:val="3333FF"/>
            <w:u w:val="single"/>
            <w:lang w:val="en-AU"/>
          </w:rPr>
          <w:t>https://doi.org/10.1111/j.1472-765X.2009.02739.x</w:t>
        </w:r>
      </w:hyperlink>
    </w:p>
    <w:p w14:paraId="75F762AA" w14:textId="77777777" w:rsidR="007E252F" w:rsidRPr="007E252F" w:rsidRDefault="007E252F" w:rsidP="007E252F">
      <w:pPr>
        <w:widowControl/>
        <w:tabs>
          <w:tab w:val="left" w:pos="397"/>
        </w:tabs>
        <w:ind w:left="397" w:hanging="397"/>
        <w:rPr>
          <w:lang w:val="en-AU"/>
        </w:rPr>
      </w:pPr>
      <w:bookmarkStart w:id="236" w:name="_CTVL001d778a6920390417ca3dbe043e21d715c"/>
      <w:r w:rsidRPr="007E252F">
        <w:rPr>
          <w:lang w:val="en-AU"/>
        </w:rPr>
        <w:t xml:space="preserve">Kava Act 2002 (Commencement (2008)). </w:t>
      </w:r>
      <w:bookmarkEnd w:id="236"/>
      <w:r w:rsidRPr="007E252F">
        <w:rPr>
          <w:i/>
          <w:lang w:val="en-AU"/>
        </w:rPr>
        <w:t>Republic of Vanuatu</w:t>
      </w:r>
      <w:r w:rsidRPr="007E252F">
        <w:rPr>
          <w:lang w:val="en-AU"/>
        </w:rPr>
        <w:t xml:space="preserve">. Port Vila. </w:t>
      </w:r>
      <w:hyperlink r:id="rId54" w:history="1">
        <w:r w:rsidRPr="007E252F">
          <w:rPr>
            <w:color w:val="3333FF"/>
            <w:u w:val="single"/>
            <w:lang w:val="en-AU"/>
          </w:rPr>
          <w:t>https://biosecurity.gov.vu/images/Export/kava-act-2002.pdf</w:t>
        </w:r>
      </w:hyperlink>
    </w:p>
    <w:p w14:paraId="2E9110E4" w14:textId="77777777" w:rsidR="007E252F" w:rsidRPr="007E252F" w:rsidRDefault="007E252F" w:rsidP="007E252F">
      <w:pPr>
        <w:widowControl/>
        <w:tabs>
          <w:tab w:val="left" w:pos="397"/>
        </w:tabs>
        <w:ind w:left="397" w:hanging="397"/>
        <w:rPr>
          <w:lang w:val="en-AU"/>
        </w:rPr>
      </w:pPr>
      <w:bookmarkStart w:id="237" w:name="_CTVL0010fdf1cf4c00f4ca8af87658ba4cc13c5"/>
      <w:r w:rsidRPr="007E252F">
        <w:rPr>
          <w:lang w:val="en-AU"/>
        </w:rPr>
        <w:t xml:space="preserve">Keledjian, J., Duffield, P. H., Jamieson, D. D., Lidgard, R. O., &amp; Duffield, A. M. (1988). Uptake into mouse brain of four compounds present in the psychoactive beverage kava. </w:t>
      </w:r>
      <w:bookmarkEnd w:id="237"/>
      <w:r w:rsidRPr="007E252F">
        <w:rPr>
          <w:i/>
          <w:lang w:val="en-AU"/>
        </w:rPr>
        <w:t>Journal of Pharmaceutical Sciences</w:t>
      </w:r>
      <w:r w:rsidRPr="007E252F">
        <w:rPr>
          <w:lang w:val="en-AU"/>
        </w:rPr>
        <w:t xml:space="preserve">, </w:t>
      </w:r>
      <w:r w:rsidRPr="007E252F">
        <w:rPr>
          <w:i/>
          <w:lang w:val="en-AU"/>
        </w:rPr>
        <w:t>77</w:t>
      </w:r>
      <w:r w:rsidRPr="007E252F">
        <w:rPr>
          <w:lang w:val="en-AU"/>
        </w:rPr>
        <w:t xml:space="preserve">(12), 1003–1006. </w:t>
      </w:r>
      <w:hyperlink r:id="rId55" w:history="1">
        <w:r w:rsidRPr="007E252F">
          <w:rPr>
            <w:color w:val="3333FF"/>
            <w:u w:val="single"/>
            <w:lang w:val="en-AU"/>
          </w:rPr>
          <w:t>https://doi.org/10.1002/jps.2600771203</w:t>
        </w:r>
      </w:hyperlink>
    </w:p>
    <w:p w14:paraId="0E41BB7F" w14:textId="77777777" w:rsidR="007E252F" w:rsidRPr="007E252F" w:rsidRDefault="007E252F" w:rsidP="007E252F">
      <w:pPr>
        <w:widowControl/>
        <w:tabs>
          <w:tab w:val="left" w:pos="397"/>
        </w:tabs>
        <w:ind w:left="397" w:hanging="397"/>
        <w:rPr>
          <w:lang w:val="en-AU"/>
        </w:rPr>
      </w:pPr>
      <w:bookmarkStart w:id="238" w:name="_CTVL001760d0307e0334ce99edbf94ec9ab9083"/>
      <w:r w:rsidRPr="007E252F">
        <w:rPr>
          <w:lang w:val="en-AU"/>
        </w:rPr>
        <w:t xml:space="preserve">LaPorte, E., Sarris, J., Stough, C., &amp; Scholey, A. (2011). Neurocognitive effects of kava (Piper methysticum): A systematic review. </w:t>
      </w:r>
      <w:bookmarkEnd w:id="238"/>
      <w:r w:rsidRPr="007E252F">
        <w:rPr>
          <w:i/>
          <w:lang w:val="en-AU"/>
        </w:rPr>
        <w:t>Human Psychopharmacology</w:t>
      </w:r>
      <w:r w:rsidRPr="007E252F">
        <w:rPr>
          <w:lang w:val="en-AU"/>
        </w:rPr>
        <w:t xml:space="preserve">, </w:t>
      </w:r>
      <w:r w:rsidRPr="007E252F">
        <w:rPr>
          <w:i/>
          <w:lang w:val="en-AU"/>
        </w:rPr>
        <w:t>26</w:t>
      </w:r>
      <w:r w:rsidRPr="007E252F">
        <w:rPr>
          <w:lang w:val="en-AU"/>
        </w:rPr>
        <w:t xml:space="preserve">(2), 102–111. </w:t>
      </w:r>
      <w:hyperlink r:id="rId56" w:history="1">
        <w:r w:rsidRPr="007E252F">
          <w:rPr>
            <w:color w:val="3333FF"/>
            <w:u w:val="single"/>
            <w:lang w:val="en-AU"/>
          </w:rPr>
          <w:t>https://doi.org/10.1002/hup.1180</w:t>
        </w:r>
      </w:hyperlink>
    </w:p>
    <w:p w14:paraId="0AC2A140" w14:textId="77777777" w:rsidR="007E252F" w:rsidRPr="007E252F" w:rsidRDefault="007E252F" w:rsidP="007E252F">
      <w:pPr>
        <w:widowControl/>
        <w:tabs>
          <w:tab w:val="left" w:pos="397"/>
        </w:tabs>
        <w:ind w:left="397" w:hanging="397"/>
        <w:rPr>
          <w:lang w:val="en-AU"/>
        </w:rPr>
      </w:pPr>
      <w:bookmarkStart w:id="239" w:name="_CTVL0014705d22bc74a4fda857cc5d9536c15cf"/>
      <w:r w:rsidRPr="007E252F">
        <w:rPr>
          <w:lang w:val="en-AU"/>
        </w:rPr>
        <w:lastRenderedPageBreak/>
        <w:t xml:space="preserve">Lebot, V., Do, T. K. T., &amp; Legendre, L. (2014). Detection of flavokavins (A, B, C) in cultivars of kava (Piper methysticum) using high performance thin layer chromatography (HPTLC). </w:t>
      </w:r>
      <w:bookmarkEnd w:id="239"/>
      <w:r w:rsidRPr="007E252F">
        <w:rPr>
          <w:i/>
          <w:lang w:val="en-AU"/>
        </w:rPr>
        <w:t>Food Chemistry</w:t>
      </w:r>
      <w:r w:rsidRPr="007E252F">
        <w:rPr>
          <w:lang w:val="en-AU"/>
        </w:rPr>
        <w:t xml:space="preserve">, </w:t>
      </w:r>
      <w:r w:rsidRPr="007E252F">
        <w:rPr>
          <w:i/>
          <w:lang w:val="en-AU"/>
        </w:rPr>
        <w:t>151</w:t>
      </w:r>
      <w:r w:rsidRPr="007E252F">
        <w:rPr>
          <w:lang w:val="en-AU"/>
        </w:rPr>
        <w:t xml:space="preserve">, 554–560. </w:t>
      </w:r>
      <w:hyperlink r:id="rId57" w:history="1">
        <w:r w:rsidRPr="007E252F">
          <w:rPr>
            <w:color w:val="3333FF"/>
            <w:u w:val="single"/>
            <w:lang w:val="en-AU"/>
          </w:rPr>
          <w:t>https://doi.org/10.1016/j.foodchem.2013.11.120</w:t>
        </w:r>
      </w:hyperlink>
    </w:p>
    <w:p w14:paraId="67B0CADF" w14:textId="77777777" w:rsidR="007E252F" w:rsidRPr="007E252F" w:rsidRDefault="007E252F" w:rsidP="007E252F">
      <w:pPr>
        <w:widowControl/>
        <w:tabs>
          <w:tab w:val="left" w:pos="397"/>
        </w:tabs>
        <w:ind w:left="397" w:hanging="397"/>
        <w:rPr>
          <w:lang w:val="en-AU"/>
        </w:rPr>
      </w:pPr>
      <w:bookmarkStart w:id="240" w:name="_CTVL0016d029580251e4d1898eba77a5513a385"/>
      <w:r w:rsidRPr="007E252F">
        <w:rPr>
          <w:lang w:val="en-AU"/>
        </w:rPr>
        <w:t xml:space="preserve">Lebot, V., &amp; Lèvesque, J. (1989). </w:t>
      </w:r>
      <w:bookmarkEnd w:id="240"/>
      <w:r w:rsidRPr="007E252F">
        <w:rPr>
          <w:i/>
          <w:lang w:val="en-AU"/>
        </w:rPr>
        <w:t>The origin and distribution of kava (Piper methysticum Forst. F., piperaceae): a phytochemical approach</w:t>
      </w:r>
      <w:r w:rsidRPr="007E252F">
        <w:rPr>
          <w:lang w:val="en-AU"/>
        </w:rPr>
        <w:t xml:space="preserve"> (Vol. 5). </w:t>
      </w:r>
      <w:hyperlink r:id="rId58" w:history="1">
        <w:r w:rsidRPr="007E252F">
          <w:rPr>
            <w:color w:val="3333FF"/>
            <w:u w:val="single"/>
            <w:lang w:val="en-AU"/>
          </w:rPr>
          <w:t>http://www.jstor.org/stable/23187398</w:t>
        </w:r>
      </w:hyperlink>
      <w:r w:rsidRPr="007E252F">
        <w:rPr>
          <w:lang w:val="en-AU"/>
        </w:rPr>
        <w:t xml:space="preserve">. </w:t>
      </w:r>
    </w:p>
    <w:p w14:paraId="0463B6D0" w14:textId="77777777" w:rsidR="007E252F" w:rsidRPr="007E252F" w:rsidRDefault="007E252F" w:rsidP="007E252F">
      <w:pPr>
        <w:widowControl/>
        <w:tabs>
          <w:tab w:val="left" w:pos="397"/>
        </w:tabs>
        <w:ind w:left="397" w:hanging="397"/>
        <w:rPr>
          <w:lang w:val="en-AU"/>
        </w:rPr>
      </w:pPr>
      <w:bookmarkStart w:id="241" w:name="_CTVL001b68a6d0343ae430ea517ac4108247a5c"/>
      <w:r w:rsidRPr="007E252F">
        <w:rPr>
          <w:lang w:val="en-AU"/>
        </w:rPr>
        <w:t xml:space="preserve">Lebot, V., &amp; Lèvesque, J. (1996). Genetic control of kavalactone chemotypes in Piper methysticum cultivars. </w:t>
      </w:r>
      <w:bookmarkEnd w:id="241"/>
      <w:r w:rsidRPr="007E252F">
        <w:rPr>
          <w:i/>
          <w:lang w:val="en-AU"/>
        </w:rPr>
        <w:t>Phytochemistry</w:t>
      </w:r>
      <w:r w:rsidRPr="007E252F">
        <w:rPr>
          <w:lang w:val="en-AU"/>
        </w:rPr>
        <w:t xml:space="preserve">, </w:t>
      </w:r>
      <w:r w:rsidRPr="007E252F">
        <w:rPr>
          <w:i/>
          <w:lang w:val="en-AU"/>
        </w:rPr>
        <w:t>43</w:t>
      </w:r>
      <w:r w:rsidRPr="007E252F">
        <w:rPr>
          <w:lang w:val="en-AU"/>
        </w:rPr>
        <w:t xml:space="preserve">(2), 397–403. </w:t>
      </w:r>
      <w:hyperlink r:id="rId59" w:history="1">
        <w:r w:rsidRPr="007E252F">
          <w:rPr>
            <w:color w:val="3333FF"/>
            <w:u w:val="single"/>
            <w:lang w:val="en-AU"/>
          </w:rPr>
          <w:t>https://doi.org/10.1016/0031-9422(96)00209-9</w:t>
        </w:r>
      </w:hyperlink>
    </w:p>
    <w:p w14:paraId="00690F53" w14:textId="77777777" w:rsidR="007E252F" w:rsidRPr="007E252F" w:rsidRDefault="007E252F" w:rsidP="007E252F">
      <w:pPr>
        <w:widowControl/>
        <w:tabs>
          <w:tab w:val="left" w:pos="397"/>
        </w:tabs>
        <w:ind w:left="397" w:hanging="397"/>
        <w:rPr>
          <w:lang w:val="en-AU"/>
        </w:rPr>
      </w:pPr>
      <w:bookmarkStart w:id="242" w:name="_CTVL0018d68b14e031a42ffbd63114cb09b537f"/>
      <w:r w:rsidRPr="007E252F">
        <w:rPr>
          <w:lang w:val="en-AU"/>
        </w:rPr>
        <w:t xml:space="preserve">Lebot, V., Merlin, M., &amp; Lindstrom, L. (1992). </w:t>
      </w:r>
      <w:bookmarkEnd w:id="242"/>
      <w:r w:rsidRPr="007E252F">
        <w:rPr>
          <w:i/>
          <w:lang w:val="en-AU"/>
        </w:rPr>
        <w:t>Kava: The Pacific Drug</w:t>
      </w:r>
      <w:r w:rsidRPr="007E252F">
        <w:rPr>
          <w:lang w:val="en-AU"/>
        </w:rPr>
        <w:t xml:space="preserve">. Yale University Press. </w:t>
      </w:r>
      <w:hyperlink r:id="rId60" w:history="1">
        <w:r w:rsidRPr="007E252F">
          <w:rPr>
            <w:color w:val="3333FF"/>
            <w:u w:val="single"/>
            <w:lang w:val="en-AU"/>
          </w:rPr>
          <w:t>https://doi.org/10.2307/j.ctt211qwxb</w:t>
        </w:r>
      </w:hyperlink>
    </w:p>
    <w:p w14:paraId="597D9ABF" w14:textId="77777777" w:rsidR="007E252F" w:rsidRPr="007E252F" w:rsidRDefault="007E252F" w:rsidP="007E252F">
      <w:pPr>
        <w:widowControl/>
        <w:tabs>
          <w:tab w:val="left" w:pos="397"/>
        </w:tabs>
        <w:ind w:left="397" w:hanging="397"/>
        <w:rPr>
          <w:lang w:val="en-AU"/>
        </w:rPr>
      </w:pPr>
      <w:bookmarkStart w:id="243" w:name="_CTVL00107cc83db00224c6ca6e23494a32854d2"/>
      <w:r w:rsidRPr="007E252F">
        <w:rPr>
          <w:lang w:val="en-AU"/>
        </w:rPr>
        <w:t xml:space="preserve">Lebot, V., Merlin, M. D., &amp; Lindstrom, L. (1997). </w:t>
      </w:r>
      <w:bookmarkEnd w:id="243"/>
      <w:r w:rsidRPr="007E252F">
        <w:rPr>
          <w:i/>
          <w:lang w:val="en-AU"/>
        </w:rPr>
        <w:t>Kava: The Pacific elixir : the definitive guide to its ethnobotany, history and chemistry /  Vincent Lebot, Mark Merlin and Lamont Lindstrom</w:t>
      </w:r>
      <w:r w:rsidRPr="007E252F">
        <w:rPr>
          <w:lang w:val="en-AU"/>
        </w:rPr>
        <w:t xml:space="preserve">. Healing Arts Press. </w:t>
      </w:r>
    </w:p>
    <w:p w14:paraId="42A6890C" w14:textId="77777777" w:rsidR="007E252F" w:rsidRPr="007E252F" w:rsidRDefault="007E252F" w:rsidP="007E252F">
      <w:pPr>
        <w:widowControl/>
        <w:tabs>
          <w:tab w:val="left" w:pos="397"/>
        </w:tabs>
        <w:ind w:left="397" w:hanging="397"/>
        <w:rPr>
          <w:lang w:val="en-AU"/>
        </w:rPr>
      </w:pPr>
      <w:bookmarkStart w:id="244" w:name="_CTVL001d7d2d1e87d7f414194dab94ee4761243"/>
      <w:r w:rsidRPr="007E252F">
        <w:rPr>
          <w:lang w:val="en-AU"/>
        </w:rPr>
        <w:t xml:space="preserve">Lechtenberg, M., Quandt, B., Schmidt, M., &amp; Nahrstedt, A. (2008). Is the alkaloid pipermethystine connected with the claimed liver toxicity of Kava products? </w:t>
      </w:r>
      <w:bookmarkEnd w:id="244"/>
      <w:r w:rsidRPr="007E252F">
        <w:rPr>
          <w:i/>
          <w:lang w:val="en-AU"/>
        </w:rPr>
        <w:t>Die Pharmazie</w:t>
      </w:r>
      <w:r w:rsidRPr="007E252F">
        <w:rPr>
          <w:lang w:val="en-AU"/>
        </w:rPr>
        <w:t xml:space="preserve">, </w:t>
      </w:r>
      <w:r w:rsidRPr="007E252F">
        <w:rPr>
          <w:i/>
          <w:lang w:val="en-AU"/>
        </w:rPr>
        <w:t>63</w:t>
      </w:r>
      <w:r w:rsidRPr="007E252F">
        <w:rPr>
          <w:lang w:val="en-AU"/>
        </w:rPr>
        <w:t>(1), 71–74.</w:t>
      </w:r>
    </w:p>
    <w:p w14:paraId="09E47CA9" w14:textId="77777777" w:rsidR="007E252F" w:rsidRPr="007E252F" w:rsidRDefault="007E252F" w:rsidP="007E252F">
      <w:pPr>
        <w:widowControl/>
        <w:tabs>
          <w:tab w:val="left" w:pos="397"/>
        </w:tabs>
        <w:ind w:left="397" w:hanging="397"/>
        <w:rPr>
          <w:lang w:val="en-AU"/>
        </w:rPr>
      </w:pPr>
      <w:bookmarkStart w:id="245" w:name="_CTVL001de4a543c08e64807abcc8fe1065eca65"/>
      <w:r w:rsidRPr="007E252F">
        <w:rPr>
          <w:lang w:val="en-AU"/>
        </w:rPr>
        <w:t xml:space="preserve">Li, X. Z., &amp; Ramzan, I. (2010). Role of ethanol in kava hepatotoxicity. </w:t>
      </w:r>
      <w:bookmarkEnd w:id="245"/>
      <w:r w:rsidRPr="007E252F">
        <w:rPr>
          <w:i/>
          <w:lang w:val="en-AU"/>
        </w:rPr>
        <w:t>Phytotherapy Research : PTR</w:t>
      </w:r>
      <w:r w:rsidRPr="007E252F">
        <w:rPr>
          <w:lang w:val="en-AU"/>
        </w:rPr>
        <w:t xml:space="preserve">, </w:t>
      </w:r>
      <w:r w:rsidRPr="007E252F">
        <w:rPr>
          <w:i/>
          <w:lang w:val="en-AU"/>
        </w:rPr>
        <w:t>24</w:t>
      </w:r>
      <w:r w:rsidRPr="007E252F">
        <w:rPr>
          <w:lang w:val="en-AU"/>
        </w:rPr>
        <w:t xml:space="preserve">(4), 475–480. </w:t>
      </w:r>
      <w:hyperlink r:id="rId61" w:history="1">
        <w:r w:rsidRPr="007E252F">
          <w:rPr>
            <w:color w:val="3333FF"/>
            <w:u w:val="single"/>
            <w:lang w:val="en-AU"/>
          </w:rPr>
          <w:t>https://doi.org/10.1002/ptr.3046</w:t>
        </w:r>
      </w:hyperlink>
    </w:p>
    <w:p w14:paraId="1D8F1712" w14:textId="77777777" w:rsidR="007E252F" w:rsidRPr="007E252F" w:rsidRDefault="007E252F" w:rsidP="007E252F">
      <w:pPr>
        <w:widowControl/>
        <w:tabs>
          <w:tab w:val="left" w:pos="397"/>
        </w:tabs>
        <w:ind w:left="397" w:hanging="397"/>
        <w:rPr>
          <w:lang w:val="en-AU"/>
        </w:rPr>
      </w:pPr>
      <w:bookmarkStart w:id="246" w:name="_CTVL0015ebaa7648ec54f4a953ec18f9c402f38"/>
      <w:r w:rsidRPr="007E252F">
        <w:rPr>
          <w:lang w:val="en-AU"/>
        </w:rPr>
        <w:t xml:space="preserve">Li, X., Xu, X., Ji, T., Liu, Z., Gu, M., Hoang, B. H., &amp; Zi, X. (2014). Dietary feeding of Flavokawain A, a Kava chalcone, exhibits a satisfactory safety profile and its association with enhancement of phase II enzymes in mice. </w:t>
      </w:r>
      <w:bookmarkEnd w:id="246"/>
      <w:r w:rsidRPr="007E252F">
        <w:rPr>
          <w:i/>
          <w:lang w:val="en-AU"/>
        </w:rPr>
        <w:t>Toxicology Reports</w:t>
      </w:r>
      <w:r w:rsidRPr="007E252F">
        <w:rPr>
          <w:lang w:val="en-AU"/>
        </w:rPr>
        <w:t xml:space="preserve">, </w:t>
      </w:r>
      <w:r w:rsidRPr="007E252F">
        <w:rPr>
          <w:i/>
          <w:lang w:val="en-AU"/>
        </w:rPr>
        <w:t>1</w:t>
      </w:r>
      <w:r w:rsidRPr="007E252F">
        <w:rPr>
          <w:lang w:val="en-AU"/>
        </w:rPr>
        <w:t xml:space="preserve">, 2–11. </w:t>
      </w:r>
      <w:hyperlink r:id="rId62" w:history="1">
        <w:r w:rsidRPr="007E252F">
          <w:rPr>
            <w:color w:val="3333FF"/>
            <w:u w:val="single"/>
            <w:lang w:val="en-AU"/>
          </w:rPr>
          <w:t>https://doi.org/10.1016/j.toxrep.2014.02.002</w:t>
        </w:r>
      </w:hyperlink>
    </w:p>
    <w:p w14:paraId="1574BF72" w14:textId="77777777" w:rsidR="007E252F" w:rsidRPr="007E252F" w:rsidRDefault="007E252F" w:rsidP="007E252F">
      <w:pPr>
        <w:widowControl/>
        <w:tabs>
          <w:tab w:val="left" w:pos="397"/>
        </w:tabs>
        <w:ind w:left="397" w:hanging="397"/>
        <w:rPr>
          <w:lang w:val="en-AU"/>
        </w:rPr>
      </w:pPr>
      <w:bookmarkStart w:id="247" w:name="_CTVL001b54337e3e60b456a843052d380e97afc"/>
      <w:r w:rsidRPr="007E252F">
        <w:rPr>
          <w:lang w:val="en-AU"/>
        </w:rPr>
        <w:t xml:space="preserve">Lim, S. T. S., Dragull, K., Tang, C.-S., Bittenbender, H. C., Efird, J. T., &amp; Nerurkar, P. V. (2007). Effects of kava alkaloid, pipermethystine, and kavalactones on oxidative stress and cytochrome P450 in F-344 rats. </w:t>
      </w:r>
      <w:bookmarkEnd w:id="247"/>
      <w:r w:rsidRPr="007E252F">
        <w:rPr>
          <w:i/>
          <w:lang w:val="en-AU"/>
        </w:rPr>
        <w:t>Toxicological Sciences : An Official Journal of the Society of Toxicology</w:t>
      </w:r>
      <w:r w:rsidRPr="007E252F">
        <w:rPr>
          <w:lang w:val="en-AU"/>
        </w:rPr>
        <w:t xml:space="preserve">, </w:t>
      </w:r>
      <w:r w:rsidRPr="007E252F">
        <w:rPr>
          <w:i/>
          <w:lang w:val="en-AU"/>
        </w:rPr>
        <w:t>97</w:t>
      </w:r>
      <w:r w:rsidRPr="007E252F">
        <w:rPr>
          <w:lang w:val="en-AU"/>
        </w:rPr>
        <w:t xml:space="preserve">(1), 214–221. </w:t>
      </w:r>
      <w:hyperlink r:id="rId63" w:history="1">
        <w:r w:rsidRPr="007E252F">
          <w:rPr>
            <w:color w:val="3333FF"/>
            <w:u w:val="single"/>
            <w:lang w:val="en-AU"/>
          </w:rPr>
          <w:t>https://doi.org/10.1093/toxsci/kfm035</w:t>
        </w:r>
      </w:hyperlink>
    </w:p>
    <w:p w14:paraId="3AE12AD7" w14:textId="77777777" w:rsidR="007E252F" w:rsidRPr="007E252F" w:rsidRDefault="007E252F" w:rsidP="007E252F">
      <w:pPr>
        <w:widowControl/>
        <w:tabs>
          <w:tab w:val="left" w:pos="397"/>
        </w:tabs>
        <w:ind w:left="397" w:hanging="397"/>
        <w:rPr>
          <w:lang w:val="en-AU"/>
        </w:rPr>
      </w:pPr>
      <w:bookmarkStart w:id="248" w:name="_CTVL0016dc428c3208e491abea94ea42484403c"/>
      <w:r w:rsidRPr="007E252F">
        <w:rPr>
          <w:lang w:val="en-AU"/>
        </w:rPr>
        <w:t xml:space="preserve">Martin, A. C., Johnston, E., Xing, C., &amp; Hegeman, A. D. (2014). Measuring the chemical and cytotoxic variability of commercially available kava (Piper methysticum G. Forster). </w:t>
      </w:r>
      <w:bookmarkEnd w:id="248"/>
      <w:r w:rsidRPr="007E252F">
        <w:rPr>
          <w:i/>
          <w:lang w:val="en-AU"/>
        </w:rPr>
        <w:t>PloS One</w:t>
      </w:r>
      <w:r w:rsidRPr="007E252F">
        <w:rPr>
          <w:lang w:val="en-AU"/>
        </w:rPr>
        <w:t xml:space="preserve">, </w:t>
      </w:r>
      <w:r w:rsidRPr="007E252F">
        <w:rPr>
          <w:i/>
          <w:lang w:val="en-AU"/>
        </w:rPr>
        <w:t>9</w:t>
      </w:r>
      <w:r w:rsidRPr="007E252F">
        <w:rPr>
          <w:lang w:val="en-AU"/>
        </w:rPr>
        <w:t xml:space="preserve">(11), e111572. </w:t>
      </w:r>
      <w:hyperlink r:id="rId64" w:history="1">
        <w:r w:rsidRPr="007E252F">
          <w:rPr>
            <w:color w:val="3333FF"/>
            <w:u w:val="single"/>
            <w:lang w:val="en-AU"/>
          </w:rPr>
          <w:t>https://doi.org/10.1371/journal.pone.0111572</w:t>
        </w:r>
      </w:hyperlink>
    </w:p>
    <w:p w14:paraId="6B355D4F" w14:textId="77777777" w:rsidR="007E252F" w:rsidRPr="007E252F" w:rsidRDefault="007E252F" w:rsidP="007E252F">
      <w:pPr>
        <w:widowControl/>
        <w:tabs>
          <w:tab w:val="left" w:pos="397"/>
        </w:tabs>
        <w:ind w:left="397" w:hanging="397"/>
        <w:rPr>
          <w:lang w:val="en-AU"/>
        </w:rPr>
      </w:pPr>
      <w:bookmarkStart w:id="249" w:name="_CTVL00148841227988c493da86bad7d344908e2"/>
      <w:r w:rsidRPr="007E252F">
        <w:rPr>
          <w:lang w:val="en-AU"/>
        </w:rPr>
        <w:t xml:space="preserve">Mathews, J. D., Riley, M. D., Fejo, L., Munoz, E., Milns, N. R., Gardner, I. D., Powers, J. R., Ganygulpa, E., &amp; Gununuwawuy, B. J. (1988). Effects of the heavy usage of kava on physical health: Summary of a pilot survey in an aboriginal community. </w:t>
      </w:r>
      <w:bookmarkEnd w:id="249"/>
      <w:r w:rsidRPr="007E252F">
        <w:rPr>
          <w:i/>
          <w:lang w:val="en-AU"/>
        </w:rPr>
        <w:t>The Medical Journal of Australia</w:t>
      </w:r>
      <w:r w:rsidRPr="007E252F">
        <w:rPr>
          <w:lang w:val="en-AU"/>
        </w:rPr>
        <w:t xml:space="preserve">, </w:t>
      </w:r>
      <w:r w:rsidRPr="007E252F">
        <w:rPr>
          <w:i/>
          <w:lang w:val="en-AU"/>
        </w:rPr>
        <w:t>148</w:t>
      </w:r>
      <w:r w:rsidRPr="007E252F">
        <w:rPr>
          <w:lang w:val="en-AU"/>
        </w:rPr>
        <w:t xml:space="preserve">(11), 548–555. </w:t>
      </w:r>
      <w:hyperlink r:id="rId65" w:history="1">
        <w:r w:rsidRPr="007E252F">
          <w:rPr>
            <w:color w:val="3333FF"/>
            <w:u w:val="single"/>
            <w:lang w:val="en-AU"/>
          </w:rPr>
          <w:t>https://doi.org/10.5694/j.1326-5377.1988.tb93809.x</w:t>
        </w:r>
      </w:hyperlink>
    </w:p>
    <w:p w14:paraId="79498C6B" w14:textId="77777777" w:rsidR="007E252F" w:rsidRPr="007E252F" w:rsidRDefault="007E252F" w:rsidP="007E252F">
      <w:pPr>
        <w:widowControl/>
        <w:tabs>
          <w:tab w:val="left" w:pos="397"/>
        </w:tabs>
        <w:ind w:left="397" w:hanging="397"/>
        <w:rPr>
          <w:lang w:val="en-AU"/>
        </w:rPr>
      </w:pPr>
      <w:bookmarkStart w:id="250" w:name="_CTVL001fd39a3c114a044d5a263fc3561a8e644"/>
      <w:r w:rsidRPr="007E252F">
        <w:rPr>
          <w:lang w:val="en-AU"/>
        </w:rPr>
        <w:t xml:space="preserve">Mathews, J. M., Etheridge, A. S., Valentine, J. L., Black, S. R., Coleman, D. P., Patel, P., So, J., &amp; Burka, L. T. (2005). Pharmacokinetics and disposition of the kavalactone kawain: Interaction with kava extract and kavalactones in vivo and in vitro. </w:t>
      </w:r>
      <w:bookmarkEnd w:id="250"/>
      <w:r w:rsidRPr="007E252F">
        <w:rPr>
          <w:i/>
          <w:lang w:val="en-AU"/>
        </w:rPr>
        <w:t>Drug Metabolism and Disposition: The Biological Fate of Chemicals</w:t>
      </w:r>
      <w:r w:rsidRPr="007E252F">
        <w:rPr>
          <w:lang w:val="en-AU"/>
        </w:rPr>
        <w:t xml:space="preserve">, </w:t>
      </w:r>
      <w:r w:rsidRPr="007E252F">
        <w:rPr>
          <w:i/>
          <w:lang w:val="en-AU"/>
        </w:rPr>
        <w:t>33</w:t>
      </w:r>
      <w:r w:rsidRPr="007E252F">
        <w:rPr>
          <w:lang w:val="en-AU"/>
        </w:rPr>
        <w:t xml:space="preserve">(10), 1555–1563. </w:t>
      </w:r>
      <w:hyperlink r:id="rId66" w:history="1">
        <w:r w:rsidRPr="007E252F">
          <w:rPr>
            <w:color w:val="3333FF"/>
            <w:u w:val="single"/>
            <w:lang w:val="en-AU"/>
          </w:rPr>
          <w:t>https://doi.org/10.1124/dmd.105.004317</w:t>
        </w:r>
      </w:hyperlink>
    </w:p>
    <w:p w14:paraId="159CD44B" w14:textId="77777777" w:rsidR="007E252F" w:rsidRPr="007E252F" w:rsidRDefault="007E252F" w:rsidP="007E252F">
      <w:pPr>
        <w:widowControl/>
        <w:tabs>
          <w:tab w:val="left" w:pos="397"/>
        </w:tabs>
        <w:ind w:left="397" w:hanging="397"/>
        <w:rPr>
          <w:lang w:val="en-AU"/>
        </w:rPr>
      </w:pPr>
      <w:bookmarkStart w:id="251" w:name="_CTVL001af20fc2b9ad74de5a075edf6dda22c4a"/>
      <w:r w:rsidRPr="007E252F">
        <w:rPr>
          <w:lang w:val="en-AU"/>
        </w:rPr>
        <w:t xml:space="preserve">MEYER, H. J. (1962). Pharmacology of the active principles of kavaroot (Piper methysticum Forst). </w:t>
      </w:r>
      <w:bookmarkEnd w:id="251"/>
      <w:r w:rsidRPr="007E252F">
        <w:rPr>
          <w:i/>
          <w:lang w:val="en-AU"/>
        </w:rPr>
        <w:t>Archives internationales de pharmacodynamie et de therapie</w:t>
      </w:r>
      <w:r w:rsidRPr="007E252F">
        <w:rPr>
          <w:lang w:val="en-AU"/>
        </w:rPr>
        <w:t xml:space="preserve">, </w:t>
      </w:r>
      <w:r w:rsidRPr="007E252F">
        <w:rPr>
          <w:i/>
          <w:lang w:val="en-AU"/>
        </w:rPr>
        <w:t>138</w:t>
      </w:r>
      <w:r w:rsidRPr="007E252F">
        <w:rPr>
          <w:lang w:val="en-AU"/>
        </w:rPr>
        <w:t>, 505–536.</w:t>
      </w:r>
    </w:p>
    <w:p w14:paraId="3C88F89E" w14:textId="77777777" w:rsidR="007E252F" w:rsidRPr="007E252F" w:rsidRDefault="007E252F" w:rsidP="007E252F">
      <w:pPr>
        <w:widowControl/>
        <w:tabs>
          <w:tab w:val="left" w:pos="397"/>
        </w:tabs>
        <w:ind w:left="397" w:hanging="397"/>
        <w:rPr>
          <w:lang w:val="en-AU"/>
        </w:rPr>
      </w:pPr>
      <w:bookmarkStart w:id="252" w:name="_CTVL0014b6f1569bada4cb0ae17b8395b383439"/>
      <w:r w:rsidRPr="007E252F">
        <w:rPr>
          <w:lang w:val="en-AU"/>
        </w:rPr>
        <w:t xml:space="preserve">Narayanapillai, S. C., Leitzman, P., O’Sullivan, M. G., &amp; Xing, C. (2014). Flavokawains a and B in kava, not dihydromethysticin, potentiate acetaminophen-induced hepatotoxicity in C57BL/6 mice. </w:t>
      </w:r>
      <w:bookmarkEnd w:id="252"/>
      <w:r w:rsidRPr="007E252F">
        <w:rPr>
          <w:i/>
          <w:lang w:val="en-AU"/>
        </w:rPr>
        <w:t>Chemical Research in Toxicology</w:t>
      </w:r>
      <w:r w:rsidRPr="007E252F">
        <w:rPr>
          <w:lang w:val="en-AU"/>
        </w:rPr>
        <w:t xml:space="preserve">, </w:t>
      </w:r>
      <w:r w:rsidRPr="007E252F">
        <w:rPr>
          <w:i/>
          <w:lang w:val="en-AU"/>
        </w:rPr>
        <w:t>27</w:t>
      </w:r>
      <w:r w:rsidRPr="007E252F">
        <w:rPr>
          <w:lang w:val="en-AU"/>
        </w:rPr>
        <w:t xml:space="preserve">(10), 1871–1876. </w:t>
      </w:r>
      <w:hyperlink r:id="rId67" w:history="1">
        <w:r w:rsidRPr="007E252F">
          <w:rPr>
            <w:color w:val="3333FF"/>
            <w:u w:val="single"/>
            <w:lang w:val="en-AU"/>
          </w:rPr>
          <w:t>https://doi.org/10.1021/tx5003194</w:t>
        </w:r>
      </w:hyperlink>
    </w:p>
    <w:p w14:paraId="6DB6A827" w14:textId="77777777" w:rsidR="007E252F" w:rsidRPr="007E252F" w:rsidRDefault="007E252F" w:rsidP="007E252F">
      <w:pPr>
        <w:widowControl/>
        <w:tabs>
          <w:tab w:val="left" w:pos="397"/>
        </w:tabs>
        <w:ind w:left="397" w:hanging="397"/>
        <w:rPr>
          <w:lang w:val="en-AU"/>
        </w:rPr>
      </w:pPr>
      <w:r w:rsidRPr="007E252F">
        <w:rPr>
          <w:lang w:val="en-AU"/>
        </w:rPr>
        <w:t xml:space="preserve">The National Quality Standard for Kava Export. </w:t>
      </w:r>
      <w:bookmarkStart w:id="253" w:name="_CTVL001f9891f1969d240d9bb05b074eae513e1"/>
      <w:r w:rsidRPr="007E252F">
        <w:rPr>
          <w:lang w:val="en-AU"/>
        </w:rPr>
        <w:t xml:space="preserve">(2017). </w:t>
      </w:r>
      <w:bookmarkEnd w:id="253"/>
      <w:r w:rsidRPr="007E252F">
        <w:rPr>
          <w:i/>
          <w:lang w:val="en-AU"/>
        </w:rPr>
        <w:t>Vanuatu</w:t>
      </w:r>
      <w:r w:rsidRPr="007E252F">
        <w:rPr>
          <w:lang w:val="en-AU"/>
        </w:rPr>
        <w:t xml:space="preserve">. Pacific Horticulture &amp; Agriculture market Access Program. </w:t>
      </w:r>
      <w:hyperlink r:id="rId68" w:history="1">
        <w:r w:rsidRPr="007E252F">
          <w:rPr>
            <w:color w:val="3333FF"/>
            <w:u w:val="single"/>
            <w:lang w:val="en-AU"/>
          </w:rPr>
          <w:t>https://phamaplus.com.au/wp-content/uploads/2017/07/Vanuatu_Quality_Standard_ecopy.pdf</w:t>
        </w:r>
      </w:hyperlink>
    </w:p>
    <w:p w14:paraId="135DC972" w14:textId="77777777" w:rsidR="007E252F" w:rsidRPr="007E252F" w:rsidRDefault="007E252F" w:rsidP="007E252F">
      <w:pPr>
        <w:widowControl/>
        <w:tabs>
          <w:tab w:val="left" w:pos="397"/>
        </w:tabs>
        <w:ind w:left="397" w:hanging="397"/>
        <w:rPr>
          <w:lang w:val="en-AU"/>
        </w:rPr>
      </w:pPr>
      <w:bookmarkStart w:id="254" w:name="_CTVL001859edc58c5574b47b769d0965ede50c1"/>
      <w:r w:rsidRPr="007E252F">
        <w:rPr>
          <w:lang w:val="en-AU"/>
        </w:rPr>
        <w:t xml:space="preserve">Nerurkar, P. V., Dragull, K., &amp; Tang, C.-S. (2004). In vitro toxicity of kava alkaloid, pipermethystine, in HepG2 cells compared to kavalactones. </w:t>
      </w:r>
      <w:bookmarkEnd w:id="254"/>
      <w:r w:rsidRPr="007E252F">
        <w:rPr>
          <w:i/>
          <w:lang w:val="en-AU"/>
        </w:rPr>
        <w:t>Toxicological Sciences : An Official Journal of the Society of Toxicology</w:t>
      </w:r>
      <w:r w:rsidRPr="007E252F">
        <w:rPr>
          <w:lang w:val="en-AU"/>
        </w:rPr>
        <w:t xml:space="preserve">, </w:t>
      </w:r>
      <w:r w:rsidRPr="007E252F">
        <w:rPr>
          <w:i/>
          <w:lang w:val="en-AU"/>
        </w:rPr>
        <w:t>79</w:t>
      </w:r>
      <w:r w:rsidRPr="007E252F">
        <w:rPr>
          <w:lang w:val="en-AU"/>
        </w:rPr>
        <w:t xml:space="preserve">(1), 106–111. </w:t>
      </w:r>
      <w:hyperlink r:id="rId69" w:history="1">
        <w:r w:rsidRPr="007E252F">
          <w:rPr>
            <w:color w:val="3333FF"/>
            <w:u w:val="single"/>
            <w:lang w:val="en-AU"/>
          </w:rPr>
          <w:t>https://doi.org/10.1093/toxsci/kfh067</w:t>
        </w:r>
      </w:hyperlink>
    </w:p>
    <w:p w14:paraId="1005D5D6" w14:textId="77777777" w:rsidR="007E252F" w:rsidRPr="007E252F" w:rsidRDefault="007E252F" w:rsidP="007E252F">
      <w:pPr>
        <w:widowControl/>
        <w:tabs>
          <w:tab w:val="left" w:pos="397"/>
        </w:tabs>
        <w:ind w:left="397" w:hanging="397"/>
        <w:rPr>
          <w:lang w:val="en-AU"/>
        </w:rPr>
      </w:pPr>
      <w:bookmarkStart w:id="255" w:name="_CTVL001509f1365226f4abb862f47a87d5065f2"/>
      <w:r w:rsidRPr="007E252F">
        <w:rPr>
          <w:lang w:val="en-AU"/>
        </w:rPr>
        <w:lastRenderedPageBreak/>
        <w:t xml:space="preserve">Niu, L., Ding, L., Lu, C., Zuo, F., Yao, K., Xu, S., Li, W., Yang, D., &amp; Xu, X. (2016). Flavokawain A inhibits Cytochrome P450 in in vitro metabolic and inhibitory investigations. </w:t>
      </w:r>
      <w:bookmarkEnd w:id="255"/>
      <w:r w:rsidRPr="007E252F">
        <w:rPr>
          <w:i/>
          <w:lang w:val="en-AU"/>
        </w:rPr>
        <w:t>Journal of Ethnopharmacology</w:t>
      </w:r>
      <w:r w:rsidRPr="007E252F">
        <w:rPr>
          <w:lang w:val="en-AU"/>
        </w:rPr>
        <w:t xml:space="preserve">, </w:t>
      </w:r>
      <w:r w:rsidRPr="007E252F">
        <w:rPr>
          <w:i/>
          <w:lang w:val="en-AU"/>
        </w:rPr>
        <w:t>191</w:t>
      </w:r>
      <w:r w:rsidRPr="007E252F">
        <w:rPr>
          <w:lang w:val="en-AU"/>
        </w:rPr>
        <w:t xml:space="preserve">, 350–359. </w:t>
      </w:r>
      <w:hyperlink r:id="rId70" w:history="1">
        <w:r w:rsidRPr="007E252F">
          <w:rPr>
            <w:color w:val="3333FF"/>
            <w:u w:val="single"/>
            <w:lang w:val="en-AU"/>
          </w:rPr>
          <w:t>https://doi.org/10.1016/j.jep.2016.06.039</w:t>
        </w:r>
      </w:hyperlink>
    </w:p>
    <w:p w14:paraId="4AE927CB" w14:textId="77777777" w:rsidR="007E252F" w:rsidRPr="007E252F" w:rsidRDefault="007E252F" w:rsidP="007E252F">
      <w:pPr>
        <w:widowControl/>
        <w:tabs>
          <w:tab w:val="left" w:pos="397"/>
        </w:tabs>
        <w:ind w:left="397" w:hanging="397"/>
        <w:rPr>
          <w:lang w:val="en-AU"/>
        </w:rPr>
      </w:pPr>
      <w:bookmarkStart w:id="256" w:name="_CTVL001531855aafa26497dad452937438237f1"/>
      <w:r w:rsidRPr="007E252F">
        <w:rPr>
          <w:lang w:val="en-AU"/>
        </w:rPr>
        <w:t xml:space="preserve">NTP (2012). Toxicology and carcinogenesis studies of kava kava extract (CAS No. 9000-38-8) in F344/N rats and B6C3F1 mice (Gavage Studies). </w:t>
      </w:r>
      <w:bookmarkEnd w:id="256"/>
      <w:r w:rsidRPr="007E252F">
        <w:rPr>
          <w:i/>
          <w:lang w:val="en-AU"/>
        </w:rPr>
        <w:t>National Toxicology Program Technical Report Series</w:t>
      </w:r>
      <w:r w:rsidRPr="007E252F">
        <w:rPr>
          <w:lang w:val="en-AU"/>
        </w:rPr>
        <w:t>(571), 1–186.</w:t>
      </w:r>
    </w:p>
    <w:p w14:paraId="6DA8614C" w14:textId="77777777" w:rsidR="007E252F" w:rsidRPr="007E252F" w:rsidRDefault="007E252F" w:rsidP="007E252F">
      <w:pPr>
        <w:widowControl/>
        <w:tabs>
          <w:tab w:val="left" w:pos="397"/>
        </w:tabs>
        <w:ind w:left="397" w:hanging="397"/>
        <w:rPr>
          <w:lang w:val="en-AU"/>
        </w:rPr>
      </w:pPr>
      <w:bookmarkStart w:id="257" w:name="_CTVL0019f01ca05a2604ae8aa1f008338ec9dd4"/>
      <w:r w:rsidRPr="007E252F">
        <w:rPr>
          <w:lang w:val="en-AU"/>
        </w:rPr>
        <w:t xml:space="preserve">Parker, J.-A., Kurien, T. T., &amp; Huppatz, C. (2014). Hepatitis A outbreak associated with kava drinking. </w:t>
      </w:r>
      <w:bookmarkEnd w:id="257"/>
      <w:r w:rsidRPr="007E252F">
        <w:rPr>
          <w:i/>
          <w:lang w:val="en-AU"/>
        </w:rPr>
        <w:t>Communicable Diseases Intelligence Quarterly Report</w:t>
      </w:r>
      <w:r w:rsidRPr="007E252F">
        <w:rPr>
          <w:lang w:val="en-AU"/>
        </w:rPr>
        <w:t xml:space="preserve">, </w:t>
      </w:r>
      <w:r w:rsidRPr="007E252F">
        <w:rPr>
          <w:i/>
          <w:lang w:val="en-AU"/>
        </w:rPr>
        <w:t>38</w:t>
      </w:r>
      <w:r w:rsidRPr="007E252F">
        <w:rPr>
          <w:lang w:val="en-AU"/>
        </w:rPr>
        <w:t>(1), E26-8.</w:t>
      </w:r>
    </w:p>
    <w:p w14:paraId="6FA9968B" w14:textId="77777777" w:rsidR="007E252F" w:rsidRPr="007E252F" w:rsidRDefault="007E252F" w:rsidP="007E252F">
      <w:pPr>
        <w:widowControl/>
        <w:tabs>
          <w:tab w:val="left" w:pos="397"/>
        </w:tabs>
        <w:ind w:left="397" w:hanging="397"/>
        <w:rPr>
          <w:lang w:val="en-AU"/>
        </w:rPr>
      </w:pPr>
      <w:bookmarkStart w:id="258" w:name="_CTVL0017a72666cb607441aaca9c4831ba78037"/>
      <w:r w:rsidRPr="007E252F">
        <w:rPr>
          <w:lang w:val="en-AU"/>
        </w:rPr>
        <w:t xml:space="preserve">Pittler, M. H., &amp; Ernst, E. (2003). Kava extract for treating anxiety. </w:t>
      </w:r>
      <w:bookmarkEnd w:id="258"/>
      <w:r w:rsidRPr="007E252F">
        <w:rPr>
          <w:i/>
          <w:lang w:val="en-AU"/>
        </w:rPr>
        <w:t>The Cochrane Database of Systematic Reviews</w:t>
      </w:r>
      <w:r w:rsidRPr="007E252F">
        <w:rPr>
          <w:lang w:val="en-AU"/>
        </w:rPr>
        <w:t xml:space="preserve">(1), CD003383. </w:t>
      </w:r>
      <w:hyperlink r:id="rId71" w:history="1">
        <w:r w:rsidRPr="007E252F">
          <w:rPr>
            <w:color w:val="3333FF"/>
            <w:u w:val="single"/>
            <w:lang w:val="en-AU"/>
          </w:rPr>
          <w:t>https://doi.org/10.1002/14651858.CD003383</w:t>
        </w:r>
      </w:hyperlink>
    </w:p>
    <w:p w14:paraId="58014F1A" w14:textId="77777777" w:rsidR="007E252F" w:rsidRPr="007E252F" w:rsidRDefault="007E252F" w:rsidP="007E252F">
      <w:pPr>
        <w:widowControl/>
        <w:tabs>
          <w:tab w:val="left" w:pos="397"/>
        </w:tabs>
        <w:ind w:left="397" w:hanging="397"/>
        <w:rPr>
          <w:lang w:val="en-AU"/>
        </w:rPr>
      </w:pPr>
      <w:bookmarkStart w:id="259" w:name="_CTVL001f561782239154ba1a1c95b2457d2ab0c"/>
      <w:r w:rsidRPr="007E252F">
        <w:rPr>
          <w:lang w:val="en-AU"/>
        </w:rPr>
        <w:t xml:space="preserve">Poolsup, N., Li Wan Po, A., &amp; Knight, T. L. (2000). Pharmacogenetics and psychopharmacotherapy. </w:t>
      </w:r>
      <w:bookmarkEnd w:id="259"/>
      <w:r w:rsidRPr="007E252F">
        <w:rPr>
          <w:i/>
          <w:lang w:val="en-AU"/>
        </w:rPr>
        <w:t>Journal of Clinical Pharmacy and Therapeutics</w:t>
      </w:r>
      <w:r w:rsidRPr="007E252F">
        <w:rPr>
          <w:lang w:val="en-AU"/>
        </w:rPr>
        <w:t xml:space="preserve">, </w:t>
      </w:r>
      <w:r w:rsidRPr="007E252F">
        <w:rPr>
          <w:i/>
          <w:lang w:val="en-AU"/>
        </w:rPr>
        <w:t>25</w:t>
      </w:r>
      <w:r w:rsidRPr="007E252F">
        <w:rPr>
          <w:lang w:val="en-AU"/>
        </w:rPr>
        <w:t xml:space="preserve">(3), 197–220. </w:t>
      </w:r>
      <w:hyperlink r:id="rId72" w:history="1">
        <w:r w:rsidRPr="007E252F">
          <w:rPr>
            <w:color w:val="3333FF"/>
            <w:u w:val="single"/>
            <w:lang w:val="en-AU"/>
          </w:rPr>
          <w:t>https://doi.org/10.1046/j.1365-2710.2000.00281.x</w:t>
        </w:r>
      </w:hyperlink>
    </w:p>
    <w:p w14:paraId="454474FB" w14:textId="77777777" w:rsidR="007E252F" w:rsidRPr="007E252F" w:rsidRDefault="007E252F" w:rsidP="007E252F">
      <w:pPr>
        <w:widowControl/>
        <w:tabs>
          <w:tab w:val="left" w:pos="397"/>
        </w:tabs>
        <w:ind w:left="397" w:hanging="397"/>
        <w:rPr>
          <w:lang w:val="en-AU"/>
        </w:rPr>
      </w:pPr>
      <w:bookmarkStart w:id="260" w:name="_CTVL0014af4cf13788b4bee9fbd816a5efb72bf"/>
      <w:r w:rsidRPr="007E252F">
        <w:rPr>
          <w:lang w:val="en-AU"/>
        </w:rPr>
        <w:t xml:space="preserve">Rasmussen, A. K., Scheline, R. R., Solheim, E., &amp; Hänsel, R. (1979). Metabolism of some kava pyrones in the rat. </w:t>
      </w:r>
      <w:bookmarkEnd w:id="260"/>
      <w:r w:rsidRPr="007E252F">
        <w:rPr>
          <w:i/>
          <w:lang w:val="en-AU"/>
        </w:rPr>
        <w:t>Xenobiotica; the Fate of Foreign Compounds in Biological Systems</w:t>
      </w:r>
      <w:r w:rsidRPr="007E252F">
        <w:rPr>
          <w:lang w:val="en-AU"/>
        </w:rPr>
        <w:t xml:space="preserve">, </w:t>
      </w:r>
      <w:r w:rsidRPr="007E252F">
        <w:rPr>
          <w:i/>
          <w:lang w:val="en-AU"/>
        </w:rPr>
        <w:t>9</w:t>
      </w:r>
      <w:r w:rsidRPr="007E252F">
        <w:rPr>
          <w:lang w:val="en-AU"/>
        </w:rPr>
        <w:t xml:space="preserve">(1), 1–16. </w:t>
      </w:r>
      <w:hyperlink r:id="rId73" w:history="1">
        <w:r w:rsidRPr="007E252F">
          <w:rPr>
            <w:color w:val="3333FF"/>
            <w:u w:val="single"/>
            <w:lang w:val="en-AU"/>
          </w:rPr>
          <w:t>https://doi.org/10.3109/00498257909034699</w:t>
        </w:r>
      </w:hyperlink>
    </w:p>
    <w:p w14:paraId="6E48A788" w14:textId="77777777" w:rsidR="007E252F" w:rsidRPr="007E252F" w:rsidRDefault="007E252F" w:rsidP="007E252F">
      <w:pPr>
        <w:widowControl/>
        <w:tabs>
          <w:tab w:val="left" w:pos="397"/>
        </w:tabs>
        <w:ind w:left="397" w:hanging="397"/>
        <w:rPr>
          <w:lang w:val="en-AU"/>
        </w:rPr>
      </w:pPr>
      <w:bookmarkStart w:id="261" w:name="_CTVL0019ab29a91474345dbbf5d59f244e0a708"/>
      <w:r w:rsidRPr="007E252F">
        <w:rPr>
          <w:lang w:val="en-AU"/>
        </w:rPr>
        <w:t xml:space="preserve">Rowe, A., &amp; Ramzan, I. (2012). Are mould hepatotoxins responsible for kava hepatotoxicity? </w:t>
      </w:r>
      <w:bookmarkEnd w:id="261"/>
      <w:r w:rsidRPr="007E252F">
        <w:rPr>
          <w:i/>
          <w:lang w:val="en-AU"/>
        </w:rPr>
        <w:t>Phytotherapy Research : PTR</w:t>
      </w:r>
      <w:r w:rsidRPr="007E252F">
        <w:rPr>
          <w:lang w:val="en-AU"/>
        </w:rPr>
        <w:t xml:space="preserve">, </w:t>
      </w:r>
      <w:r w:rsidRPr="007E252F">
        <w:rPr>
          <w:i/>
          <w:lang w:val="en-AU"/>
        </w:rPr>
        <w:t>26</w:t>
      </w:r>
      <w:r w:rsidRPr="007E252F">
        <w:rPr>
          <w:lang w:val="en-AU"/>
        </w:rPr>
        <w:t xml:space="preserve">(11), 1768–1770. </w:t>
      </w:r>
      <w:hyperlink r:id="rId74" w:history="1">
        <w:r w:rsidRPr="007E252F">
          <w:rPr>
            <w:color w:val="3333FF"/>
            <w:u w:val="single"/>
            <w:lang w:val="en-AU"/>
          </w:rPr>
          <w:t>https://doi.org/10.1002/ptr.4620</w:t>
        </w:r>
      </w:hyperlink>
    </w:p>
    <w:p w14:paraId="74501140" w14:textId="77777777" w:rsidR="007E252F" w:rsidRPr="007E252F" w:rsidRDefault="007E252F" w:rsidP="007E252F">
      <w:pPr>
        <w:widowControl/>
        <w:tabs>
          <w:tab w:val="left" w:pos="397"/>
        </w:tabs>
        <w:ind w:left="397" w:hanging="397"/>
        <w:rPr>
          <w:lang w:val="en-AU"/>
        </w:rPr>
      </w:pPr>
      <w:bookmarkStart w:id="262" w:name="_CTVL001565b7d6cf39449fa9fe4f4dfc74024e9"/>
      <w:r w:rsidRPr="007E252F">
        <w:rPr>
          <w:lang w:val="en-AU"/>
        </w:rPr>
        <w:t xml:space="preserve">Rowe, A., Zhang, L. Y., &amp; Ramzan, I. (2011). Toxicokinetics of kava. </w:t>
      </w:r>
      <w:bookmarkEnd w:id="262"/>
      <w:r w:rsidRPr="007E252F">
        <w:rPr>
          <w:i/>
          <w:lang w:val="en-AU"/>
        </w:rPr>
        <w:t>Advances in Pharmacological Sciences</w:t>
      </w:r>
      <w:r w:rsidRPr="007E252F">
        <w:rPr>
          <w:lang w:val="en-AU"/>
        </w:rPr>
        <w:t xml:space="preserve">, </w:t>
      </w:r>
      <w:r w:rsidRPr="007E252F">
        <w:rPr>
          <w:i/>
          <w:lang w:val="en-AU"/>
        </w:rPr>
        <w:t>2011</w:t>
      </w:r>
      <w:r w:rsidRPr="007E252F">
        <w:rPr>
          <w:lang w:val="en-AU"/>
        </w:rPr>
        <w:t xml:space="preserve">, 326724. </w:t>
      </w:r>
      <w:hyperlink r:id="rId75" w:history="1">
        <w:r w:rsidRPr="007E252F">
          <w:rPr>
            <w:color w:val="3333FF"/>
            <w:u w:val="single"/>
            <w:lang w:val="en-AU"/>
          </w:rPr>
          <w:t>https://doi.org/10.1155/2011/326724</w:t>
        </w:r>
      </w:hyperlink>
    </w:p>
    <w:p w14:paraId="3EB2C667" w14:textId="77777777" w:rsidR="007E252F" w:rsidRPr="007E252F" w:rsidRDefault="007E252F" w:rsidP="007E252F">
      <w:pPr>
        <w:widowControl/>
        <w:tabs>
          <w:tab w:val="left" w:pos="397"/>
        </w:tabs>
        <w:ind w:left="397" w:hanging="397"/>
        <w:rPr>
          <w:lang w:val="en-AU"/>
        </w:rPr>
      </w:pPr>
      <w:bookmarkStart w:id="263" w:name="_CTVL0014a6b7d4796bc4c1b85b7299b9fbaeea1"/>
      <w:r w:rsidRPr="007E252F">
        <w:rPr>
          <w:lang w:val="en-AU"/>
        </w:rPr>
        <w:t xml:space="preserve">Russmann, S., Barguil, Y., Cabalion, P., Kritsanida, M., Duhet, D., &amp; Lauterburg, B. H. (2003). Hepatic injury due to traditional aqueous extracts of kava root in New Caledonia. </w:t>
      </w:r>
      <w:bookmarkEnd w:id="263"/>
      <w:r w:rsidRPr="007E252F">
        <w:rPr>
          <w:i/>
          <w:lang w:val="en-AU"/>
        </w:rPr>
        <w:t>European Journal of Gastroenterology &amp; Hepatology</w:t>
      </w:r>
      <w:r w:rsidRPr="007E252F">
        <w:rPr>
          <w:lang w:val="en-AU"/>
        </w:rPr>
        <w:t xml:space="preserve">, </w:t>
      </w:r>
      <w:r w:rsidRPr="007E252F">
        <w:rPr>
          <w:i/>
          <w:lang w:val="en-AU"/>
        </w:rPr>
        <w:t>15</w:t>
      </w:r>
      <w:r w:rsidRPr="007E252F">
        <w:rPr>
          <w:lang w:val="en-AU"/>
        </w:rPr>
        <w:t xml:space="preserve">(9), 1033–1036. </w:t>
      </w:r>
      <w:hyperlink r:id="rId76" w:history="1">
        <w:r w:rsidRPr="007E252F">
          <w:rPr>
            <w:color w:val="3333FF"/>
            <w:u w:val="single"/>
            <w:lang w:val="en-AU"/>
          </w:rPr>
          <w:t>https://doi.org/10.1097/00042737-200309000-00015</w:t>
        </w:r>
      </w:hyperlink>
    </w:p>
    <w:p w14:paraId="6B722486" w14:textId="77777777" w:rsidR="007E252F" w:rsidRPr="007E252F" w:rsidRDefault="007E252F" w:rsidP="007E252F">
      <w:pPr>
        <w:widowControl/>
        <w:tabs>
          <w:tab w:val="left" w:pos="397"/>
        </w:tabs>
        <w:ind w:left="397" w:hanging="397"/>
        <w:rPr>
          <w:lang w:val="en-AU"/>
        </w:rPr>
      </w:pPr>
      <w:bookmarkStart w:id="264" w:name="_CTVL001eaebefd0890e4cfa8f81c10373a475b7"/>
      <w:r w:rsidRPr="007E252F">
        <w:rPr>
          <w:lang w:val="en-AU"/>
        </w:rPr>
        <w:t xml:space="preserve">Rychetnik, L., &amp; Madronio, C. M. (2011). The health and social effects of drinking water-based infusions of kava: A review of the evidence. </w:t>
      </w:r>
      <w:bookmarkEnd w:id="264"/>
      <w:r w:rsidRPr="007E252F">
        <w:rPr>
          <w:i/>
          <w:lang w:val="en-AU"/>
        </w:rPr>
        <w:t>Drug and Alcohol Review</w:t>
      </w:r>
      <w:r w:rsidRPr="007E252F">
        <w:rPr>
          <w:lang w:val="en-AU"/>
        </w:rPr>
        <w:t xml:space="preserve">, </w:t>
      </w:r>
      <w:r w:rsidRPr="007E252F">
        <w:rPr>
          <w:i/>
          <w:lang w:val="en-AU"/>
        </w:rPr>
        <w:t>30</w:t>
      </w:r>
      <w:r w:rsidRPr="007E252F">
        <w:rPr>
          <w:lang w:val="en-AU"/>
        </w:rPr>
        <w:t xml:space="preserve">(1), 74–83. </w:t>
      </w:r>
      <w:hyperlink r:id="rId77" w:history="1">
        <w:r w:rsidRPr="007E252F">
          <w:rPr>
            <w:color w:val="3333FF"/>
            <w:u w:val="single"/>
            <w:lang w:val="en-AU"/>
          </w:rPr>
          <w:t>https://doi.org/10.1111/j.1465-3362.2010.00184.x</w:t>
        </w:r>
      </w:hyperlink>
    </w:p>
    <w:p w14:paraId="14F010FC" w14:textId="77777777" w:rsidR="007E252F" w:rsidRPr="007E252F" w:rsidRDefault="007E252F" w:rsidP="007E252F">
      <w:pPr>
        <w:widowControl/>
        <w:tabs>
          <w:tab w:val="left" w:pos="397"/>
        </w:tabs>
        <w:ind w:left="397" w:hanging="397"/>
        <w:rPr>
          <w:lang w:val="en-AU"/>
        </w:rPr>
      </w:pPr>
      <w:bookmarkStart w:id="265" w:name="_CTVL00121fdcdd9d24249049e6555577560b25a"/>
      <w:r w:rsidRPr="007E252F">
        <w:rPr>
          <w:lang w:val="en-AU"/>
        </w:rPr>
        <w:t xml:space="preserve">Samoa ‘Ava Standard. (2018). </w:t>
      </w:r>
      <w:bookmarkEnd w:id="265"/>
      <w:r w:rsidRPr="007E252F">
        <w:rPr>
          <w:lang w:val="en-AU"/>
        </w:rPr>
        <w:t xml:space="preserve">Pacific Horticulture &amp; Agriculture market Access Program. </w:t>
      </w:r>
      <w:hyperlink r:id="rId78" w:history="1">
        <w:r w:rsidRPr="007E252F">
          <w:rPr>
            <w:color w:val="3333FF"/>
            <w:u w:val="single"/>
            <w:lang w:val="en-AU"/>
          </w:rPr>
          <w:t>https://phamaplus.com.au/wp-content/uploads/2018/06/Samoa_Ava_Standard-English-Final_ecopy.pdf</w:t>
        </w:r>
      </w:hyperlink>
    </w:p>
    <w:p w14:paraId="58C84107" w14:textId="77777777" w:rsidR="007E252F" w:rsidRPr="007E252F" w:rsidRDefault="007E252F" w:rsidP="007E252F">
      <w:pPr>
        <w:widowControl/>
        <w:tabs>
          <w:tab w:val="left" w:pos="397"/>
        </w:tabs>
        <w:ind w:left="397" w:hanging="397"/>
        <w:rPr>
          <w:lang w:val="en-AU"/>
        </w:rPr>
      </w:pPr>
      <w:bookmarkStart w:id="266" w:name="_CTVL0019be41a8b530c433e99db61cacc17e277"/>
      <w:r w:rsidRPr="007E252F">
        <w:rPr>
          <w:lang w:val="en-AU"/>
        </w:rPr>
        <w:t xml:space="preserve">Sarris, J., Kavanagh, D. J., Byrne, G., Bone, K. M., Adams, J., &amp; Deed, G. (2009). The Kava Anxiety Depression Spectrum Study (KADSS): A randomized, placebo-controlled crossover trial using an aqueous extract of Piper methysticum. </w:t>
      </w:r>
      <w:bookmarkEnd w:id="266"/>
      <w:r w:rsidRPr="007E252F">
        <w:rPr>
          <w:i/>
          <w:lang w:val="en-AU"/>
        </w:rPr>
        <w:t>Psychopharmacology</w:t>
      </w:r>
      <w:r w:rsidRPr="007E252F">
        <w:rPr>
          <w:lang w:val="en-AU"/>
        </w:rPr>
        <w:t xml:space="preserve">, </w:t>
      </w:r>
      <w:r w:rsidRPr="007E252F">
        <w:rPr>
          <w:i/>
          <w:lang w:val="en-AU"/>
        </w:rPr>
        <w:t>205</w:t>
      </w:r>
      <w:r w:rsidRPr="007E252F">
        <w:rPr>
          <w:lang w:val="en-AU"/>
        </w:rPr>
        <w:t xml:space="preserve">(3), 399–407. </w:t>
      </w:r>
      <w:hyperlink r:id="rId79" w:history="1">
        <w:r w:rsidRPr="007E252F">
          <w:rPr>
            <w:color w:val="3333FF"/>
            <w:u w:val="single"/>
            <w:lang w:val="en-AU"/>
          </w:rPr>
          <w:t>https://doi.org/10.1007/s00213-009-1549-9</w:t>
        </w:r>
      </w:hyperlink>
    </w:p>
    <w:p w14:paraId="15738D33" w14:textId="77777777" w:rsidR="007E252F" w:rsidRPr="007E252F" w:rsidRDefault="007E252F" w:rsidP="007E252F">
      <w:pPr>
        <w:widowControl/>
        <w:tabs>
          <w:tab w:val="left" w:pos="397"/>
        </w:tabs>
        <w:ind w:left="397" w:hanging="397"/>
        <w:rPr>
          <w:lang w:val="en-AU"/>
        </w:rPr>
      </w:pPr>
      <w:bookmarkStart w:id="267" w:name="_CTVL001be7da277b0a2454fb49fd9cebe3924a7"/>
      <w:r w:rsidRPr="007E252F">
        <w:rPr>
          <w:lang w:val="en-AU"/>
        </w:rPr>
        <w:t xml:space="preserve">Sarris, J., Byrne, G. J., Bousman, C. A., Cribb, L., Savage, K. M., Holmes, O., Murphy, J., Macdonald, P., Short, A., Nazareth, S., Jennings, E., Thomas, S. R., Ogden, E., Chamoli, S., Scholey, A., &amp; Stough, C. (2020). Kava for generalised anxiety disorder: A 16-week double-blind, randomised, placebo-controlled study. </w:t>
      </w:r>
      <w:bookmarkEnd w:id="267"/>
      <w:r w:rsidRPr="007E252F">
        <w:rPr>
          <w:i/>
          <w:lang w:val="en-AU"/>
        </w:rPr>
        <w:t>The Australian and New Zealand Journal of Psychiatry</w:t>
      </w:r>
      <w:r w:rsidRPr="007E252F">
        <w:rPr>
          <w:lang w:val="en-AU"/>
        </w:rPr>
        <w:t xml:space="preserve">, </w:t>
      </w:r>
      <w:r w:rsidRPr="007E252F">
        <w:rPr>
          <w:i/>
          <w:lang w:val="en-AU"/>
        </w:rPr>
        <w:t>54</w:t>
      </w:r>
      <w:r w:rsidRPr="007E252F">
        <w:rPr>
          <w:lang w:val="en-AU"/>
        </w:rPr>
        <w:t xml:space="preserve">(3), 288–297. </w:t>
      </w:r>
      <w:hyperlink r:id="rId80" w:history="1">
        <w:r w:rsidRPr="007E252F">
          <w:rPr>
            <w:color w:val="3333FF"/>
            <w:u w:val="single"/>
            <w:lang w:val="en-AU"/>
          </w:rPr>
          <w:t>https://doi.org/10.1177/0004867419891246</w:t>
        </w:r>
      </w:hyperlink>
    </w:p>
    <w:p w14:paraId="0CFCA756" w14:textId="77777777" w:rsidR="007E252F" w:rsidRPr="007E252F" w:rsidRDefault="007E252F" w:rsidP="007E252F">
      <w:pPr>
        <w:widowControl/>
        <w:tabs>
          <w:tab w:val="left" w:pos="397"/>
        </w:tabs>
        <w:ind w:left="397" w:hanging="397"/>
        <w:rPr>
          <w:lang w:val="en-AU"/>
        </w:rPr>
      </w:pPr>
      <w:bookmarkStart w:id="268" w:name="_CTVL0012664500b342144439b2105f66f53a993"/>
      <w:r w:rsidRPr="007E252F">
        <w:rPr>
          <w:lang w:val="en-AU"/>
        </w:rPr>
        <w:t xml:space="preserve">Sarris, J., Stough, C., Bousman, C. A., Wahid, Z. T., Murray, G., Teschke, R., Savage, K. M., Dowell, A., Ng, C., &amp; Schweitzer, I. (2013). Kava in the treatment of generalized anxiety disorder: A double-blind, randomized, placebo-controlled study. </w:t>
      </w:r>
      <w:bookmarkEnd w:id="268"/>
      <w:r w:rsidRPr="007E252F">
        <w:rPr>
          <w:i/>
          <w:lang w:val="en-AU"/>
        </w:rPr>
        <w:t>Journal of Clinical Psychopharmacology</w:t>
      </w:r>
      <w:r w:rsidRPr="007E252F">
        <w:rPr>
          <w:lang w:val="en-AU"/>
        </w:rPr>
        <w:t xml:space="preserve">, </w:t>
      </w:r>
      <w:r w:rsidRPr="007E252F">
        <w:rPr>
          <w:i/>
          <w:lang w:val="en-AU"/>
        </w:rPr>
        <w:t>33</w:t>
      </w:r>
      <w:r w:rsidRPr="007E252F">
        <w:rPr>
          <w:lang w:val="en-AU"/>
        </w:rPr>
        <w:t xml:space="preserve">(5), 643–648. </w:t>
      </w:r>
      <w:hyperlink r:id="rId81" w:history="1">
        <w:r w:rsidRPr="007E252F">
          <w:rPr>
            <w:color w:val="3333FF"/>
            <w:u w:val="single"/>
            <w:lang w:val="en-AU"/>
          </w:rPr>
          <w:t>https://doi.org/10.1097/JCP.0b013e318291be67</w:t>
        </w:r>
      </w:hyperlink>
    </w:p>
    <w:p w14:paraId="53AC3E7F" w14:textId="77777777" w:rsidR="007E252F" w:rsidRPr="007E252F" w:rsidRDefault="007E252F" w:rsidP="007E252F">
      <w:pPr>
        <w:widowControl/>
        <w:tabs>
          <w:tab w:val="left" w:pos="397"/>
        </w:tabs>
        <w:ind w:left="397" w:hanging="397"/>
        <w:rPr>
          <w:lang w:val="en-AU"/>
        </w:rPr>
      </w:pPr>
      <w:bookmarkStart w:id="269" w:name="_CTVL001c5bb8bb19f47481fbd62a87b3a2f2451"/>
      <w:r w:rsidRPr="007E252F">
        <w:rPr>
          <w:lang w:val="en-AU"/>
        </w:rPr>
        <w:t>Secretariat of the Pacific Community (2001) Pacific kava : a producer’s guide. www.awadevelopment.org/wp-content/uploads/2014/01/Kava-Production-Guide-Final-Edited1.pdf. Accessed: September 2021</w:t>
      </w:r>
    </w:p>
    <w:p w14:paraId="11E66714" w14:textId="77777777" w:rsidR="007E252F" w:rsidRPr="007E252F" w:rsidRDefault="007E252F" w:rsidP="007E252F">
      <w:pPr>
        <w:widowControl/>
        <w:tabs>
          <w:tab w:val="left" w:pos="397"/>
        </w:tabs>
        <w:ind w:left="397" w:hanging="397"/>
        <w:rPr>
          <w:lang w:val="en-AU"/>
        </w:rPr>
      </w:pPr>
      <w:r w:rsidRPr="007E252F">
        <w:rPr>
          <w:lang w:val="en-AU"/>
        </w:rPr>
        <w:t xml:space="preserve">Shimoda, L. M. N., Showman, A., Baker, J. D., Lange, I., Koomoa, D. L., Stokes, A. J., Borris, R. P., &amp; Turner, H. (2015). Differential regulation of calcium signalling pathways by components of Piper methysticum (‘Awa). </w:t>
      </w:r>
      <w:bookmarkEnd w:id="269"/>
      <w:r w:rsidRPr="007E252F">
        <w:rPr>
          <w:i/>
          <w:lang w:val="en-AU"/>
        </w:rPr>
        <w:t>Phytotherapy Research : PTR</w:t>
      </w:r>
      <w:r w:rsidRPr="007E252F">
        <w:rPr>
          <w:lang w:val="en-AU"/>
        </w:rPr>
        <w:t xml:space="preserve">, </w:t>
      </w:r>
      <w:r w:rsidRPr="007E252F">
        <w:rPr>
          <w:i/>
          <w:lang w:val="en-AU"/>
        </w:rPr>
        <w:t>29</w:t>
      </w:r>
      <w:r w:rsidRPr="007E252F">
        <w:rPr>
          <w:lang w:val="en-AU"/>
        </w:rPr>
        <w:t xml:space="preserve">(4), 582–590. </w:t>
      </w:r>
      <w:hyperlink r:id="rId82" w:history="1">
        <w:r w:rsidRPr="007E252F">
          <w:rPr>
            <w:color w:val="3333FF"/>
            <w:u w:val="single"/>
            <w:lang w:val="en-AU"/>
          </w:rPr>
          <w:t>https://doi.org/10.1002/ptr.5291</w:t>
        </w:r>
      </w:hyperlink>
    </w:p>
    <w:p w14:paraId="4F0D350B" w14:textId="77777777" w:rsidR="007E252F" w:rsidRPr="007E252F" w:rsidRDefault="007E252F" w:rsidP="007E252F">
      <w:pPr>
        <w:widowControl/>
        <w:tabs>
          <w:tab w:val="left" w:pos="397"/>
        </w:tabs>
        <w:ind w:left="397" w:hanging="397"/>
        <w:rPr>
          <w:lang w:val="en-AU"/>
        </w:rPr>
      </w:pPr>
      <w:bookmarkStart w:id="270" w:name="_CTVL0014b578b5d58b94ee7b7da213963d8a977"/>
      <w:r w:rsidRPr="007E252F">
        <w:rPr>
          <w:lang w:val="en-AU"/>
        </w:rPr>
        <w:t xml:space="preserve">Singh, Y. N. (1992). Kava: An overview. </w:t>
      </w:r>
      <w:bookmarkEnd w:id="270"/>
      <w:r w:rsidRPr="007E252F">
        <w:rPr>
          <w:i/>
          <w:lang w:val="en-AU"/>
        </w:rPr>
        <w:t>Journal of Ethnopharmacology</w:t>
      </w:r>
      <w:r w:rsidRPr="007E252F">
        <w:rPr>
          <w:lang w:val="en-AU"/>
        </w:rPr>
        <w:t xml:space="preserve">, </w:t>
      </w:r>
      <w:r w:rsidRPr="007E252F">
        <w:rPr>
          <w:i/>
          <w:lang w:val="en-AU"/>
        </w:rPr>
        <w:t>37</w:t>
      </w:r>
      <w:r w:rsidRPr="007E252F">
        <w:rPr>
          <w:lang w:val="en-AU"/>
        </w:rPr>
        <w:t xml:space="preserve">(1), 13–45. </w:t>
      </w:r>
      <w:hyperlink r:id="rId83" w:history="1">
        <w:r w:rsidRPr="007E252F">
          <w:rPr>
            <w:color w:val="3333FF"/>
            <w:u w:val="single"/>
            <w:lang w:val="en-AU"/>
          </w:rPr>
          <w:t>https://doi.org/10.1016/0378-8741(92)90003-a</w:t>
        </w:r>
      </w:hyperlink>
    </w:p>
    <w:p w14:paraId="48B8CB7A" w14:textId="77777777" w:rsidR="007E252F" w:rsidRPr="007E252F" w:rsidRDefault="007E252F" w:rsidP="007E252F">
      <w:pPr>
        <w:widowControl/>
        <w:tabs>
          <w:tab w:val="left" w:pos="397"/>
        </w:tabs>
        <w:ind w:left="397" w:hanging="397"/>
        <w:rPr>
          <w:lang w:val="en-AU"/>
        </w:rPr>
      </w:pPr>
      <w:bookmarkStart w:id="271" w:name="_CTVL001256fc6394fd04b9681b28769fc5e0f59"/>
      <w:r w:rsidRPr="007E252F">
        <w:rPr>
          <w:lang w:val="en-AU"/>
        </w:rPr>
        <w:lastRenderedPageBreak/>
        <w:t xml:space="preserve">Singh, Y. N., &amp; Devkota, A. K. (2003). Aqueous kava extracts do not affect liver function tests in rats. </w:t>
      </w:r>
      <w:bookmarkEnd w:id="271"/>
      <w:r w:rsidRPr="007E252F">
        <w:rPr>
          <w:i/>
          <w:lang w:val="en-AU"/>
        </w:rPr>
        <w:t>Planta Medica</w:t>
      </w:r>
      <w:r w:rsidRPr="007E252F">
        <w:rPr>
          <w:lang w:val="en-AU"/>
        </w:rPr>
        <w:t xml:space="preserve">, </w:t>
      </w:r>
      <w:r w:rsidRPr="007E252F">
        <w:rPr>
          <w:i/>
          <w:lang w:val="en-AU"/>
        </w:rPr>
        <w:t>69</w:t>
      </w:r>
      <w:r w:rsidRPr="007E252F">
        <w:rPr>
          <w:lang w:val="en-AU"/>
        </w:rPr>
        <w:t xml:space="preserve">(6), 496–499. </w:t>
      </w:r>
      <w:hyperlink r:id="rId84" w:history="1">
        <w:r w:rsidRPr="007E252F">
          <w:rPr>
            <w:color w:val="3333FF"/>
            <w:u w:val="single"/>
            <w:lang w:val="en-AU"/>
          </w:rPr>
          <w:t>https://doi.org/10.1055/s-2003-40658</w:t>
        </w:r>
      </w:hyperlink>
    </w:p>
    <w:p w14:paraId="7462D10C" w14:textId="77777777" w:rsidR="007E252F" w:rsidRPr="007E252F" w:rsidRDefault="007E252F" w:rsidP="007E252F">
      <w:pPr>
        <w:widowControl/>
        <w:tabs>
          <w:tab w:val="left" w:pos="397"/>
        </w:tabs>
        <w:ind w:left="397" w:hanging="397"/>
        <w:rPr>
          <w:lang w:val="en-AU"/>
        </w:rPr>
      </w:pPr>
      <w:bookmarkStart w:id="272" w:name="_CTVL0015c4c9c21794940da841de3e654689775"/>
      <w:r w:rsidRPr="007E252F">
        <w:rPr>
          <w:lang w:val="en-AU"/>
        </w:rPr>
        <w:t xml:space="preserve">Smith, K., &amp; Leiras, C. (2018). The effectiveness and safety of Kava Kava for treating anxiety symptoms: A systematic review and analysis of randomized clinical trials. </w:t>
      </w:r>
      <w:bookmarkEnd w:id="272"/>
      <w:r w:rsidRPr="007E252F">
        <w:rPr>
          <w:i/>
          <w:lang w:val="en-AU"/>
        </w:rPr>
        <w:t>Complementary Therapies in Clinical Practice</w:t>
      </w:r>
      <w:r w:rsidRPr="007E252F">
        <w:rPr>
          <w:lang w:val="en-AU"/>
        </w:rPr>
        <w:t xml:space="preserve">, </w:t>
      </w:r>
      <w:r w:rsidRPr="007E252F">
        <w:rPr>
          <w:i/>
          <w:lang w:val="en-AU"/>
        </w:rPr>
        <w:t>33</w:t>
      </w:r>
      <w:r w:rsidRPr="007E252F">
        <w:rPr>
          <w:lang w:val="en-AU"/>
        </w:rPr>
        <w:t xml:space="preserve">, 107–117. </w:t>
      </w:r>
      <w:hyperlink r:id="rId85" w:history="1">
        <w:r w:rsidRPr="007E252F">
          <w:rPr>
            <w:color w:val="3333FF"/>
            <w:u w:val="single"/>
            <w:lang w:val="en-AU"/>
          </w:rPr>
          <w:t>https://doi.org/10.1016/j.ctcp.2018.09.003</w:t>
        </w:r>
      </w:hyperlink>
    </w:p>
    <w:p w14:paraId="0DFAAF60" w14:textId="77777777" w:rsidR="007E252F" w:rsidRPr="007E252F" w:rsidRDefault="007E252F" w:rsidP="007E252F">
      <w:pPr>
        <w:widowControl/>
        <w:tabs>
          <w:tab w:val="left" w:pos="397"/>
        </w:tabs>
        <w:ind w:left="397" w:hanging="397"/>
        <w:rPr>
          <w:lang w:val="en-AU"/>
        </w:rPr>
      </w:pPr>
      <w:bookmarkStart w:id="273" w:name="_CTVL00174966ba2513a421a9cf0bb842cc7c6a6"/>
      <w:r w:rsidRPr="007E252F">
        <w:rPr>
          <w:lang w:val="en-AU"/>
        </w:rPr>
        <w:t xml:space="preserve">Steele, L., Cummin, A., &amp; Keohane, S. G. (2020). Acute cutaneous toxicity with kava: An inflammatory sebotropic reaction and urticaria. </w:t>
      </w:r>
      <w:bookmarkEnd w:id="273"/>
      <w:r w:rsidRPr="007E252F">
        <w:rPr>
          <w:i/>
          <w:lang w:val="en-AU"/>
        </w:rPr>
        <w:t>Clinical and Experimental Dermatology</w:t>
      </w:r>
      <w:r w:rsidRPr="007E252F">
        <w:rPr>
          <w:lang w:val="en-AU"/>
        </w:rPr>
        <w:t xml:space="preserve">, </w:t>
      </w:r>
      <w:r w:rsidRPr="007E252F">
        <w:rPr>
          <w:i/>
          <w:lang w:val="en-AU"/>
        </w:rPr>
        <w:t>45</w:t>
      </w:r>
      <w:r w:rsidRPr="007E252F">
        <w:rPr>
          <w:lang w:val="en-AU"/>
        </w:rPr>
        <w:t xml:space="preserve">(4), 527–530. </w:t>
      </w:r>
      <w:hyperlink r:id="rId86" w:history="1">
        <w:r w:rsidRPr="007E252F">
          <w:rPr>
            <w:color w:val="3333FF"/>
            <w:u w:val="single"/>
            <w:lang w:val="en-AU"/>
          </w:rPr>
          <w:t>https://doi.org/10.1111/ced.14129</w:t>
        </w:r>
      </w:hyperlink>
    </w:p>
    <w:p w14:paraId="6526ACA5" w14:textId="77777777" w:rsidR="007E252F" w:rsidRPr="007E252F" w:rsidRDefault="007E252F" w:rsidP="007E252F">
      <w:pPr>
        <w:widowControl/>
        <w:tabs>
          <w:tab w:val="left" w:pos="397"/>
        </w:tabs>
        <w:ind w:left="397" w:hanging="397"/>
        <w:rPr>
          <w:lang w:val="en-AU"/>
        </w:rPr>
      </w:pPr>
      <w:bookmarkStart w:id="274" w:name="_CTVL001d73e91a6aeb3449dac795247507a7a26"/>
      <w:r w:rsidRPr="007E252F">
        <w:rPr>
          <w:lang w:val="en-AU"/>
        </w:rPr>
        <w:t xml:space="preserve">Süss, R., &amp; Lehmann, P. (1996) [Hematogenous contact eczema cause by phytogenic drugs exemplified by kava root extract] [Hematogenous contact eczema cause by phytogenic drugs exemplified by kava root extract]. </w:t>
      </w:r>
      <w:bookmarkEnd w:id="274"/>
      <w:r w:rsidRPr="007E252F">
        <w:rPr>
          <w:i/>
          <w:lang w:val="en-AU"/>
        </w:rPr>
        <w:t>Der Hautarzt; Zeitschrift fur Dermatologie, Venerologie, und verwandte Gebiete</w:t>
      </w:r>
      <w:r w:rsidRPr="007E252F">
        <w:rPr>
          <w:lang w:val="en-AU"/>
        </w:rPr>
        <w:t xml:space="preserve">, </w:t>
      </w:r>
      <w:r w:rsidRPr="007E252F">
        <w:rPr>
          <w:i/>
          <w:lang w:val="en-AU"/>
        </w:rPr>
        <w:t>47</w:t>
      </w:r>
      <w:r w:rsidRPr="007E252F">
        <w:rPr>
          <w:lang w:val="en-AU"/>
        </w:rPr>
        <w:t xml:space="preserve">(6), 459–461. </w:t>
      </w:r>
      <w:hyperlink r:id="rId87" w:history="1">
        <w:r w:rsidRPr="007E252F">
          <w:rPr>
            <w:color w:val="3333FF"/>
            <w:u w:val="single"/>
            <w:lang w:val="en-AU"/>
          </w:rPr>
          <w:t>https://doi.org/10.1007/s001050050451</w:t>
        </w:r>
      </w:hyperlink>
    </w:p>
    <w:p w14:paraId="17BA2DAE" w14:textId="77777777" w:rsidR="007E252F" w:rsidRPr="007E252F" w:rsidRDefault="007E252F" w:rsidP="007E252F">
      <w:pPr>
        <w:widowControl/>
        <w:tabs>
          <w:tab w:val="left" w:pos="397"/>
        </w:tabs>
        <w:ind w:left="397" w:hanging="397"/>
        <w:rPr>
          <w:lang w:val="en-AU"/>
        </w:rPr>
      </w:pPr>
      <w:bookmarkStart w:id="275" w:name="_CTVL0013836dc52590743e1b55e046551c9b6d2"/>
      <w:r w:rsidRPr="007E252F">
        <w:rPr>
          <w:lang w:val="en-AU"/>
        </w:rPr>
        <w:t xml:space="preserve">Tang, Y., &amp; Fields, C. (2019). A UHPLC-UV Method Development and Validation for Determining Kavalactones and Flavokavains in Piper methysticum (Kava). </w:t>
      </w:r>
      <w:bookmarkEnd w:id="275"/>
      <w:r w:rsidRPr="007E252F">
        <w:rPr>
          <w:i/>
          <w:lang w:val="en-AU"/>
        </w:rPr>
        <w:t>Molecules</w:t>
      </w:r>
      <w:r w:rsidRPr="007E252F">
        <w:rPr>
          <w:lang w:val="en-AU"/>
        </w:rPr>
        <w:t xml:space="preserve">, </w:t>
      </w:r>
      <w:r w:rsidRPr="007E252F">
        <w:rPr>
          <w:i/>
          <w:lang w:val="en-AU"/>
        </w:rPr>
        <w:t>24</w:t>
      </w:r>
      <w:r w:rsidRPr="007E252F">
        <w:rPr>
          <w:lang w:val="en-AU"/>
        </w:rPr>
        <w:t xml:space="preserve">(7). </w:t>
      </w:r>
      <w:hyperlink r:id="rId88" w:history="1">
        <w:r w:rsidRPr="007E252F">
          <w:rPr>
            <w:color w:val="3333FF"/>
            <w:u w:val="single"/>
            <w:lang w:val="en-AU"/>
          </w:rPr>
          <w:t>https://doi.org/10.3390/molecules24071245</w:t>
        </w:r>
      </w:hyperlink>
    </w:p>
    <w:p w14:paraId="5C7729BA" w14:textId="77777777" w:rsidR="007E252F" w:rsidRPr="007E252F" w:rsidRDefault="007E252F" w:rsidP="007E252F">
      <w:pPr>
        <w:widowControl/>
        <w:tabs>
          <w:tab w:val="left" w:pos="397"/>
        </w:tabs>
        <w:ind w:left="397" w:hanging="397"/>
        <w:rPr>
          <w:lang w:val="en-AU"/>
        </w:rPr>
      </w:pPr>
      <w:bookmarkStart w:id="276" w:name="_CTVL001f4002291feaf4cba961f255b343fb537"/>
      <w:r w:rsidRPr="007E252F">
        <w:rPr>
          <w:lang w:val="en-AU"/>
        </w:rPr>
        <w:t xml:space="preserve">Tarbah, F., Mahler, H., Kardel, B., Weinmann, W., Hafner, D., &amp; Daldrup, T. (2003). Kinetics of kavain and its metabolites after oral application. </w:t>
      </w:r>
      <w:bookmarkEnd w:id="276"/>
      <w:r w:rsidRPr="007E252F">
        <w:rPr>
          <w:i/>
          <w:lang w:val="en-AU"/>
        </w:rPr>
        <w:t>Journal of Chromatography. B, Analytical Technologies in the Biomedical and Life Sciences</w:t>
      </w:r>
      <w:r w:rsidRPr="007E252F">
        <w:rPr>
          <w:lang w:val="en-AU"/>
        </w:rPr>
        <w:t xml:space="preserve">, </w:t>
      </w:r>
      <w:r w:rsidRPr="007E252F">
        <w:rPr>
          <w:i/>
          <w:lang w:val="en-AU"/>
        </w:rPr>
        <w:t>789</w:t>
      </w:r>
      <w:r w:rsidRPr="007E252F">
        <w:rPr>
          <w:lang w:val="en-AU"/>
        </w:rPr>
        <w:t xml:space="preserve">(1), 115–130. </w:t>
      </w:r>
      <w:hyperlink r:id="rId89" w:history="1">
        <w:r w:rsidRPr="007E252F">
          <w:rPr>
            <w:color w:val="3333FF"/>
            <w:u w:val="single"/>
            <w:lang w:val="en-AU"/>
          </w:rPr>
          <w:t>https://doi.org/10.1016/s1570-0232(03)00046-1</w:t>
        </w:r>
      </w:hyperlink>
    </w:p>
    <w:p w14:paraId="6288A347" w14:textId="77777777" w:rsidR="007E252F" w:rsidRPr="007E252F" w:rsidRDefault="007E252F" w:rsidP="007E252F">
      <w:pPr>
        <w:widowControl/>
        <w:tabs>
          <w:tab w:val="left" w:pos="397"/>
        </w:tabs>
        <w:ind w:left="397" w:hanging="397"/>
        <w:rPr>
          <w:lang w:val="en-AU"/>
        </w:rPr>
      </w:pPr>
      <w:bookmarkStart w:id="277" w:name="_CTVL0010daf003f4e424a2ab8a6789f1694b2fc"/>
      <w:r w:rsidRPr="007E252F">
        <w:rPr>
          <w:lang w:val="en-AU"/>
        </w:rPr>
        <w:t xml:space="preserve">Teschke, R. (2010). Kava hepatotoxicity—a clinical review. </w:t>
      </w:r>
      <w:bookmarkEnd w:id="277"/>
      <w:r w:rsidRPr="007E252F">
        <w:rPr>
          <w:i/>
          <w:lang w:val="en-AU"/>
        </w:rPr>
        <w:t>Annals of Hepatology</w:t>
      </w:r>
      <w:r w:rsidRPr="007E252F">
        <w:rPr>
          <w:lang w:val="en-AU"/>
        </w:rPr>
        <w:t xml:space="preserve">, </w:t>
      </w:r>
      <w:r w:rsidRPr="007E252F">
        <w:rPr>
          <w:i/>
          <w:lang w:val="en-AU"/>
        </w:rPr>
        <w:t>9</w:t>
      </w:r>
      <w:r w:rsidRPr="007E252F">
        <w:rPr>
          <w:lang w:val="en-AU"/>
        </w:rPr>
        <w:t>(3), 251–265.</w:t>
      </w:r>
    </w:p>
    <w:p w14:paraId="2EECCB69" w14:textId="77777777" w:rsidR="007E252F" w:rsidRPr="007E252F" w:rsidRDefault="007E252F" w:rsidP="007E252F">
      <w:pPr>
        <w:widowControl/>
        <w:tabs>
          <w:tab w:val="left" w:pos="397"/>
        </w:tabs>
        <w:ind w:left="397" w:hanging="397"/>
        <w:rPr>
          <w:lang w:val="en-AU"/>
        </w:rPr>
      </w:pPr>
      <w:bookmarkStart w:id="278" w:name="_CTVL0011fbab6e810004471a882302c25db4348"/>
      <w:r w:rsidRPr="007E252F">
        <w:rPr>
          <w:lang w:val="en-AU"/>
        </w:rPr>
        <w:t xml:space="preserve">Teschke, R., &amp; Lebot, V. (2011). Proposal for a kava quality standardization code. </w:t>
      </w:r>
      <w:bookmarkEnd w:id="278"/>
      <w:r w:rsidRPr="007E252F">
        <w:rPr>
          <w:i/>
          <w:lang w:val="en-AU"/>
        </w:rPr>
        <w:t>Food and Chemical Toxicology : An International Journal Published for the British Industrial Biological Research Association</w:t>
      </w:r>
      <w:r w:rsidRPr="007E252F">
        <w:rPr>
          <w:lang w:val="en-AU"/>
        </w:rPr>
        <w:t xml:space="preserve">, </w:t>
      </w:r>
      <w:r w:rsidRPr="007E252F">
        <w:rPr>
          <w:i/>
          <w:lang w:val="en-AU"/>
        </w:rPr>
        <w:t>49</w:t>
      </w:r>
      <w:r w:rsidRPr="007E252F">
        <w:rPr>
          <w:lang w:val="en-AU"/>
        </w:rPr>
        <w:t xml:space="preserve">(10), 2503–2516. </w:t>
      </w:r>
      <w:hyperlink r:id="rId90" w:history="1">
        <w:r w:rsidRPr="007E252F">
          <w:rPr>
            <w:color w:val="3333FF"/>
            <w:u w:val="single"/>
            <w:lang w:val="en-AU"/>
          </w:rPr>
          <w:t>https://doi.org/10.1016/j.fct.2011.06.075</w:t>
        </w:r>
      </w:hyperlink>
    </w:p>
    <w:p w14:paraId="4D445535" w14:textId="77777777" w:rsidR="007E252F" w:rsidRPr="007E252F" w:rsidRDefault="007E252F" w:rsidP="007E252F">
      <w:pPr>
        <w:widowControl/>
        <w:tabs>
          <w:tab w:val="left" w:pos="397"/>
        </w:tabs>
        <w:ind w:left="397" w:hanging="397"/>
        <w:rPr>
          <w:lang w:val="en-AU"/>
        </w:rPr>
      </w:pPr>
      <w:bookmarkStart w:id="279" w:name="_CTVL00143c937dedd954ef9a5b85e0f9290b1e8"/>
      <w:r w:rsidRPr="007E252F">
        <w:rPr>
          <w:lang w:val="en-AU"/>
        </w:rPr>
        <w:t xml:space="preserve">Teschke, R., Sarris, J., &amp; Schweitzer, I. (2012). Kava hepatotoxicity in traditional and modern use: The presumed Pacific kava paradox hypothesis revisited. </w:t>
      </w:r>
      <w:bookmarkEnd w:id="279"/>
      <w:r w:rsidRPr="007E252F">
        <w:rPr>
          <w:i/>
          <w:lang w:val="en-AU"/>
        </w:rPr>
        <w:t>British Journal of Clinical Pharmacology</w:t>
      </w:r>
      <w:r w:rsidRPr="007E252F">
        <w:rPr>
          <w:lang w:val="en-AU"/>
        </w:rPr>
        <w:t xml:space="preserve">, </w:t>
      </w:r>
      <w:r w:rsidRPr="007E252F">
        <w:rPr>
          <w:i/>
          <w:lang w:val="en-AU"/>
        </w:rPr>
        <w:t>73</w:t>
      </w:r>
      <w:r w:rsidRPr="007E252F">
        <w:rPr>
          <w:lang w:val="en-AU"/>
        </w:rPr>
        <w:t xml:space="preserve">(2), 170–174. </w:t>
      </w:r>
      <w:hyperlink r:id="rId91" w:history="1">
        <w:r w:rsidRPr="007E252F">
          <w:rPr>
            <w:color w:val="3333FF"/>
            <w:u w:val="single"/>
            <w:lang w:val="en-AU"/>
          </w:rPr>
          <w:t>https://doi.org/10.1111/j.1365-2125.2011.04070.x</w:t>
        </w:r>
      </w:hyperlink>
    </w:p>
    <w:p w14:paraId="5185B8D4" w14:textId="77777777" w:rsidR="007E252F" w:rsidRPr="007E252F" w:rsidRDefault="007E252F" w:rsidP="007E252F">
      <w:pPr>
        <w:widowControl/>
        <w:tabs>
          <w:tab w:val="left" w:pos="397"/>
        </w:tabs>
        <w:ind w:left="397" w:hanging="397"/>
        <w:rPr>
          <w:lang w:val="en-AU"/>
        </w:rPr>
      </w:pPr>
      <w:bookmarkStart w:id="280" w:name="_CTVL001366f270cfc164b7eb1a3ae9f0592437e"/>
      <w:r w:rsidRPr="007E252F">
        <w:rPr>
          <w:lang w:val="en-AU"/>
        </w:rPr>
        <w:t xml:space="preserve">Teschke, R., Schwarzenboeck, A., &amp; Hennermann, K.-H. (2008). Kava hepatotoxicity: A clinical survey and critical analysis of 26 suspected cases. </w:t>
      </w:r>
      <w:bookmarkEnd w:id="280"/>
      <w:r w:rsidRPr="007E252F">
        <w:rPr>
          <w:i/>
          <w:lang w:val="en-AU"/>
        </w:rPr>
        <w:t>European Journal of Gastroenterology &amp; Hepatology</w:t>
      </w:r>
      <w:r w:rsidRPr="007E252F">
        <w:rPr>
          <w:lang w:val="en-AU"/>
        </w:rPr>
        <w:t xml:space="preserve">, </w:t>
      </w:r>
      <w:r w:rsidRPr="007E252F">
        <w:rPr>
          <w:i/>
          <w:lang w:val="en-AU"/>
        </w:rPr>
        <w:t>20</w:t>
      </w:r>
      <w:r w:rsidRPr="007E252F">
        <w:rPr>
          <w:lang w:val="en-AU"/>
        </w:rPr>
        <w:t xml:space="preserve">(12), 1182–1193. </w:t>
      </w:r>
      <w:hyperlink r:id="rId92" w:history="1">
        <w:r w:rsidRPr="007E252F">
          <w:rPr>
            <w:color w:val="3333FF"/>
            <w:u w:val="single"/>
            <w:lang w:val="en-AU"/>
          </w:rPr>
          <w:t>https://doi.org/10.1097/MEG.0b013e3283036768</w:t>
        </w:r>
      </w:hyperlink>
    </w:p>
    <w:p w14:paraId="12109069" w14:textId="77777777" w:rsidR="007E252F" w:rsidRPr="007E252F" w:rsidRDefault="007E252F" w:rsidP="007E252F">
      <w:pPr>
        <w:widowControl/>
        <w:tabs>
          <w:tab w:val="left" w:pos="397"/>
        </w:tabs>
        <w:ind w:left="397" w:hanging="397"/>
        <w:rPr>
          <w:lang w:val="en-AU"/>
        </w:rPr>
      </w:pPr>
      <w:bookmarkStart w:id="281" w:name="_CTVL00193428e7207064a148eb5f8c003c90a38"/>
      <w:r w:rsidRPr="007E252F">
        <w:rPr>
          <w:lang w:val="en-AU"/>
        </w:rPr>
        <w:t xml:space="preserve">Thompson, C. N., Kama, M., Acharya, S., Bera, U., Clemens, J., Crump, J. A., Dawainavesi, A., Dougan, G., Edmunds, W. J., Fox, K., Jenkins, K., Khan, M. I., Koroivueta, J., Levine, M. M., Martin, L. B., Nilles, E., Pitzer, V. E., Singh, S., Raiwalu, R. V., . . . Mulholland, K. (2014). Typhoid fever in Fiji: A reversible plague? </w:t>
      </w:r>
      <w:bookmarkEnd w:id="281"/>
      <w:r w:rsidRPr="007E252F">
        <w:rPr>
          <w:i/>
          <w:lang w:val="en-AU"/>
        </w:rPr>
        <w:t>Tropical Medicine &amp; International Health : TM &amp; IH</w:t>
      </w:r>
      <w:r w:rsidRPr="007E252F">
        <w:rPr>
          <w:lang w:val="en-AU"/>
        </w:rPr>
        <w:t xml:space="preserve">, </w:t>
      </w:r>
      <w:r w:rsidRPr="007E252F">
        <w:rPr>
          <w:i/>
          <w:lang w:val="en-AU"/>
        </w:rPr>
        <w:t>19</w:t>
      </w:r>
      <w:r w:rsidRPr="007E252F">
        <w:rPr>
          <w:lang w:val="en-AU"/>
        </w:rPr>
        <w:t xml:space="preserve">(10), 1284–1292. </w:t>
      </w:r>
      <w:hyperlink r:id="rId93" w:history="1">
        <w:r w:rsidRPr="007E252F">
          <w:rPr>
            <w:color w:val="3333FF"/>
            <w:u w:val="single"/>
            <w:lang w:val="en-AU"/>
          </w:rPr>
          <w:t>https://doi.org/10.1111/tmi.12367</w:t>
        </w:r>
      </w:hyperlink>
    </w:p>
    <w:p w14:paraId="2080B522" w14:textId="77777777" w:rsidR="007E252F" w:rsidRPr="007E252F" w:rsidRDefault="007E252F" w:rsidP="007E252F">
      <w:pPr>
        <w:widowControl/>
        <w:tabs>
          <w:tab w:val="left" w:pos="397"/>
        </w:tabs>
        <w:ind w:left="397" w:hanging="397"/>
        <w:rPr>
          <w:lang w:val="en-AU"/>
        </w:rPr>
      </w:pPr>
      <w:bookmarkStart w:id="282" w:name="_CTVL001936d11bd7835477fa3b6d503c02851e1"/>
      <w:r w:rsidRPr="007E252F">
        <w:rPr>
          <w:lang w:val="en-AU"/>
        </w:rPr>
        <w:t xml:space="preserve">Wainiqolo, I., Kafoa, B., Kool, B., Robinson, E., Herman, J., McCaig, E., &amp; Ameratunga, S. (2016). Driving following Kava Use and Road Traffic Injuries: A Population-Based Case-Control Study in Fiji (TRIP 14). </w:t>
      </w:r>
      <w:bookmarkEnd w:id="282"/>
      <w:r w:rsidRPr="007E252F">
        <w:rPr>
          <w:i/>
          <w:lang w:val="en-AU"/>
        </w:rPr>
        <w:t>PloS One</w:t>
      </w:r>
      <w:r w:rsidRPr="007E252F">
        <w:rPr>
          <w:lang w:val="en-AU"/>
        </w:rPr>
        <w:t xml:space="preserve">, </w:t>
      </w:r>
      <w:r w:rsidRPr="007E252F">
        <w:rPr>
          <w:i/>
          <w:lang w:val="en-AU"/>
        </w:rPr>
        <w:t>11</w:t>
      </w:r>
      <w:r w:rsidRPr="007E252F">
        <w:rPr>
          <w:lang w:val="en-AU"/>
        </w:rPr>
        <w:t xml:space="preserve">(3), e0149719. </w:t>
      </w:r>
      <w:hyperlink r:id="rId94" w:history="1">
        <w:r w:rsidRPr="007E252F">
          <w:rPr>
            <w:color w:val="3333FF"/>
            <w:u w:val="single"/>
            <w:lang w:val="en-AU"/>
          </w:rPr>
          <w:t>https://doi.org/10.1371/journal.pone.0149719</w:t>
        </w:r>
      </w:hyperlink>
    </w:p>
    <w:p w14:paraId="04B19A8B" w14:textId="77777777" w:rsidR="007E252F" w:rsidRPr="007E252F" w:rsidRDefault="007E252F" w:rsidP="007E252F">
      <w:pPr>
        <w:widowControl/>
        <w:tabs>
          <w:tab w:val="left" w:pos="397"/>
        </w:tabs>
        <w:ind w:left="397" w:hanging="397"/>
        <w:rPr>
          <w:lang w:val="en-AU"/>
        </w:rPr>
      </w:pPr>
      <w:bookmarkStart w:id="283" w:name="_CTVL001566f9b00082e44f4a61322ae69108f14"/>
      <w:r w:rsidRPr="007E252F">
        <w:rPr>
          <w:lang w:val="en-AU"/>
        </w:rPr>
        <w:t xml:space="preserve">Wang, P., Zhu, J., Shehu, A. I., Lu, J., Chen, J., Zhong, X.-B., &amp; Ma, X. (2019). Enzymes and Pathways of Kavain Bioactivation and Biotransformation. </w:t>
      </w:r>
      <w:bookmarkEnd w:id="283"/>
      <w:r w:rsidRPr="007E252F">
        <w:rPr>
          <w:i/>
          <w:lang w:val="en-AU"/>
        </w:rPr>
        <w:t>Chemical Research in Toxicology</w:t>
      </w:r>
      <w:r w:rsidRPr="007E252F">
        <w:rPr>
          <w:lang w:val="en-AU"/>
        </w:rPr>
        <w:t xml:space="preserve">, </w:t>
      </w:r>
      <w:r w:rsidRPr="007E252F">
        <w:rPr>
          <w:i/>
          <w:lang w:val="en-AU"/>
        </w:rPr>
        <w:t>32</w:t>
      </w:r>
      <w:r w:rsidRPr="007E252F">
        <w:rPr>
          <w:lang w:val="en-AU"/>
        </w:rPr>
        <w:t xml:space="preserve">(7), 1335–1342. </w:t>
      </w:r>
      <w:hyperlink r:id="rId95" w:history="1">
        <w:r w:rsidRPr="007E252F">
          <w:rPr>
            <w:color w:val="3333FF"/>
            <w:u w:val="single"/>
            <w:lang w:val="en-AU"/>
          </w:rPr>
          <w:t>https://doi.org/10.1021/acs.chemrestox.9b00098</w:t>
        </w:r>
      </w:hyperlink>
    </w:p>
    <w:p w14:paraId="2C827B06" w14:textId="77777777" w:rsidR="007E252F" w:rsidRPr="007E252F" w:rsidRDefault="007E252F" w:rsidP="007E252F">
      <w:pPr>
        <w:widowControl/>
        <w:tabs>
          <w:tab w:val="left" w:pos="397"/>
        </w:tabs>
        <w:ind w:left="397" w:hanging="397"/>
        <w:rPr>
          <w:lang w:val="en-AU"/>
        </w:rPr>
      </w:pPr>
      <w:bookmarkStart w:id="284" w:name="_CTVL00129234d01f8174636892df668de306c4d"/>
      <w:r w:rsidRPr="007E252F">
        <w:rPr>
          <w:lang w:val="en-AU"/>
        </w:rPr>
        <w:t xml:space="preserve">Wang, Y., Su, C., Zhang, B., Niu, Y., Ren, R., Zhao, X., Yang, L., Zhang, W., &amp; Ma, X. (2021). Biological Activity, Hepatotoxicity, and Structure-Activity Relationship of Kavalactones and Flavokavins, the Two Main Bioactive Components in Kava (Piper methysticum). </w:t>
      </w:r>
      <w:bookmarkEnd w:id="284"/>
      <w:r w:rsidRPr="007E252F">
        <w:rPr>
          <w:i/>
          <w:lang w:val="en-AU"/>
        </w:rPr>
        <w:t>Evidence-Based Complementary and Alternative Medicine : ECAM</w:t>
      </w:r>
      <w:r w:rsidRPr="007E252F">
        <w:rPr>
          <w:lang w:val="en-AU"/>
        </w:rPr>
        <w:t xml:space="preserve">, </w:t>
      </w:r>
      <w:r w:rsidRPr="007E252F">
        <w:rPr>
          <w:i/>
          <w:lang w:val="en-AU"/>
        </w:rPr>
        <w:t>2021</w:t>
      </w:r>
      <w:r w:rsidRPr="007E252F">
        <w:rPr>
          <w:lang w:val="en-AU"/>
        </w:rPr>
        <w:t xml:space="preserve">, 6851798. </w:t>
      </w:r>
      <w:hyperlink r:id="rId96" w:history="1">
        <w:r w:rsidRPr="007E252F">
          <w:rPr>
            <w:color w:val="3333FF"/>
            <w:u w:val="single"/>
            <w:lang w:val="en-AU"/>
          </w:rPr>
          <w:t>https://doi.org/10.1155/2021/6851798</w:t>
        </w:r>
      </w:hyperlink>
    </w:p>
    <w:p w14:paraId="24B65552" w14:textId="77777777" w:rsidR="007E252F" w:rsidRPr="007E252F" w:rsidRDefault="007E252F" w:rsidP="007E252F">
      <w:pPr>
        <w:widowControl/>
        <w:tabs>
          <w:tab w:val="left" w:pos="397"/>
        </w:tabs>
        <w:ind w:left="397" w:hanging="397"/>
        <w:rPr>
          <w:lang w:val="en-AU"/>
        </w:rPr>
      </w:pPr>
      <w:bookmarkStart w:id="285" w:name="_CTVL001ea6ebe3155a749da81fe99ebef772ef8"/>
      <w:r w:rsidRPr="007E252F">
        <w:rPr>
          <w:lang w:val="en-AU"/>
        </w:rPr>
        <w:t xml:space="preserve">Wanwimolruk, S., Bhawan, S., Coville, P. F., &amp; Chalcroft, S. C. (1998). Genetic polymorphism of debrisoquine (CYP2D6) and proguanil (CYP2C19) in South Pacific Polynesian populations. </w:t>
      </w:r>
      <w:bookmarkEnd w:id="285"/>
      <w:r w:rsidRPr="007E252F">
        <w:rPr>
          <w:i/>
          <w:lang w:val="en-AU"/>
        </w:rPr>
        <w:t>European Journal of Clinical Pharmacology</w:t>
      </w:r>
      <w:r w:rsidRPr="007E252F">
        <w:rPr>
          <w:lang w:val="en-AU"/>
        </w:rPr>
        <w:t xml:space="preserve">, </w:t>
      </w:r>
      <w:r w:rsidRPr="007E252F">
        <w:rPr>
          <w:i/>
          <w:lang w:val="en-AU"/>
        </w:rPr>
        <w:t>54</w:t>
      </w:r>
      <w:r w:rsidRPr="007E252F">
        <w:rPr>
          <w:lang w:val="en-AU"/>
        </w:rPr>
        <w:t xml:space="preserve">(5), 431–435. </w:t>
      </w:r>
      <w:hyperlink r:id="rId97" w:history="1">
        <w:r w:rsidRPr="007E252F">
          <w:rPr>
            <w:color w:val="3333FF"/>
            <w:u w:val="single"/>
            <w:lang w:val="en-AU"/>
          </w:rPr>
          <w:t>https://doi.org/10.1007/s002280050488</w:t>
        </w:r>
      </w:hyperlink>
    </w:p>
    <w:p w14:paraId="01F3F0DA" w14:textId="77777777" w:rsidR="007E252F" w:rsidRPr="007E252F" w:rsidRDefault="007E252F" w:rsidP="007E252F">
      <w:pPr>
        <w:widowControl/>
        <w:tabs>
          <w:tab w:val="left" w:pos="397"/>
        </w:tabs>
        <w:ind w:left="397" w:hanging="397"/>
        <w:rPr>
          <w:lang w:val="en-AU"/>
        </w:rPr>
      </w:pPr>
      <w:bookmarkStart w:id="286" w:name="_CTVL00165931fc9b7654989b0eb2f8a705d3508"/>
      <w:r w:rsidRPr="007E252F">
        <w:rPr>
          <w:lang w:val="en-AU"/>
        </w:rPr>
        <w:lastRenderedPageBreak/>
        <w:t xml:space="preserve">Weaver, C. M., &amp; Trucksess, M. W. (2010). Determination of Aflatoxins in Botanical Roots by a Modification of AOAC Official MethodSM 991.31: Single-Laboratory Validation. </w:t>
      </w:r>
      <w:bookmarkEnd w:id="286"/>
      <w:r w:rsidRPr="007E252F">
        <w:rPr>
          <w:i/>
          <w:lang w:val="en-AU"/>
        </w:rPr>
        <w:t>Journal of AOAC INTERNATIONAL</w:t>
      </w:r>
      <w:r w:rsidRPr="007E252F">
        <w:rPr>
          <w:lang w:val="en-AU"/>
        </w:rPr>
        <w:t xml:space="preserve">, </w:t>
      </w:r>
      <w:r w:rsidRPr="007E252F">
        <w:rPr>
          <w:i/>
          <w:lang w:val="en-AU"/>
        </w:rPr>
        <w:t>93</w:t>
      </w:r>
      <w:r w:rsidRPr="007E252F">
        <w:rPr>
          <w:lang w:val="en-AU"/>
        </w:rPr>
        <w:t xml:space="preserve">(1), 184–189. </w:t>
      </w:r>
      <w:hyperlink r:id="rId98" w:history="1">
        <w:r w:rsidRPr="007E252F">
          <w:rPr>
            <w:color w:val="3333FF"/>
            <w:u w:val="single"/>
            <w:lang w:val="en-AU"/>
          </w:rPr>
          <w:t>https://doi.org/10.1093/jaoac/93.1.184</w:t>
        </w:r>
      </w:hyperlink>
    </w:p>
    <w:p w14:paraId="066B884E" w14:textId="77777777" w:rsidR="007E252F" w:rsidRPr="007E252F" w:rsidRDefault="007E252F" w:rsidP="007E252F">
      <w:pPr>
        <w:widowControl/>
        <w:tabs>
          <w:tab w:val="left" w:pos="397"/>
        </w:tabs>
        <w:ind w:left="397" w:hanging="397"/>
        <w:rPr>
          <w:lang w:val="en-AU"/>
        </w:rPr>
      </w:pPr>
      <w:bookmarkStart w:id="287" w:name="_CTVL00106ceadec9ef34c85a06ef98b4a9200bd"/>
      <w:r w:rsidRPr="007E252F">
        <w:rPr>
          <w:lang w:val="en-AU"/>
        </w:rPr>
        <w:t xml:space="preserve">White, C. M. (2018). The Pharmacology, Pharmacokinetics, Efficacy, and Adverse Events Associated With Kava. </w:t>
      </w:r>
      <w:bookmarkEnd w:id="287"/>
      <w:r w:rsidRPr="007E252F">
        <w:rPr>
          <w:i/>
          <w:lang w:val="en-AU"/>
        </w:rPr>
        <w:t>Journal of Clinical Pharmacology</w:t>
      </w:r>
      <w:r w:rsidRPr="007E252F">
        <w:rPr>
          <w:lang w:val="en-AU"/>
        </w:rPr>
        <w:t xml:space="preserve">, </w:t>
      </w:r>
      <w:r w:rsidRPr="007E252F">
        <w:rPr>
          <w:i/>
          <w:lang w:val="en-AU"/>
        </w:rPr>
        <w:t>58</w:t>
      </w:r>
      <w:r w:rsidRPr="007E252F">
        <w:rPr>
          <w:lang w:val="en-AU"/>
        </w:rPr>
        <w:t xml:space="preserve">(11), 1396–1405. </w:t>
      </w:r>
      <w:hyperlink r:id="rId99" w:history="1">
        <w:r w:rsidRPr="007E252F">
          <w:rPr>
            <w:color w:val="3333FF"/>
            <w:u w:val="single"/>
            <w:lang w:val="en-AU"/>
          </w:rPr>
          <w:t>https://doi.org/10.1002/jcph.1263</w:t>
        </w:r>
      </w:hyperlink>
    </w:p>
    <w:p w14:paraId="6658D926" w14:textId="77777777" w:rsidR="007E252F" w:rsidRPr="007E252F" w:rsidRDefault="007E252F" w:rsidP="007E252F">
      <w:pPr>
        <w:widowControl/>
        <w:tabs>
          <w:tab w:val="left" w:pos="397"/>
        </w:tabs>
        <w:ind w:left="397" w:hanging="397"/>
        <w:rPr>
          <w:lang w:val="en-AU"/>
        </w:rPr>
      </w:pPr>
      <w:bookmarkStart w:id="288" w:name="_CTVL001df1a28dcd2cd479f8f8ea71511851751"/>
      <w:r w:rsidRPr="007E252F">
        <w:rPr>
          <w:lang w:val="en-AU"/>
        </w:rPr>
        <w:t xml:space="preserve">Whittaker, P., Clarke, J. J., San, R. H. C., Betz, J. M., Seifried, H. E., Jager, L. S. de, &amp; Dunkel, V. C. (2008). Evaluation of commercial kava extracts and kavalactone standards for mutagenicity and toxicity using the mammalian cell gene mutation assay in L5178Y mouse lymphoma cells. </w:t>
      </w:r>
      <w:bookmarkEnd w:id="288"/>
      <w:r w:rsidRPr="007E252F">
        <w:rPr>
          <w:i/>
          <w:lang w:val="en-AU"/>
        </w:rPr>
        <w:t>Food and Chemical Toxicology : An International Journal Published for the British Industrial Biological Research Association</w:t>
      </w:r>
      <w:r w:rsidRPr="007E252F">
        <w:rPr>
          <w:lang w:val="en-AU"/>
        </w:rPr>
        <w:t xml:space="preserve">, </w:t>
      </w:r>
      <w:r w:rsidRPr="007E252F">
        <w:rPr>
          <w:i/>
          <w:lang w:val="en-AU"/>
        </w:rPr>
        <w:t>46</w:t>
      </w:r>
      <w:r w:rsidRPr="007E252F">
        <w:rPr>
          <w:lang w:val="en-AU"/>
        </w:rPr>
        <w:t xml:space="preserve">(1), 168–174. </w:t>
      </w:r>
      <w:hyperlink r:id="rId100" w:history="1">
        <w:r w:rsidRPr="007E252F">
          <w:rPr>
            <w:color w:val="3333FF"/>
            <w:u w:val="single"/>
            <w:lang w:val="en-AU"/>
          </w:rPr>
          <w:t>https://doi.org/10.1016/j.fct.2007.07.013</w:t>
        </w:r>
      </w:hyperlink>
    </w:p>
    <w:p w14:paraId="798F7C34" w14:textId="77777777" w:rsidR="007E252F" w:rsidRPr="007E252F" w:rsidRDefault="007E252F" w:rsidP="007E252F">
      <w:pPr>
        <w:widowControl/>
        <w:tabs>
          <w:tab w:val="left" w:pos="397"/>
        </w:tabs>
        <w:ind w:left="397" w:hanging="397"/>
        <w:rPr>
          <w:lang w:val="en-AU"/>
        </w:rPr>
      </w:pPr>
      <w:bookmarkStart w:id="289" w:name="_CTVL001bb71b0e97b1f4bf39b5de6b2bd239cd0"/>
      <w:r w:rsidRPr="007E252F">
        <w:rPr>
          <w:lang w:val="en-AU"/>
        </w:rPr>
        <w:t xml:space="preserve">Whitton, P. A., Lau, A., Salisbury, A., Whitehouse, J., &amp; Evans, C. S. (2003). Kava lactones and the kava-kava controversy. </w:t>
      </w:r>
      <w:bookmarkEnd w:id="289"/>
      <w:r w:rsidRPr="007E252F">
        <w:rPr>
          <w:i/>
          <w:lang w:val="en-AU"/>
        </w:rPr>
        <w:t>Phytochemistry</w:t>
      </w:r>
      <w:r w:rsidRPr="007E252F">
        <w:rPr>
          <w:lang w:val="en-AU"/>
        </w:rPr>
        <w:t xml:space="preserve">, </w:t>
      </w:r>
      <w:r w:rsidRPr="007E252F">
        <w:rPr>
          <w:i/>
          <w:lang w:val="en-AU"/>
        </w:rPr>
        <w:t>64</w:t>
      </w:r>
      <w:r w:rsidRPr="007E252F">
        <w:rPr>
          <w:lang w:val="en-AU"/>
        </w:rPr>
        <w:t xml:space="preserve">(3), 673–679. </w:t>
      </w:r>
      <w:hyperlink r:id="rId101" w:history="1">
        <w:r w:rsidRPr="007E252F">
          <w:rPr>
            <w:color w:val="3333FF"/>
            <w:u w:val="single"/>
            <w:lang w:val="en-AU"/>
          </w:rPr>
          <w:t>https://doi.org/10.1016/s0031-9422(03)00381-9</w:t>
        </w:r>
      </w:hyperlink>
    </w:p>
    <w:p w14:paraId="109CE003" w14:textId="77777777" w:rsidR="007E252F" w:rsidRPr="007E252F" w:rsidRDefault="007E252F" w:rsidP="007E252F">
      <w:pPr>
        <w:widowControl/>
        <w:tabs>
          <w:tab w:val="left" w:pos="397"/>
        </w:tabs>
        <w:ind w:left="397" w:hanging="397"/>
        <w:rPr>
          <w:lang w:val="en-AU"/>
        </w:rPr>
      </w:pPr>
      <w:bookmarkStart w:id="290" w:name="_CTVL0015b99c7d6621640c691d71db6268df8a1"/>
      <w:r w:rsidRPr="007E252F">
        <w:rPr>
          <w:lang w:val="en-AU"/>
        </w:rPr>
        <w:t xml:space="preserve">World Health Organisation (2008). </w:t>
      </w:r>
      <w:bookmarkEnd w:id="290"/>
      <w:r w:rsidRPr="007E252F">
        <w:rPr>
          <w:i/>
          <w:lang w:val="en-AU"/>
        </w:rPr>
        <w:t>Assessment of the risk of hepatotoxicity with kava products</w:t>
      </w:r>
      <w:r w:rsidRPr="007E252F">
        <w:rPr>
          <w:lang w:val="en-AU"/>
        </w:rPr>
        <w:t xml:space="preserve">. Geneva. </w:t>
      </w:r>
      <w:hyperlink r:id="rId102" w:history="1">
        <w:r w:rsidRPr="007E252F">
          <w:rPr>
            <w:color w:val="3333FF"/>
            <w:u w:val="single"/>
            <w:lang w:val="en-AU"/>
          </w:rPr>
          <w:t>https://apps.who.int/iris/bitstream/handle/10665/43630/9789241595261_eng.pdf</w:t>
        </w:r>
      </w:hyperlink>
    </w:p>
    <w:p w14:paraId="6D4A9626" w14:textId="77777777" w:rsidR="007E252F" w:rsidRPr="007E252F" w:rsidRDefault="007E252F" w:rsidP="007E252F">
      <w:pPr>
        <w:widowControl/>
        <w:tabs>
          <w:tab w:val="left" w:pos="397"/>
        </w:tabs>
        <w:ind w:left="397" w:hanging="397"/>
        <w:rPr>
          <w:lang w:val="en-AU"/>
        </w:rPr>
      </w:pPr>
      <w:bookmarkStart w:id="291" w:name="_CTVL00163e0794b6c7149079689f50015146cb4"/>
      <w:r w:rsidRPr="007E252F">
        <w:rPr>
          <w:lang w:val="en-AU"/>
        </w:rPr>
        <w:t xml:space="preserve">Xuan, T. D., Fukuta, M., Wei, A. C., Elzaawely, A. A., Khanh, T. D., &amp; Tawata, S. (2008). Efficacy of extracting solvents to chemical components of kava (Piper methysticum) roots. </w:t>
      </w:r>
      <w:bookmarkEnd w:id="291"/>
      <w:r w:rsidRPr="007E252F">
        <w:rPr>
          <w:i/>
          <w:lang w:val="en-AU"/>
        </w:rPr>
        <w:t>Journal of Natural Medicines</w:t>
      </w:r>
      <w:r w:rsidRPr="007E252F">
        <w:rPr>
          <w:lang w:val="en-AU"/>
        </w:rPr>
        <w:t xml:space="preserve">, </w:t>
      </w:r>
      <w:r w:rsidRPr="007E252F">
        <w:rPr>
          <w:i/>
          <w:lang w:val="en-AU"/>
        </w:rPr>
        <w:t>62</w:t>
      </w:r>
      <w:r w:rsidRPr="007E252F">
        <w:rPr>
          <w:lang w:val="en-AU"/>
        </w:rPr>
        <w:t xml:space="preserve">(2), 188–194. </w:t>
      </w:r>
      <w:hyperlink r:id="rId103" w:history="1">
        <w:r w:rsidRPr="007E252F">
          <w:rPr>
            <w:color w:val="3333FF"/>
            <w:u w:val="single"/>
            <w:lang w:val="en-AU"/>
          </w:rPr>
          <w:t>https://doi.org/10.1007/s11418-007-0203-2</w:t>
        </w:r>
      </w:hyperlink>
    </w:p>
    <w:p w14:paraId="616F1F72" w14:textId="77777777" w:rsidR="007E252F" w:rsidRPr="007E252F" w:rsidRDefault="007E252F" w:rsidP="007E252F">
      <w:pPr>
        <w:widowControl/>
        <w:tabs>
          <w:tab w:val="left" w:pos="397"/>
        </w:tabs>
        <w:ind w:left="397" w:hanging="397"/>
        <w:rPr>
          <w:lang w:val="en-AU"/>
        </w:rPr>
      </w:pPr>
      <w:bookmarkStart w:id="292" w:name="_CTVL001b2db0a80b86f41079e08518fe8443ce6"/>
      <w:r w:rsidRPr="007E252F">
        <w:rPr>
          <w:lang w:val="en-AU"/>
        </w:rPr>
        <w:t xml:space="preserve">Yang, X., Zan, T., Yan, H., &amp; Liu, B. (2019). Uplc-MS/MS determination of flavokawain B, a novel anti-tumor chemotherapeutic agent in rat plasma and its application to a pharmacokinetic study in rats. </w:t>
      </w:r>
      <w:bookmarkEnd w:id="292"/>
      <w:r w:rsidRPr="007E252F">
        <w:rPr>
          <w:i/>
          <w:lang w:val="en-AU"/>
        </w:rPr>
        <w:t>Biomedical Chromatography : BMC</w:t>
      </w:r>
      <w:r w:rsidRPr="007E252F">
        <w:rPr>
          <w:lang w:val="en-AU"/>
        </w:rPr>
        <w:t xml:space="preserve">, </w:t>
      </w:r>
      <w:r w:rsidRPr="007E252F">
        <w:rPr>
          <w:i/>
          <w:lang w:val="en-AU"/>
        </w:rPr>
        <w:t>33</w:t>
      </w:r>
      <w:r w:rsidRPr="007E252F">
        <w:rPr>
          <w:lang w:val="en-AU"/>
        </w:rPr>
        <w:t xml:space="preserve">(2), e4391. </w:t>
      </w:r>
      <w:hyperlink r:id="rId104" w:history="1">
        <w:r w:rsidRPr="007E252F">
          <w:rPr>
            <w:color w:val="3333FF"/>
            <w:u w:val="single"/>
            <w:lang w:val="en-AU"/>
          </w:rPr>
          <w:t>https://doi.org/10.1002/bmc.4391</w:t>
        </w:r>
      </w:hyperlink>
    </w:p>
    <w:p w14:paraId="7F164B20" w14:textId="77777777" w:rsidR="007E252F" w:rsidRPr="007E252F" w:rsidRDefault="007E252F" w:rsidP="007E252F">
      <w:pPr>
        <w:widowControl/>
        <w:tabs>
          <w:tab w:val="left" w:pos="397"/>
        </w:tabs>
        <w:ind w:left="397" w:hanging="397"/>
        <w:rPr>
          <w:lang w:val="en-AU"/>
        </w:rPr>
      </w:pPr>
      <w:bookmarkStart w:id="293" w:name="_CTVL00107335af6dbd04545b66aaf0c516dd6c0"/>
      <w:r w:rsidRPr="007E252F">
        <w:rPr>
          <w:lang w:val="en-AU"/>
        </w:rPr>
        <w:t xml:space="preserve">Zenger, K., Agnolet, S., Schneider, B., &amp; Kraus, B. (2015). Biotransformation of Flavokawains A, B, and C, Chalcones from Kava (Piper methysticum), by Human Liver Microsomes. </w:t>
      </w:r>
      <w:bookmarkEnd w:id="293"/>
      <w:r w:rsidRPr="007E252F">
        <w:rPr>
          <w:i/>
          <w:lang w:val="en-AU"/>
        </w:rPr>
        <w:t>Journal of Agricultural and Food Chemistry</w:t>
      </w:r>
      <w:r w:rsidRPr="007E252F">
        <w:rPr>
          <w:lang w:val="en-AU"/>
        </w:rPr>
        <w:t xml:space="preserve">, </w:t>
      </w:r>
      <w:r w:rsidRPr="007E252F">
        <w:rPr>
          <w:i/>
          <w:lang w:val="en-AU"/>
        </w:rPr>
        <w:t>63</w:t>
      </w:r>
      <w:r w:rsidRPr="007E252F">
        <w:rPr>
          <w:lang w:val="en-AU"/>
        </w:rPr>
        <w:t xml:space="preserve">(28), 6376–6385. </w:t>
      </w:r>
      <w:hyperlink r:id="rId105" w:history="1">
        <w:r w:rsidRPr="007E252F">
          <w:rPr>
            <w:color w:val="3333FF"/>
            <w:u w:val="single"/>
            <w:lang w:val="en-AU"/>
          </w:rPr>
          <w:t>https://doi.org/10.1021/acs.jafc.5b01858</w:t>
        </w:r>
      </w:hyperlink>
    </w:p>
    <w:p w14:paraId="154D0E5A" w14:textId="77777777" w:rsidR="007E252F" w:rsidRPr="007E252F" w:rsidRDefault="007E252F" w:rsidP="007E252F">
      <w:pPr>
        <w:widowControl/>
        <w:tabs>
          <w:tab w:val="left" w:pos="397"/>
        </w:tabs>
        <w:ind w:left="397" w:hanging="397"/>
        <w:rPr>
          <w:lang w:val="en-AU"/>
        </w:rPr>
      </w:pPr>
      <w:bookmarkStart w:id="294" w:name="_CTVL001523d62ec312d480383f9a8936c474054"/>
      <w:r w:rsidRPr="007E252F">
        <w:rPr>
          <w:lang w:val="en-AU"/>
        </w:rPr>
        <w:t xml:space="preserve">Zhou, P., Gross, S., Liu, J.-H., Yu, B.-Y., Feng, L.-L., Nolta, J., Sharma, V., Piwnica-Worms, D., &amp; Qiu, S. X. (2010). Flavokawain B, the hepatotoxic constituent from kava root, induces GSH-sensitive oxidative stress through modulation of IKK/NF-κB and MAPK signaling pathways. </w:t>
      </w:r>
      <w:bookmarkEnd w:id="294"/>
      <w:r w:rsidRPr="007E252F">
        <w:rPr>
          <w:i/>
          <w:lang w:val="en-AU"/>
        </w:rPr>
        <w:t>The FASEB Journal</w:t>
      </w:r>
      <w:r w:rsidRPr="007E252F">
        <w:rPr>
          <w:lang w:val="en-AU"/>
        </w:rPr>
        <w:t xml:space="preserve">, </w:t>
      </w:r>
      <w:r w:rsidRPr="007E252F">
        <w:rPr>
          <w:i/>
          <w:lang w:val="en-AU"/>
        </w:rPr>
        <w:t>24</w:t>
      </w:r>
      <w:r w:rsidRPr="007E252F">
        <w:rPr>
          <w:lang w:val="en-AU"/>
        </w:rPr>
        <w:t xml:space="preserve">(12), 4722–4732. </w:t>
      </w:r>
      <w:hyperlink r:id="rId106" w:history="1">
        <w:r w:rsidRPr="007E252F">
          <w:rPr>
            <w:color w:val="3333FF"/>
            <w:u w:val="single"/>
            <w:lang w:val="en-AU"/>
          </w:rPr>
          <w:t>https://doi.org/10.1096/fj.10-163311</w:t>
        </w:r>
      </w:hyperlink>
    </w:p>
    <w:p w14:paraId="482C52C2" w14:textId="77777777" w:rsidR="007E252F" w:rsidRPr="007E252F" w:rsidRDefault="007E252F" w:rsidP="007E252F">
      <w:pPr>
        <w:widowControl/>
        <w:rPr>
          <w:lang w:val="en-AU"/>
        </w:rPr>
      </w:pPr>
    </w:p>
    <w:p w14:paraId="676FC1ED" w14:textId="77777777" w:rsidR="007E252F" w:rsidRPr="007E252F" w:rsidRDefault="007E252F" w:rsidP="007E252F">
      <w:pPr>
        <w:widowControl/>
        <w:rPr>
          <w:lang w:val="en-AU"/>
        </w:rPr>
      </w:pPr>
    </w:p>
    <w:p w14:paraId="456F9F0D" w14:textId="77777777" w:rsidR="007E252F" w:rsidRPr="007E252F" w:rsidRDefault="007E252F" w:rsidP="007E252F">
      <w:pPr>
        <w:widowControl/>
        <w:rPr>
          <w:lang w:val="en-AU"/>
        </w:rPr>
      </w:pPr>
      <w:r w:rsidRPr="007E252F">
        <w:rPr>
          <w:lang w:val="en-AU"/>
        </w:rPr>
        <w:br w:type="page"/>
      </w:r>
    </w:p>
    <w:p w14:paraId="66359C86" w14:textId="77777777" w:rsidR="007E252F" w:rsidRPr="007E252F" w:rsidRDefault="007E252F" w:rsidP="007E252F">
      <w:pPr>
        <w:keepNext/>
        <w:widowControl/>
        <w:spacing w:before="240" w:after="240"/>
        <w:ind w:left="851" w:hanging="851"/>
        <w:outlineLvl w:val="0"/>
        <w:rPr>
          <w:b/>
          <w:bCs/>
          <w:sz w:val="36"/>
          <w:szCs w:val="28"/>
          <w:lang w:val="en-AU" w:bidi="ar-SA"/>
        </w:rPr>
      </w:pPr>
      <w:bookmarkStart w:id="295" w:name="_Toc72504678"/>
      <w:bookmarkStart w:id="296" w:name="_Toc74035765"/>
      <w:bookmarkStart w:id="297" w:name="_Toc74056566"/>
      <w:bookmarkStart w:id="298" w:name="_Toc74665271"/>
      <w:bookmarkStart w:id="299" w:name="_Toc412023801"/>
      <w:bookmarkStart w:id="300" w:name="_Toc418672645"/>
      <w:bookmarkStart w:id="301" w:name="_Toc433120881"/>
      <w:bookmarkStart w:id="302" w:name="_Toc442711435"/>
      <w:bookmarkStart w:id="303" w:name="_Toc442868346"/>
      <w:bookmarkStart w:id="304" w:name="_Toc442874614"/>
      <w:bookmarkStart w:id="305" w:name="_Toc82168591"/>
      <w:bookmarkStart w:id="306" w:name="_Toc83287731"/>
      <w:bookmarkStart w:id="307" w:name="_Toc83297198"/>
      <w:bookmarkStart w:id="308" w:name="_Toc83324818"/>
      <w:bookmarkStart w:id="309" w:name="_Toc95830191"/>
      <w:r w:rsidRPr="007E252F">
        <w:rPr>
          <w:b/>
          <w:bCs/>
          <w:sz w:val="36"/>
          <w:szCs w:val="28"/>
          <w:lang w:val="en-AU" w:bidi="ar-SA"/>
        </w:rPr>
        <w:lastRenderedPageBreak/>
        <w:t xml:space="preserve">Appendix 1: </w:t>
      </w:r>
      <w:bookmarkEnd w:id="295"/>
      <w:bookmarkEnd w:id="296"/>
      <w:bookmarkEnd w:id="297"/>
      <w:bookmarkEnd w:id="298"/>
      <w:r w:rsidRPr="007E252F">
        <w:rPr>
          <w:b/>
          <w:bCs/>
          <w:sz w:val="36"/>
          <w:szCs w:val="28"/>
          <w:lang w:val="en-AU" w:bidi="ar-SA"/>
        </w:rPr>
        <w:t>Kava varieties with a history of safe use</w:t>
      </w:r>
      <w:bookmarkEnd w:id="299"/>
      <w:bookmarkEnd w:id="300"/>
      <w:bookmarkEnd w:id="301"/>
      <w:bookmarkEnd w:id="302"/>
      <w:bookmarkEnd w:id="303"/>
      <w:bookmarkEnd w:id="304"/>
      <w:bookmarkEnd w:id="305"/>
      <w:bookmarkEnd w:id="306"/>
      <w:bookmarkEnd w:id="307"/>
      <w:bookmarkEnd w:id="308"/>
      <w:bookmarkEnd w:id="309"/>
    </w:p>
    <w:tbl>
      <w:tblPr>
        <w:tblW w:w="93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22"/>
        <w:gridCol w:w="3122"/>
        <w:gridCol w:w="3122"/>
      </w:tblGrid>
      <w:tr w:rsidR="007E252F" w:rsidRPr="007E252F" w14:paraId="5382FE18" w14:textId="77777777" w:rsidTr="000D5CF1">
        <w:trPr>
          <w:trHeight w:val="300"/>
          <w:jc w:val="center"/>
        </w:trPr>
        <w:tc>
          <w:tcPr>
            <w:tcW w:w="3122" w:type="dxa"/>
            <w:shd w:val="clear" w:color="auto" w:fill="auto"/>
            <w:noWrap/>
            <w:vAlign w:val="center"/>
            <w:hideMark/>
          </w:tcPr>
          <w:p w14:paraId="31C2A29D"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lang w:val="en-AU" w:eastAsia="en-GB"/>
              </w:rPr>
              <w:t>Samoa</w:t>
            </w:r>
            <w:r w:rsidRPr="007E252F">
              <w:rPr>
                <w:rFonts w:cstheme="minorHAnsi"/>
                <w:b/>
                <w:bCs/>
                <w:color w:val="000000"/>
                <w:sz w:val="20"/>
                <w:szCs w:val="20"/>
                <w:vertAlign w:val="superscript"/>
                <w:lang w:val="en-AU" w:eastAsia="en-GB"/>
              </w:rPr>
              <w:t>1,2</w:t>
            </w:r>
          </w:p>
        </w:tc>
        <w:tc>
          <w:tcPr>
            <w:tcW w:w="3122" w:type="dxa"/>
            <w:shd w:val="clear" w:color="auto" w:fill="auto"/>
            <w:noWrap/>
            <w:vAlign w:val="center"/>
            <w:hideMark/>
          </w:tcPr>
          <w:p w14:paraId="12E52406"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lang w:val="en-AU" w:eastAsia="en-GB"/>
              </w:rPr>
              <w:t>Vanuatu</w:t>
            </w:r>
            <w:r w:rsidRPr="007E252F">
              <w:rPr>
                <w:rFonts w:cstheme="minorHAnsi"/>
                <w:b/>
                <w:bCs/>
                <w:color w:val="000000"/>
                <w:sz w:val="20"/>
                <w:szCs w:val="20"/>
                <w:vertAlign w:val="superscript"/>
                <w:lang w:val="en-AU" w:eastAsia="en-GB"/>
              </w:rPr>
              <w:t>2,4,5</w:t>
            </w:r>
          </w:p>
        </w:tc>
        <w:tc>
          <w:tcPr>
            <w:tcW w:w="3122" w:type="dxa"/>
            <w:shd w:val="clear" w:color="auto" w:fill="auto"/>
            <w:noWrap/>
            <w:vAlign w:val="center"/>
            <w:hideMark/>
          </w:tcPr>
          <w:p w14:paraId="7BA3BC7D"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vertAlign w:val="superscript"/>
                <w:lang w:val="en-AU" w:eastAsia="en-GB"/>
              </w:rPr>
              <w:t>ǂ</w:t>
            </w:r>
            <w:r w:rsidRPr="007E252F">
              <w:rPr>
                <w:rFonts w:cstheme="minorHAnsi"/>
                <w:b/>
                <w:bCs/>
                <w:color w:val="000000"/>
                <w:sz w:val="20"/>
                <w:szCs w:val="20"/>
                <w:lang w:val="en-AU" w:eastAsia="en-GB"/>
              </w:rPr>
              <w:t>Hawaii</w:t>
            </w:r>
            <w:r w:rsidRPr="007E252F">
              <w:rPr>
                <w:rFonts w:cstheme="minorHAnsi"/>
                <w:b/>
                <w:bCs/>
                <w:color w:val="000000"/>
                <w:sz w:val="20"/>
                <w:szCs w:val="20"/>
                <w:vertAlign w:val="superscript"/>
                <w:lang w:val="en-AU" w:eastAsia="en-GB"/>
              </w:rPr>
              <w:t>2</w:t>
            </w:r>
          </w:p>
        </w:tc>
      </w:tr>
      <w:tr w:rsidR="007E252F" w:rsidRPr="007E252F" w14:paraId="36B2D903" w14:textId="77777777" w:rsidTr="000D5CF1">
        <w:trPr>
          <w:trHeight w:val="300"/>
          <w:jc w:val="center"/>
        </w:trPr>
        <w:tc>
          <w:tcPr>
            <w:tcW w:w="3122" w:type="dxa"/>
            <w:shd w:val="clear" w:color="auto" w:fill="auto"/>
            <w:noWrap/>
            <w:vAlign w:val="center"/>
            <w:hideMark/>
          </w:tcPr>
          <w:p w14:paraId="635AD421"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Ava La’au</w:t>
            </w:r>
          </w:p>
        </w:tc>
        <w:tc>
          <w:tcPr>
            <w:tcW w:w="3122" w:type="dxa"/>
            <w:shd w:val="clear" w:color="auto" w:fill="auto"/>
            <w:noWrap/>
            <w:vAlign w:val="center"/>
            <w:hideMark/>
          </w:tcPr>
          <w:p w14:paraId="2E88E808"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Ahouia</w:t>
            </w:r>
          </w:p>
        </w:tc>
        <w:tc>
          <w:tcPr>
            <w:tcW w:w="3122" w:type="dxa"/>
            <w:shd w:val="clear" w:color="auto" w:fill="auto"/>
            <w:noWrap/>
            <w:vAlign w:val="center"/>
            <w:hideMark/>
          </w:tcPr>
          <w:p w14:paraId="553A3FEA"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Hanakapi'ai</w:t>
            </w:r>
          </w:p>
        </w:tc>
      </w:tr>
      <w:tr w:rsidR="007E252F" w:rsidRPr="007E252F" w14:paraId="145E05D7" w14:textId="77777777" w:rsidTr="000D5CF1">
        <w:trPr>
          <w:trHeight w:val="300"/>
          <w:jc w:val="center"/>
        </w:trPr>
        <w:tc>
          <w:tcPr>
            <w:tcW w:w="3122" w:type="dxa"/>
            <w:shd w:val="clear" w:color="auto" w:fill="auto"/>
            <w:noWrap/>
            <w:vAlign w:val="center"/>
            <w:hideMark/>
          </w:tcPr>
          <w:p w14:paraId="063C1C3D"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Ava Le’a</w:t>
            </w:r>
          </w:p>
        </w:tc>
        <w:tc>
          <w:tcPr>
            <w:tcW w:w="3122" w:type="dxa"/>
            <w:shd w:val="clear" w:color="auto" w:fill="auto"/>
            <w:noWrap/>
            <w:vAlign w:val="center"/>
            <w:hideMark/>
          </w:tcPr>
          <w:p w14:paraId="4B1402F6"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Amon</w:t>
            </w:r>
          </w:p>
        </w:tc>
        <w:tc>
          <w:tcPr>
            <w:tcW w:w="3122" w:type="dxa"/>
            <w:shd w:val="clear" w:color="auto" w:fill="auto"/>
            <w:noWrap/>
            <w:vAlign w:val="center"/>
            <w:hideMark/>
          </w:tcPr>
          <w:p w14:paraId="59C2770D"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Hiwa</w:t>
            </w:r>
          </w:p>
        </w:tc>
      </w:tr>
      <w:tr w:rsidR="007E252F" w:rsidRPr="007E252F" w14:paraId="37B5D184" w14:textId="77777777" w:rsidTr="000D5CF1">
        <w:trPr>
          <w:trHeight w:val="300"/>
          <w:jc w:val="center"/>
        </w:trPr>
        <w:tc>
          <w:tcPr>
            <w:tcW w:w="3122" w:type="dxa"/>
            <w:shd w:val="clear" w:color="auto" w:fill="auto"/>
            <w:noWrap/>
            <w:vAlign w:val="center"/>
            <w:hideMark/>
          </w:tcPr>
          <w:p w14:paraId="7612D3F5"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Ava Loa</w:t>
            </w:r>
          </w:p>
        </w:tc>
        <w:tc>
          <w:tcPr>
            <w:tcW w:w="3122" w:type="dxa"/>
            <w:shd w:val="clear" w:color="auto" w:fill="auto"/>
            <w:noWrap/>
            <w:vAlign w:val="center"/>
            <w:hideMark/>
          </w:tcPr>
          <w:p w14:paraId="4B5A4973"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Asiyai</w:t>
            </w:r>
          </w:p>
        </w:tc>
        <w:tc>
          <w:tcPr>
            <w:tcW w:w="3122" w:type="dxa"/>
            <w:shd w:val="clear" w:color="auto" w:fill="auto"/>
            <w:noWrap/>
            <w:vAlign w:val="center"/>
            <w:hideMark/>
          </w:tcPr>
          <w:p w14:paraId="61C0ACE6"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Honokane Iki</w:t>
            </w:r>
          </w:p>
        </w:tc>
      </w:tr>
      <w:tr w:rsidR="007E252F" w:rsidRPr="007E252F" w14:paraId="0512E674" w14:textId="77777777" w:rsidTr="000D5CF1">
        <w:trPr>
          <w:trHeight w:val="300"/>
          <w:jc w:val="center"/>
        </w:trPr>
        <w:tc>
          <w:tcPr>
            <w:tcW w:w="3122" w:type="dxa"/>
            <w:shd w:val="clear" w:color="auto" w:fill="auto"/>
            <w:noWrap/>
            <w:vAlign w:val="center"/>
            <w:hideMark/>
          </w:tcPr>
          <w:p w14:paraId="55338640"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Ava Mumu</w:t>
            </w:r>
          </w:p>
        </w:tc>
        <w:tc>
          <w:tcPr>
            <w:tcW w:w="3122" w:type="dxa"/>
            <w:shd w:val="clear" w:color="auto" w:fill="auto"/>
            <w:noWrap/>
            <w:vAlign w:val="center"/>
            <w:hideMark/>
          </w:tcPr>
          <w:p w14:paraId="34B22229"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Bir Kar</w:t>
            </w:r>
          </w:p>
        </w:tc>
        <w:tc>
          <w:tcPr>
            <w:tcW w:w="3122" w:type="dxa"/>
            <w:shd w:val="clear" w:color="auto" w:fill="auto"/>
            <w:noWrap/>
            <w:vAlign w:val="center"/>
            <w:hideMark/>
          </w:tcPr>
          <w:p w14:paraId="30D561BA"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Kumakua</w:t>
            </w:r>
          </w:p>
        </w:tc>
      </w:tr>
      <w:tr w:rsidR="007E252F" w:rsidRPr="007E252F" w14:paraId="3BC087E6" w14:textId="77777777" w:rsidTr="000D5CF1">
        <w:trPr>
          <w:trHeight w:val="300"/>
          <w:jc w:val="center"/>
        </w:trPr>
        <w:tc>
          <w:tcPr>
            <w:tcW w:w="3122" w:type="dxa"/>
            <w:shd w:val="clear" w:color="auto" w:fill="auto"/>
            <w:noWrap/>
            <w:vAlign w:val="center"/>
            <w:hideMark/>
          </w:tcPr>
          <w:p w14:paraId="411FA75D"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Ava Talo</w:t>
            </w:r>
          </w:p>
        </w:tc>
        <w:tc>
          <w:tcPr>
            <w:tcW w:w="3122" w:type="dxa"/>
            <w:shd w:val="clear" w:color="auto" w:fill="auto"/>
            <w:noWrap/>
            <w:vAlign w:val="center"/>
            <w:hideMark/>
          </w:tcPr>
          <w:p w14:paraId="76646F9A"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Bir Sul</w:t>
            </w:r>
          </w:p>
        </w:tc>
        <w:tc>
          <w:tcPr>
            <w:tcW w:w="3122" w:type="dxa"/>
            <w:shd w:val="clear" w:color="auto" w:fill="auto"/>
            <w:noWrap/>
            <w:vAlign w:val="center"/>
            <w:hideMark/>
          </w:tcPr>
          <w:p w14:paraId="061A5877"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Mahakea</w:t>
            </w:r>
          </w:p>
        </w:tc>
      </w:tr>
      <w:tr w:rsidR="007E252F" w:rsidRPr="007E252F" w14:paraId="41B6F8E4" w14:textId="77777777" w:rsidTr="000D5CF1">
        <w:trPr>
          <w:trHeight w:val="300"/>
          <w:jc w:val="center"/>
        </w:trPr>
        <w:tc>
          <w:tcPr>
            <w:tcW w:w="3122" w:type="dxa"/>
            <w:shd w:val="clear" w:color="auto" w:fill="auto"/>
            <w:noWrap/>
            <w:vAlign w:val="center"/>
            <w:hideMark/>
          </w:tcPr>
          <w:p w14:paraId="642A6502" w14:textId="77777777" w:rsidR="007E252F" w:rsidRPr="007E252F" w:rsidRDefault="007E252F" w:rsidP="007E252F">
            <w:pPr>
              <w:widowControl/>
              <w:rPr>
                <w:rFonts w:cstheme="minorHAnsi"/>
                <w:color w:val="000000"/>
                <w:sz w:val="20"/>
                <w:szCs w:val="20"/>
                <w:lang w:val="en-AU" w:eastAsia="en-GB"/>
              </w:rPr>
            </w:pPr>
          </w:p>
        </w:tc>
        <w:tc>
          <w:tcPr>
            <w:tcW w:w="3122" w:type="dxa"/>
            <w:shd w:val="clear" w:color="auto" w:fill="auto"/>
            <w:noWrap/>
            <w:vAlign w:val="center"/>
            <w:hideMark/>
          </w:tcPr>
          <w:p w14:paraId="4971F17E"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Biyaj</w:t>
            </w:r>
          </w:p>
        </w:tc>
        <w:tc>
          <w:tcPr>
            <w:tcW w:w="3122" w:type="dxa"/>
            <w:shd w:val="clear" w:color="auto" w:fill="auto"/>
            <w:noWrap/>
            <w:vAlign w:val="center"/>
            <w:hideMark/>
          </w:tcPr>
          <w:p w14:paraId="334A3A9A"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Mapulehu</w:t>
            </w:r>
          </w:p>
        </w:tc>
      </w:tr>
      <w:tr w:rsidR="007E252F" w:rsidRPr="007E252F" w14:paraId="3B779AD9" w14:textId="77777777" w:rsidTr="000D5CF1">
        <w:trPr>
          <w:trHeight w:val="300"/>
          <w:jc w:val="center"/>
        </w:trPr>
        <w:tc>
          <w:tcPr>
            <w:tcW w:w="3122" w:type="dxa"/>
            <w:shd w:val="clear" w:color="auto" w:fill="auto"/>
            <w:noWrap/>
            <w:vAlign w:val="center"/>
            <w:hideMark/>
          </w:tcPr>
          <w:p w14:paraId="23771F97"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lang w:val="en-AU" w:eastAsia="en-GB"/>
              </w:rPr>
              <w:t>Fiji</w:t>
            </w:r>
            <w:r w:rsidRPr="007E252F">
              <w:rPr>
                <w:rFonts w:cstheme="minorHAnsi"/>
                <w:b/>
                <w:bCs/>
                <w:color w:val="000000"/>
                <w:sz w:val="20"/>
                <w:szCs w:val="20"/>
                <w:vertAlign w:val="superscript"/>
                <w:lang w:val="en-AU" w:eastAsia="en-GB"/>
              </w:rPr>
              <w:t>2,3</w:t>
            </w:r>
          </w:p>
        </w:tc>
        <w:tc>
          <w:tcPr>
            <w:tcW w:w="3122" w:type="dxa"/>
            <w:shd w:val="clear" w:color="auto" w:fill="auto"/>
            <w:noWrap/>
            <w:vAlign w:val="center"/>
            <w:hideMark/>
          </w:tcPr>
          <w:p w14:paraId="2C03B8C0"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Borogoru</w:t>
            </w:r>
          </w:p>
        </w:tc>
        <w:tc>
          <w:tcPr>
            <w:tcW w:w="3122" w:type="dxa"/>
            <w:shd w:val="clear" w:color="auto" w:fill="auto"/>
            <w:noWrap/>
            <w:vAlign w:val="center"/>
            <w:hideMark/>
          </w:tcPr>
          <w:p w14:paraId="25D36FE0"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Moi</w:t>
            </w:r>
          </w:p>
        </w:tc>
      </w:tr>
      <w:tr w:rsidR="007E252F" w:rsidRPr="007E252F" w14:paraId="2C74844E" w14:textId="77777777" w:rsidTr="000D5CF1">
        <w:trPr>
          <w:trHeight w:val="300"/>
          <w:jc w:val="center"/>
        </w:trPr>
        <w:tc>
          <w:tcPr>
            <w:tcW w:w="3122" w:type="dxa"/>
            <w:shd w:val="clear" w:color="auto" w:fill="auto"/>
            <w:noWrap/>
            <w:vAlign w:val="center"/>
            <w:hideMark/>
          </w:tcPr>
          <w:p w14:paraId="767C52B1"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Damu</w:t>
            </w:r>
          </w:p>
        </w:tc>
        <w:tc>
          <w:tcPr>
            <w:tcW w:w="3122" w:type="dxa"/>
            <w:shd w:val="clear" w:color="auto" w:fill="auto"/>
            <w:noWrap/>
            <w:vAlign w:val="center"/>
            <w:hideMark/>
          </w:tcPr>
          <w:p w14:paraId="1A7D44AB"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Borogu</w:t>
            </w:r>
          </w:p>
        </w:tc>
        <w:tc>
          <w:tcPr>
            <w:tcW w:w="3122" w:type="dxa"/>
            <w:shd w:val="clear" w:color="auto" w:fill="auto"/>
            <w:noWrap/>
            <w:vAlign w:val="center"/>
            <w:hideMark/>
          </w:tcPr>
          <w:p w14:paraId="52C00B0B"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Nene</w:t>
            </w:r>
          </w:p>
        </w:tc>
      </w:tr>
      <w:tr w:rsidR="007E252F" w:rsidRPr="007E252F" w14:paraId="04155F5A" w14:textId="77777777" w:rsidTr="000D5CF1">
        <w:trPr>
          <w:trHeight w:val="300"/>
          <w:jc w:val="center"/>
        </w:trPr>
        <w:tc>
          <w:tcPr>
            <w:tcW w:w="3122" w:type="dxa"/>
            <w:shd w:val="clear" w:color="auto" w:fill="auto"/>
            <w:noWrap/>
            <w:vAlign w:val="center"/>
            <w:hideMark/>
          </w:tcPr>
          <w:p w14:paraId="0D047FFA"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Dokobana loa</w:t>
            </w:r>
          </w:p>
        </w:tc>
        <w:tc>
          <w:tcPr>
            <w:tcW w:w="3122" w:type="dxa"/>
            <w:shd w:val="clear" w:color="auto" w:fill="auto"/>
            <w:noWrap/>
            <w:vAlign w:val="center"/>
            <w:hideMark/>
          </w:tcPr>
          <w:p w14:paraId="00AE52EB"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Ge gusug</w:t>
            </w:r>
          </w:p>
        </w:tc>
        <w:tc>
          <w:tcPr>
            <w:tcW w:w="3122" w:type="dxa"/>
            <w:shd w:val="clear" w:color="auto" w:fill="auto"/>
            <w:noWrap/>
            <w:vAlign w:val="center"/>
            <w:hideMark/>
          </w:tcPr>
          <w:p w14:paraId="3AAFC495"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Opihikao</w:t>
            </w:r>
          </w:p>
        </w:tc>
      </w:tr>
      <w:tr w:rsidR="007E252F" w:rsidRPr="007E252F" w14:paraId="1BD28F47" w14:textId="77777777" w:rsidTr="000D5CF1">
        <w:trPr>
          <w:trHeight w:val="300"/>
          <w:jc w:val="center"/>
        </w:trPr>
        <w:tc>
          <w:tcPr>
            <w:tcW w:w="3122" w:type="dxa"/>
            <w:shd w:val="clear" w:color="auto" w:fill="auto"/>
            <w:noWrap/>
            <w:vAlign w:val="center"/>
            <w:hideMark/>
          </w:tcPr>
          <w:p w14:paraId="42F7A8C2"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Dokobana vula</w:t>
            </w:r>
          </w:p>
        </w:tc>
        <w:tc>
          <w:tcPr>
            <w:tcW w:w="3122" w:type="dxa"/>
            <w:shd w:val="clear" w:color="auto" w:fill="auto"/>
            <w:noWrap/>
            <w:vAlign w:val="center"/>
            <w:hideMark/>
          </w:tcPr>
          <w:p w14:paraId="3211E2A2"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Ge vemea</w:t>
            </w:r>
          </w:p>
        </w:tc>
        <w:tc>
          <w:tcPr>
            <w:tcW w:w="3122" w:type="dxa"/>
            <w:shd w:val="clear" w:color="auto" w:fill="auto"/>
            <w:noWrap/>
            <w:vAlign w:val="center"/>
            <w:hideMark/>
          </w:tcPr>
          <w:p w14:paraId="7330379E"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Pana'ewa</w:t>
            </w:r>
          </w:p>
        </w:tc>
      </w:tr>
      <w:tr w:rsidR="007E252F" w:rsidRPr="007E252F" w14:paraId="2C55DFE8" w14:textId="77777777" w:rsidTr="000D5CF1">
        <w:trPr>
          <w:trHeight w:val="300"/>
          <w:jc w:val="center"/>
        </w:trPr>
        <w:tc>
          <w:tcPr>
            <w:tcW w:w="3122" w:type="dxa"/>
            <w:shd w:val="clear" w:color="auto" w:fill="auto"/>
            <w:noWrap/>
            <w:vAlign w:val="center"/>
            <w:hideMark/>
          </w:tcPr>
          <w:p w14:paraId="77CF5967"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Loa kasa balavu</w:t>
            </w:r>
          </w:p>
        </w:tc>
        <w:tc>
          <w:tcPr>
            <w:tcW w:w="3122" w:type="dxa"/>
            <w:shd w:val="clear" w:color="auto" w:fill="auto"/>
            <w:noWrap/>
            <w:vAlign w:val="center"/>
            <w:hideMark/>
          </w:tcPr>
          <w:p w14:paraId="68A5B09D"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Ge wiswisket</w:t>
            </w:r>
          </w:p>
        </w:tc>
        <w:tc>
          <w:tcPr>
            <w:tcW w:w="3122" w:type="dxa"/>
            <w:shd w:val="clear" w:color="auto" w:fill="auto"/>
            <w:noWrap/>
            <w:vAlign w:val="center"/>
            <w:hideMark/>
          </w:tcPr>
          <w:p w14:paraId="37755BF7"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Papa 'Ele‘ele</w:t>
            </w:r>
          </w:p>
        </w:tc>
      </w:tr>
      <w:tr w:rsidR="007E252F" w:rsidRPr="007E252F" w14:paraId="0FBB0289" w14:textId="77777777" w:rsidTr="000D5CF1">
        <w:trPr>
          <w:trHeight w:val="300"/>
          <w:jc w:val="center"/>
        </w:trPr>
        <w:tc>
          <w:tcPr>
            <w:tcW w:w="3122" w:type="dxa"/>
            <w:shd w:val="clear" w:color="auto" w:fill="auto"/>
            <w:noWrap/>
            <w:vAlign w:val="center"/>
            <w:hideMark/>
          </w:tcPr>
          <w:p w14:paraId="757BA490"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Loa kasa leka</w:t>
            </w:r>
          </w:p>
        </w:tc>
        <w:tc>
          <w:tcPr>
            <w:tcW w:w="3122" w:type="dxa"/>
            <w:shd w:val="clear" w:color="auto" w:fill="auto"/>
            <w:noWrap/>
            <w:vAlign w:val="center"/>
            <w:hideMark/>
          </w:tcPr>
          <w:p w14:paraId="23652DFD"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Gorgor</w:t>
            </w:r>
          </w:p>
        </w:tc>
        <w:tc>
          <w:tcPr>
            <w:tcW w:w="3122" w:type="dxa"/>
            <w:shd w:val="clear" w:color="auto" w:fill="auto"/>
            <w:noWrap/>
            <w:vAlign w:val="center"/>
            <w:hideMark/>
          </w:tcPr>
          <w:p w14:paraId="7BA1F82E"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Papa 'Ele‘ele Pu ‘upu‘u</w:t>
            </w:r>
          </w:p>
        </w:tc>
      </w:tr>
      <w:tr w:rsidR="007E252F" w:rsidRPr="007E252F" w14:paraId="2DB6A8D2" w14:textId="77777777" w:rsidTr="000D5CF1">
        <w:trPr>
          <w:trHeight w:val="300"/>
          <w:jc w:val="center"/>
        </w:trPr>
        <w:tc>
          <w:tcPr>
            <w:tcW w:w="3122" w:type="dxa"/>
            <w:shd w:val="clear" w:color="auto" w:fill="auto"/>
            <w:noWrap/>
            <w:vAlign w:val="center"/>
            <w:hideMark/>
          </w:tcPr>
          <w:p w14:paraId="145D0522"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Matakaro balavu</w:t>
            </w:r>
          </w:p>
        </w:tc>
        <w:tc>
          <w:tcPr>
            <w:tcW w:w="3122" w:type="dxa"/>
            <w:shd w:val="clear" w:color="auto" w:fill="auto"/>
            <w:noWrap/>
            <w:vAlign w:val="center"/>
            <w:hideMark/>
          </w:tcPr>
          <w:p w14:paraId="4F9AA824"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Kelai (or Miaome)</w:t>
            </w:r>
          </w:p>
        </w:tc>
        <w:tc>
          <w:tcPr>
            <w:tcW w:w="3122" w:type="dxa"/>
            <w:shd w:val="clear" w:color="auto" w:fill="auto"/>
            <w:noWrap/>
            <w:vAlign w:val="center"/>
            <w:hideMark/>
          </w:tcPr>
          <w:p w14:paraId="7B314F28" w14:textId="77777777" w:rsidR="007E252F" w:rsidRPr="007E252F" w:rsidRDefault="007E252F" w:rsidP="007E252F">
            <w:pPr>
              <w:widowControl/>
              <w:ind w:firstLine="176"/>
              <w:rPr>
                <w:rFonts w:cstheme="minorHAnsi"/>
                <w:i/>
                <w:color w:val="000000"/>
                <w:sz w:val="20"/>
                <w:szCs w:val="20"/>
                <w:lang w:val="en-AU" w:eastAsia="en-GB"/>
              </w:rPr>
            </w:pPr>
            <w:r w:rsidRPr="007E252F">
              <w:rPr>
                <w:i/>
                <w:sz w:val="20"/>
                <w:lang w:val="en-AU"/>
              </w:rPr>
              <w:t>Papa kea</w:t>
            </w:r>
          </w:p>
        </w:tc>
      </w:tr>
      <w:tr w:rsidR="007E252F" w:rsidRPr="007E252F" w14:paraId="14B9F046" w14:textId="77777777" w:rsidTr="000D5CF1">
        <w:trPr>
          <w:trHeight w:val="300"/>
          <w:jc w:val="center"/>
        </w:trPr>
        <w:tc>
          <w:tcPr>
            <w:tcW w:w="3122" w:type="dxa"/>
            <w:shd w:val="clear" w:color="auto" w:fill="auto"/>
            <w:noWrap/>
            <w:vAlign w:val="center"/>
            <w:hideMark/>
          </w:tcPr>
          <w:p w14:paraId="53773A5C"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Matakaro leka</w:t>
            </w:r>
          </w:p>
        </w:tc>
        <w:tc>
          <w:tcPr>
            <w:tcW w:w="3122" w:type="dxa"/>
            <w:shd w:val="clear" w:color="auto" w:fill="auto"/>
            <w:noWrap/>
            <w:vAlign w:val="center"/>
            <w:hideMark/>
          </w:tcPr>
          <w:p w14:paraId="2006AC7F"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Leay</w:t>
            </w:r>
          </w:p>
        </w:tc>
        <w:tc>
          <w:tcPr>
            <w:tcW w:w="3122" w:type="dxa"/>
            <w:shd w:val="clear" w:color="auto" w:fill="auto"/>
            <w:noWrap/>
            <w:vAlign w:val="center"/>
            <w:hideMark/>
          </w:tcPr>
          <w:p w14:paraId="3B144C25" w14:textId="77777777" w:rsidR="007E252F" w:rsidRPr="007E252F" w:rsidRDefault="007E252F" w:rsidP="007E252F">
            <w:pPr>
              <w:widowControl/>
              <w:rPr>
                <w:rFonts w:cstheme="minorHAnsi"/>
                <w:color w:val="000000"/>
                <w:sz w:val="20"/>
                <w:szCs w:val="20"/>
                <w:lang w:val="en-AU" w:eastAsia="en-GB"/>
              </w:rPr>
            </w:pPr>
          </w:p>
        </w:tc>
      </w:tr>
      <w:tr w:rsidR="007E252F" w:rsidRPr="007E252F" w14:paraId="0F1459B9" w14:textId="77777777" w:rsidTr="000D5CF1">
        <w:trPr>
          <w:trHeight w:val="300"/>
          <w:jc w:val="center"/>
        </w:trPr>
        <w:tc>
          <w:tcPr>
            <w:tcW w:w="3122" w:type="dxa"/>
            <w:shd w:val="clear" w:color="auto" w:fill="auto"/>
            <w:noWrap/>
            <w:vAlign w:val="center"/>
            <w:hideMark/>
          </w:tcPr>
          <w:p w14:paraId="3C437630"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Qila balavu</w:t>
            </w:r>
          </w:p>
        </w:tc>
        <w:tc>
          <w:tcPr>
            <w:tcW w:w="3122" w:type="dxa"/>
            <w:shd w:val="clear" w:color="auto" w:fill="auto"/>
            <w:noWrap/>
            <w:vAlign w:val="center"/>
            <w:hideMark/>
          </w:tcPr>
          <w:p w14:paraId="0319D13B"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Melmel (or Sese)</w:t>
            </w:r>
          </w:p>
        </w:tc>
        <w:tc>
          <w:tcPr>
            <w:tcW w:w="3122" w:type="dxa"/>
            <w:shd w:val="clear" w:color="auto" w:fill="auto"/>
            <w:noWrap/>
            <w:vAlign w:val="center"/>
            <w:hideMark/>
          </w:tcPr>
          <w:p w14:paraId="107C63FB"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vertAlign w:val="superscript"/>
                <w:lang w:val="en-AU" w:eastAsia="en-GB"/>
              </w:rPr>
              <w:t>ǂ</w:t>
            </w:r>
            <w:r w:rsidRPr="007E252F">
              <w:rPr>
                <w:rFonts w:cstheme="minorHAnsi"/>
                <w:b/>
                <w:bCs/>
                <w:color w:val="000000"/>
                <w:sz w:val="20"/>
                <w:szCs w:val="20"/>
                <w:lang w:val="en-AU" w:eastAsia="en-GB"/>
              </w:rPr>
              <w:t>Papua New Guinea</w:t>
            </w:r>
            <w:r w:rsidRPr="007E252F">
              <w:rPr>
                <w:rFonts w:cstheme="minorHAnsi"/>
                <w:b/>
                <w:bCs/>
                <w:color w:val="000000"/>
                <w:sz w:val="20"/>
                <w:szCs w:val="20"/>
                <w:vertAlign w:val="superscript"/>
                <w:lang w:val="en-AU" w:eastAsia="en-GB"/>
              </w:rPr>
              <w:t>2</w:t>
            </w:r>
          </w:p>
        </w:tc>
      </w:tr>
      <w:tr w:rsidR="007E252F" w:rsidRPr="007E252F" w14:paraId="6C46BCD8" w14:textId="77777777" w:rsidTr="000D5CF1">
        <w:trPr>
          <w:trHeight w:val="300"/>
          <w:jc w:val="center"/>
        </w:trPr>
        <w:tc>
          <w:tcPr>
            <w:tcW w:w="3122" w:type="dxa"/>
            <w:shd w:val="clear" w:color="auto" w:fill="auto"/>
            <w:noWrap/>
            <w:vAlign w:val="center"/>
            <w:hideMark/>
          </w:tcPr>
          <w:p w14:paraId="1AC2C7E8"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Qila leka</w:t>
            </w:r>
          </w:p>
        </w:tc>
        <w:tc>
          <w:tcPr>
            <w:tcW w:w="3122" w:type="dxa"/>
            <w:shd w:val="clear" w:color="auto" w:fill="auto"/>
            <w:noWrap/>
            <w:vAlign w:val="center"/>
            <w:hideMark/>
          </w:tcPr>
          <w:p w14:paraId="3D7BBD83"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Melomelo</w:t>
            </w:r>
          </w:p>
        </w:tc>
        <w:tc>
          <w:tcPr>
            <w:tcW w:w="3122" w:type="dxa"/>
            <w:shd w:val="clear" w:color="auto" w:fill="auto"/>
            <w:noWrap/>
            <w:vAlign w:val="center"/>
            <w:hideMark/>
          </w:tcPr>
          <w:p w14:paraId="4F222733" w14:textId="77777777" w:rsidR="007E252F" w:rsidRPr="007E252F" w:rsidRDefault="007E252F" w:rsidP="007E252F">
            <w:pPr>
              <w:widowControl/>
              <w:ind w:firstLine="176"/>
              <w:rPr>
                <w:rFonts w:cstheme="minorHAnsi"/>
                <w:i/>
                <w:color w:val="000000"/>
                <w:sz w:val="20"/>
                <w:szCs w:val="20"/>
                <w:lang w:val="en-AU" w:eastAsia="en-GB"/>
              </w:rPr>
            </w:pPr>
            <w:r w:rsidRPr="007E252F">
              <w:rPr>
                <w:rFonts w:cstheme="minorHAnsi"/>
                <w:i/>
                <w:color w:val="000000"/>
                <w:sz w:val="20"/>
                <w:szCs w:val="20"/>
                <w:lang w:val="en-AU" w:eastAsia="en-GB"/>
              </w:rPr>
              <w:t>Kau kupwe</w:t>
            </w:r>
          </w:p>
        </w:tc>
      </w:tr>
      <w:tr w:rsidR="007E252F" w:rsidRPr="007E252F" w14:paraId="36D3D608" w14:textId="77777777" w:rsidTr="000D5CF1">
        <w:trPr>
          <w:trHeight w:val="300"/>
          <w:jc w:val="center"/>
        </w:trPr>
        <w:tc>
          <w:tcPr>
            <w:tcW w:w="3122" w:type="dxa"/>
            <w:shd w:val="clear" w:color="auto" w:fill="auto"/>
            <w:noWrap/>
            <w:vAlign w:val="center"/>
            <w:hideMark/>
          </w:tcPr>
          <w:p w14:paraId="70C7AB31"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Vula kasa balavu</w:t>
            </w:r>
          </w:p>
        </w:tc>
        <w:tc>
          <w:tcPr>
            <w:tcW w:w="3122" w:type="dxa"/>
            <w:shd w:val="clear" w:color="auto" w:fill="auto"/>
            <w:noWrap/>
            <w:vAlign w:val="center"/>
            <w:hideMark/>
          </w:tcPr>
          <w:p w14:paraId="36FF7967"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Miela</w:t>
            </w:r>
          </w:p>
        </w:tc>
        <w:tc>
          <w:tcPr>
            <w:tcW w:w="3122" w:type="dxa"/>
            <w:shd w:val="clear" w:color="auto" w:fill="auto"/>
            <w:noWrap/>
            <w:vAlign w:val="center"/>
            <w:hideMark/>
          </w:tcPr>
          <w:p w14:paraId="01E12EFA" w14:textId="77777777" w:rsidR="007E252F" w:rsidRPr="007E252F" w:rsidRDefault="007E252F" w:rsidP="007E252F">
            <w:pPr>
              <w:widowControl/>
              <w:rPr>
                <w:rFonts w:cstheme="minorHAnsi"/>
                <w:color w:val="000000"/>
                <w:sz w:val="20"/>
                <w:szCs w:val="20"/>
                <w:lang w:val="en-AU" w:eastAsia="en-GB"/>
              </w:rPr>
            </w:pPr>
          </w:p>
        </w:tc>
      </w:tr>
      <w:tr w:rsidR="007E252F" w:rsidRPr="007E252F" w14:paraId="246D9B80" w14:textId="77777777" w:rsidTr="000D5CF1">
        <w:trPr>
          <w:trHeight w:val="300"/>
          <w:jc w:val="center"/>
        </w:trPr>
        <w:tc>
          <w:tcPr>
            <w:tcW w:w="3122" w:type="dxa"/>
            <w:shd w:val="clear" w:color="auto" w:fill="auto"/>
            <w:noWrap/>
            <w:vAlign w:val="center"/>
            <w:hideMark/>
          </w:tcPr>
          <w:p w14:paraId="77C6C700"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Vula kasa leka</w:t>
            </w:r>
          </w:p>
        </w:tc>
        <w:tc>
          <w:tcPr>
            <w:tcW w:w="3122" w:type="dxa"/>
            <w:shd w:val="clear" w:color="auto" w:fill="auto"/>
            <w:noWrap/>
            <w:vAlign w:val="center"/>
            <w:hideMark/>
          </w:tcPr>
          <w:p w14:paraId="1FCD3088"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Naga miwok</w:t>
            </w:r>
          </w:p>
        </w:tc>
        <w:tc>
          <w:tcPr>
            <w:tcW w:w="3122" w:type="dxa"/>
            <w:shd w:val="clear" w:color="auto" w:fill="auto"/>
            <w:noWrap/>
            <w:vAlign w:val="center"/>
            <w:hideMark/>
          </w:tcPr>
          <w:p w14:paraId="1DCB89AE"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vertAlign w:val="superscript"/>
                <w:lang w:val="en-AU" w:eastAsia="en-GB"/>
              </w:rPr>
              <w:t>ǂ</w:t>
            </w:r>
            <w:r w:rsidRPr="007E252F">
              <w:rPr>
                <w:rFonts w:cstheme="minorHAnsi"/>
                <w:b/>
                <w:bCs/>
                <w:color w:val="000000"/>
                <w:sz w:val="20"/>
                <w:szCs w:val="20"/>
                <w:lang w:val="en-AU" w:eastAsia="en-GB"/>
              </w:rPr>
              <w:t>Federated States of Micronesia</w:t>
            </w:r>
            <w:r w:rsidRPr="007E252F">
              <w:rPr>
                <w:rFonts w:cstheme="minorHAnsi"/>
                <w:b/>
                <w:bCs/>
                <w:color w:val="000000"/>
                <w:sz w:val="20"/>
                <w:szCs w:val="20"/>
                <w:vertAlign w:val="superscript"/>
                <w:lang w:val="en-AU" w:eastAsia="en-GB"/>
              </w:rPr>
              <w:t>2</w:t>
            </w:r>
          </w:p>
        </w:tc>
      </w:tr>
      <w:tr w:rsidR="007E252F" w:rsidRPr="007E252F" w14:paraId="3588AC3F" w14:textId="77777777" w:rsidTr="000D5CF1">
        <w:trPr>
          <w:trHeight w:val="300"/>
          <w:jc w:val="center"/>
        </w:trPr>
        <w:tc>
          <w:tcPr>
            <w:tcW w:w="3122" w:type="dxa"/>
            <w:shd w:val="clear" w:color="auto" w:fill="auto"/>
            <w:noWrap/>
            <w:vAlign w:val="center"/>
            <w:hideMark/>
          </w:tcPr>
          <w:p w14:paraId="1BF33553"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Yalu</w:t>
            </w:r>
          </w:p>
        </w:tc>
        <w:tc>
          <w:tcPr>
            <w:tcW w:w="3122" w:type="dxa"/>
            <w:shd w:val="clear" w:color="auto" w:fill="auto"/>
            <w:noWrap/>
            <w:vAlign w:val="center"/>
            <w:hideMark/>
          </w:tcPr>
          <w:p w14:paraId="5C5170FD"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Olitao</w:t>
            </w:r>
          </w:p>
        </w:tc>
        <w:tc>
          <w:tcPr>
            <w:tcW w:w="3122" w:type="dxa"/>
            <w:shd w:val="clear" w:color="auto" w:fill="auto"/>
            <w:noWrap/>
            <w:vAlign w:val="center"/>
            <w:hideMark/>
          </w:tcPr>
          <w:p w14:paraId="3B6890D2" w14:textId="77777777" w:rsidR="007E252F" w:rsidRPr="007E252F" w:rsidRDefault="007E252F" w:rsidP="007E252F">
            <w:pPr>
              <w:widowControl/>
              <w:ind w:firstLine="176"/>
              <w:rPr>
                <w:rFonts w:cstheme="minorHAnsi"/>
                <w:i/>
                <w:color w:val="000000"/>
                <w:sz w:val="20"/>
                <w:szCs w:val="20"/>
                <w:lang w:val="en-AU" w:eastAsia="en-GB"/>
              </w:rPr>
            </w:pPr>
            <w:r w:rsidRPr="007E252F">
              <w:rPr>
                <w:rFonts w:cstheme="minorHAnsi"/>
                <w:i/>
                <w:color w:val="000000"/>
                <w:sz w:val="20"/>
                <w:szCs w:val="20"/>
                <w:lang w:val="en-AU" w:eastAsia="en-GB"/>
              </w:rPr>
              <w:t>Rahmwahnger</w:t>
            </w:r>
          </w:p>
        </w:tc>
      </w:tr>
      <w:tr w:rsidR="007E252F" w:rsidRPr="007E252F" w14:paraId="398D8575" w14:textId="77777777" w:rsidTr="000D5CF1">
        <w:trPr>
          <w:trHeight w:val="300"/>
          <w:jc w:val="center"/>
        </w:trPr>
        <w:tc>
          <w:tcPr>
            <w:tcW w:w="3122" w:type="dxa"/>
            <w:shd w:val="clear" w:color="auto" w:fill="auto"/>
            <w:noWrap/>
            <w:vAlign w:val="center"/>
            <w:hideMark/>
          </w:tcPr>
          <w:p w14:paraId="5744AC33"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Yonolulu</w:t>
            </w:r>
          </w:p>
        </w:tc>
        <w:tc>
          <w:tcPr>
            <w:tcW w:w="3122" w:type="dxa"/>
            <w:shd w:val="clear" w:color="auto" w:fill="auto"/>
            <w:noWrap/>
            <w:vAlign w:val="center"/>
            <w:hideMark/>
          </w:tcPr>
          <w:p w14:paraId="008F0D07"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Palarasul</w:t>
            </w:r>
          </w:p>
        </w:tc>
        <w:tc>
          <w:tcPr>
            <w:tcW w:w="3122" w:type="dxa"/>
            <w:shd w:val="clear" w:color="auto" w:fill="auto"/>
            <w:noWrap/>
            <w:vAlign w:val="center"/>
            <w:hideMark/>
          </w:tcPr>
          <w:p w14:paraId="0AF3799F" w14:textId="77777777" w:rsidR="007E252F" w:rsidRPr="007E252F" w:rsidRDefault="007E252F" w:rsidP="007E252F">
            <w:pPr>
              <w:widowControl/>
              <w:rPr>
                <w:rFonts w:cstheme="minorHAnsi"/>
                <w:color w:val="000000"/>
                <w:sz w:val="20"/>
                <w:szCs w:val="20"/>
                <w:lang w:val="en-AU" w:eastAsia="en-GB"/>
              </w:rPr>
            </w:pPr>
          </w:p>
        </w:tc>
      </w:tr>
      <w:tr w:rsidR="007E252F" w:rsidRPr="007E252F" w14:paraId="08A00DF5" w14:textId="77777777" w:rsidTr="000D5CF1">
        <w:trPr>
          <w:trHeight w:val="300"/>
          <w:jc w:val="center"/>
        </w:trPr>
        <w:tc>
          <w:tcPr>
            <w:tcW w:w="3122" w:type="dxa"/>
            <w:shd w:val="clear" w:color="auto" w:fill="auto"/>
            <w:noWrap/>
            <w:vAlign w:val="center"/>
            <w:hideMark/>
          </w:tcPr>
          <w:p w14:paraId="05459D6E" w14:textId="77777777" w:rsidR="007E252F" w:rsidRPr="007E252F" w:rsidRDefault="007E252F" w:rsidP="007E252F">
            <w:pPr>
              <w:widowControl/>
              <w:ind w:firstLine="183"/>
              <w:rPr>
                <w:rFonts w:cstheme="minorHAnsi"/>
                <w:sz w:val="20"/>
                <w:szCs w:val="20"/>
                <w:lang w:val="en-AU" w:eastAsia="en-GB"/>
              </w:rPr>
            </w:pPr>
          </w:p>
        </w:tc>
        <w:tc>
          <w:tcPr>
            <w:tcW w:w="3122" w:type="dxa"/>
            <w:shd w:val="clear" w:color="auto" w:fill="auto"/>
            <w:noWrap/>
            <w:vAlign w:val="center"/>
            <w:hideMark/>
          </w:tcPr>
          <w:p w14:paraId="5AB53E81"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Palasa</w:t>
            </w:r>
          </w:p>
        </w:tc>
        <w:tc>
          <w:tcPr>
            <w:tcW w:w="3122" w:type="dxa"/>
            <w:shd w:val="clear" w:color="auto" w:fill="auto"/>
            <w:noWrap/>
            <w:vAlign w:val="center"/>
            <w:hideMark/>
          </w:tcPr>
          <w:p w14:paraId="762BC7E2"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vertAlign w:val="superscript"/>
                <w:lang w:val="en-AU" w:eastAsia="en-GB"/>
              </w:rPr>
              <w:t>ǂ</w:t>
            </w:r>
            <w:r w:rsidRPr="007E252F">
              <w:rPr>
                <w:rFonts w:cstheme="minorHAnsi"/>
                <w:b/>
                <w:bCs/>
                <w:color w:val="000000"/>
                <w:sz w:val="20"/>
                <w:szCs w:val="20"/>
                <w:lang w:val="en-AU" w:eastAsia="en-GB"/>
              </w:rPr>
              <w:t>Solomon Islands</w:t>
            </w:r>
            <w:r w:rsidRPr="007E252F">
              <w:rPr>
                <w:rFonts w:cstheme="minorHAnsi"/>
                <w:b/>
                <w:bCs/>
                <w:color w:val="000000"/>
                <w:sz w:val="20"/>
                <w:szCs w:val="20"/>
                <w:vertAlign w:val="superscript"/>
                <w:lang w:val="en-AU" w:eastAsia="en-GB"/>
              </w:rPr>
              <w:t>2</w:t>
            </w:r>
          </w:p>
        </w:tc>
      </w:tr>
      <w:tr w:rsidR="007E252F" w:rsidRPr="007E252F" w14:paraId="4FBFB7EA" w14:textId="77777777" w:rsidTr="000D5CF1">
        <w:trPr>
          <w:trHeight w:val="300"/>
          <w:jc w:val="center"/>
        </w:trPr>
        <w:tc>
          <w:tcPr>
            <w:tcW w:w="3122" w:type="dxa"/>
            <w:shd w:val="clear" w:color="auto" w:fill="auto"/>
            <w:noWrap/>
            <w:vAlign w:val="center"/>
            <w:hideMark/>
          </w:tcPr>
          <w:p w14:paraId="7F44365C" w14:textId="77777777" w:rsidR="007E252F" w:rsidRPr="007E252F" w:rsidRDefault="007E252F" w:rsidP="007E252F">
            <w:pPr>
              <w:widowControl/>
              <w:rPr>
                <w:rFonts w:cstheme="minorHAnsi"/>
                <w:b/>
                <w:bCs/>
                <w:color w:val="000000"/>
                <w:sz w:val="20"/>
                <w:szCs w:val="20"/>
                <w:lang w:val="en-AU" w:eastAsia="en-GB"/>
              </w:rPr>
            </w:pPr>
            <w:r w:rsidRPr="007E252F">
              <w:rPr>
                <w:rFonts w:cstheme="minorHAnsi"/>
                <w:b/>
                <w:bCs/>
                <w:color w:val="000000"/>
                <w:sz w:val="20"/>
                <w:szCs w:val="20"/>
                <w:lang w:val="en-AU" w:eastAsia="en-GB"/>
              </w:rPr>
              <w:t>Tonga</w:t>
            </w:r>
            <w:r w:rsidRPr="007E252F">
              <w:rPr>
                <w:rFonts w:cstheme="minorHAnsi"/>
                <w:b/>
                <w:bCs/>
                <w:color w:val="000000"/>
                <w:sz w:val="20"/>
                <w:szCs w:val="20"/>
                <w:vertAlign w:val="superscript"/>
                <w:lang w:val="en-AU" w:eastAsia="en-GB"/>
              </w:rPr>
              <w:t>2,4</w:t>
            </w:r>
          </w:p>
        </w:tc>
        <w:tc>
          <w:tcPr>
            <w:tcW w:w="3122" w:type="dxa"/>
            <w:shd w:val="clear" w:color="auto" w:fill="auto"/>
            <w:noWrap/>
            <w:vAlign w:val="center"/>
            <w:hideMark/>
          </w:tcPr>
          <w:p w14:paraId="76E656C3"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Palimet</w:t>
            </w:r>
          </w:p>
        </w:tc>
        <w:tc>
          <w:tcPr>
            <w:tcW w:w="3122" w:type="dxa"/>
            <w:shd w:val="clear" w:color="auto" w:fill="auto"/>
            <w:noWrap/>
            <w:vAlign w:val="center"/>
            <w:hideMark/>
          </w:tcPr>
          <w:p w14:paraId="7D9B740B" w14:textId="77777777" w:rsidR="007E252F" w:rsidRPr="007E252F" w:rsidRDefault="007E252F" w:rsidP="007E252F">
            <w:pPr>
              <w:widowControl/>
              <w:ind w:firstLine="176"/>
              <w:rPr>
                <w:rFonts w:cstheme="minorHAnsi"/>
                <w:i/>
                <w:color w:val="000000"/>
                <w:sz w:val="20"/>
                <w:szCs w:val="20"/>
                <w:lang w:val="en-AU" w:eastAsia="en-GB"/>
              </w:rPr>
            </w:pPr>
            <w:r w:rsidRPr="007E252F">
              <w:rPr>
                <w:rFonts w:cstheme="minorHAnsi"/>
                <w:i/>
                <w:color w:val="000000"/>
                <w:sz w:val="20"/>
                <w:szCs w:val="20"/>
                <w:lang w:val="en-AU" w:eastAsia="en-GB"/>
              </w:rPr>
              <w:t>Feo</w:t>
            </w:r>
          </w:p>
        </w:tc>
      </w:tr>
      <w:tr w:rsidR="007E252F" w:rsidRPr="007E252F" w14:paraId="4021F181" w14:textId="77777777" w:rsidTr="000D5CF1">
        <w:trPr>
          <w:trHeight w:val="300"/>
          <w:jc w:val="center"/>
        </w:trPr>
        <w:tc>
          <w:tcPr>
            <w:tcW w:w="3122" w:type="dxa"/>
            <w:shd w:val="clear" w:color="auto" w:fill="auto"/>
            <w:noWrap/>
            <w:vAlign w:val="center"/>
            <w:hideMark/>
          </w:tcPr>
          <w:p w14:paraId="08FF77D5"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Kava ‘Akauhina</w:t>
            </w:r>
          </w:p>
        </w:tc>
        <w:tc>
          <w:tcPr>
            <w:tcW w:w="3122" w:type="dxa"/>
            <w:shd w:val="clear" w:color="auto" w:fill="auto"/>
            <w:noWrap/>
            <w:vAlign w:val="center"/>
            <w:hideMark/>
          </w:tcPr>
          <w:p w14:paraId="4BA4E877"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Pia</w:t>
            </w:r>
          </w:p>
        </w:tc>
        <w:tc>
          <w:tcPr>
            <w:tcW w:w="3122" w:type="dxa"/>
            <w:shd w:val="clear" w:color="auto" w:fill="auto"/>
            <w:noWrap/>
            <w:vAlign w:val="center"/>
            <w:hideMark/>
          </w:tcPr>
          <w:p w14:paraId="1076FF04" w14:textId="77777777" w:rsidR="007E252F" w:rsidRPr="007E252F" w:rsidRDefault="007E252F" w:rsidP="007E252F">
            <w:pPr>
              <w:widowControl/>
              <w:ind w:firstLine="176"/>
              <w:rPr>
                <w:rFonts w:cstheme="minorHAnsi"/>
                <w:i/>
                <w:color w:val="000000"/>
                <w:sz w:val="20"/>
                <w:szCs w:val="20"/>
                <w:lang w:val="en-AU" w:eastAsia="en-GB"/>
              </w:rPr>
            </w:pPr>
            <w:r w:rsidRPr="007E252F">
              <w:rPr>
                <w:rFonts w:cstheme="minorHAnsi"/>
                <w:i/>
                <w:color w:val="000000"/>
                <w:sz w:val="20"/>
                <w:szCs w:val="20"/>
                <w:lang w:val="en-AU" w:eastAsia="en-GB"/>
              </w:rPr>
              <w:t>Tahu</w:t>
            </w:r>
          </w:p>
        </w:tc>
      </w:tr>
      <w:tr w:rsidR="007E252F" w:rsidRPr="007E252F" w14:paraId="73895C91" w14:textId="77777777" w:rsidTr="000D5CF1">
        <w:trPr>
          <w:trHeight w:val="300"/>
          <w:jc w:val="center"/>
        </w:trPr>
        <w:tc>
          <w:tcPr>
            <w:tcW w:w="3122" w:type="dxa"/>
            <w:shd w:val="clear" w:color="auto" w:fill="auto"/>
            <w:noWrap/>
            <w:vAlign w:val="center"/>
            <w:hideMark/>
          </w:tcPr>
          <w:p w14:paraId="713AAC6A"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Kava ‘Akaukula</w:t>
            </w:r>
          </w:p>
        </w:tc>
        <w:tc>
          <w:tcPr>
            <w:tcW w:w="3122" w:type="dxa"/>
            <w:shd w:val="clear" w:color="auto" w:fill="auto"/>
            <w:noWrap/>
            <w:vAlign w:val="center"/>
            <w:hideMark/>
          </w:tcPr>
          <w:p w14:paraId="72F55471"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Poivota</w:t>
            </w:r>
          </w:p>
        </w:tc>
        <w:tc>
          <w:tcPr>
            <w:tcW w:w="3122" w:type="dxa"/>
            <w:shd w:val="clear" w:color="auto" w:fill="auto"/>
            <w:noWrap/>
            <w:vAlign w:val="center"/>
            <w:hideMark/>
          </w:tcPr>
          <w:p w14:paraId="48B56FA8" w14:textId="77777777" w:rsidR="007E252F" w:rsidRPr="007E252F" w:rsidRDefault="007E252F" w:rsidP="007E252F">
            <w:pPr>
              <w:widowControl/>
              <w:ind w:firstLine="176"/>
              <w:rPr>
                <w:rFonts w:cstheme="minorHAnsi"/>
                <w:i/>
                <w:color w:val="000000"/>
                <w:sz w:val="20"/>
                <w:szCs w:val="20"/>
                <w:lang w:val="en-AU" w:eastAsia="en-GB"/>
              </w:rPr>
            </w:pPr>
            <w:r w:rsidRPr="007E252F">
              <w:rPr>
                <w:rFonts w:cstheme="minorHAnsi"/>
                <w:i/>
                <w:color w:val="000000"/>
                <w:sz w:val="20"/>
                <w:szCs w:val="20"/>
                <w:lang w:val="en-AU" w:eastAsia="en-GB"/>
              </w:rPr>
              <w:t>Temo</w:t>
            </w:r>
          </w:p>
        </w:tc>
      </w:tr>
      <w:tr w:rsidR="007E252F" w:rsidRPr="007E252F" w14:paraId="152D63B2" w14:textId="77777777" w:rsidTr="000D5CF1">
        <w:trPr>
          <w:trHeight w:val="300"/>
          <w:jc w:val="center"/>
        </w:trPr>
        <w:tc>
          <w:tcPr>
            <w:tcW w:w="3122" w:type="dxa"/>
            <w:shd w:val="clear" w:color="auto" w:fill="auto"/>
            <w:noWrap/>
            <w:vAlign w:val="center"/>
            <w:hideMark/>
          </w:tcPr>
          <w:p w14:paraId="77B10D06"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Kava Fulufulu</w:t>
            </w:r>
          </w:p>
        </w:tc>
        <w:tc>
          <w:tcPr>
            <w:tcW w:w="3122" w:type="dxa"/>
            <w:shd w:val="clear" w:color="auto" w:fill="auto"/>
            <w:noWrap/>
            <w:vAlign w:val="center"/>
            <w:hideMark/>
          </w:tcPr>
          <w:p w14:paraId="5E4DA42D"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Pualiu</w:t>
            </w:r>
          </w:p>
        </w:tc>
        <w:tc>
          <w:tcPr>
            <w:tcW w:w="3122" w:type="dxa"/>
            <w:shd w:val="clear" w:color="auto" w:fill="auto"/>
            <w:noWrap/>
            <w:vAlign w:val="center"/>
            <w:hideMark/>
          </w:tcPr>
          <w:p w14:paraId="63A03C12" w14:textId="77777777" w:rsidR="007E252F" w:rsidRPr="007E252F" w:rsidRDefault="007E252F" w:rsidP="007E252F">
            <w:pPr>
              <w:widowControl/>
              <w:ind w:firstLine="176"/>
              <w:rPr>
                <w:rFonts w:cstheme="minorHAnsi"/>
                <w:color w:val="000000"/>
                <w:sz w:val="20"/>
                <w:szCs w:val="20"/>
                <w:lang w:val="en-AU" w:eastAsia="en-GB"/>
              </w:rPr>
            </w:pPr>
          </w:p>
        </w:tc>
      </w:tr>
      <w:tr w:rsidR="007E252F" w:rsidRPr="007E252F" w14:paraId="6667859B" w14:textId="77777777" w:rsidTr="000D5CF1">
        <w:trPr>
          <w:trHeight w:val="300"/>
          <w:jc w:val="center"/>
        </w:trPr>
        <w:tc>
          <w:tcPr>
            <w:tcW w:w="3122" w:type="dxa"/>
            <w:shd w:val="clear" w:color="auto" w:fill="auto"/>
            <w:noWrap/>
            <w:vAlign w:val="center"/>
            <w:hideMark/>
          </w:tcPr>
          <w:p w14:paraId="09565F63"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Kava Kofe</w:t>
            </w:r>
          </w:p>
        </w:tc>
        <w:tc>
          <w:tcPr>
            <w:tcW w:w="3122" w:type="dxa"/>
            <w:shd w:val="clear" w:color="auto" w:fill="auto"/>
            <w:noWrap/>
            <w:vAlign w:val="center"/>
            <w:hideMark/>
          </w:tcPr>
          <w:p w14:paraId="51960386"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Puariki</w:t>
            </w:r>
          </w:p>
        </w:tc>
        <w:tc>
          <w:tcPr>
            <w:tcW w:w="3122" w:type="dxa"/>
            <w:shd w:val="clear" w:color="auto" w:fill="auto"/>
            <w:noWrap/>
            <w:vAlign w:val="center"/>
            <w:hideMark/>
          </w:tcPr>
          <w:p w14:paraId="03120C1E" w14:textId="77777777" w:rsidR="007E252F" w:rsidRPr="007E252F" w:rsidRDefault="007E252F" w:rsidP="007E252F">
            <w:pPr>
              <w:widowControl/>
              <w:rPr>
                <w:rFonts w:cstheme="minorHAnsi"/>
                <w:color w:val="000000"/>
                <w:sz w:val="20"/>
                <w:szCs w:val="20"/>
                <w:lang w:val="en-AU" w:eastAsia="en-GB"/>
              </w:rPr>
            </w:pPr>
          </w:p>
        </w:tc>
      </w:tr>
      <w:tr w:rsidR="007E252F" w:rsidRPr="007E252F" w14:paraId="1816B956" w14:textId="77777777" w:rsidTr="000D5CF1">
        <w:trPr>
          <w:trHeight w:val="300"/>
          <w:jc w:val="center"/>
        </w:trPr>
        <w:tc>
          <w:tcPr>
            <w:tcW w:w="3122" w:type="dxa"/>
            <w:shd w:val="clear" w:color="auto" w:fill="auto"/>
            <w:noWrap/>
            <w:vAlign w:val="center"/>
            <w:hideMark/>
          </w:tcPr>
          <w:p w14:paraId="2C7D79AF"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Kava Lekahina</w:t>
            </w:r>
          </w:p>
        </w:tc>
        <w:tc>
          <w:tcPr>
            <w:tcW w:w="3122" w:type="dxa"/>
            <w:shd w:val="clear" w:color="auto" w:fill="auto"/>
            <w:noWrap/>
            <w:vAlign w:val="center"/>
            <w:hideMark/>
          </w:tcPr>
          <w:p w14:paraId="64B1E80B"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Silese</w:t>
            </w:r>
          </w:p>
        </w:tc>
        <w:tc>
          <w:tcPr>
            <w:tcW w:w="3122" w:type="dxa"/>
            <w:shd w:val="clear" w:color="auto" w:fill="auto"/>
            <w:noWrap/>
            <w:vAlign w:val="center"/>
            <w:hideMark/>
          </w:tcPr>
          <w:p w14:paraId="181FD40D" w14:textId="77777777" w:rsidR="007E252F" w:rsidRPr="007E252F" w:rsidRDefault="007E252F" w:rsidP="007E252F">
            <w:pPr>
              <w:widowControl/>
              <w:rPr>
                <w:rFonts w:cstheme="minorHAnsi"/>
                <w:color w:val="000000"/>
                <w:sz w:val="20"/>
                <w:szCs w:val="20"/>
                <w:lang w:val="en-AU" w:eastAsia="en-GB"/>
              </w:rPr>
            </w:pPr>
          </w:p>
        </w:tc>
      </w:tr>
      <w:tr w:rsidR="007E252F" w:rsidRPr="007E252F" w14:paraId="4C19B805" w14:textId="77777777" w:rsidTr="000D5CF1">
        <w:trPr>
          <w:trHeight w:val="300"/>
          <w:jc w:val="center"/>
        </w:trPr>
        <w:tc>
          <w:tcPr>
            <w:tcW w:w="3122" w:type="dxa"/>
            <w:shd w:val="clear" w:color="auto" w:fill="auto"/>
            <w:noWrap/>
            <w:vAlign w:val="center"/>
            <w:hideMark/>
          </w:tcPr>
          <w:p w14:paraId="3AD0DE13"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Kava Lekakula</w:t>
            </w:r>
          </w:p>
        </w:tc>
        <w:tc>
          <w:tcPr>
            <w:tcW w:w="3122" w:type="dxa"/>
            <w:shd w:val="clear" w:color="auto" w:fill="auto"/>
            <w:noWrap/>
            <w:vAlign w:val="center"/>
            <w:hideMark/>
          </w:tcPr>
          <w:p w14:paraId="79E463D4" w14:textId="77777777" w:rsidR="007E252F" w:rsidRPr="007E252F" w:rsidRDefault="007E252F" w:rsidP="007E252F">
            <w:pPr>
              <w:widowControl/>
              <w:ind w:firstLine="179"/>
              <w:rPr>
                <w:rFonts w:cstheme="minorHAnsi"/>
                <w:i/>
                <w:color w:val="000000"/>
                <w:sz w:val="20"/>
                <w:szCs w:val="20"/>
                <w:lang w:val="en-AU" w:eastAsia="en-GB"/>
              </w:rPr>
            </w:pPr>
            <w:r w:rsidRPr="007E252F">
              <w:rPr>
                <w:i/>
                <w:sz w:val="20"/>
                <w:lang w:val="en-AU"/>
              </w:rPr>
              <w:t>Urukara</w:t>
            </w:r>
          </w:p>
        </w:tc>
        <w:tc>
          <w:tcPr>
            <w:tcW w:w="3122" w:type="dxa"/>
            <w:shd w:val="clear" w:color="auto" w:fill="auto"/>
            <w:noWrap/>
            <w:vAlign w:val="center"/>
            <w:hideMark/>
          </w:tcPr>
          <w:p w14:paraId="49D6AF8E" w14:textId="77777777" w:rsidR="007E252F" w:rsidRPr="007E252F" w:rsidRDefault="007E252F" w:rsidP="007E252F">
            <w:pPr>
              <w:widowControl/>
              <w:rPr>
                <w:rFonts w:cstheme="minorHAnsi"/>
                <w:color w:val="000000"/>
                <w:sz w:val="20"/>
                <w:szCs w:val="20"/>
                <w:lang w:val="en-AU" w:eastAsia="en-GB"/>
              </w:rPr>
            </w:pPr>
          </w:p>
        </w:tc>
      </w:tr>
      <w:tr w:rsidR="007E252F" w:rsidRPr="007E252F" w14:paraId="5330D866" w14:textId="77777777" w:rsidTr="000D5CF1">
        <w:trPr>
          <w:trHeight w:val="300"/>
          <w:jc w:val="center"/>
        </w:trPr>
        <w:tc>
          <w:tcPr>
            <w:tcW w:w="3122" w:type="dxa"/>
            <w:shd w:val="clear" w:color="auto" w:fill="auto"/>
            <w:noWrap/>
            <w:vAlign w:val="center"/>
            <w:hideMark/>
          </w:tcPr>
          <w:p w14:paraId="11B58511" w14:textId="77777777" w:rsidR="007E252F" w:rsidRPr="007E252F" w:rsidRDefault="007E252F" w:rsidP="007E252F">
            <w:pPr>
              <w:widowControl/>
              <w:ind w:firstLine="183"/>
              <w:rPr>
                <w:rFonts w:cstheme="minorHAnsi"/>
                <w:i/>
                <w:color w:val="000000"/>
                <w:sz w:val="20"/>
                <w:szCs w:val="20"/>
                <w:lang w:val="en-AU" w:eastAsia="en-GB"/>
              </w:rPr>
            </w:pPr>
            <w:r w:rsidRPr="007E252F">
              <w:rPr>
                <w:i/>
                <w:sz w:val="20"/>
                <w:lang w:val="en-AU"/>
              </w:rPr>
              <w:t>Kava Valu</w:t>
            </w:r>
          </w:p>
        </w:tc>
        <w:tc>
          <w:tcPr>
            <w:tcW w:w="3122" w:type="dxa"/>
            <w:shd w:val="clear" w:color="auto" w:fill="auto"/>
            <w:noWrap/>
            <w:vAlign w:val="center"/>
            <w:hideMark/>
          </w:tcPr>
          <w:p w14:paraId="7BBE8A34" w14:textId="77777777" w:rsidR="007E252F" w:rsidRPr="007E252F" w:rsidRDefault="007E252F" w:rsidP="007E252F">
            <w:pPr>
              <w:widowControl/>
              <w:ind w:firstLine="179"/>
              <w:rPr>
                <w:rFonts w:cstheme="minorHAnsi"/>
                <w:i/>
                <w:color w:val="000000"/>
                <w:sz w:val="20"/>
                <w:szCs w:val="20"/>
                <w:lang w:val="en-AU" w:eastAsia="en-GB"/>
              </w:rPr>
            </w:pPr>
          </w:p>
        </w:tc>
        <w:tc>
          <w:tcPr>
            <w:tcW w:w="3122" w:type="dxa"/>
            <w:shd w:val="clear" w:color="auto" w:fill="auto"/>
            <w:noWrap/>
            <w:vAlign w:val="center"/>
            <w:hideMark/>
          </w:tcPr>
          <w:p w14:paraId="57C8F376" w14:textId="77777777" w:rsidR="007E252F" w:rsidRPr="007E252F" w:rsidRDefault="007E252F" w:rsidP="007E252F">
            <w:pPr>
              <w:widowControl/>
              <w:rPr>
                <w:rFonts w:cstheme="minorHAnsi"/>
                <w:sz w:val="20"/>
                <w:szCs w:val="20"/>
                <w:lang w:val="en-AU" w:eastAsia="en-GB"/>
              </w:rPr>
            </w:pPr>
          </w:p>
        </w:tc>
      </w:tr>
      <w:tr w:rsidR="007E252F" w:rsidRPr="007E252F" w14:paraId="78C14B45" w14:textId="77777777" w:rsidTr="000D5CF1">
        <w:trPr>
          <w:trHeight w:val="300"/>
          <w:jc w:val="center"/>
        </w:trPr>
        <w:tc>
          <w:tcPr>
            <w:tcW w:w="3122" w:type="dxa"/>
            <w:shd w:val="clear" w:color="auto" w:fill="auto"/>
            <w:noWrap/>
            <w:vAlign w:val="center"/>
          </w:tcPr>
          <w:p w14:paraId="13EA956D" w14:textId="77777777" w:rsidR="007E252F" w:rsidRPr="007E252F" w:rsidRDefault="007E252F" w:rsidP="007E252F">
            <w:pPr>
              <w:widowControl/>
              <w:rPr>
                <w:rFonts w:cstheme="minorHAnsi"/>
                <w:i/>
                <w:color w:val="000000"/>
                <w:sz w:val="20"/>
                <w:szCs w:val="20"/>
                <w:lang w:val="en-AU" w:eastAsia="en-GB"/>
              </w:rPr>
            </w:pPr>
          </w:p>
        </w:tc>
        <w:tc>
          <w:tcPr>
            <w:tcW w:w="3122" w:type="dxa"/>
            <w:shd w:val="clear" w:color="auto" w:fill="auto"/>
            <w:noWrap/>
            <w:vAlign w:val="center"/>
          </w:tcPr>
          <w:p w14:paraId="29733E4E" w14:textId="77777777" w:rsidR="007E252F" w:rsidRPr="007E252F" w:rsidRDefault="007E252F" w:rsidP="007E252F">
            <w:pPr>
              <w:widowControl/>
              <w:rPr>
                <w:rFonts w:cstheme="minorHAnsi"/>
                <w:i/>
                <w:color w:val="000000"/>
                <w:sz w:val="20"/>
                <w:szCs w:val="20"/>
                <w:lang w:val="en-AU" w:eastAsia="en-GB"/>
              </w:rPr>
            </w:pPr>
          </w:p>
        </w:tc>
        <w:tc>
          <w:tcPr>
            <w:tcW w:w="3122" w:type="dxa"/>
            <w:shd w:val="clear" w:color="auto" w:fill="auto"/>
            <w:noWrap/>
            <w:vAlign w:val="center"/>
          </w:tcPr>
          <w:p w14:paraId="452A09A8" w14:textId="77777777" w:rsidR="007E252F" w:rsidRPr="007E252F" w:rsidRDefault="007E252F" w:rsidP="007E252F">
            <w:pPr>
              <w:widowControl/>
              <w:rPr>
                <w:rFonts w:cstheme="minorHAnsi"/>
                <w:sz w:val="20"/>
                <w:szCs w:val="20"/>
                <w:lang w:val="en-AU" w:eastAsia="en-GB"/>
              </w:rPr>
            </w:pPr>
          </w:p>
        </w:tc>
      </w:tr>
    </w:tbl>
    <w:p w14:paraId="2A717CB8" w14:textId="77777777" w:rsidR="007E252F" w:rsidRPr="007E252F" w:rsidRDefault="007E252F" w:rsidP="007E252F">
      <w:pPr>
        <w:widowControl/>
        <w:spacing w:before="120" w:after="120"/>
        <w:contextualSpacing/>
        <w:rPr>
          <w:rFonts w:cstheme="minorHAnsi"/>
          <w:bCs/>
          <w:color w:val="000000"/>
          <w:szCs w:val="20"/>
          <w:lang w:val="en-AU" w:eastAsia="en-GB"/>
        </w:rPr>
      </w:pPr>
      <w:r w:rsidRPr="007E252F">
        <w:rPr>
          <w:rFonts w:cstheme="minorHAnsi"/>
          <w:bCs/>
          <w:color w:val="000000"/>
          <w:szCs w:val="20"/>
          <w:vertAlign w:val="superscript"/>
          <w:lang w:val="en-AU" w:eastAsia="en-GB"/>
        </w:rPr>
        <w:t xml:space="preserve">1 </w:t>
      </w:r>
      <w:r w:rsidRPr="007E252F">
        <w:rPr>
          <w:rFonts w:cstheme="minorHAnsi"/>
          <w:bCs/>
          <w:color w:val="000000"/>
          <w:szCs w:val="20"/>
          <w:lang w:val="en-AU" w:eastAsia="en-GB"/>
        </w:rPr>
        <w:t>Samoa ‘Ava Standard (2018)</w:t>
      </w:r>
    </w:p>
    <w:p w14:paraId="5ECA72FD" w14:textId="77777777" w:rsidR="007E252F" w:rsidRPr="007E252F" w:rsidRDefault="007E252F" w:rsidP="007E252F">
      <w:pPr>
        <w:widowControl/>
        <w:spacing w:before="120" w:after="120"/>
        <w:contextualSpacing/>
        <w:rPr>
          <w:rFonts w:cstheme="minorHAnsi"/>
          <w:bCs/>
          <w:color w:val="000000"/>
          <w:szCs w:val="20"/>
          <w:vertAlign w:val="superscript"/>
          <w:lang w:val="en-AU" w:eastAsia="en-GB"/>
        </w:rPr>
      </w:pPr>
      <w:r w:rsidRPr="007E252F">
        <w:rPr>
          <w:rFonts w:cstheme="minorHAnsi"/>
          <w:bCs/>
          <w:color w:val="000000"/>
          <w:szCs w:val="20"/>
          <w:vertAlign w:val="superscript"/>
          <w:lang w:val="en-AU" w:eastAsia="en-GB"/>
        </w:rPr>
        <w:t xml:space="preserve">2 </w:t>
      </w:r>
      <w:r w:rsidRPr="007E252F">
        <w:rPr>
          <w:rFonts w:cstheme="minorHAnsi"/>
          <w:bCs/>
          <w:color w:val="000000"/>
          <w:szCs w:val="20"/>
          <w:lang w:val="en-AU" w:eastAsia="en-GB"/>
        </w:rPr>
        <w:t>Codex Alimentarius Commission (2020)</w:t>
      </w:r>
    </w:p>
    <w:p w14:paraId="17AA2D14" w14:textId="77777777" w:rsidR="007E252F" w:rsidRPr="007E252F" w:rsidRDefault="007E252F" w:rsidP="007E252F">
      <w:pPr>
        <w:widowControl/>
        <w:spacing w:before="120" w:after="120"/>
        <w:contextualSpacing/>
        <w:rPr>
          <w:rFonts w:cstheme="minorHAnsi"/>
          <w:bCs/>
          <w:color w:val="000000"/>
          <w:szCs w:val="20"/>
          <w:vertAlign w:val="superscript"/>
          <w:lang w:val="en-AU" w:eastAsia="en-GB"/>
        </w:rPr>
      </w:pPr>
      <w:r w:rsidRPr="007E252F">
        <w:rPr>
          <w:rFonts w:cstheme="minorHAnsi"/>
          <w:bCs/>
          <w:color w:val="000000"/>
          <w:szCs w:val="20"/>
          <w:vertAlign w:val="superscript"/>
          <w:lang w:val="en-AU" w:eastAsia="en-GB"/>
        </w:rPr>
        <w:t xml:space="preserve">3 </w:t>
      </w:r>
      <w:r w:rsidRPr="007E252F">
        <w:rPr>
          <w:rFonts w:cstheme="minorHAnsi"/>
          <w:bCs/>
          <w:color w:val="000000"/>
          <w:szCs w:val="20"/>
          <w:lang w:val="en-AU" w:eastAsia="en-GB"/>
        </w:rPr>
        <w:t>Fiji Ministry of Agriculture (2017)</w:t>
      </w:r>
    </w:p>
    <w:p w14:paraId="76901195" w14:textId="77777777" w:rsidR="007E252F" w:rsidRPr="007E252F" w:rsidRDefault="007E252F" w:rsidP="007E252F">
      <w:pPr>
        <w:widowControl/>
        <w:spacing w:before="120" w:after="120"/>
        <w:contextualSpacing/>
        <w:rPr>
          <w:rFonts w:cstheme="minorHAnsi"/>
          <w:bCs/>
          <w:color w:val="000000"/>
          <w:szCs w:val="20"/>
          <w:vertAlign w:val="superscript"/>
          <w:lang w:val="en-AU" w:eastAsia="en-GB"/>
        </w:rPr>
      </w:pPr>
      <w:r w:rsidRPr="007E252F">
        <w:rPr>
          <w:rFonts w:cstheme="minorHAnsi"/>
          <w:bCs/>
          <w:color w:val="000000"/>
          <w:szCs w:val="20"/>
          <w:vertAlign w:val="superscript"/>
          <w:lang w:val="en-AU" w:eastAsia="en-GB"/>
        </w:rPr>
        <w:t xml:space="preserve">4 </w:t>
      </w:r>
      <w:r w:rsidRPr="007E252F">
        <w:rPr>
          <w:rFonts w:cstheme="minorHAnsi"/>
          <w:bCs/>
          <w:color w:val="000000"/>
          <w:szCs w:val="20"/>
          <w:lang w:val="en-AU" w:eastAsia="en-GB"/>
        </w:rPr>
        <w:t>Government of Tonga (2020)</w:t>
      </w:r>
    </w:p>
    <w:p w14:paraId="0FFF7F9C" w14:textId="77777777" w:rsidR="007E252F" w:rsidRPr="007E252F" w:rsidRDefault="007E252F" w:rsidP="007E252F">
      <w:pPr>
        <w:widowControl/>
        <w:spacing w:before="120" w:after="120"/>
        <w:contextualSpacing/>
        <w:rPr>
          <w:lang w:val="en-AU"/>
        </w:rPr>
      </w:pPr>
      <w:r w:rsidRPr="007E252F">
        <w:rPr>
          <w:rFonts w:cstheme="minorHAnsi"/>
          <w:bCs/>
          <w:color w:val="000000"/>
          <w:szCs w:val="20"/>
          <w:vertAlign w:val="superscript"/>
          <w:lang w:val="en-AU" w:eastAsia="en-GB"/>
        </w:rPr>
        <w:t xml:space="preserve">5 </w:t>
      </w:r>
      <w:r w:rsidRPr="007E252F">
        <w:rPr>
          <w:rFonts w:cstheme="minorHAnsi"/>
          <w:bCs/>
          <w:color w:val="000000"/>
          <w:szCs w:val="20"/>
          <w:lang w:val="en-AU" w:eastAsia="en-GB"/>
        </w:rPr>
        <w:t>The Kava Act 2002. Republic of Vanuatu (2008)</w:t>
      </w:r>
    </w:p>
    <w:p w14:paraId="57CF4E86" w14:textId="77777777" w:rsidR="007E252F" w:rsidRPr="007E252F" w:rsidRDefault="007E252F" w:rsidP="007E252F">
      <w:pPr>
        <w:widowControl/>
        <w:spacing w:before="120" w:after="120"/>
        <w:contextualSpacing/>
        <w:rPr>
          <w:rFonts w:cstheme="minorHAnsi"/>
          <w:bCs/>
          <w:color w:val="000000"/>
          <w:szCs w:val="20"/>
          <w:vertAlign w:val="superscript"/>
          <w:lang w:val="en-AU" w:eastAsia="en-GB"/>
        </w:rPr>
      </w:pPr>
      <w:r w:rsidRPr="007E252F">
        <w:rPr>
          <w:rFonts w:cstheme="minorHAnsi"/>
          <w:bCs/>
          <w:color w:val="000000"/>
          <w:szCs w:val="20"/>
          <w:vertAlign w:val="superscript"/>
          <w:lang w:val="en-AU" w:eastAsia="en-GB"/>
        </w:rPr>
        <w:t xml:space="preserve">6 </w:t>
      </w:r>
      <w:r w:rsidRPr="007E252F">
        <w:rPr>
          <w:lang w:val="en-AU"/>
        </w:rPr>
        <w:t>The National Quality Standard for Kava Export – Vanuatu (2017)</w:t>
      </w:r>
    </w:p>
    <w:p w14:paraId="47045620" w14:textId="77777777" w:rsidR="007E252F" w:rsidRPr="007E252F" w:rsidRDefault="007E252F" w:rsidP="007E252F">
      <w:pPr>
        <w:widowControl/>
        <w:spacing w:before="120" w:after="120"/>
        <w:contextualSpacing/>
        <w:rPr>
          <w:rFonts w:cstheme="minorHAnsi"/>
          <w:bCs/>
          <w:color w:val="000000"/>
          <w:szCs w:val="20"/>
          <w:lang w:val="en-AU" w:eastAsia="en-GB"/>
        </w:rPr>
      </w:pPr>
      <w:r w:rsidRPr="007E252F">
        <w:rPr>
          <w:rFonts w:cstheme="minorHAnsi"/>
          <w:b/>
          <w:bCs/>
          <w:color w:val="000000"/>
          <w:szCs w:val="20"/>
          <w:vertAlign w:val="superscript"/>
          <w:lang w:val="en-AU" w:eastAsia="en-GB"/>
        </w:rPr>
        <w:t xml:space="preserve">ǂ </w:t>
      </w:r>
      <w:r w:rsidRPr="007E252F">
        <w:rPr>
          <w:rFonts w:cstheme="minorHAnsi"/>
          <w:bCs/>
          <w:color w:val="000000"/>
          <w:szCs w:val="20"/>
          <w:lang w:val="en-AU" w:eastAsia="en-GB"/>
        </w:rPr>
        <w:t>FSANZ is unaware of any local kava quality and safety standards that are specific to kava produced in this region.</w:t>
      </w:r>
    </w:p>
    <w:p w14:paraId="0C68F59A" w14:textId="77777777" w:rsidR="007E252F" w:rsidRPr="007E252F" w:rsidRDefault="007E252F" w:rsidP="007E252F">
      <w:pPr>
        <w:widowControl/>
        <w:spacing w:before="120" w:after="120"/>
        <w:contextualSpacing/>
        <w:rPr>
          <w:rFonts w:cstheme="minorHAnsi"/>
          <w:bCs/>
          <w:color w:val="000000"/>
          <w:szCs w:val="20"/>
          <w:lang w:val="en-AU" w:eastAsia="en-GB"/>
        </w:rPr>
      </w:pPr>
    </w:p>
    <w:p w14:paraId="31A2BE9B" w14:textId="77777777" w:rsidR="007E252F" w:rsidRPr="007E252F" w:rsidRDefault="007E252F" w:rsidP="007E252F">
      <w:pPr>
        <w:widowControl/>
        <w:rPr>
          <w:rFonts w:cstheme="minorHAnsi"/>
          <w:bCs/>
          <w:color w:val="000000"/>
          <w:szCs w:val="20"/>
          <w:lang w:val="en-AU" w:eastAsia="en-GB"/>
        </w:rPr>
      </w:pPr>
      <w:r w:rsidRPr="007E252F">
        <w:rPr>
          <w:rFonts w:cstheme="minorHAnsi"/>
          <w:bCs/>
          <w:color w:val="000000"/>
          <w:szCs w:val="20"/>
          <w:lang w:val="en-AU" w:eastAsia="en-GB"/>
        </w:rPr>
        <w:br w:type="page"/>
      </w:r>
    </w:p>
    <w:p w14:paraId="4B7719D9" w14:textId="77777777" w:rsidR="007E252F" w:rsidRPr="007E252F" w:rsidRDefault="007E252F" w:rsidP="007E252F">
      <w:pPr>
        <w:widowControl/>
        <w:spacing w:before="120" w:after="120"/>
        <w:contextualSpacing/>
        <w:jc w:val="center"/>
        <w:rPr>
          <w:sz w:val="24"/>
          <w:lang w:val="en-AU"/>
        </w:rPr>
      </w:pPr>
    </w:p>
    <w:p w14:paraId="332775FF" w14:textId="77777777" w:rsidR="007E252F" w:rsidRPr="007E252F" w:rsidRDefault="007E252F" w:rsidP="007E252F">
      <w:pPr>
        <w:keepNext/>
        <w:widowControl/>
        <w:spacing w:before="240" w:after="240"/>
        <w:ind w:left="851" w:hanging="851"/>
        <w:outlineLvl w:val="0"/>
        <w:rPr>
          <w:b/>
          <w:bCs/>
          <w:sz w:val="36"/>
          <w:szCs w:val="28"/>
          <w:lang w:val="en-AU" w:bidi="ar-SA"/>
        </w:rPr>
      </w:pPr>
      <w:bookmarkStart w:id="310" w:name="_Toc83287732"/>
      <w:bookmarkStart w:id="311" w:name="_Toc83297199"/>
      <w:bookmarkStart w:id="312" w:name="_Toc83324819"/>
      <w:bookmarkStart w:id="313" w:name="_Toc95830192"/>
      <w:r w:rsidRPr="007E252F">
        <w:rPr>
          <w:b/>
          <w:bCs/>
          <w:sz w:val="36"/>
          <w:szCs w:val="28"/>
          <w:lang w:val="en-AU" w:bidi="ar-SA"/>
        </w:rPr>
        <w:t>Appendix 2: Chemical constituents in kava extracts</w:t>
      </w:r>
      <w:bookmarkEnd w:id="310"/>
      <w:bookmarkEnd w:id="311"/>
      <w:bookmarkEnd w:id="312"/>
      <w:bookmarkEnd w:id="313"/>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4126"/>
        <w:gridCol w:w="2164"/>
      </w:tblGrid>
      <w:tr w:rsidR="007E252F" w:rsidRPr="007E252F" w14:paraId="7C0E068E" w14:textId="77777777" w:rsidTr="000D5CF1">
        <w:trPr>
          <w:cantSplit/>
          <w:jc w:val="center"/>
        </w:trPr>
        <w:tc>
          <w:tcPr>
            <w:tcW w:w="3519" w:type="dxa"/>
            <w:shd w:val="clear" w:color="auto" w:fill="auto"/>
            <w:noWrap/>
            <w:vAlign w:val="center"/>
            <w:hideMark/>
          </w:tcPr>
          <w:p w14:paraId="0BE67B27" w14:textId="77777777" w:rsidR="007E252F" w:rsidRPr="007E252F" w:rsidRDefault="007E252F" w:rsidP="007E252F">
            <w:pPr>
              <w:widowControl/>
              <w:rPr>
                <w:rFonts w:cs="Arial"/>
                <w:b/>
                <w:color w:val="000000"/>
                <w:szCs w:val="22"/>
                <w:lang w:eastAsia="en-GB" w:bidi="ar-SA"/>
              </w:rPr>
            </w:pPr>
            <w:r w:rsidRPr="007E252F">
              <w:rPr>
                <w:rFonts w:cs="Arial"/>
                <w:b/>
                <w:color w:val="000000"/>
                <w:szCs w:val="22"/>
                <w:lang w:eastAsia="en-GB" w:bidi="ar-SA"/>
              </w:rPr>
              <w:t>Constituent</w:t>
            </w:r>
          </w:p>
        </w:tc>
        <w:tc>
          <w:tcPr>
            <w:tcW w:w="4126" w:type="dxa"/>
            <w:shd w:val="clear" w:color="auto" w:fill="auto"/>
            <w:noWrap/>
            <w:hideMark/>
          </w:tcPr>
          <w:p w14:paraId="240F2D89" w14:textId="77777777" w:rsidR="007E252F" w:rsidRPr="007E252F" w:rsidRDefault="007E252F" w:rsidP="007E252F">
            <w:pPr>
              <w:widowControl/>
              <w:rPr>
                <w:rFonts w:cs="Arial"/>
                <w:b/>
                <w:color w:val="000000"/>
                <w:szCs w:val="22"/>
                <w:lang w:eastAsia="en-GB" w:bidi="ar-SA"/>
              </w:rPr>
            </w:pPr>
            <w:r w:rsidRPr="007E252F">
              <w:rPr>
                <w:rFonts w:cs="Arial"/>
                <w:b/>
                <w:color w:val="000000"/>
                <w:szCs w:val="22"/>
                <w:lang w:eastAsia="en-GB" w:bidi="ar-SA"/>
              </w:rPr>
              <w:t>Chemical Structure</w:t>
            </w:r>
          </w:p>
        </w:tc>
        <w:tc>
          <w:tcPr>
            <w:tcW w:w="2164" w:type="dxa"/>
            <w:shd w:val="clear" w:color="auto" w:fill="auto"/>
            <w:noWrap/>
            <w:vAlign w:val="center"/>
            <w:hideMark/>
          </w:tcPr>
          <w:p w14:paraId="7552943E" w14:textId="77777777" w:rsidR="007E252F" w:rsidRPr="007E252F" w:rsidRDefault="007E252F" w:rsidP="007E252F">
            <w:pPr>
              <w:widowControl/>
              <w:rPr>
                <w:rFonts w:cs="Arial"/>
                <w:b/>
                <w:color w:val="000000"/>
                <w:szCs w:val="22"/>
                <w:lang w:eastAsia="en-GB" w:bidi="ar-SA"/>
              </w:rPr>
            </w:pPr>
            <w:r w:rsidRPr="007E252F">
              <w:rPr>
                <w:rFonts w:cs="Arial"/>
                <w:b/>
                <w:color w:val="000000"/>
                <w:szCs w:val="22"/>
                <w:lang w:eastAsia="en-GB" w:bidi="ar-SA"/>
              </w:rPr>
              <w:t>References</w:t>
            </w:r>
          </w:p>
        </w:tc>
      </w:tr>
      <w:tr w:rsidR="007E252F" w:rsidRPr="007E252F" w14:paraId="387A78A4" w14:textId="77777777" w:rsidTr="000D5CF1">
        <w:trPr>
          <w:cantSplit/>
          <w:trHeight w:val="1985"/>
          <w:jc w:val="center"/>
        </w:trPr>
        <w:tc>
          <w:tcPr>
            <w:tcW w:w="3519" w:type="dxa"/>
            <w:shd w:val="clear" w:color="auto" w:fill="auto"/>
            <w:noWrap/>
            <w:hideMark/>
          </w:tcPr>
          <w:p w14:paraId="411E757D"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11-Hydroxy-12-methoxydihydrokavain</w:t>
            </w:r>
          </w:p>
          <w:p w14:paraId="488E18A6"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38146-59-7</w:t>
            </w:r>
          </w:p>
          <w:p w14:paraId="0E5462C9" w14:textId="77777777" w:rsidR="007E252F" w:rsidRPr="007E252F" w:rsidRDefault="007E252F" w:rsidP="007E252F">
            <w:pPr>
              <w:widowControl/>
              <w:rPr>
                <w:rFonts w:cs="Arial"/>
                <w:color w:val="000000"/>
                <w:sz w:val="18"/>
                <w:szCs w:val="18"/>
                <w:lang w:eastAsia="en-GB" w:bidi="ar-SA"/>
              </w:rPr>
            </w:pPr>
          </w:p>
          <w:p w14:paraId="565E81A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278.30</w:t>
            </w:r>
          </w:p>
          <w:p w14:paraId="029FB158" w14:textId="77777777" w:rsidR="007E252F" w:rsidRPr="007E252F" w:rsidRDefault="007E252F" w:rsidP="007E252F">
            <w:pPr>
              <w:widowControl/>
              <w:rPr>
                <w:rFonts w:cs="Arial"/>
                <w:color w:val="000000"/>
                <w:sz w:val="18"/>
                <w:szCs w:val="18"/>
                <w:lang w:eastAsia="en-GB" w:bidi="ar-SA"/>
              </w:rPr>
            </w:pPr>
          </w:p>
          <w:p w14:paraId="436324C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4D85EB43" w14:textId="77777777" w:rsidR="007E252F" w:rsidRPr="007E252F" w:rsidRDefault="007E252F" w:rsidP="007E252F">
            <w:pPr>
              <w:widowControl/>
              <w:rPr>
                <w:rFonts w:cs="Arial"/>
                <w:color w:val="000000"/>
                <w:sz w:val="18"/>
                <w:szCs w:val="18"/>
                <w:lang w:eastAsia="en-GB" w:bidi="ar-SA"/>
              </w:rPr>
            </w:pPr>
            <w:r w:rsidRPr="007E252F">
              <w:rPr>
                <w:rFonts w:cstheme="minorHAnsi"/>
                <w:bCs/>
                <w:color w:val="000000"/>
                <w:szCs w:val="20"/>
                <w:vertAlign w:val="superscript"/>
                <w:lang w:val="en-AU" w:eastAsia="en-GB"/>
              </w:rPr>
              <w:t xml:space="preserve">1 </w:t>
            </w:r>
            <w:r w:rsidRPr="007E252F">
              <w:rPr>
                <w:rFonts w:cs="Arial"/>
                <w:color w:val="000000"/>
                <w:sz w:val="18"/>
                <w:szCs w:val="18"/>
                <w:lang w:eastAsia="en-GB" w:bidi="ar-SA"/>
              </w:rPr>
              <w:t>XLogP3: 2.4</w:t>
            </w:r>
          </w:p>
        </w:tc>
        <w:tc>
          <w:tcPr>
            <w:tcW w:w="4126" w:type="dxa"/>
            <w:shd w:val="clear" w:color="auto" w:fill="auto"/>
            <w:vAlign w:val="center"/>
          </w:tcPr>
          <w:p w14:paraId="259F5071"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48F0C5B5" wp14:editId="57DD7CBB">
                  <wp:extent cx="2116800" cy="1152000"/>
                  <wp:effectExtent l="0" t="0" r="0" b="0"/>
                  <wp:docPr id="2" name="Picture 2">
                    <a:extLst xmlns:a="http://schemas.openxmlformats.org/drawingml/2006/main">
                      <a:ext uri="{FF2B5EF4-FFF2-40B4-BE49-F238E27FC236}">
                        <a16:creationId xmlns:a16="http://schemas.microsoft.com/office/drawing/2014/main" id="{21501D23-FB08-994C-8DFF-89D92A5445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1501D23-FB08-994C-8DFF-89D92A54455C}"/>
                              </a:ext>
                            </a:extLst>
                          </pic:cNvPr>
                          <pic:cNvPicPr>
                            <a:picLocks noChangeAspect="1"/>
                          </pic:cNvPicPr>
                        </pic:nvPicPr>
                        <pic:blipFill>
                          <a:blip r:embed="rId107"/>
                          <a:stretch>
                            <a:fillRect/>
                          </a:stretch>
                        </pic:blipFill>
                        <pic:spPr>
                          <a:xfrm>
                            <a:off x="0" y="0"/>
                            <a:ext cx="2116800" cy="1152000"/>
                          </a:xfrm>
                          <a:prstGeom prst="rect">
                            <a:avLst/>
                          </a:prstGeom>
                        </pic:spPr>
                      </pic:pic>
                    </a:graphicData>
                  </a:graphic>
                </wp:inline>
              </w:drawing>
            </w:r>
          </w:p>
        </w:tc>
        <w:tc>
          <w:tcPr>
            <w:tcW w:w="2164" w:type="dxa"/>
            <w:shd w:val="clear" w:color="auto" w:fill="auto"/>
            <w:noWrap/>
          </w:tcPr>
          <w:p w14:paraId="6BDDD67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0C906EAD" w14:textId="77777777" w:rsidTr="000D5CF1">
        <w:trPr>
          <w:cantSplit/>
          <w:trHeight w:val="1985"/>
          <w:jc w:val="center"/>
        </w:trPr>
        <w:tc>
          <w:tcPr>
            <w:tcW w:w="3519" w:type="dxa"/>
            <w:shd w:val="clear" w:color="auto" w:fill="auto"/>
            <w:noWrap/>
            <w:hideMark/>
          </w:tcPr>
          <w:p w14:paraId="4D72EF8A"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7,8-Dihydro-5-hydroxykavain</w:t>
            </w:r>
          </w:p>
          <w:p w14:paraId="4D5C514E"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52247-81-1</w:t>
            </w:r>
          </w:p>
          <w:p w14:paraId="69A804CF" w14:textId="77777777" w:rsidR="007E252F" w:rsidRPr="007E252F" w:rsidRDefault="007E252F" w:rsidP="007E252F">
            <w:pPr>
              <w:widowControl/>
              <w:rPr>
                <w:rFonts w:cs="Arial"/>
                <w:color w:val="000000"/>
                <w:sz w:val="18"/>
                <w:szCs w:val="18"/>
                <w:lang w:eastAsia="en-GB" w:bidi="ar-SA"/>
              </w:rPr>
            </w:pPr>
          </w:p>
          <w:p w14:paraId="6DCD737B"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248.27</w:t>
            </w:r>
          </w:p>
          <w:p w14:paraId="7DD4204E" w14:textId="77777777" w:rsidR="007E252F" w:rsidRPr="007E252F" w:rsidRDefault="007E252F" w:rsidP="007E252F">
            <w:pPr>
              <w:widowControl/>
              <w:rPr>
                <w:rFonts w:cs="Arial"/>
                <w:color w:val="000000"/>
                <w:sz w:val="18"/>
                <w:szCs w:val="18"/>
                <w:lang w:eastAsia="en-GB" w:bidi="ar-SA"/>
              </w:rPr>
            </w:pPr>
          </w:p>
          <w:p w14:paraId="4DE83C7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6164328A"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w:t>
            </w:r>
            <w:r w:rsidRPr="007E252F">
              <w:rPr>
                <w:rFonts w:cstheme="minorHAnsi"/>
                <w:bCs/>
                <w:color w:val="000000"/>
                <w:szCs w:val="20"/>
                <w:vertAlign w:val="superscript"/>
                <w:lang w:val="en-AU" w:eastAsia="en-GB"/>
              </w:rPr>
              <w:t>1</w:t>
            </w:r>
            <w:r w:rsidRPr="007E252F">
              <w:rPr>
                <w:rFonts w:cs="Arial"/>
                <w:color w:val="000000"/>
                <w:sz w:val="18"/>
                <w:szCs w:val="18"/>
                <w:lang w:eastAsia="en-GB" w:bidi="ar-SA"/>
              </w:rPr>
              <w:t>: 1.6</w:t>
            </w:r>
          </w:p>
        </w:tc>
        <w:tc>
          <w:tcPr>
            <w:tcW w:w="4126" w:type="dxa"/>
            <w:shd w:val="clear" w:color="auto" w:fill="auto"/>
            <w:noWrap/>
            <w:vAlign w:val="center"/>
            <w:hideMark/>
          </w:tcPr>
          <w:p w14:paraId="5BF3B066"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6706F2D0" wp14:editId="109E1073">
                  <wp:extent cx="1836000" cy="1119600"/>
                  <wp:effectExtent l="0" t="0" r="0" b="4445"/>
                  <wp:docPr id="4" name="Picture 3">
                    <a:extLst xmlns:a="http://schemas.openxmlformats.org/drawingml/2006/main">
                      <a:ext uri="{FF2B5EF4-FFF2-40B4-BE49-F238E27FC236}">
                        <a16:creationId xmlns:a16="http://schemas.microsoft.com/office/drawing/2014/main" id="{46B48A3D-6612-034B-87D5-B40EB7810B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6B48A3D-6612-034B-87D5-B40EB7810B06}"/>
                              </a:ext>
                            </a:extLst>
                          </pic:cNvPr>
                          <pic:cNvPicPr>
                            <a:picLocks noChangeAspect="1"/>
                          </pic:cNvPicPr>
                        </pic:nvPicPr>
                        <pic:blipFill>
                          <a:blip r:embed="rId108"/>
                          <a:stretch>
                            <a:fillRect/>
                          </a:stretch>
                        </pic:blipFill>
                        <pic:spPr>
                          <a:xfrm>
                            <a:off x="0" y="0"/>
                            <a:ext cx="1836000" cy="1119600"/>
                          </a:xfrm>
                          <a:prstGeom prst="rect">
                            <a:avLst/>
                          </a:prstGeom>
                        </pic:spPr>
                      </pic:pic>
                    </a:graphicData>
                  </a:graphic>
                </wp:inline>
              </w:drawing>
            </w:r>
          </w:p>
        </w:tc>
        <w:tc>
          <w:tcPr>
            <w:tcW w:w="2164" w:type="dxa"/>
            <w:shd w:val="clear" w:color="auto" w:fill="auto"/>
            <w:noWrap/>
          </w:tcPr>
          <w:p w14:paraId="2EC311D9"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5EA22260" w14:textId="77777777" w:rsidTr="000D5CF1">
        <w:trPr>
          <w:cantSplit/>
          <w:trHeight w:val="1985"/>
          <w:jc w:val="center"/>
        </w:trPr>
        <w:tc>
          <w:tcPr>
            <w:tcW w:w="3519" w:type="dxa"/>
            <w:shd w:val="clear" w:color="auto" w:fill="auto"/>
            <w:noWrap/>
            <w:hideMark/>
          </w:tcPr>
          <w:p w14:paraId="1BF2A935"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11,12 Dimethoxydihydrokavain</w:t>
            </w:r>
          </w:p>
          <w:p w14:paraId="47521F3C"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38146-60-0</w:t>
            </w:r>
          </w:p>
          <w:p w14:paraId="3485177D" w14:textId="77777777" w:rsidR="007E252F" w:rsidRPr="007E252F" w:rsidRDefault="007E252F" w:rsidP="007E252F">
            <w:pPr>
              <w:widowControl/>
              <w:rPr>
                <w:rFonts w:cs="Arial"/>
                <w:color w:val="000000"/>
                <w:sz w:val="18"/>
                <w:szCs w:val="18"/>
                <w:lang w:eastAsia="en-GB" w:bidi="ar-SA"/>
              </w:rPr>
            </w:pPr>
          </w:p>
          <w:p w14:paraId="70E2F65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293.33</w:t>
            </w:r>
          </w:p>
          <w:p w14:paraId="4E106E72" w14:textId="77777777" w:rsidR="007E252F" w:rsidRPr="007E252F" w:rsidRDefault="007E252F" w:rsidP="007E252F">
            <w:pPr>
              <w:widowControl/>
              <w:rPr>
                <w:rFonts w:cs="Arial"/>
                <w:color w:val="000000"/>
                <w:sz w:val="18"/>
                <w:szCs w:val="18"/>
                <w:lang w:eastAsia="en-GB" w:bidi="ar-SA"/>
              </w:rPr>
            </w:pPr>
          </w:p>
          <w:p w14:paraId="6769F057"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66362D25"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2.7</w:t>
            </w:r>
          </w:p>
        </w:tc>
        <w:tc>
          <w:tcPr>
            <w:tcW w:w="4126" w:type="dxa"/>
            <w:shd w:val="clear" w:color="auto" w:fill="auto"/>
            <w:noWrap/>
            <w:vAlign w:val="center"/>
            <w:hideMark/>
          </w:tcPr>
          <w:p w14:paraId="476EC1BA"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1AE9BB0F" wp14:editId="13B9F988">
                  <wp:extent cx="2116800" cy="1144800"/>
                  <wp:effectExtent l="0" t="0" r="0" b="0"/>
                  <wp:docPr id="5" name="Picture 4">
                    <a:extLst xmlns:a="http://schemas.openxmlformats.org/drawingml/2006/main">
                      <a:ext uri="{FF2B5EF4-FFF2-40B4-BE49-F238E27FC236}">
                        <a16:creationId xmlns:a16="http://schemas.microsoft.com/office/drawing/2014/main" id="{6F52BD17-621F-AD44-863B-77D31A6D9A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F52BD17-621F-AD44-863B-77D31A6D9AD8}"/>
                              </a:ext>
                            </a:extLst>
                          </pic:cNvPr>
                          <pic:cNvPicPr>
                            <a:picLocks noChangeAspect="1"/>
                          </pic:cNvPicPr>
                        </pic:nvPicPr>
                        <pic:blipFill>
                          <a:blip r:embed="rId109"/>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7F0ADBE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0D3C1F89" w14:textId="77777777" w:rsidTr="000D5CF1">
        <w:trPr>
          <w:cantSplit/>
          <w:trHeight w:val="1985"/>
          <w:jc w:val="center"/>
        </w:trPr>
        <w:tc>
          <w:tcPr>
            <w:tcW w:w="3519" w:type="dxa"/>
            <w:shd w:val="clear" w:color="auto" w:fill="auto"/>
            <w:noWrap/>
            <w:hideMark/>
          </w:tcPr>
          <w:p w14:paraId="0D0D9C69" w14:textId="77777777" w:rsidR="007E252F" w:rsidRPr="007E252F" w:rsidRDefault="007E252F" w:rsidP="007E252F">
            <w:pPr>
              <w:widowControl/>
              <w:rPr>
                <w:rFonts w:cs="Arial"/>
                <w:b/>
                <w:bCs/>
                <w:color w:val="000000"/>
                <w:sz w:val="18"/>
                <w:szCs w:val="18"/>
                <w:lang w:eastAsia="en-GB" w:bidi="ar-SA"/>
              </w:rPr>
            </w:pPr>
            <w:r w:rsidRPr="007E252F">
              <w:rPr>
                <w:rFonts w:cs="Arial"/>
                <w:b/>
                <w:bCs/>
                <w:color w:val="000000"/>
                <w:sz w:val="18"/>
                <w:szCs w:val="18"/>
                <w:lang w:eastAsia="en-GB" w:bidi="ar-SA"/>
              </w:rPr>
              <w:t>Methysticin (Major)</w:t>
            </w:r>
          </w:p>
          <w:p w14:paraId="5E363252"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495-85-2</w:t>
            </w:r>
          </w:p>
          <w:p w14:paraId="60356D3F" w14:textId="77777777" w:rsidR="007E252F" w:rsidRPr="007E252F" w:rsidRDefault="007E252F" w:rsidP="007E252F">
            <w:pPr>
              <w:widowControl/>
              <w:rPr>
                <w:rFonts w:cs="Arial"/>
                <w:color w:val="000000"/>
                <w:sz w:val="18"/>
                <w:szCs w:val="18"/>
                <w:lang w:eastAsia="en-GB" w:bidi="ar-SA"/>
              </w:rPr>
            </w:pPr>
          </w:p>
          <w:p w14:paraId="7CACF49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274.27</w:t>
            </w:r>
          </w:p>
          <w:p w14:paraId="122FEB26" w14:textId="77777777" w:rsidR="007E252F" w:rsidRPr="007E252F" w:rsidRDefault="007E252F" w:rsidP="007E252F">
            <w:pPr>
              <w:widowControl/>
              <w:rPr>
                <w:rFonts w:cs="Arial"/>
                <w:color w:val="000000"/>
                <w:sz w:val="18"/>
                <w:szCs w:val="18"/>
                <w:lang w:eastAsia="en-GB" w:bidi="ar-SA"/>
              </w:rPr>
            </w:pPr>
          </w:p>
          <w:p w14:paraId="535CBD63"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27DA5BBA" w14:textId="77777777" w:rsidR="007E252F" w:rsidRPr="007E252F" w:rsidRDefault="007E252F" w:rsidP="007E252F">
            <w:pPr>
              <w:widowControl/>
              <w:rPr>
                <w:rFonts w:cs="Arial"/>
                <w:b/>
                <w:bCs/>
                <w:color w:val="000000"/>
                <w:sz w:val="18"/>
                <w:szCs w:val="18"/>
                <w:lang w:eastAsia="en-GB" w:bidi="ar-SA"/>
              </w:rPr>
            </w:pPr>
            <w:r w:rsidRPr="007E252F">
              <w:rPr>
                <w:rFonts w:cs="Arial"/>
                <w:color w:val="000000"/>
                <w:sz w:val="18"/>
                <w:szCs w:val="18"/>
                <w:lang w:eastAsia="en-GB" w:bidi="ar-SA"/>
              </w:rPr>
              <w:t>XLogP3: 2.4</w:t>
            </w:r>
          </w:p>
        </w:tc>
        <w:tc>
          <w:tcPr>
            <w:tcW w:w="4126" w:type="dxa"/>
            <w:shd w:val="clear" w:color="auto" w:fill="auto"/>
            <w:noWrap/>
            <w:vAlign w:val="center"/>
            <w:hideMark/>
          </w:tcPr>
          <w:p w14:paraId="7EFDC376" w14:textId="77777777" w:rsidR="007E252F" w:rsidRPr="007E252F" w:rsidRDefault="007E252F" w:rsidP="007E252F">
            <w:pPr>
              <w:widowControl/>
              <w:jc w:val="center"/>
              <w:rPr>
                <w:rFonts w:cs="Arial"/>
                <w:b/>
                <w:bCs/>
                <w:color w:val="000000"/>
                <w:sz w:val="18"/>
                <w:szCs w:val="18"/>
                <w:lang w:eastAsia="en-GB" w:bidi="ar-SA"/>
              </w:rPr>
            </w:pPr>
            <w:r w:rsidRPr="007E252F">
              <w:rPr>
                <w:noProof/>
                <w:lang w:eastAsia="en-GB" w:bidi="ar-SA"/>
              </w:rPr>
              <w:drawing>
                <wp:inline distT="0" distB="0" distL="0" distR="0" wp14:anchorId="60A68A08" wp14:editId="700A3483">
                  <wp:extent cx="2113200" cy="1119600"/>
                  <wp:effectExtent l="0" t="0" r="1905" b="4445"/>
                  <wp:docPr id="6" name="Picture 5">
                    <a:extLst xmlns:a="http://schemas.openxmlformats.org/drawingml/2006/main">
                      <a:ext uri="{FF2B5EF4-FFF2-40B4-BE49-F238E27FC236}">
                        <a16:creationId xmlns:a16="http://schemas.microsoft.com/office/drawing/2014/main" id="{E0A96A23-0E3C-4E49-A523-9045EF678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0A96A23-0E3C-4E49-A523-9045EF678200}"/>
                              </a:ext>
                            </a:extLst>
                          </pic:cNvPr>
                          <pic:cNvPicPr>
                            <a:picLocks noChangeAspect="1"/>
                          </pic:cNvPicPr>
                        </pic:nvPicPr>
                        <pic:blipFill>
                          <a:blip r:embed="rId110"/>
                          <a:stretch>
                            <a:fillRect/>
                          </a:stretch>
                        </pic:blipFill>
                        <pic:spPr>
                          <a:xfrm>
                            <a:off x="0" y="0"/>
                            <a:ext cx="2113200" cy="1119600"/>
                          </a:xfrm>
                          <a:prstGeom prst="rect">
                            <a:avLst/>
                          </a:prstGeom>
                        </pic:spPr>
                      </pic:pic>
                    </a:graphicData>
                  </a:graphic>
                </wp:inline>
              </w:drawing>
            </w:r>
          </w:p>
        </w:tc>
        <w:tc>
          <w:tcPr>
            <w:tcW w:w="2164" w:type="dxa"/>
            <w:shd w:val="clear" w:color="auto" w:fill="auto"/>
            <w:noWrap/>
          </w:tcPr>
          <w:p w14:paraId="68407E5A"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Meyer, 1962; Bilia et al., 2004; Dentali et al., 2018</w:t>
            </w:r>
          </w:p>
        </w:tc>
      </w:tr>
      <w:tr w:rsidR="007E252F" w:rsidRPr="007E252F" w14:paraId="7BA7ACBB" w14:textId="77777777" w:rsidTr="000D5CF1">
        <w:trPr>
          <w:cantSplit/>
          <w:trHeight w:val="1985"/>
          <w:jc w:val="center"/>
        </w:trPr>
        <w:tc>
          <w:tcPr>
            <w:tcW w:w="3519" w:type="dxa"/>
            <w:shd w:val="clear" w:color="auto" w:fill="auto"/>
            <w:noWrap/>
            <w:hideMark/>
          </w:tcPr>
          <w:p w14:paraId="56928044" w14:textId="77777777" w:rsidR="007E252F" w:rsidRPr="007E252F" w:rsidRDefault="007E252F" w:rsidP="007E252F">
            <w:pPr>
              <w:widowControl/>
              <w:rPr>
                <w:rFonts w:cs="Arial"/>
                <w:b/>
                <w:bCs/>
                <w:color w:val="000000"/>
                <w:sz w:val="18"/>
                <w:szCs w:val="18"/>
                <w:lang w:eastAsia="en-GB" w:bidi="ar-SA"/>
              </w:rPr>
            </w:pPr>
            <w:r w:rsidRPr="007E252F">
              <w:rPr>
                <w:rFonts w:cs="Arial"/>
                <w:b/>
                <w:bCs/>
                <w:color w:val="000000"/>
                <w:sz w:val="18"/>
                <w:szCs w:val="18"/>
                <w:lang w:eastAsia="en-GB" w:bidi="ar-SA"/>
              </w:rPr>
              <w:t>Dihydromethysticin (Major)</w:t>
            </w:r>
          </w:p>
          <w:p w14:paraId="4D4FA51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19902-91-1</w:t>
            </w:r>
          </w:p>
          <w:p w14:paraId="037C5A64" w14:textId="77777777" w:rsidR="007E252F" w:rsidRPr="007E252F" w:rsidRDefault="007E252F" w:rsidP="007E252F">
            <w:pPr>
              <w:widowControl/>
              <w:rPr>
                <w:rFonts w:cs="Arial"/>
                <w:color w:val="000000"/>
                <w:sz w:val="18"/>
                <w:szCs w:val="18"/>
                <w:lang w:eastAsia="en-GB" w:bidi="ar-SA"/>
              </w:rPr>
            </w:pPr>
          </w:p>
          <w:p w14:paraId="54A4604E"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276.28</w:t>
            </w:r>
          </w:p>
          <w:p w14:paraId="410F7018" w14:textId="77777777" w:rsidR="007E252F" w:rsidRPr="007E252F" w:rsidRDefault="007E252F" w:rsidP="007E252F">
            <w:pPr>
              <w:widowControl/>
              <w:rPr>
                <w:rFonts w:cs="Arial"/>
                <w:color w:val="000000"/>
                <w:sz w:val="18"/>
                <w:szCs w:val="18"/>
                <w:lang w:eastAsia="en-GB" w:bidi="ar-SA"/>
              </w:rPr>
            </w:pPr>
          </w:p>
          <w:p w14:paraId="084C27CE"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LD50: 1050 mg/kg bw (mouse, oral)</w:t>
            </w:r>
          </w:p>
          <w:p w14:paraId="6C9FD09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2.6</w:t>
            </w:r>
          </w:p>
          <w:p w14:paraId="4A11367F" w14:textId="77777777" w:rsidR="007E252F" w:rsidRPr="007E252F" w:rsidRDefault="007E252F" w:rsidP="007E252F">
            <w:pPr>
              <w:widowControl/>
              <w:rPr>
                <w:rFonts w:cs="Arial"/>
                <w:color w:val="000000"/>
                <w:sz w:val="18"/>
                <w:szCs w:val="18"/>
                <w:lang w:eastAsia="en-GB" w:bidi="ar-SA"/>
              </w:rPr>
            </w:pPr>
          </w:p>
        </w:tc>
        <w:tc>
          <w:tcPr>
            <w:tcW w:w="4126" w:type="dxa"/>
            <w:shd w:val="clear" w:color="auto" w:fill="auto"/>
            <w:noWrap/>
            <w:vAlign w:val="center"/>
            <w:hideMark/>
          </w:tcPr>
          <w:p w14:paraId="11648EAA" w14:textId="77777777" w:rsidR="007E252F" w:rsidRPr="007E252F" w:rsidRDefault="007E252F" w:rsidP="007E252F">
            <w:pPr>
              <w:widowControl/>
              <w:jc w:val="center"/>
              <w:rPr>
                <w:rFonts w:cs="Arial"/>
                <w:b/>
                <w:bCs/>
                <w:color w:val="000000"/>
                <w:sz w:val="18"/>
                <w:szCs w:val="18"/>
                <w:lang w:eastAsia="en-GB" w:bidi="ar-SA"/>
              </w:rPr>
            </w:pPr>
            <w:r w:rsidRPr="007E252F">
              <w:rPr>
                <w:noProof/>
                <w:lang w:eastAsia="en-GB" w:bidi="ar-SA"/>
              </w:rPr>
              <w:drawing>
                <wp:inline distT="0" distB="0" distL="0" distR="0" wp14:anchorId="528D7D1A" wp14:editId="19051D7F">
                  <wp:extent cx="2113200" cy="1119600"/>
                  <wp:effectExtent l="0" t="0" r="1905" b="4445"/>
                  <wp:docPr id="7" name="Picture 6">
                    <a:extLst xmlns:a="http://schemas.openxmlformats.org/drawingml/2006/main">
                      <a:ext uri="{FF2B5EF4-FFF2-40B4-BE49-F238E27FC236}">
                        <a16:creationId xmlns:a16="http://schemas.microsoft.com/office/drawing/2014/main" id="{508219A0-3414-B348-85F3-FFBA7E950F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08219A0-3414-B348-85F3-FFBA7E950F86}"/>
                              </a:ext>
                            </a:extLst>
                          </pic:cNvPr>
                          <pic:cNvPicPr>
                            <a:picLocks noChangeAspect="1"/>
                          </pic:cNvPicPr>
                        </pic:nvPicPr>
                        <pic:blipFill>
                          <a:blip r:embed="rId111"/>
                          <a:stretch>
                            <a:fillRect/>
                          </a:stretch>
                        </pic:blipFill>
                        <pic:spPr>
                          <a:xfrm>
                            <a:off x="0" y="0"/>
                            <a:ext cx="2113200" cy="1119600"/>
                          </a:xfrm>
                          <a:prstGeom prst="rect">
                            <a:avLst/>
                          </a:prstGeom>
                        </pic:spPr>
                      </pic:pic>
                    </a:graphicData>
                  </a:graphic>
                </wp:inline>
              </w:drawing>
            </w:r>
          </w:p>
        </w:tc>
        <w:tc>
          <w:tcPr>
            <w:tcW w:w="2164" w:type="dxa"/>
            <w:shd w:val="clear" w:color="auto" w:fill="auto"/>
            <w:noWrap/>
          </w:tcPr>
          <w:p w14:paraId="59C1D22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Meyer, 1962; Bilia et al., 2004; Dentali et al., 2018</w:t>
            </w:r>
          </w:p>
        </w:tc>
      </w:tr>
      <w:tr w:rsidR="007E252F" w:rsidRPr="007E252F" w14:paraId="7EAE1DDB" w14:textId="77777777" w:rsidTr="000D5CF1">
        <w:trPr>
          <w:cantSplit/>
          <w:trHeight w:val="1985"/>
          <w:jc w:val="center"/>
        </w:trPr>
        <w:tc>
          <w:tcPr>
            <w:tcW w:w="3519" w:type="dxa"/>
            <w:shd w:val="clear" w:color="auto" w:fill="auto"/>
            <w:noWrap/>
            <w:hideMark/>
          </w:tcPr>
          <w:p w14:paraId="6A9A7339" w14:textId="77777777" w:rsidR="007E252F" w:rsidRPr="007E252F" w:rsidRDefault="007E252F" w:rsidP="007E252F">
            <w:pPr>
              <w:widowControl/>
              <w:rPr>
                <w:rFonts w:cs="Arial"/>
                <w:b/>
                <w:bCs/>
                <w:color w:val="000000"/>
                <w:sz w:val="18"/>
                <w:szCs w:val="18"/>
                <w:lang w:eastAsia="en-GB" w:bidi="ar-SA"/>
              </w:rPr>
            </w:pPr>
            <w:r w:rsidRPr="007E252F">
              <w:rPr>
                <w:rFonts w:cs="Arial"/>
                <w:b/>
                <w:bCs/>
                <w:color w:val="000000"/>
                <w:sz w:val="18"/>
                <w:szCs w:val="18"/>
                <w:lang w:eastAsia="en-GB" w:bidi="ar-SA"/>
              </w:rPr>
              <w:t>Kavain (Major)</w:t>
            </w:r>
          </w:p>
          <w:p w14:paraId="4243441F"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500-64-1</w:t>
            </w:r>
          </w:p>
          <w:p w14:paraId="2999411D" w14:textId="77777777" w:rsidR="007E252F" w:rsidRPr="007E252F" w:rsidRDefault="007E252F" w:rsidP="007E252F">
            <w:pPr>
              <w:widowControl/>
              <w:rPr>
                <w:rFonts w:cs="Arial"/>
                <w:color w:val="000000"/>
                <w:sz w:val="18"/>
                <w:szCs w:val="18"/>
                <w:lang w:eastAsia="en-GB" w:bidi="ar-SA"/>
              </w:rPr>
            </w:pPr>
          </w:p>
          <w:p w14:paraId="7763C5EE"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230.26 g/mol</w:t>
            </w:r>
          </w:p>
          <w:p w14:paraId="49AD37D7" w14:textId="77777777" w:rsidR="007E252F" w:rsidRPr="007E252F" w:rsidRDefault="007E252F" w:rsidP="007E252F">
            <w:pPr>
              <w:widowControl/>
              <w:rPr>
                <w:rFonts w:cs="Arial"/>
                <w:color w:val="000000"/>
                <w:sz w:val="18"/>
                <w:szCs w:val="18"/>
                <w:lang w:eastAsia="en-GB" w:bidi="ar-SA"/>
              </w:rPr>
            </w:pPr>
          </w:p>
          <w:p w14:paraId="15442107"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LD50: 1130 mg/kg bw (mouse, oral)</w:t>
            </w:r>
          </w:p>
          <w:p w14:paraId="71B3CEE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2.5</w:t>
            </w:r>
          </w:p>
          <w:p w14:paraId="1A163B95" w14:textId="77777777" w:rsidR="007E252F" w:rsidRPr="007E252F" w:rsidRDefault="007E252F" w:rsidP="007E252F">
            <w:pPr>
              <w:widowControl/>
              <w:rPr>
                <w:rFonts w:cs="Arial"/>
                <w:b/>
                <w:bCs/>
                <w:color w:val="000000"/>
                <w:sz w:val="18"/>
                <w:szCs w:val="18"/>
                <w:lang w:eastAsia="en-GB" w:bidi="ar-SA"/>
              </w:rPr>
            </w:pPr>
          </w:p>
        </w:tc>
        <w:tc>
          <w:tcPr>
            <w:tcW w:w="4126" w:type="dxa"/>
            <w:shd w:val="clear" w:color="auto" w:fill="auto"/>
            <w:noWrap/>
            <w:vAlign w:val="center"/>
            <w:hideMark/>
          </w:tcPr>
          <w:p w14:paraId="61F882BE" w14:textId="77777777" w:rsidR="007E252F" w:rsidRPr="007E252F" w:rsidRDefault="007E252F" w:rsidP="007E252F">
            <w:pPr>
              <w:widowControl/>
              <w:jc w:val="center"/>
              <w:rPr>
                <w:rFonts w:cs="Arial"/>
                <w:b/>
                <w:bCs/>
                <w:color w:val="000000"/>
                <w:sz w:val="18"/>
                <w:szCs w:val="18"/>
                <w:lang w:eastAsia="en-GB" w:bidi="ar-SA"/>
              </w:rPr>
            </w:pPr>
            <w:r w:rsidRPr="007E252F">
              <w:rPr>
                <w:noProof/>
                <w:lang w:eastAsia="en-GB" w:bidi="ar-SA"/>
              </w:rPr>
              <w:drawing>
                <wp:inline distT="0" distB="0" distL="0" distR="0" wp14:anchorId="74495CD0" wp14:editId="3D7A82EF">
                  <wp:extent cx="1836000" cy="1119600"/>
                  <wp:effectExtent l="0" t="0" r="0" b="4445"/>
                  <wp:docPr id="8" name="Picture 7">
                    <a:extLst xmlns:a="http://schemas.openxmlformats.org/drawingml/2006/main">
                      <a:ext uri="{FF2B5EF4-FFF2-40B4-BE49-F238E27FC236}">
                        <a16:creationId xmlns:a16="http://schemas.microsoft.com/office/drawing/2014/main" id="{6A2C23A1-0F72-3643-81E3-7500525FA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A2C23A1-0F72-3643-81E3-7500525FA0F3}"/>
                              </a:ext>
                            </a:extLst>
                          </pic:cNvPr>
                          <pic:cNvPicPr>
                            <a:picLocks noChangeAspect="1"/>
                          </pic:cNvPicPr>
                        </pic:nvPicPr>
                        <pic:blipFill>
                          <a:blip r:embed="rId112"/>
                          <a:stretch>
                            <a:fillRect/>
                          </a:stretch>
                        </pic:blipFill>
                        <pic:spPr>
                          <a:xfrm>
                            <a:off x="0" y="0"/>
                            <a:ext cx="1836000" cy="1119600"/>
                          </a:xfrm>
                          <a:prstGeom prst="rect">
                            <a:avLst/>
                          </a:prstGeom>
                        </pic:spPr>
                      </pic:pic>
                    </a:graphicData>
                  </a:graphic>
                </wp:inline>
              </w:drawing>
            </w:r>
          </w:p>
        </w:tc>
        <w:tc>
          <w:tcPr>
            <w:tcW w:w="2164" w:type="dxa"/>
            <w:shd w:val="clear" w:color="auto" w:fill="auto"/>
            <w:noWrap/>
          </w:tcPr>
          <w:p w14:paraId="15BC950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Meyer, 1962; Bilia et al., 2004; Dentali et al., 2018</w:t>
            </w:r>
          </w:p>
        </w:tc>
      </w:tr>
      <w:tr w:rsidR="007E252F" w:rsidRPr="007E252F" w14:paraId="16730742" w14:textId="77777777" w:rsidTr="000D5CF1">
        <w:trPr>
          <w:cantSplit/>
          <w:trHeight w:val="1985"/>
          <w:jc w:val="center"/>
        </w:trPr>
        <w:tc>
          <w:tcPr>
            <w:tcW w:w="3519" w:type="dxa"/>
            <w:shd w:val="clear" w:color="auto" w:fill="auto"/>
            <w:noWrap/>
            <w:hideMark/>
          </w:tcPr>
          <w:p w14:paraId="78BC6579" w14:textId="77777777" w:rsidR="007E252F" w:rsidRPr="007E252F" w:rsidRDefault="007E252F" w:rsidP="007E252F">
            <w:pPr>
              <w:widowControl/>
              <w:rPr>
                <w:rFonts w:cs="Arial"/>
                <w:b/>
                <w:bCs/>
                <w:color w:val="000000"/>
                <w:sz w:val="18"/>
                <w:szCs w:val="18"/>
                <w:lang w:eastAsia="en-GB" w:bidi="ar-SA"/>
              </w:rPr>
            </w:pPr>
            <w:r w:rsidRPr="007E252F">
              <w:rPr>
                <w:rFonts w:cs="Arial"/>
                <w:b/>
                <w:bCs/>
                <w:color w:val="000000"/>
                <w:sz w:val="18"/>
                <w:szCs w:val="18"/>
                <w:lang w:eastAsia="en-GB" w:bidi="ar-SA"/>
              </w:rPr>
              <w:lastRenderedPageBreak/>
              <w:t>7,8-Dihydrokavain (Major)</w:t>
            </w:r>
          </w:p>
          <w:p w14:paraId="6E8DCA2A"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587-63-3</w:t>
            </w:r>
          </w:p>
          <w:p w14:paraId="5091AD29" w14:textId="77777777" w:rsidR="007E252F" w:rsidRPr="007E252F" w:rsidRDefault="007E252F" w:rsidP="007E252F">
            <w:pPr>
              <w:widowControl/>
              <w:rPr>
                <w:rFonts w:cs="Arial"/>
                <w:color w:val="000000"/>
                <w:sz w:val="18"/>
                <w:szCs w:val="18"/>
                <w:lang w:eastAsia="en-GB" w:bidi="ar-SA"/>
              </w:rPr>
            </w:pPr>
          </w:p>
          <w:p w14:paraId="7FACDA2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232.27</w:t>
            </w:r>
          </w:p>
          <w:p w14:paraId="253914D5" w14:textId="77777777" w:rsidR="007E252F" w:rsidRPr="007E252F" w:rsidRDefault="007E252F" w:rsidP="007E252F">
            <w:pPr>
              <w:widowControl/>
              <w:rPr>
                <w:rFonts w:cs="Arial"/>
                <w:color w:val="000000"/>
                <w:sz w:val="18"/>
                <w:szCs w:val="18"/>
                <w:lang w:eastAsia="en-GB" w:bidi="ar-SA"/>
              </w:rPr>
            </w:pPr>
          </w:p>
          <w:p w14:paraId="19E0F823"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LD50: 920 mg/kg bw (mouse, oral)</w:t>
            </w:r>
          </w:p>
          <w:p w14:paraId="669C188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2.8</w:t>
            </w:r>
          </w:p>
          <w:p w14:paraId="0D64D2C6" w14:textId="77777777" w:rsidR="007E252F" w:rsidRPr="007E252F" w:rsidRDefault="007E252F" w:rsidP="007E252F">
            <w:pPr>
              <w:widowControl/>
              <w:rPr>
                <w:rFonts w:cs="Arial"/>
                <w:b/>
                <w:bCs/>
                <w:color w:val="000000"/>
                <w:sz w:val="18"/>
                <w:szCs w:val="18"/>
                <w:lang w:eastAsia="en-GB" w:bidi="ar-SA"/>
              </w:rPr>
            </w:pPr>
          </w:p>
        </w:tc>
        <w:tc>
          <w:tcPr>
            <w:tcW w:w="4126" w:type="dxa"/>
            <w:shd w:val="clear" w:color="auto" w:fill="auto"/>
            <w:noWrap/>
            <w:vAlign w:val="center"/>
            <w:hideMark/>
          </w:tcPr>
          <w:p w14:paraId="6FF6BB76" w14:textId="77777777" w:rsidR="007E252F" w:rsidRPr="007E252F" w:rsidRDefault="007E252F" w:rsidP="007E252F">
            <w:pPr>
              <w:widowControl/>
              <w:jc w:val="center"/>
              <w:rPr>
                <w:rFonts w:cs="Arial"/>
                <w:b/>
                <w:bCs/>
                <w:color w:val="000000"/>
                <w:sz w:val="18"/>
                <w:szCs w:val="18"/>
                <w:lang w:eastAsia="en-GB" w:bidi="ar-SA"/>
              </w:rPr>
            </w:pPr>
            <w:r w:rsidRPr="007E252F">
              <w:rPr>
                <w:noProof/>
                <w:lang w:eastAsia="en-GB" w:bidi="ar-SA"/>
              </w:rPr>
              <w:drawing>
                <wp:inline distT="0" distB="0" distL="0" distR="0" wp14:anchorId="1FFDEFE8" wp14:editId="6BE94C07">
                  <wp:extent cx="1836000" cy="1119600"/>
                  <wp:effectExtent l="0" t="0" r="0" b="4445"/>
                  <wp:docPr id="9" name="Picture 8">
                    <a:extLst xmlns:a="http://schemas.openxmlformats.org/drawingml/2006/main">
                      <a:ext uri="{FF2B5EF4-FFF2-40B4-BE49-F238E27FC236}">
                        <a16:creationId xmlns:a16="http://schemas.microsoft.com/office/drawing/2014/main" id="{76E289F8-17A5-8347-822D-77C3331AC9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E289F8-17A5-8347-822D-77C3331AC9C7}"/>
                              </a:ext>
                            </a:extLst>
                          </pic:cNvPr>
                          <pic:cNvPicPr>
                            <a:picLocks noChangeAspect="1"/>
                          </pic:cNvPicPr>
                        </pic:nvPicPr>
                        <pic:blipFill>
                          <a:blip r:embed="rId113"/>
                          <a:stretch>
                            <a:fillRect/>
                          </a:stretch>
                        </pic:blipFill>
                        <pic:spPr>
                          <a:xfrm>
                            <a:off x="0" y="0"/>
                            <a:ext cx="1836000" cy="1119600"/>
                          </a:xfrm>
                          <a:prstGeom prst="rect">
                            <a:avLst/>
                          </a:prstGeom>
                        </pic:spPr>
                      </pic:pic>
                    </a:graphicData>
                  </a:graphic>
                </wp:inline>
              </w:drawing>
            </w:r>
          </w:p>
        </w:tc>
        <w:tc>
          <w:tcPr>
            <w:tcW w:w="2164" w:type="dxa"/>
            <w:shd w:val="clear" w:color="auto" w:fill="auto"/>
            <w:noWrap/>
          </w:tcPr>
          <w:p w14:paraId="67828D49"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Meyer, 1962; Bilia et al., 2004; Dentali et al., 2018</w:t>
            </w:r>
          </w:p>
        </w:tc>
      </w:tr>
      <w:tr w:rsidR="007E252F" w:rsidRPr="007E252F" w14:paraId="7A5A6417" w14:textId="77777777" w:rsidTr="000D5CF1">
        <w:trPr>
          <w:cantSplit/>
          <w:trHeight w:val="1985"/>
          <w:jc w:val="center"/>
        </w:trPr>
        <w:tc>
          <w:tcPr>
            <w:tcW w:w="3519" w:type="dxa"/>
            <w:shd w:val="clear" w:color="auto" w:fill="auto"/>
            <w:noWrap/>
            <w:hideMark/>
          </w:tcPr>
          <w:p w14:paraId="55EA2B5E"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5,6-Dehydromethysticin</w:t>
            </w:r>
          </w:p>
          <w:p w14:paraId="138E9E6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3129-60-0</w:t>
            </w:r>
          </w:p>
          <w:p w14:paraId="616076F0" w14:textId="77777777" w:rsidR="007E252F" w:rsidRPr="007E252F" w:rsidRDefault="007E252F" w:rsidP="007E252F">
            <w:pPr>
              <w:widowControl/>
              <w:rPr>
                <w:rFonts w:cs="Arial"/>
                <w:color w:val="000000"/>
                <w:sz w:val="18"/>
                <w:szCs w:val="18"/>
                <w:lang w:eastAsia="en-GB" w:bidi="ar-SA"/>
              </w:rPr>
            </w:pPr>
          </w:p>
          <w:p w14:paraId="4CBFCFFF"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272.25</w:t>
            </w:r>
          </w:p>
          <w:p w14:paraId="759B384F" w14:textId="77777777" w:rsidR="007E252F" w:rsidRPr="007E252F" w:rsidRDefault="007E252F" w:rsidP="007E252F">
            <w:pPr>
              <w:widowControl/>
              <w:rPr>
                <w:rFonts w:cs="Arial"/>
                <w:color w:val="000000"/>
                <w:sz w:val="18"/>
                <w:szCs w:val="18"/>
                <w:lang w:eastAsia="en-GB" w:bidi="ar-SA"/>
              </w:rPr>
            </w:pPr>
          </w:p>
          <w:p w14:paraId="5ECC2443"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5897F807"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2.6</w:t>
            </w:r>
          </w:p>
        </w:tc>
        <w:tc>
          <w:tcPr>
            <w:tcW w:w="4126" w:type="dxa"/>
            <w:shd w:val="clear" w:color="auto" w:fill="auto"/>
            <w:noWrap/>
            <w:vAlign w:val="center"/>
            <w:hideMark/>
          </w:tcPr>
          <w:p w14:paraId="59130EA4"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016A3F2" wp14:editId="2F9C8169">
                  <wp:extent cx="2113200" cy="1119600"/>
                  <wp:effectExtent l="0" t="0" r="1905" b="4445"/>
                  <wp:docPr id="10" name="Picture 9">
                    <a:extLst xmlns:a="http://schemas.openxmlformats.org/drawingml/2006/main">
                      <a:ext uri="{FF2B5EF4-FFF2-40B4-BE49-F238E27FC236}">
                        <a16:creationId xmlns:a16="http://schemas.microsoft.com/office/drawing/2014/main" id="{9EE8E2E0-9E10-E241-BB7A-D294114C44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EE8E2E0-9E10-E241-BB7A-D294114C444C}"/>
                              </a:ext>
                            </a:extLst>
                          </pic:cNvPr>
                          <pic:cNvPicPr>
                            <a:picLocks noChangeAspect="1"/>
                          </pic:cNvPicPr>
                        </pic:nvPicPr>
                        <pic:blipFill>
                          <a:blip r:embed="rId114"/>
                          <a:stretch>
                            <a:fillRect/>
                          </a:stretch>
                        </pic:blipFill>
                        <pic:spPr>
                          <a:xfrm>
                            <a:off x="0" y="0"/>
                            <a:ext cx="2113200" cy="1119600"/>
                          </a:xfrm>
                          <a:prstGeom prst="rect">
                            <a:avLst/>
                          </a:prstGeom>
                        </pic:spPr>
                      </pic:pic>
                    </a:graphicData>
                  </a:graphic>
                </wp:inline>
              </w:drawing>
            </w:r>
          </w:p>
        </w:tc>
        <w:tc>
          <w:tcPr>
            <w:tcW w:w="2164" w:type="dxa"/>
            <w:shd w:val="clear" w:color="auto" w:fill="auto"/>
            <w:noWrap/>
          </w:tcPr>
          <w:p w14:paraId="4B258B36"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7F309220" w14:textId="77777777" w:rsidTr="000D5CF1">
        <w:trPr>
          <w:cantSplit/>
          <w:trHeight w:val="1985"/>
          <w:jc w:val="center"/>
        </w:trPr>
        <w:tc>
          <w:tcPr>
            <w:tcW w:w="3519" w:type="dxa"/>
            <w:shd w:val="clear" w:color="auto" w:fill="auto"/>
            <w:noWrap/>
            <w:hideMark/>
          </w:tcPr>
          <w:p w14:paraId="78BEBF83" w14:textId="77777777" w:rsidR="007E252F" w:rsidRPr="007E252F" w:rsidRDefault="007E252F" w:rsidP="007E252F">
            <w:pPr>
              <w:widowControl/>
              <w:rPr>
                <w:rFonts w:cs="Arial"/>
                <w:b/>
                <w:bCs/>
                <w:color w:val="000000"/>
                <w:sz w:val="18"/>
                <w:szCs w:val="18"/>
                <w:lang w:eastAsia="en-GB" w:bidi="ar-SA"/>
              </w:rPr>
            </w:pPr>
            <w:r w:rsidRPr="007E252F">
              <w:rPr>
                <w:rFonts w:cs="Arial"/>
                <w:b/>
                <w:bCs/>
                <w:color w:val="000000"/>
                <w:sz w:val="18"/>
                <w:szCs w:val="18"/>
                <w:lang w:eastAsia="en-GB" w:bidi="ar-SA"/>
              </w:rPr>
              <w:t>Desmethoxyyangonin (Major)</w:t>
            </w:r>
          </w:p>
          <w:p w14:paraId="48C5F9DA"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15345-89-8</w:t>
            </w:r>
          </w:p>
          <w:p w14:paraId="6E0F045F" w14:textId="77777777" w:rsidR="007E252F" w:rsidRPr="007E252F" w:rsidRDefault="007E252F" w:rsidP="007E252F">
            <w:pPr>
              <w:widowControl/>
              <w:rPr>
                <w:rFonts w:cs="Arial"/>
                <w:color w:val="000000"/>
                <w:sz w:val="18"/>
                <w:szCs w:val="18"/>
                <w:lang w:eastAsia="en-GB" w:bidi="ar-SA"/>
              </w:rPr>
            </w:pPr>
          </w:p>
          <w:p w14:paraId="5127AB1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228.24</w:t>
            </w:r>
          </w:p>
          <w:p w14:paraId="79DB97D9" w14:textId="77777777" w:rsidR="007E252F" w:rsidRPr="007E252F" w:rsidRDefault="007E252F" w:rsidP="007E252F">
            <w:pPr>
              <w:widowControl/>
              <w:rPr>
                <w:rFonts w:cs="Arial"/>
                <w:color w:val="000000"/>
                <w:sz w:val="18"/>
                <w:szCs w:val="18"/>
                <w:lang w:eastAsia="en-GB" w:bidi="ar-SA"/>
              </w:rPr>
            </w:pPr>
          </w:p>
          <w:p w14:paraId="785D61C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LD50: &gt;800 mg/kg (mouse, oral)</w:t>
            </w:r>
          </w:p>
          <w:p w14:paraId="317C281E"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2.8</w:t>
            </w:r>
          </w:p>
          <w:p w14:paraId="031BDC3F" w14:textId="77777777" w:rsidR="007E252F" w:rsidRPr="007E252F" w:rsidRDefault="007E252F" w:rsidP="007E252F">
            <w:pPr>
              <w:widowControl/>
              <w:rPr>
                <w:rFonts w:cs="Arial"/>
                <w:b/>
                <w:bCs/>
                <w:color w:val="000000"/>
                <w:sz w:val="18"/>
                <w:szCs w:val="18"/>
                <w:lang w:eastAsia="en-GB" w:bidi="ar-SA"/>
              </w:rPr>
            </w:pPr>
          </w:p>
        </w:tc>
        <w:tc>
          <w:tcPr>
            <w:tcW w:w="4126" w:type="dxa"/>
            <w:shd w:val="clear" w:color="auto" w:fill="auto"/>
            <w:noWrap/>
            <w:vAlign w:val="center"/>
            <w:hideMark/>
          </w:tcPr>
          <w:p w14:paraId="5EDD0C17" w14:textId="77777777" w:rsidR="007E252F" w:rsidRPr="007E252F" w:rsidRDefault="007E252F" w:rsidP="007E252F">
            <w:pPr>
              <w:widowControl/>
              <w:jc w:val="center"/>
              <w:rPr>
                <w:rFonts w:cs="Arial"/>
                <w:b/>
                <w:bCs/>
                <w:color w:val="000000"/>
                <w:sz w:val="18"/>
                <w:szCs w:val="18"/>
                <w:lang w:eastAsia="en-GB" w:bidi="ar-SA"/>
              </w:rPr>
            </w:pPr>
            <w:r w:rsidRPr="007E252F">
              <w:rPr>
                <w:noProof/>
                <w:lang w:eastAsia="en-GB" w:bidi="ar-SA"/>
              </w:rPr>
              <w:drawing>
                <wp:inline distT="0" distB="0" distL="0" distR="0" wp14:anchorId="221D74C9" wp14:editId="5F15FC1D">
                  <wp:extent cx="1836000" cy="1119600"/>
                  <wp:effectExtent l="0" t="0" r="0" b="4445"/>
                  <wp:docPr id="11" name="Picture 10">
                    <a:extLst xmlns:a="http://schemas.openxmlformats.org/drawingml/2006/main">
                      <a:ext uri="{FF2B5EF4-FFF2-40B4-BE49-F238E27FC236}">
                        <a16:creationId xmlns:a16="http://schemas.microsoft.com/office/drawing/2014/main" id="{7724CFDB-AC3D-8B4D-BBB7-F7A56142F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724CFDB-AC3D-8B4D-BBB7-F7A56142FB8A}"/>
                              </a:ext>
                            </a:extLst>
                          </pic:cNvPr>
                          <pic:cNvPicPr>
                            <a:picLocks noChangeAspect="1"/>
                          </pic:cNvPicPr>
                        </pic:nvPicPr>
                        <pic:blipFill>
                          <a:blip r:embed="rId115"/>
                          <a:stretch>
                            <a:fillRect/>
                          </a:stretch>
                        </pic:blipFill>
                        <pic:spPr>
                          <a:xfrm>
                            <a:off x="0" y="0"/>
                            <a:ext cx="1836000" cy="1119600"/>
                          </a:xfrm>
                          <a:prstGeom prst="rect">
                            <a:avLst/>
                          </a:prstGeom>
                        </pic:spPr>
                      </pic:pic>
                    </a:graphicData>
                  </a:graphic>
                </wp:inline>
              </w:drawing>
            </w:r>
          </w:p>
        </w:tc>
        <w:tc>
          <w:tcPr>
            <w:tcW w:w="2164" w:type="dxa"/>
            <w:shd w:val="clear" w:color="auto" w:fill="auto"/>
            <w:noWrap/>
          </w:tcPr>
          <w:p w14:paraId="6125B8D4"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Meyer, 1962; Bilia et al., 2004; Dentali et al., 2018</w:t>
            </w:r>
          </w:p>
        </w:tc>
      </w:tr>
      <w:tr w:rsidR="007E252F" w:rsidRPr="007E252F" w14:paraId="2BE8CA71" w14:textId="77777777" w:rsidTr="000D5CF1">
        <w:trPr>
          <w:cantSplit/>
          <w:trHeight w:val="1985"/>
          <w:jc w:val="center"/>
        </w:trPr>
        <w:tc>
          <w:tcPr>
            <w:tcW w:w="3519" w:type="dxa"/>
            <w:shd w:val="clear" w:color="auto" w:fill="auto"/>
            <w:noWrap/>
            <w:hideMark/>
          </w:tcPr>
          <w:p w14:paraId="0562D229" w14:textId="77777777" w:rsidR="007E252F" w:rsidRPr="007E252F" w:rsidRDefault="007E252F" w:rsidP="007E252F">
            <w:pPr>
              <w:widowControl/>
              <w:rPr>
                <w:rFonts w:cs="Arial"/>
                <w:b/>
                <w:bCs/>
                <w:color w:val="000000"/>
                <w:sz w:val="18"/>
                <w:szCs w:val="18"/>
                <w:lang w:eastAsia="en-GB" w:bidi="ar-SA"/>
              </w:rPr>
            </w:pPr>
            <w:r w:rsidRPr="007E252F">
              <w:rPr>
                <w:rFonts w:cs="Arial"/>
                <w:b/>
                <w:bCs/>
                <w:color w:val="000000"/>
                <w:sz w:val="18"/>
                <w:szCs w:val="18"/>
                <w:lang w:eastAsia="en-GB" w:bidi="ar-SA"/>
              </w:rPr>
              <w:t>Yangonin (Major)</w:t>
            </w:r>
          </w:p>
          <w:p w14:paraId="3B251E2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500-62-9</w:t>
            </w:r>
          </w:p>
          <w:p w14:paraId="1A036F6E" w14:textId="77777777" w:rsidR="007E252F" w:rsidRPr="007E252F" w:rsidRDefault="007E252F" w:rsidP="007E252F">
            <w:pPr>
              <w:widowControl/>
              <w:rPr>
                <w:rFonts w:cs="Arial"/>
                <w:color w:val="000000"/>
                <w:sz w:val="18"/>
                <w:szCs w:val="18"/>
                <w:lang w:eastAsia="en-GB" w:bidi="ar-SA"/>
              </w:rPr>
            </w:pPr>
          </w:p>
          <w:p w14:paraId="10D68297"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258.27 g/mol</w:t>
            </w:r>
          </w:p>
          <w:p w14:paraId="105C941B" w14:textId="77777777" w:rsidR="007E252F" w:rsidRPr="007E252F" w:rsidRDefault="007E252F" w:rsidP="007E252F">
            <w:pPr>
              <w:widowControl/>
              <w:rPr>
                <w:rFonts w:cs="Arial"/>
                <w:color w:val="000000"/>
                <w:sz w:val="18"/>
                <w:szCs w:val="18"/>
                <w:lang w:eastAsia="en-GB" w:bidi="ar-SA"/>
              </w:rPr>
            </w:pPr>
          </w:p>
          <w:p w14:paraId="4AAA7A9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LD50: &gt;1500 mg/kg (mouse, oral)</w:t>
            </w:r>
          </w:p>
          <w:p w14:paraId="092DE832"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2.7</w:t>
            </w:r>
          </w:p>
          <w:p w14:paraId="41318AE0" w14:textId="77777777" w:rsidR="007E252F" w:rsidRPr="007E252F" w:rsidRDefault="007E252F" w:rsidP="007E252F">
            <w:pPr>
              <w:widowControl/>
              <w:rPr>
                <w:rFonts w:cs="Arial"/>
                <w:b/>
                <w:bCs/>
                <w:color w:val="000000"/>
                <w:sz w:val="18"/>
                <w:szCs w:val="18"/>
                <w:lang w:eastAsia="en-GB" w:bidi="ar-SA"/>
              </w:rPr>
            </w:pPr>
          </w:p>
        </w:tc>
        <w:tc>
          <w:tcPr>
            <w:tcW w:w="4126" w:type="dxa"/>
            <w:shd w:val="clear" w:color="auto" w:fill="auto"/>
            <w:noWrap/>
            <w:vAlign w:val="center"/>
            <w:hideMark/>
          </w:tcPr>
          <w:p w14:paraId="24A97C82" w14:textId="77777777" w:rsidR="007E252F" w:rsidRPr="007E252F" w:rsidRDefault="007E252F" w:rsidP="007E252F">
            <w:pPr>
              <w:widowControl/>
              <w:jc w:val="center"/>
              <w:rPr>
                <w:rFonts w:cs="Arial"/>
                <w:b/>
                <w:bCs/>
                <w:color w:val="000000"/>
                <w:sz w:val="18"/>
                <w:szCs w:val="18"/>
                <w:lang w:eastAsia="en-GB" w:bidi="ar-SA"/>
              </w:rPr>
            </w:pPr>
            <w:r w:rsidRPr="007E252F">
              <w:rPr>
                <w:noProof/>
                <w:lang w:eastAsia="en-GB" w:bidi="ar-SA"/>
              </w:rPr>
              <w:drawing>
                <wp:inline distT="0" distB="0" distL="0" distR="0" wp14:anchorId="6975CE1B" wp14:editId="6770DF63">
                  <wp:extent cx="2116800" cy="1144800"/>
                  <wp:effectExtent l="0" t="0" r="0" b="0"/>
                  <wp:docPr id="12" name="Picture 11">
                    <a:extLst xmlns:a="http://schemas.openxmlformats.org/drawingml/2006/main">
                      <a:ext uri="{FF2B5EF4-FFF2-40B4-BE49-F238E27FC236}">
                        <a16:creationId xmlns:a16="http://schemas.microsoft.com/office/drawing/2014/main" id="{9BD200BF-0B3C-F54B-B741-C1647A4A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BD200BF-0B3C-F54B-B741-C1647A4A2D4E}"/>
                              </a:ext>
                            </a:extLst>
                          </pic:cNvPr>
                          <pic:cNvPicPr>
                            <a:picLocks noChangeAspect="1"/>
                          </pic:cNvPicPr>
                        </pic:nvPicPr>
                        <pic:blipFill>
                          <a:blip r:embed="rId116"/>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151A457F"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Meyer, 1962; Bilia et al., 2004; Dentali et al., 2018</w:t>
            </w:r>
          </w:p>
        </w:tc>
      </w:tr>
      <w:tr w:rsidR="007E252F" w:rsidRPr="007E252F" w14:paraId="2C88103E" w14:textId="77777777" w:rsidTr="000D5CF1">
        <w:trPr>
          <w:cantSplit/>
          <w:trHeight w:val="1985"/>
          <w:jc w:val="center"/>
        </w:trPr>
        <w:tc>
          <w:tcPr>
            <w:tcW w:w="3519" w:type="dxa"/>
            <w:shd w:val="clear" w:color="auto" w:fill="auto"/>
            <w:noWrap/>
            <w:hideMark/>
          </w:tcPr>
          <w:p w14:paraId="1CAB1876"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5,6,7,8-Tetrahydroyangonin</w:t>
            </w:r>
          </w:p>
          <w:p w14:paraId="6AD61E5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49776-58-1</w:t>
            </w:r>
          </w:p>
          <w:p w14:paraId="3355CCCA" w14:textId="77777777" w:rsidR="007E252F" w:rsidRPr="007E252F" w:rsidRDefault="007E252F" w:rsidP="007E252F">
            <w:pPr>
              <w:widowControl/>
              <w:rPr>
                <w:rFonts w:cs="Arial"/>
                <w:color w:val="000000"/>
                <w:sz w:val="18"/>
                <w:szCs w:val="18"/>
                <w:lang w:eastAsia="en-GB" w:bidi="ar-SA"/>
              </w:rPr>
            </w:pPr>
          </w:p>
          <w:p w14:paraId="7D9E203F"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262.30 g/mol</w:t>
            </w:r>
          </w:p>
          <w:p w14:paraId="3647F9F0" w14:textId="77777777" w:rsidR="007E252F" w:rsidRPr="007E252F" w:rsidRDefault="007E252F" w:rsidP="007E252F">
            <w:pPr>
              <w:widowControl/>
              <w:rPr>
                <w:rFonts w:cs="Arial"/>
                <w:color w:val="000000"/>
                <w:sz w:val="18"/>
                <w:szCs w:val="18"/>
                <w:lang w:eastAsia="en-GB" w:bidi="ar-SA"/>
              </w:rPr>
            </w:pPr>
          </w:p>
          <w:p w14:paraId="024C392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4138E276"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2.7</w:t>
            </w:r>
          </w:p>
        </w:tc>
        <w:tc>
          <w:tcPr>
            <w:tcW w:w="4126" w:type="dxa"/>
            <w:shd w:val="clear" w:color="auto" w:fill="auto"/>
            <w:noWrap/>
            <w:vAlign w:val="center"/>
            <w:hideMark/>
          </w:tcPr>
          <w:p w14:paraId="3E548E2E"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036C349" wp14:editId="7FEEBE0D">
                  <wp:extent cx="2116800" cy="1144800"/>
                  <wp:effectExtent l="0" t="0" r="0" b="0"/>
                  <wp:docPr id="13" name="Picture 12">
                    <a:extLst xmlns:a="http://schemas.openxmlformats.org/drawingml/2006/main">
                      <a:ext uri="{FF2B5EF4-FFF2-40B4-BE49-F238E27FC236}">
                        <a16:creationId xmlns:a16="http://schemas.microsoft.com/office/drawing/2014/main" id="{ACDB5A57-1EFB-5E40-88FD-CFE7DC747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CDB5A57-1EFB-5E40-88FD-CFE7DC747EA7}"/>
                              </a:ext>
                            </a:extLst>
                          </pic:cNvPr>
                          <pic:cNvPicPr>
                            <a:picLocks noChangeAspect="1"/>
                          </pic:cNvPicPr>
                        </pic:nvPicPr>
                        <pic:blipFill>
                          <a:blip r:embed="rId117"/>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4CDF45D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066CDA71" w14:textId="77777777" w:rsidTr="000D5CF1">
        <w:trPr>
          <w:cantSplit/>
          <w:trHeight w:val="1985"/>
          <w:jc w:val="center"/>
        </w:trPr>
        <w:tc>
          <w:tcPr>
            <w:tcW w:w="3519" w:type="dxa"/>
            <w:shd w:val="clear" w:color="auto" w:fill="auto"/>
            <w:noWrap/>
            <w:hideMark/>
          </w:tcPr>
          <w:p w14:paraId="7AE3F602"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5,6-Dihydroyangonin</w:t>
            </w:r>
          </w:p>
          <w:p w14:paraId="1661A29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3328-60-7</w:t>
            </w:r>
          </w:p>
          <w:p w14:paraId="3AA82C7D" w14:textId="77777777" w:rsidR="007E252F" w:rsidRPr="007E252F" w:rsidRDefault="007E252F" w:rsidP="007E252F">
            <w:pPr>
              <w:widowControl/>
              <w:rPr>
                <w:rFonts w:cs="Arial"/>
                <w:color w:val="000000"/>
                <w:sz w:val="18"/>
                <w:szCs w:val="18"/>
                <w:lang w:eastAsia="en-GB" w:bidi="ar-SA"/>
              </w:rPr>
            </w:pPr>
          </w:p>
          <w:p w14:paraId="60BF8DE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260.279 g/mol</w:t>
            </w:r>
          </w:p>
          <w:p w14:paraId="2FB2BBBE" w14:textId="77777777" w:rsidR="007E252F" w:rsidRPr="007E252F" w:rsidRDefault="007E252F" w:rsidP="007E252F">
            <w:pPr>
              <w:widowControl/>
              <w:rPr>
                <w:rFonts w:cs="Arial"/>
                <w:color w:val="000000"/>
                <w:sz w:val="18"/>
                <w:szCs w:val="18"/>
                <w:lang w:eastAsia="en-GB" w:bidi="ar-SA"/>
              </w:rPr>
            </w:pPr>
          </w:p>
          <w:p w14:paraId="76D93B0A"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06BAF8BB"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2.5</w:t>
            </w:r>
          </w:p>
        </w:tc>
        <w:tc>
          <w:tcPr>
            <w:tcW w:w="4126" w:type="dxa"/>
            <w:shd w:val="clear" w:color="auto" w:fill="auto"/>
            <w:noWrap/>
            <w:vAlign w:val="center"/>
            <w:hideMark/>
          </w:tcPr>
          <w:p w14:paraId="4DE4C86B"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04FE06B7" wp14:editId="2054560D">
                  <wp:extent cx="2116800" cy="1144800"/>
                  <wp:effectExtent l="0" t="0" r="0" b="0"/>
                  <wp:docPr id="14" name="Picture 13">
                    <a:extLst xmlns:a="http://schemas.openxmlformats.org/drawingml/2006/main">
                      <a:ext uri="{FF2B5EF4-FFF2-40B4-BE49-F238E27FC236}">
                        <a16:creationId xmlns:a16="http://schemas.microsoft.com/office/drawing/2014/main" id="{0BE5411B-4069-0347-8A0D-A84198621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0BE5411B-4069-0347-8A0D-A841986219F2}"/>
                              </a:ext>
                            </a:extLst>
                          </pic:cNvPr>
                          <pic:cNvPicPr>
                            <a:picLocks noChangeAspect="1"/>
                          </pic:cNvPicPr>
                        </pic:nvPicPr>
                        <pic:blipFill>
                          <a:blip r:embed="rId118"/>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5CE98A56"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50142B12" w14:textId="77777777" w:rsidTr="000D5CF1">
        <w:trPr>
          <w:cantSplit/>
          <w:trHeight w:val="1985"/>
          <w:jc w:val="center"/>
        </w:trPr>
        <w:tc>
          <w:tcPr>
            <w:tcW w:w="3519" w:type="dxa"/>
            <w:shd w:val="clear" w:color="auto" w:fill="auto"/>
            <w:noWrap/>
            <w:hideMark/>
          </w:tcPr>
          <w:p w14:paraId="1904C252"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7,8-Dihydroyangonin</w:t>
            </w:r>
          </w:p>
          <w:p w14:paraId="669F9024"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3155-52-0</w:t>
            </w:r>
          </w:p>
          <w:p w14:paraId="12699271" w14:textId="77777777" w:rsidR="007E252F" w:rsidRPr="007E252F" w:rsidRDefault="007E252F" w:rsidP="007E252F">
            <w:pPr>
              <w:widowControl/>
              <w:rPr>
                <w:rFonts w:cs="Arial"/>
                <w:color w:val="000000"/>
                <w:sz w:val="18"/>
                <w:szCs w:val="18"/>
                <w:lang w:eastAsia="en-GB" w:bidi="ar-SA"/>
              </w:rPr>
            </w:pPr>
          </w:p>
          <w:p w14:paraId="7723B8F6"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260.279 g/mol</w:t>
            </w:r>
          </w:p>
          <w:p w14:paraId="307BB33F" w14:textId="77777777" w:rsidR="007E252F" w:rsidRPr="007E252F" w:rsidRDefault="007E252F" w:rsidP="007E252F">
            <w:pPr>
              <w:widowControl/>
              <w:rPr>
                <w:rFonts w:cs="Arial"/>
                <w:color w:val="000000"/>
                <w:sz w:val="18"/>
                <w:szCs w:val="18"/>
                <w:lang w:eastAsia="en-GB" w:bidi="ar-SA"/>
              </w:rPr>
            </w:pPr>
          </w:p>
          <w:p w14:paraId="149857B9"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336A13E6"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2.7</w:t>
            </w:r>
          </w:p>
        </w:tc>
        <w:tc>
          <w:tcPr>
            <w:tcW w:w="4126" w:type="dxa"/>
            <w:shd w:val="clear" w:color="auto" w:fill="auto"/>
            <w:noWrap/>
            <w:vAlign w:val="center"/>
            <w:hideMark/>
          </w:tcPr>
          <w:p w14:paraId="078A212B"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5E75F3B5" wp14:editId="6E134F6D">
                  <wp:extent cx="2116800" cy="1144800"/>
                  <wp:effectExtent l="0" t="0" r="0" b="0"/>
                  <wp:docPr id="15" name="Picture 14">
                    <a:extLst xmlns:a="http://schemas.openxmlformats.org/drawingml/2006/main">
                      <a:ext uri="{FF2B5EF4-FFF2-40B4-BE49-F238E27FC236}">
                        <a16:creationId xmlns:a16="http://schemas.microsoft.com/office/drawing/2014/main" id="{4A070574-CA9E-7849-B156-0E0729548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4A070574-CA9E-7849-B156-0E0729548278}"/>
                              </a:ext>
                            </a:extLst>
                          </pic:cNvPr>
                          <pic:cNvPicPr>
                            <a:picLocks noChangeAspect="1"/>
                          </pic:cNvPicPr>
                        </pic:nvPicPr>
                        <pic:blipFill>
                          <a:blip r:embed="rId119"/>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59273474"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7038CD6E" w14:textId="77777777" w:rsidTr="000D5CF1">
        <w:trPr>
          <w:cantSplit/>
          <w:trHeight w:val="1985"/>
          <w:jc w:val="center"/>
        </w:trPr>
        <w:tc>
          <w:tcPr>
            <w:tcW w:w="3519" w:type="dxa"/>
            <w:shd w:val="clear" w:color="auto" w:fill="auto"/>
            <w:noWrap/>
            <w:hideMark/>
          </w:tcPr>
          <w:p w14:paraId="30C51EB7"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lastRenderedPageBreak/>
              <w:t>10-Methoxyyangonin</w:t>
            </w:r>
          </w:p>
          <w:p w14:paraId="15382FC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77900-32-4</w:t>
            </w:r>
          </w:p>
          <w:p w14:paraId="278D5184" w14:textId="77777777" w:rsidR="007E252F" w:rsidRPr="007E252F" w:rsidRDefault="007E252F" w:rsidP="007E252F">
            <w:pPr>
              <w:widowControl/>
              <w:rPr>
                <w:rFonts w:cs="Arial"/>
                <w:color w:val="000000"/>
                <w:sz w:val="18"/>
                <w:szCs w:val="18"/>
                <w:lang w:eastAsia="en-GB" w:bidi="ar-SA"/>
              </w:rPr>
            </w:pPr>
          </w:p>
          <w:p w14:paraId="737CEA39"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288.29 g/mol</w:t>
            </w:r>
          </w:p>
          <w:p w14:paraId="1A329288" w14:textId="77777777" w:rsidR="007E252F" w:rsidRPr="007E252F" w:rsidRDefault="007E252F" w:rsidP="007E252F">
            <w:pPr>
              <w:widowControl/>
              <w:rPr>
                <w:rFonts w:cs="Arial"/>
                <w:color w:val="000000"/>
                <w:sz w:val="18"/>
                <w:szCs w:val="18"/>
                <w:lang w:eastAsia="en-GB" w:bidi="ar-SA"/>
              </w:rPr>
            </w:pPr>
          </w:p>
          <w:p w14:paraId="212C2EC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370AFA5B"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2.7</w:t>
            </w:r>
          </w:p>
        </w:tc>
        <w:tc>
          <w:tcPr>
            <w:tcW w:w="4126" w:type="dxa"/>
            <w:shd w:val="clear" w:color="auto" w:fill="auto"/>
            <w:noWrap/>
            <w:vAlign w:val="center"/>
            <w:hideMark/>
          </w:tcPr>
          <w:p w14:paraId="3B335724"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5DAFF48" wp14:editId="6D806291">
                  <wp:extent cx="2116800" cy="1144800"/>
                  <wp:effectExtent l="0" t="0" r="0" b="0"/>
                  <wp:docPr id="16" name="Picture 15">
                    <a:extLst xmlns:a="http://schemas.openxmlformats.org/drawingml/2006/main">
                      <a:ext uri="{FF2B5EF4-FFF2-40B4-BE49-F238E27FC236}">
                        <a16:creationId xmlns:a16="http://schemas.microsoft.com/office/drawing/2014/main" id="{511DD461-BF75-0C46-B44E-FC4B476E18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11DD461-BF75-0C46-B44E-FC4B476E1825}"/>
                              </a:ext>
                            </a:extLst>
                          </pic:cNvPr>
                          <pic:cNvPicPr>
                            <a:picLocks noChangeAspect="1"/>
                          </pic:cNvPicPr>
                        </pic:nvPicPr>
                        <pic:blipFill>
                          <a:blip r:embed="rId120"/>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3BA2D10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7C199522" w14:textId="77777777" w:rsidTr="000D5CF1">
        <w:trPr>
          <w:cantSplit/>
          <w:trHeight w:val="1985"/>
          <w:jc w:val="center"/>
        </w:trPr>
        <w:tc>
          <w:tcPr>
            <w:tcW w:w="3519" w:type="dxa"/>
            <w:shd w:val="clear" w:color="auto" w:fill="auto"/>
            <w:noWrap/>
            <w:hideMark/>
          </w:tcPr>
          <w:p w14:paraId="4E2DEC65"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11-Methoxyyangonin</w:t>
            </w:r>
          </w:p>
          <w:p w14:paraId="52D2CD36" w14:textId="77777777" w:rsidR="007E252F" w:rsidRPr="007E252F" w:rsidRDefault="007E252F" w:rsidP="007E252F">
            <w:pPr>
              <w:widowControl/>
              <w:rPr>
                <w:rFonts w:cs="Arial"/>
                <w:color w:val="000000"/>
                <w:sz w:val="18"/>
                <w:szCs w:val="18"/>
                <w:lang w:eastAsia="en-GB" w:bidi="ar-SA"/>
              </w:rPr>
            </w:pPr>
          </w:p>
          <w:p w14:paraId="7C17676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288.29 g/mol</w:t>
            </w:r>
          </w:p>
          <w:p w14:paraId="28E6017B" w14:textId="77777777" w:rsidR="007E252F" w:rsidRPr="007E252F" w:rsidRDefault="007E252F" w:rsidP="007E252F">
            <w:pPr>
              <w:widowControl/>
              <w:rPr>
                <w:rFonts w:cs="Arial"/>
                <w:color w:val="000000"/>
                <w:sz w:val="18"/>
                <w:szCs w:val="18"/>
                <w:lang w:eastAsia="en-GB" w:bidi="ar-SA"/>
              </w:rPr>
            </w:pPr>
          </w:p>
          <w:p w14:paraId="1AD38E4C"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4106BF7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2.7</w:t>
            </w:r>
          </w:p>
          <w:p w14:paraId="3AEB36FB"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w:t>
            </w:r>
          </w:p>
        </w:tc>
        <w:tc>
          <w:tcPr>
            <w:tcW w:w="4126" w:type="dxa"/>
            <w:shd w:val="clear" w:color="auto" w:fill="auto"/>
            <w:noWrap/>
            <w:vAlign w:val="center"/>
            <w:hideMark/>
          </w:tcPr>
          <w:p w14:paraId="6CA9085B"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15246CA" wp14:editId="7C72A5CC">
                  <wp:extent cx="2116800" cy="1144800"/>
                  <wp:effectExtent l="0" t="0" r="0" b="0"/>
                  <wp:docPr id="17" name="Picture 16">
                    <a:extLst xmlns:a="http://schemas.openxmlformats.org/drawingml/2006/main">
                      <a:ext uri="{FF2B5EF4-FFF2-40B4-BE49-F238E27FC236}">
                        <a16:creationId xmlns:a16="http://schemas.microsoft.com/office/drawing/2014/main" id="{BBEEE860-FDB1-1E4D-B863-FCBD6E9B06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BBEEE860-FDB1-1E4D-B863-FCBD6E9B06E9}"/>
                              </a:ext>
                            </a:extLst>
                          </pic:cNvPr>
                          <pic:cNvPicPr>
                            <a:picLocks noChangeAspect="1"/>
                          </pic:cNvPicPr>
                        </pic:nvPicPr>
                        <pic:blipFill>
                          <a:blip r:embed="rId121"/>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2BB28EB6"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1093DF90" w14:textId="77777777" w:rsidTr="000D5CF1">
        <w:trPr>
          <w:cantSplit/>
          <w:trHeight w:val="1985"/>
          <w:jc w:val="center"/>
        </w:trPr>
        <w:tc>
          <w:tcPr>
            <w:tcW w:w="3519" w:type="dxa"/>
            <w:shd w:val="clear" w:color="auto" w:fill="auto"/>
            <w:noWrap/>
            <w:hideMark/>
          </w:tcPr>
          <w:p w14:paraId="7C7B4251"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11-Hydroxyyangonin</w:t>
            </w:r>
          </w:p>
          <w:p w14:paraId="1FAC1F21"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77900-30-2</w:t>
            </w:r>
          </w:p>
          <w:p w14:paraId="2932F8A6" w14:textId="77777777" w:rsidR="007E252F" w:rsidRPr="007E252F" w:rsidRDefault="007E252F" w:rsidP="007E252F">
            <w:pPr>
              <w:widowControl/>
              <w:rPr>
                <w:rFonts w:cs="Arial"/>
                <w:color w:val="000000"/>
                <w:sz w:val="18"/>
                <w:szCs w:val="18"/>
                <w:lang w:eastAsia="en-GB" w:bidi="ar-SA"/>
              </w:rPr>
            </w:pPr>
          </w:p>
          <w:p w14:paraId="2379D2F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274.27 g/mol</w:t>
            </w:r>
          </w:p>
          <w:p w14:paraId="139F45B2" w14:textId="77777777" w:rsidR="007E252F" w:rsidRPr="007E252F" w:rsidRDefault="007E252F" w:rsidP="007E252F">
            <w:pPr>
              <w:widowControl/>
              <w:rPr>
                <w:rFonts w:cs="Arial"/>
                <w:color w:val="000000"/>
                <w:sz w:val="18"/>
                <w:szCs w:val="18"/>
                <w:lang w:eastAsia="en-GB" w:bidi="ar-SA"/>
              </w:rPr>
            </w:pPr>
          </w:p>
          <w:p w14:paraId="604169B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4881B08E"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2.4</w:t>
            </w:r>
          </w:p>
        </w:tc>
        <w:tc>
          <w:tcPr>
            <w:tcW w:w="4126" w:type="dxa"/>
            <w:shd w:val="clear" w:color="auto" w:fill="auto"/>
            <w:noWrap/>
            <w:vAlign w:val="center"/>
            <w:hideMark/>
          </w:tcPr>
          <w:p w14:paraId="325F02F7"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554F6B09" wp14:editId="62CA0FB6">
                  <wp:extent cx="2113200" cy="1378800"/>
                  <wp:effectExtent l="0" t="0" r="1905" b="0"/>
                  <wp:docPr id="18" name="Picture 17">
                    <a:extLst xmlns:a="http://schemas.openxmlformats.org/drawingml/2006/main">
                      <a:ext uri="{FF2B5EF4-FFF2-40B4-BE49-F238E27FC236}">
                        <a16:creationId xmlns:a16="http://schemas.microsoft.com/office/drawing/2014/main" id="{5D18ADAE-A699-4641-80DE-8BC257D5B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D18ADAE-A699-4641-80DE-8BC257D5B35A}"/>
                              </a:ext>
                            </a:extLst>
                          </pic:cNvPr>
                          <pic:cNvPicPr>
                            <a:picLocks noChangeAspect="1"/>
                          </pic:cNvPicPr>
                        </pic:nvPicPr>
                        <pic:blipFill>
                          <a:blip r:embed="rId122"/>
                          <a:stretch>
                            <a:fillRect/>
                          </a:stretch>
                        </pic:blipFill>
                        <pic:spPr>
                          <a:xfrm>
                            <a:off x="0" y="0"/>
                            <a:ext cx="2113200" cy="1378800"/>
                          </a:xfrm>
                          <a:prstGeom prst="rect">
                            <a:avLst/>
                          </a:prstGeom>
                        </pic:spPr>
                      </pic:pic>
                    </a:graphicData>
                  </a:graphic>
                </wp:inline>
              </w:drawing>
            </w:r>
          </w:p>
        </w:tc>
        <w:tc>
          <w:tcPr>
            <w:tcW w:w="2164" w:type="dxa"/>
            <w:shd w:val="clear" w:color="auto" w:fill="auto"/>
            <w:noWrap/>
          </w:tcPr>
          <w:p w14:paraId="02018D3C"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70F87043" w14:textId="77777777" w:rsidTr="000D5CF1">
        <w:trPr>
          <w:cantSplit/>
          <w:trHeight w:val="1985"/>
          <w:jc w:val="center"/>
        </w:trPr>
        <w:tc>
          <w:tcPr>
            <w:tcW w:w="3519" w:type="dxa"/>
            <w:shd w:val="clear" w:color="auto" w:fill="auto"/>
            <w:noWrap/>
            <w:hideMark/>
          </w:tcPr>
          <w:p w14:paraId="13F4439A"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Hydroxykavain</w:t>
            </w:r>
          </w:p>
          <w:p w14:paraId="1CD21C7A" w14:textId="77777777" w:rsidR="007E252F" w:rsidRPr="007E252F" w:rsidRDefault="007E252F" w:rsidP="007E252F">
            <w:pPr>
              <w:widowControl/>
              <w:rPr>
                <w:rFonts w:cs="Arial"/>
                <w:color w:val="000000"/>
                <w:sz w:val="18"/>
                <w:szCs w:val="18"/>
                <w:lang w:eastAsia="en-GB" w:bidi="ar-SA"/>
              </w:rPr>
            </w:pPr>
          </w:p>
          <w:p w14:paraId="439B2A4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246.26 g/mol</w:t>
            </w:r>
          </w:p>
          <w:p w14:paraId="32B16A84" w14:textId="77777777" w:rsidR="007E252F" w:rsidRPr="007E252F" w:rsidRDefault="007E252F" w:rsidP="007E252F">
            <w:pPr>
              <w:widowControl/>
              <w:rPr>
                <w:rFonts w:cs="Arial"/>
                <w:color w:val="000000"/>
                <w:sz w:val="18"/>
                <w:szCs w:val="18"/>
                <w:lang w:eastAsia="en-GB" w:bidi="ar-SA"/>
              </w:rPr>
            </w:pPr>
          </w:p>
          <w:p w14:paraId="5B500E7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2946B947"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2.2</w:t>
            </w:r>
          </w:p>
        </w:tc>
        <w:tc>
          <w:tcPr>
            <w:tcW w:w="4126" w:type="dxa"/>
            <w:shd w:val="clear" w:color="auto" w:fill="auto"/>
            <w:noWrap/>
            <w:vAlign w:val="center"/>
            <w:hideMark/>
          </w:tcPr>
          <w:p w14:paraId="193EA36D"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CC991FB" wp14:editId="5BF2345B">
                  <wp:extent cx="2116800" cy="1144800"/>
                  <wp:effectExtent l="0" t="0" r="0" b="0"/>
                  <wp:docPr id="19" name="Picture 18">
                    <a:extLst xmlns:a="http://schemas.openxmlformats.org/drawingml/2006/main">
                      <a:ext uri="{FF2B5EF4-FFF2-40B4-BE49-F238E27FC236}">
                        <a16:creationId xmlns:a16="http://schemas.microsoft.com/office/drawing/2014/main" id="{F5F2EE7C-27E6-DB43-A73C-429F4230C7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F5F2EE7C-27E6-DB43-A73C-429F4230C7BF}"/>
                              </a:ext>
                            </a:extLst>
                          </pic:cNvPr>
                          <pic:cNvPicPr>
                            <a:picLocks noChangeAspect="1"/>
                          </pic:cNvPicPr>
                        </pic:nvPicPr>
                        <pic:blipFill>
                          <a:blip r:embed="rId123"/>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13103CC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49A3FC48" w14:textId="77777777" w:rsidTr="000D5CF1">
        <w:trPr>
          <w:cantSplit/>
          <w:trHeight w:val="1985"/>
          <w:jc w:val="center"/>
        </w:trPr>
        <w:tc>
          <w:tcPr>
            <w:tcW w:w="3519" w:type="dxa"/>
            <w:shd w:val="clear" w:color="auto" w:fill="auto"/>
            <w:noWrap/>
            <w:hideMark/>
          </w:tcPr>
          <w:p w14:paraId="05F7AF9B"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11-Methoxy-12-hydroxydehydrokavain</w:t>
            </w:r>
          </w:p>
          <w:p w14:paraId="0A188B21" w14:textId="77777777" w:rsidR="007E252F" w:rsidRPr="007E252F" w:rsidRDefault="007E252F" w:rsidP="007E252F">
            <w:pPr>
              <w:widowControl/>
              <w:rPr>
                <w:rFonts w:cs="Arial"/>
                <w:color w:val="000000"/>
                <w:sz w:val="18"/>
                <w:szCs w:val="18"/>
                <w:lang w:eastAsia="en-GB" w:bidi="ar-SA"/>
              </w:rPr>
            </w:pPr>
          </w:p>
          <w:p w14:paraId="6A9E1ED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274.27 g/mol</w:t>
            </w:r>
          </w:p>
          <w:p w14:paraId="4F12249A" w14:textId="77777777" w:rsidR="007E252F" w:rsidRPr="007E252F" w:rsidRDefault="007E252F" w:rsidP="007E252F">
            <w:pPr>
              <w:widowControl/>
              <w:rPr>
                <w:rFonts w:cs="Arial"/>
                <w:color w:val="000000"/>
                <w:sz w:val="18"/>
                <w:szCs w:val="18"/>
                <w:lang w:eastAsia="en-GB" w:bidi="ar-SA"/>
              </w:rPr>
            </w:pPr>
          </w:p>
          <w:p w14:paraId="06130383"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227A6AB8"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2.4</w:t>
            </w:r>
          </w:p>
        </w:tc>
        <w:tc>
          <w:tcPr>
            <w:tcW w:w="4126" w:type="dxa"/>
            <w:shd w:val="clear" w:color="auto" w:fill="auto"/>
            <w:vAlign w:val="center"/>
          </w:tcPr>
          <w:p w14:paraId="4D5CDC2D"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5CF6FBB" wp14:editId="31FE4F9F">
                  <wp:extent cx="2116800" cy="1144800"/>
                  <wp:effectExtent l="0" t="0" r="0" b="0"/>
                  <wp:docPr id="20" name="Picture 19">
                    <a:extLst xmlns:a="http://schemas.openxmlformats.org/drawingml/2006/main">
                      <a:ext uri="{FF2B5EF4-FFF2-40B4-BE49-F238E27FC236}">
                        <a16:creationId xmlns:a16="http://schemas.microsoft.com/office/drawing/2014/main" id="{054CC948-A797-8548-9EA1-D6373D6DC6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054CC948-A797-8548-9EA1-D6373D6DC6C5}"/>
                              </a:ext>
                            </a:extLst>
                          </pic:cNvPr>
                          <pic:cNvPicPr>
                            <a:picLocks noChangeAspect="1"/>
                          </pic:cNvPicPr>
                        </pic:nvPicPr>
                        <pic:blipFill>
                          <a:blip r:embed="rId124"/>
                          <a:stretch>
                            <a:fillRect/>
                          </a:stretch>
                        </pic:blipFill>
                        <pic:spPr>
                          <a:xfrm>
                            <a:off x="0" y="0"/>
                            <a:ext cx="2116800" cy="1144800"/>
                          </a:xfrm>
                          <a:prstGeom prst="rect">
                            <a:avLst/>
                          </a:prstGeom>
                        </pic:spPr>
                      </pic:pic>
                    </a:graphicData>
                  </a:graphic>
                </wp:inline>
              </w:drawing>
            </w:r>
          </w:p>
        </w:tc>
        <w:tc>
          <w:tcPr>
            <w:tcW w:w="2164" w:type="dxa"/>
            <w:shd w:val="clear" w:color="auto" w:fill="auto"/>
            <w:noWrap/>
          </w:tcPr>
          <w:p w14:paraId="7E77813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w:t>
            </w:r>
          </w:p>
        </w:tc>
      </w:tr>
      <w:tr w:rsidR="007E252F" w:rsidRPr="007E252F" w14:paraId="3B15DEE1" w14:textId="77777777" w:rsidTr="000D5CF1">
        <w:trPr>
          <w:cantSplit/>
          <w:trHeight w:val="1985"/>
          <w:jc w:val="center"/>
        </w:trPr>
        <w:tc>
          <w:tcPr>
            <w:tcW w:w="3519" w:type="dxa"/>
            <w:shd w:val="clear" w:color="auto" w:fill="auto"/>
            <w:noWrap/>
            <w:hideMark/>
          </w:tcPr>
          <w:p w14:paraId="33123B16" w14:textId="77777777" w:rsidR="007E252F" w:rsidRPr="007E252F" w:rsidRDefault="007E252F" w:rsidP="007E252F">
            <w:pPr>
              <w:widowControl/>
              <w:rPr>
                <w:rFonts w:cs="Arial"/>
                <w:b/>
                <w:sz w:val="18"/>
                <w:szCs w:val="18"/>
                <w:lang w:eastAsia="en-GB" w:bidi="ar-SA"/>
              </w:rPr>
            </w:pPr>
            <w:r w:rsidRPr="007E252F">
              <w:rPr>
                <w:rFonts w:cs="Arial"/>
                <w:b/>
                <w:sz w:val="18"/>
                <w:szCs w:val="18"/>
                <w:lang w:eastAsia="en-GB" w:bidi="ar-SA"/>
              </w:rPr>
              <w:t>5,6-dihydro-5,6-dehydrokavain</w:t>
            </w:r>
          </w:p>
          <w:p w14:paraId="5D71882B" w14:textId="77777777" w:rsidR="007E252F" w:rsidRPr="007E252F" w:rsidRDefault="007E252F" w:rsidP="007E252F">
            <w:pPr>
              <w:widowControl/>
              <w:rPr>
                <w:rFonts w:cs="Arial"/>
                <w:sz w:val="18"/>
                <w:szCs w:val="18"/>
                <w:lang w:eastAsia="en-GB" w:bidi="ar-SA"/>
              </w:rPr>
            </w:pPr>
          </w:p>
          <w:p w14:paraId="6781B6E8" w14:textId="77777777" w:rsidR="007E252F" w:rsidRPr="007E252F" w:rsidRDefault="007E252F" w:rsidP="007E252F">
            <w:pPr>
              <w:widowControl/>
              <w:rPr>
                <w:rFonts w:cs="Arial"/>
                <w:sz w:val="18"/>
                <w:szCs w:val="18"/>
                <w:lang w:eastAsia="en-GB" w:bidi="ar-SA"/>
              </w:rPr>
            </w:pPr>
            <w:r w:rsidRPr="007E252F">
              <w:rPr>
                <w:rFonts w:cs="Arial"/>
                <w:sz w:val="18"/>
                <w:szCs w:val="18"/>
                <w:lang w:eastAsia="en-GB" w:bidi="ar-SA"/>
              </w:rPr>
              <w:t xml:space="preserve">LD50: </w:t>
            </w:r>
            <w:r w:rsidRPr="007E252F">
              <w:rPr>
                <w:rFonts w:cs="Arial"/>
                <w:i/>
                <w:sz w:val="18"/>
                <w:szCs w:val="18"/>
                <w:lang w:eastAsia="en-GB" w:bidi="ar-SA"/>
              </w:rPr>
              <w:t>Unavailable</w:t>
            </w:r>
          </w:p>
          <w:p w14:paraId="7652C196" w14:textId="77777777" w:rsidR="007E252F" w:rsidRPr="007E252F" w:rsidRDefault="007E252F" w:rsidP="007E252F">
            <w:pPr>
              <w:widowControl/>
              <w:rPr>
                <w:rFonts w:cs="Arial"/>
                <w:sz w:val="18"/>
                <w:szCs w:val="18"/>
                <w:lang w:eastAsia="en-GB" w:bidi="ar-SA"/>
              </w:rPr>
            </w:pPr>
          </w:p>
        </w:tc>
        <w:tc>
          <w:tcPr>
            <w:tcW w:w="4126" w:type="dxa"/>
            <w:shd w:val="clear" w:color="auto" w:fill="auto"/>
            <w:noWrap/>
            <w:vAlign w:val="center"/>
            <w:hideMark/>
          </w:tcPr>
          <w:p w14:paraId="5FD9997E"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044155D1" wp14:editId="5985D83D">
                  <wp:extent cx="2224800" cy="1119600"/>
                  <wp:effectExtent l="0" t="0" r="4445" b="4445"/>
                  <wp:docPr id="21" name="Picture 20">
                    <a:extLst xmlns:a="http://schemas.openxmlformats.org/drawingml/2006/main">
                      <a:ext uri="{FF2B5EF4-FFF2-40B4-BE49-F238E27FC236}">
                        <a16:creationId xmlns:a16="http://schemas.microsoft.com/office/drawing/2014/main" id="{8418D474-9C2C-1249-B8BD-061F5BEDDC7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8418D474-9C2C-1249-B8BD-061F5BEDDC73}"/>
                              </a:ext>
                            </a:extLst>
                          </pic:cNvPr>
                          <pic:cNvPicPr>
                            <a:picLocks noChangeAspect="1"/>
                          </pic:cNvPicPr>
                        </pic:nvPicPr>
                        <pic:blipFill>
                          <a:blip r:embed="rId125"/>
                          <a:stretch>
                            <a:fillRect/>
                          </a:stretch>
                        </pic:blipFill>
                        <pic:spPr>
                          <a:xfrm>
                            <a:off x="0" y="0"/>
                            <a:ext cx="2224800" cy="1119600"/>
                          </a:xfrm>
                          <a:prstGeom prst="rect">
                            <a:avLst/>
                          </a:prstGeom>
                        </pic:spPr>
                      </pic:pic>
                    </a:graphicData>
                  </a:graphic>
                </wp:inline>
              </w:drawing>
            </w:r>
          </w:p>
        </w:tc>
        <w:tc>
          <w:tcPr>
            <w:tcW w:w="2164" w:type="dxa"/>
            <w:shd w:val="clear" w:color="auto" w:fill="auto"/>
            <w:noWrap/>
          </w:tcPr>
          <w:p w14:paraId="39E2564F"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Wang et al., 2021</w:t>
            </w:r>
          </w:p>
        </w:tc>
      </w:tr>
      <w:tr w:rsidR="007E252F" w:rsidRPr="007E252F" w14:paraId="23F5BB70" w14:textId="77777777" w:rsidTr="000D5CF1">
        <w:trPr>
          <w:cantSplit/>
          <w:trHeight w:val="1985"/>
          <w:jc w:val="center"/>
        </w:trPr>
        <w:tc>
          <w:tcPr>
            <w:tcW w:w="3519" w:type="dxa"/>
            <w:shd w:val="clear" w:color="auto" w:fill="auto"/>
            <w:noWrap/>
            <w:hideMark/>
          </w:tcPr>
          <w:p w14:paraId="511430D5"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lastRenderedPageBreak/>
              <w:t>Pipermethystine</w:t>
            </w:r>
          </w:p>
          <w:p w14:paraId="0EA2461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71627-22-0</w:t>
            </w:r>
          </w:p>
          <w:p w14:paraId="026739EC" w14:textId="77777777" w:rsidR="007E252F" w:rsidRPr="007E252F" w:rsidRDefault="007E252F" w:rsidP="007E252F">
            <w:pPr>
              <w:widowControl/>
              <w:rPr>
                <w:rFonts w:cs="Arial"/>
                <w:color w:val="000000"/>
                <w:sz w:val="18"/>
                <w:szCs w:val="18"/>
                <w:lang w:eastAsia="en-GB" w:bidi="ar-SA"/>
              </w:rPr>
            </w:pPr>
          </w:p>
          <w:p w14:paraId="4D25BF3E"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287.31 g/mol</w:t>
            </w:r>
          </w:p>
          <w:p w14:paraId="3C268352" w14:textId="77777777" w:rsidR="007E252F" w:rsidRPr="007E252F" w:rsidRDefault="007E252F" w:rsidP="007E252F">
            <w:pPr>
              <w:widowControl/>
              <w:rPr>
                <w:rFonts w:cs="Arial"/>
                <w:color w:val="000000"/>
                <w:sz w:val="18"/>
                <w:szCs w:val="18"/>
                <w:lang w:eastAsia="en-GB" w:bidi="ar-SA"/>
              </w:rPr>
            </w:pPr>
          </w:p>
          <w:p w14:paraId="2C88AA72"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11FFA019"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1.4</w:t>
            </w:r>
          </w:p>
        </w:tc>
        <w:tc>
          <w:tcPr>
            <w:tcW w:w="4126" w:type="dxa"/>
            <w:shd w:val="clear" w:color="auto" w:fill="auto"/>
            <w:noWrap/>
            <w:vAlign w:val="center"/>
            <w:hideMark/>
          </w:tcPr>
          <w:p w14:paraId="16AD99E7"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EC58787" wp14:editId="7AED5168">
                  <wp:extent cx="2221200" cy="806400"/>
                  <wp:effectExtent l="0" t="0" r="8255" b="0"/>
                  <wp:docPr id="22" name="Picture 21">
                    <a:extLst xmlns:a="http://schemas.openxmlformats.org/drawingml/2006/main">
                      <a:ext uri="{FF2B5EF4-FFF2-40B4-BE49-F238E27FC236}">
                        <a16:creationId xmlns:a16="http://schemas.microsoft.com/office/drawing/2014/main" id="{CAD2867C-B550-0F45-9FB6-26AF0079321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CAD2867C-B550-0F45-9FB6-26AF00793214}"/>
                              </a:ext>
                            </a:extLst>
                          </pic:cNvPr>
                          <pic:cNvPicPr>
                            <a:picLocks noChangeAspect="1"/>
                          </pic:cNvPicPr>
                        </pic:nvPicPr>
                        <pic:blipFill>
                          <a:blip r:embed="rId126"/>
                          <a:stretch>
                            <a:fillRect/>
                          </a:stretch>
                        </pic:blipFill>
                        <pic:spPr>
                          <a:xfrm>
                            <a:off x="0" y="0"/>
                            <a:ext cx="2221200" cy="806400"/>
                          </a:xfrm>
                          <a:prstGeom prst="rect">
                            <a:avLst/>
                          </a:prstGeom>
                        </pic:spPr>
                      </pic:pic>
                    </a:graphicData>
                  </a:graphic>
                </wp:inline>
              </w:drawing>
            </w:r>
          </w:p>
        </w:tc>
        <w:tc>
          <w:tcPr>
            <w:tcW w:w="2164" w:type="dxa"/>
            <w:shd w:val="clear" w:color="auto" w:fill="auto"/>
            <w:noWrap/>
          </w:tcPr>
          <w:p w14:paraId="1CF5FCF3"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Dragull et al., 2003</w:t>
            </w:r>
          </w:p>
        </w:tc>
      </w:tr>
      <w:tr w:rsidR="007E252F" w:rsidRPr="007E252F" w14:paraId="79DC6E59" w14:textId="77777777" w:rsidTr="000D5CF1">
        <w:trPr>
          <w:cantSplit/>
          <w:trHeight w:val="1985"/>
          <w:jc w:val="center"/>
        </w:trPr>
        <w:tc>
          <w:tcPr>
            <w:tcW w:w="3519" w:type="dxa"/>
            <w:shd w:val="clear" w:color="auto" w:fill="auto"/>
            <w:noWrap/>
            <w:hideMark/>
          </w:tcPr>
          <w:p w14:paraId="25248444"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1-cinnamoylpyrrolidine</w:t>
            </w:r>
          </w:p>
          <w:p w14:paraId="04F2F09C"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52438-21-8</w:t>
            </w:r>
          </w:p>
          <w:p w14:paraId="77054438" w14:textId="77777777" w:rsidR="007E252F" w:rsidRPr="007E252F" w:rsidRDefault="007E252F" w:rsidP="007E252F">
            <w:pPr>
              <w:widowControl/>
              <w:rPr>
                <w:rFonts w:cs="Arial"/>
                <w:color w:val="000000"/>
                <w:sz w:val="18"/>
                <w:szCs w:val="18"/>
                <w:lang w:eastAsia="en-GB" w:bidi="ar-SA"/>
              </w:rPr>
            </w:pPr>
          </w:p>
          <w:p w14:paraId="20171759"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201.26 g/mol</w:t>
            </w:r>
          </w:p>
          <w:p w14:paraId="30E786AD" w14:textId="77777777" w:rsidR="007E252F" w:rsidRPr="007E252F" w:rsidRDefault="007E252F" w:rsidP="007E252F">
            <w:pPr>
              <w:widowControl/>
              <w:rPr>
                <w:rFonts w:cs="Arial"/>
                <w:color w:val="000000"/>
                <w:sz w:val="18"/>
                <w:szCs w:val="18"/>
                <w:lang w:eastAsia="en-GB" w:bidi="ar-SA"/>
              </w:rPr>
            </w:pPr>
          </w:p>
          <w:p w14:paraId="3D26706B"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06B37CFC"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2.4</w:t>
            </w:r>
          </w:p>
        </w:tc>
        <w:tc>
          <w:tcPr>
            <w:tcW w:w="4126" w:type="dxa"/>
            <w:shd w:val="clear" w:color="auto" w:fill="auto"/>
            <w:noWrap/>
            <w:vAlign w:val="center"/>
            <w:hideMark/>
          </w:tcPr>
          <w:p w14:paraId="2ECE874B"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D58FD49" wp14:editId="59F9D91F">
                  <wp:extent cx="1609200" cy="770400"/>
                  <wp:effectExtent l="0" t="0" r="0" b="0"/>
                  <wp:docPr id="23" name="Picture 22">
                    <a:extLst xmlns:a="http://schemas.openxmlformats.org/drawingml/2006/main">
                      <a:ext uri="{FF2B5EF4-FFF2-40B4-BE49-F238E27FC236}">
                        <a16:creationId xmlns:a16="http://schemas.microsoft.com/office/drawing/2014/main" id="{BBA647A0-C5B8-7644-A1EF-0BA87F5020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BBA647A0-C5B8-7644-A1EF-0BA87F502095}"/>
                              </a:ext>
                            </a:extLst>
                          </pic:cNvPr>
                          <pic:cNvPicPr>
                            <a:picLocks noChangeAspect="1"/>
                          </pic:cNvPicPr>
                        </pic:nvPicPr>
                        <pic:blipFill>
                          <a:blip r:embed="rId127"/>
                          <a:stretch>
                            <a:fillRect/>
                          </a:stretch>
                        </pic:blipFill>
                        <pic:spPr>
                          <a:xfrm>
                            <a:off x="0" y="0"/>
                            <a:ext cx="1609200" cy="770400"/>
                          </a:xfrm>
                          <a:prstGeom prst="rect">
                            <a:avLst/>
                          </a:prstGeom>
                        </pic:spPr>
                      </pic:pic>
                    </a:graphicData>
                  </a:graphic>
                </wp:inline>
              </w:drawing>
            </w:r>
          </w:p>
        </w:tc>
        <w:tc>
          <w:tcPr>
            <w:tcW w:w="2164" w:type="dxa"/>
            <w:shd w:val="clear" w:color="auto" w:fill="auto"/>
            <w:noWrap/>
          </w:tcPr>
          <w:p w14:paraId="4429277B"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Achenbach &amp; Karl, 1970</w:t>
            </w:r>
          </w:p>
        </w:tc>
      </w:tr>
      <w:tr w:rsidR="007E252F" w:rsidRPr="007E252F" w14:paraId="02CCC72D" w14:textId="77777777" w:rsidTr="000D5CF1">
        <w:trPr>
          <w:cantSplit/>
          <w:trHeight w:val="1985"/>
          <w:jc w:val="center"/>
        </w:trPr>
        <w:tc>
          <w:tcPr>
            <w:tcW w:w="3519" w:type="dxa"/>
            <w:shd w:val="clear" w:color="auto" w:fill="auto"/>
            <w:noWrap/>
            <w:hideMark/>
          </w:tcPr>
          <w:p w14:paraId="18825647"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1-(m-methoxycinnamoyl)pyrrolidine</w:t>
            </w:r>
          </w:p>
          <w:p w14:paraId="5B34A4B4"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29647-01-6</w:t>
            </w:r>
          </w:p>
          <w:p w14:paraId="0D9F6F1A" w14:textId="77777777" w:rsidR="007E252F" w:rsidRPr="007E252F" w:rsidRDefault="007E252F" w:rsidP="007E252F">
            <w:pPr>
              <w:widowControl/>
              <w:rPr>
                <w:rFonts w:cs="Arial"/>
                <w:color w:val="000000"/>
                <w:sz w:val="18"/>
                <w:szCs w:val="18"/>
                <w:lang w:eastAsia="en-GB" w:bidi="ar-SA"/>
              </w:rPr>
            </w:pPr>
          </w:p>
          <w:p w14:paraId="3875E687"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231.29 g/mol</w:t>
            </w:r>
          </w:p>
          <w:p w14:paraId="1E1997B8" w14:textId="77777777" w:rsidR="007E252F" w:rsidRPr="007E252F" w:rsidRDefault="007E252F" w:rsidP="007E252F">
            <w:pPr>
              <w:widowControl/>
              <w:rPr>
                <w:rFonts w:cs="Arial"/>
                <w:color w:val="000000"/>
                <w:sz w:val="18"/>
                <w:szCs w:val="18"/>
                <w:lang w:eastAsia="en-GB" w:bidi="ar-SA"/>
              </w:rPr>
            </w:pPr>
          </w:p>
          <w:p w14:paraId="56DE3D0B"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26D8A89D"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2.3</w:t>
            </w:r>
          </w:p>
        </w:tc>
        <w:tc>
          <w:tcPr>
            <w:tcW w:w="4126" w:type="dxa"/>
            <w:shd w:val="clear" w:color="auto" w:fill="auto"/>
            <w:vAlign w:val="center"/>
          </w:tcPr>
          <w:p w14:paraId="60C94BCD"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610B60FD" wp14:editId="0C94A4E0">
                  <wp:extent cx="1998000" cy="770400"/>
                  <wp:effectExtent l="0" t="0" r="2540" b="0"/>
                  <wp:docPr id="24" name="Picture 23">
                    <a:extLst xmlns:a="http://schemas.openxmlformats.org/drawingml/2006/main">
                      <a:ext uri="{FF2B5EF4-FFF2-40B4-BE49-F238E27FC236}">
                        <a16:creationId xmlns:a16="http://schemas.microsoft.com/office/drawing/2014/main" id="{313C72CF-94DF-8641-ABD9-4D0BDDC4B7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3C72CF-94DF-8641-ABD9-4D0BDDC4B70A}"/>
                              </a:ext>
                            </a:extLst>
                          </pic:cNvPr>
                          <pic:cNvPicPr>
                            <a:picLocks noChangeAspect="1"/>
                          </pic:cNvPicPr>
                        </pic:nvPicPr>
                        <pic:blipFill>
                          <a:blip r:embed="rId128"/>
                          <a:stretch>
                            <a:fillRect/>
                          </a:stretch>
                        </pic:blipFill>
                        <pic:spPr>
                          <a:xfrm>
                            <a:off x="0" y="0"/>
                            <a:ext cx="1998000" cy="770400"/>
                          </a:xfrm>
                          <a:prstGeom prst="rect">
                            <a:avLst/>
                          </a:prstGeom>
                        </pic:spPr>
                      </pic:pic>
                    </a:graphicData>
                  </a:graphic>
                </wp:inline>
              </w:drawing>
            </w:r>
          </w:p>
        </w:tc>
        <w:tc>
          <w:tcPr>
            <w:tcW w:w="2164" w:type="dxa"/>
            <w:shd w:val="clear" w:color="auto" w:fill="auto"/>
            <w:noWrap/>
          </w:tcPr>
          <w:p w14:paraId="256DDD3A"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Achenbach &amp; Karl, 1970</w:t>
            </w:r>
          </w:p>
        </w:tc>
      </w:tr>
      <w:tr w:rsidR="007E252F" w:rsidRPr="007E252F" w14:paraId="3B9E6813" w14:textId="77777777" w:rsidTr="000D5CF1">
        <w:trPr>
          <w:cantSplit/>
          <w:trHeight w:val="1985"/>
          <w:jc w:val="center"/>
        </w:trPr>
        <w:tc>
          <w:tcPr>
            <w:tcW w:w="3519" w:type="dxa"/>
            <w:shd w:val="clear" w:color="auto" w:fill="auto"/>
            <w:noWrap/>
            <w:hideMark/>
          </w:tcPr>
          <w:p w14:paraId="0501B94E"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3α, 4α-epoxy-5β-pipermethysticine</w:t>
            </w:r>
          </w:p>
          <w:p w14:paraId="2E2EA268" w14:textId="77777777" w:rsidR="007E252F" w:rsidRPr="007E252F" w:rsidRDefault="007E252F" w:rsidP="007E252F">
            <w:pPr>
              <w:widowControl/>
              <w:rPr>
                <w:rFonts w:cs="Arial"/>
                <w:color w:val="000000"/>
                <w:sz w:val="18"/>
                <w:szCs w:val="18"/>
                <w:lang w:eastAsia="en-GB" w:bidi="ar-SA"/>
              </w:rPr>
            </w:pPr>
          </w:p>
          <w:p w14:paraId="4E193BAC"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303.31 g/mol</w:t>
            </w:r>
          </w:p>
          <w:p w14:paraId="39132684" w14:textId="77777777" w:rsidR="007E252F" w:rsidRPr="007E252F" w:rsidRDefault="007E252F" w:rsidP="007E252F">
            <w:pPr>
              <w:widowControl/>
              <w:rPr>
                <w:rFonts w:cs="Arial"/>
                <w:color w:val="000000"/>
                <w:sz w:val="18"/>
                <w:szCs w:val="18"/>
                <w:lang w:eastAsia="en-GB" w:bidi="ar-SA"/>
              </w:rPr>
            </w:pPr>
          </w:p>
          <w:p w14:paraId="2EB95CD6"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182B5124"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0.9</w:t>
            </w:r>
          </w:p>
        </w:tc>
        <w:tc>
          <w:tcPr>
            <w:tcW w:w="4126" w:type="dxa"/>
            <w:shd w:val="clear" w:color="auto" w:fill="auto"/>
            <w:noWrap/>
            <w:vAlign w:val="center"/>
            <w:hideMark/>
          </w:tcPr>
          <w:p w14:paraId="50D48BEC"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3D85EC7C" wp14:editId="55CE12FC">
                  <wp:extent cx="1868400" cy="1371600"/>
                  <wp:effectExtent l="0" t="0" r="0" b="0"/>
                  <wp:docPr id="25" name="Picture 24">
                    <a:extLst xmlns:a="http://schemas.openxmlformats.org/drawingml/2006/main">
                      <a:ext uri="{FF2B5EF4-FFF2-40B4-BE49-F238E27FC236}">
                        <a16:creationId xmlns:a16="http://schemas.microsoft.com/office/drawing/2014/main" id="{8010EAA3-1290-444F-A1FF-3AD499EFB5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8010EAA3-1290-444F-A1FF-3AD499EFB507}"/>
                              </a:ext>
                            </a:extLst>
                          </pic:cNvPr>
                          <pic:cNvPicPr>
                            <a:picLocks noChangeAspect="1"/>
                          </pic:cNvPicPr>
                        </pic:nvPicPr>
                        <pic:blipFill>
                          <a:blip r:embed="rId129"/>
                          <a:stretch>
                            <a:fillRect/>
                          </a:stretch>
                        </pic:blipFill>
                        <pic:spPr>
                          <a:xfrm>
                            <a:off x="0" y="0"/>
                            <a:ext cx="1868400" cy="1371600"/>
                          </a:xfrm>
                          <a:prstGeom prst="rect">
                            <a:avLst/>
                          </a:prstGeom>
                        </pic:spPr>
                      </pic:pic>
                    </a:graphicData>
                  </a:graphic>
                </wp:inline>
              </w:drawing>
            </w:r>
          </w:p>
        </w:tc>
        <w:tc>
          <w:tcPr>
            <w:tcW w:w="2164" w:type="dxa"/>
            <w:shd w:val="clear" w:color="auto" w:fill="auto"/>
            <w:noWrap/>
          </w:tcPr>
          <w:p w14:paraId="0508BF45"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Dragull et al., 2003</w:t>
            </w:r>
          </w:p>
        </w:tc>
      </w:tr>
      <w:tr w:rsidR="007E252F" w:rsidRPr="007E252F" w14:paraId="75828323" w14:textId="77777777" w:rsidTr="000D5CF1">
        <w:trPr>
          <w:cantSplit/>
          <w:trHeight w:val="1985"/>
          <w:jc w:val="center"/>
        </w:trPr>
        <w:tc>
          <w:tcPr>
            <w:tcW w:w="3519" w:type="dxa"/>
            <w:shd w:val="clear" w:color="auto" w:fill="auto"/>
            <w:noWrap/>
            <w:hideMark/>
          </w:tcPr>
          <w:p w14:paraId="470B689C"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Awaine</w:t>
            </w:r>
          </w:p>
          <w:p w14:paraId="1BB8FBFF" w14:textId="77777777" w:rsidR="007E252F" w:rsidRPr="007E252F" w:rsidRDefault="007E252F" w:rsidP="007E252F">
            <w:pPr>
              <w:widowControl/>
              <w:rPr>
                <w:rFonts w:cs="Arial"/>
                <w:color w:val="000000"/>
                <w:sz w:val="18"/>
                <w:szCs w:val="18"/>
                <w:lang w:eastAsia="en-GB" w:bidi="ar-SA"/>
              </w:rPr>
            </w:pPr>
          </w:p>
          <w:p w14:paraId="22A81884"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231.29 g/mol</w:t>
            </w:r>
          </w:p>
          <w:p w14:paraId="25C1403E" w14:textId="77777777" w:rsidR="007E252F" w:rsidRPr="007E252F" w:rsidRDefault="007E252F" w:rsidP="007E252F">
            <w:pPr>
              <w:widowControl/>
              <w:rPr>
                <w:rFonts w:cs="Arial"/>
                <w:color w:val="000000"/>
                <w:sz w:val="18"/>
                <w:szCs w:val="18"/>
                <w:lang w:eastAsia="en-GB" w:bidi="ar-SA"/>
              </w:rPr>
            </w:pPr>
          </w:p>
          <w:p w14:paraId="01CA5E86"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4B98DF8B"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XLogP3: 1.3</w:t>
            </w:r>
          </w:p>
        </w:tc>
        <w:tc>
          <w:tcPr>
            <w:tcW w:w="4126" w:type="dxa"/>
            <w:shd w:val="clear" w:color="auto" w:fill="auto"/>
            <w:noWrap/>
            <w:vAlign w:val="center"/>
            <w:hideMark/>
          </w:tcPr>
          <w:p w14:paraId="42C4BF6D"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5DBB2164" wp14:editId="6EFCDCFB">
                  <wp:extent cx="1933200" cy="806400"/>
                  <wp:effectExtent l="0" t="0" r="0" b="0"/>
                  <wp:docPr id="26" name="Picture 25">
                    <a:extLst xmlns:a="http://schemas.openxmlformats.org/drawingml/2006/main">
                      <a:ext uri="{FF2B5EF4-FFF2-40B4-BE49-F238E27FC236}">
                        <a16:creationId xmlns:a16="http://schemas.microsoft.com/office/drawing/2014/main" id="{DD8508EC-E659-CF4D-8867-D243A6298C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DD8508EC-E659-CF4D-8867-D243A6298CA0}"/>
                              </a:ext>
                            </a:extLst>
                          </pic:cNvPr>
                          <pic:cNvPicPr>
                            <a:picLocks noChangeAspect="1"/>
                          </pic:cNvPicPr>
                        </pic:nvPicPr>
                        <pic:blipFill>
                          <a:blip r:embed="rId130"/>
                          <a:stretch>
                            <a:fillRect/>
                          </a:stretch>
                        </pic:blipFill>
                        <pic:spPr>
                          <a:xfrm>
                            <a:off x="0" y="0"/>
                            <a:ext cx="1933200" cy="806400"/>
                          </a:xfrm>
                          <a:prstGeom prst="rect">
                            <a:avLst/>
                          </a:prstGeom>
                        </pic:spPr>
                      </pic:pic>
                    </a:graphicData>
                  </a:graphic>
                </wp:inline>
              </w:drawing>
            </w:r>
          </w:p>
        </w:tc>
        <w:tc>
          <w:tcPr>
            <w:tcW w:w="2164" w:type="dxa"/>
            <w:shd w:val="clear" w:color="auto" w:fill="auto"/>
            <w:noWrap/>
          </w:tcPr>
          <w:p w14:paraId="10F0809B"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Dragull et al., 2003</w:t>
            </w:r>
          </w:p>
        </w:tc>
      </w:tr>
      <w:tr w:rsidR="007E252F" w:rsidRPr="007E252F" w14:paraId="6E609A22" w14:textId="77777777" w:rsidTr="000D5CF1">
        <w:trPr>
          <w:cantSplit/>
          <w:trHeight w:val="1985"/>
          <w:jc w:val="center"/>
        </w:trPr>
        <w:tc>
          <w:tcPr>
            <w:tcW w:w="3519" w:type="dxa"/>
            <w:shd w:val="clear" w:color="auto" w:fill="auto"/>
            <w:noWrap/>
            <w:hideMark/>
          </w:tcPr>
          <w:p w14:paraId="2AEDC4D6"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Flavokawain A</w:t>
            </w:r>
          </w:p>
          <w:p w14:paraId="7EA5079A"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37951-13-6</w:t>
            </w:r>
          </w:p>
          <w:p w14:paraId="1C219230" w14:textId="77777777" w:rsidR="007E252F" w:rsidRPr="007E252F" w:rsidRDefault="007E252F" w:rsidP="007E252F">
            <w:pPr>
              <w:widowControl/>
              <w:rPr>
                <w:rFonts w:cs="Arial"/>
                <w:color w:val="000000"/>
                <w:sz w:val="18"/>
                <w:szCs w:val="18"/>
                <w:lang w:eastAsia="en-GB" w:bidi="ar-SA"/>
              </w:rPr>
            </w:pPr>
          </w:p>
          <w:p w14:paraId="4EF1FD00"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314.3 g/mol</w:t>
            </w:r>
          </w:p>
          <w:p w14:paraId="3483C05E" w14:textId="77777777" w:rsidR="007E252F" w:rsidRPr="007E252F" w:rsidRDefault="007E252F" w:rsidP="007E252F">
            <w:pPr>
              <w:widowControl/>
              <w:rPr>
                <w:rFonts w:cs="Arial"/>
                <w:color w:val="000000"/>
                <w:sz w:val="18"/>
                <w:szCs w:val="18"/>
                <w:lang w:eastAsia="en-GB" w:bidi="ar-SA"/>
              </w:rPr>
            </w:pPr>
          </w:p>
          <w:p w14:paraId="3D77A80C"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32769C4B"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3.8</w:t>
            </w:r>
          </w:p>
        </w:tc>
        <w:tc>
          <w:tcPr>
            <w:tcW w:w="4126" w:type="dxa"/>
            <w:shd w:val="clear" w:color="auto" w:fill="auto"/>
            <w:noWrap/>
            <w:vAlign w:val="center"/>
            <w:hideMark/>
          </w:tcPr>
          <w:p w14:paraId="0B56AB1D"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75B67959" wp14:editId="745A4862">
                  <wp:extent cx="2390400" cy="806400"/>
                  <wp:effectExtent l="0" t="0" r="0" b="0"/>
                  <wp:docPr id="27" name="Picture 26">
                    <a:extLst xmlns:a="http://schemas.openxmlformats.org/drawingml/2006/main">
                      <a:ext uri="{FF2B5EF4-FFF2-40B4-BE49-F238E27FC236}">
                        <a16:creationId xmlns:a16="http://schemas.microsoft.com/office/drawing/2014/main" id="{79F7146C-BFFE-1747-B35F-C065C116E79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79F7146C-BFFE-1747-B35F-C065C116E79D}"/>
                              </a:ext>
                            </a:extLst>
                          </pic:cNvPr>
                          <pic:cNvPicPr>
                            <a:picLocks noChangeAspect="1"/>
                          </pic:cNvPicPr>
                        </pic:nvPicPr>
                        <pic:blipFill>
                          <a:blip r:embed="rId131"/>
                          <a:stretch>
                            <a:fillRect/>
                          </a:stretch>
                        </pic:blipFill>
                        <pic:spPr>
                          <a:xfrm>
                            <a:off x="0" y="0"/>
                            <a:ext cx="2390400" cy="806400"/>
                          </a:xfrm>
                          <a:prstGeom prst="rect">
                            <a:avLst/>
                          </a:prstGeom>
                        </pic:spPr>
                      </pic:pic>
                    </a:graphicData>
                  </a:graphic>
                </wp:inline>
              </w:drawing>
            </w:r>
          </w:p>
        </w:tc>
        <w:tc>
          <w:tcPr>
            <w:tcW w:w="2164" w:type="dxa"/>
            <w:shd w:val="clear" w:color="auto" w:fill="auto"/>
            <w:noWrap/>
            <w:hideMark/>
          </w:tcPr>
          <w:p w14:paraId="16EF1E0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 Dentali et al., 2018</w:t>
            </w:r>
          </w:p>
        </w:tc>
      </w:tr>
      <w:tr w:rsidR="007E252F" w:rsidRPr="007E252F" w14:paraId="6C11605A" w14:textId="77777777" w:rsidTr="000D5CF1">
        <w:trPr>
          <w:cantSplit/>
          <w:trHeight w:val="1985"/>
          <w:jc w:val="center"/>
        </w:trPr>
        <w:tc>
          <w:tcPr>
            <w:tcW w:w="3519" w:type="dxa"/>
            <w:shd w:val="clear" w:color="auto" w:fill="auto"/>
            <w:noWrap/>
            <w:hideMark/>
          </w:tcPr>
          <w:p w14:paraId="0B05FA26"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lastRenderedPageBreak/>
              <w:t>Flavokawain B</w:t>
            </w:r>
          </w:p>
          <w:p w14:paraId="7F5A3794"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1775-97-9</w:t>
            </w:r>
          </w:p>
          <w:p w14:paraId="43131650" w14:textId="77777777" w:rsidR="007E252F" w:rsidRPr="007E252F" w:rsidRDefault="007E252F" w:rsidP="007E252F">
            <w:pPr>
              <w:widowControl/>
              <w:rPr>
                <w:rFonts w:cs="Arial"/>
                <w:color w:val="000000"/>
                <w:sz w:val="18"/>
                <w:szCs w:val="18"/>
                <w:lang w:eastAsia="en-GB" w:bidi="ar-SA"/>
              </w:rPr>
            </w:pPr>
          </w:p>
          <w:p w14:paraId="4E4BC41E"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284.31 g/mol</w:t>
            </w:r>
          </w:p>
          <w:p w14:paraId="4BAF908F" w14:textId="77777777" w:rsidR="007E252F" w:rsidRPr="007E252F" w:rsidRDefault="007E252F" w:rsidP="007E252F">
            <w:pPr>
              <w:widowControl/>
              <w:rPr>
                <w:rFonts w:cs="Arial"/>
                <w:color w:val="000000"/>
                <w:sz w:val="18"/>
                <w:szCs w:val="18"/>
                <w:lang w:eastAsia="en-GB" w:bidi="ar-SA"/>
              </w:rPr>
            </w:pPr>
          </w:p>
          <w:p w14:paraId="294999BD"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079BAEB2"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3.8</w:t>
            </w:r>
          </w:p>
        </w:tc>
        <w:tc>
          <w:tcPr>
            <w:tcW w:w="4126" w:type="dxa"/>
            <w:shd w:val="clear" w:color="auto" w:fill="auto"/>
            <w:noWrap/>
            <w:vAlign w:val="center"/>
            <w:hideMark/>
          </w:tcPr>
          <w:p w14:paraId="7A899DA1"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4697DDF3" wp14:editId="4B2A80FA">
                  <wp:extent cx="2030400" cy="806400"/>
                  <wp:effectExtent l="0" t="0" r="8255" b="0"/>
                  <wp:docPr id="28" name="Picture 27">
                    <a:extLst xmlns:a="http://schemas.openxmlformats.org/drawingml/2006/main">
                      <a:ext uri="{FF2B5EF4-FFF2-40B4-BE49-F238E27FC236}">
                        <a16:creationId xmlns:a16="http://schemas.microsoft.com/office/drawing/2014/main" id="{A9CB7816-70C4-9C43-B557-762FA2B9B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A9CB7816-70C4-9C43-B557-762FA2B9BB9C}"/>
                              </a:ext>
                            </a:extLst>
                          </pic:cNvPr>
                          <pic:cNvPicPr>
                            <a:picLocks noChangeAspect="1"/>
                          </pic:cNvPicPr>
                        </pic:nvPicPr>
                        <pic:blipFill>
                          <a:blip r:embed="rId132"/>
                          <a:stretch>
                            <a:fillRect/>
                          </a:stretch>
                        </pic:blipFill>
                        <pic:spPr>
                          <a:xfrm>
                            <a:off x="0" y="0"/>
                            <a:ext cx="2030400" cy="806400"/>
                          </a:xfrm>
                          <a:prstGeom prst="rect">
                            <a:avLst/>
                          </a:prstGeom>
                        </pic:spPr>
                      </pic:pic>
                    </a:graphicData>
                  </a:graphic>
                </wp:inline>
              </w:drawing>
            </w:r>
          </w:p>
        </w:tc>
        <w:tc>
          <w:tcPr>
            <w:tcW w:w="2164" w:type="dxa"/>
            <w:shd w:val="clear" w:color="auto" w:fill="auto"/>
            <w:noWrap/>
            <w:hideMark/>
          </w:tcPr>
          <w:p w14:paraId="0C7127D2"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 Dentali et al., 2018</w:t>
            </w:r>
          </w:p>
        </w:tc>
      </w:tr>
      <w:tr w:rsidR="007E252F" w:rsidRPr="007E252F" w14:paraId="5AF7A646" w14:textId="77777777" w:rsidTr="000D5CF1">
        <w:trPr>
          <w:cantSplit/>
          <w:trHeight w:val="1985"/>
          <w:jc w:val="center"/>
        </w:trPr>
        <w:tc>
          <w:tcPr>
            <w:tcW w:w="3519" w:type="dxa"/>
            <w:shd w:val="clear" w:color="auto" w:fill="auto"/>
            <w:noWrap/>
            <w:hideMark/>
          </w:tcPr>
          <w:p w14:paraId="71AA5E52" w14:textId="77777777" w:rsidR="007E252F" w:rsidRPr="007E252F" w:rsidRDefault="007E252F" w:rsidP="007E252F">
            <w:pPr>
              <w:widowControl/>
              <w:rPr>
                <w:rFonts w:cs="Arial"/>
                <w:b/>
                <w:color w:val="000000"/>
                <w:sz w:val="18"/>
                <w:szCs w:val="18"/>
                <w:lang w:eastAsia="en-GB" w:bidi="ar-SA"/>
              </w:rPr>
            </w:pPr>
            <w:r w:rsidRPr="007E252F">
              <w:rPr>
                <w:rFonts w:cs="Arial"/>
                <w:b/>
                <w:color w:val="000000"/>
                <w:sz w:val="18"/>
                <w:szCs w:val="18"/>
                <w:lang w:eastAsia="en-GB" w:bidi="ar-SA"/>
              </w:rPr>
              <w:t>Flavokawain C</w:t>
            </w:r>
          </w:p>
          <w:p w14:paraId="2FF152EC"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CAS: 37308-75-1</w:t>
            </w:r>
          </w:p>
          <w:p w14:paraId="5806E733" w14:textId="77777777" w:rsidR="007E252F" w:rsidRPr="007E252F" w:rsidRDefault="007E252F" w:rsidP="007E252F">
            <w:pPr>
              <w:widowControl/>
              <w:rPr>
                <w:rFonts w:cs="Arial"/>
                <w:color w:val="000000"/>
                <w:sz w:val="18"/>
                <w:szCs w:val="18"/>
                <w:lang w:eastAsia="en-GB" w:bidi="ar-SA"/>
              </w:rPr>
            </w:pPr>
          </w:p>
          <w:p w14:paraId="1BE06399"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MW: 300.30 g/mol</w:t>
            </w:r>
          </w:p>
          <w:p w14:paraId="0A59B6C8" w14:textId="77777777" w:rsidR="007E252F" w:rsidRPr="007E252F" w:rsidRDefault="007E252F" w:rsidP="007E252F">
            <w:pPr>
              <w:widowControl/>
              <w:rPr>
                <w:rFonts w:cs="Arial"/>
                <w:color w:val="000000"/>
                <w:sz w:val="18"/>
                <w:szCs w:val="18"/>
                <w:lang w:eastAsia="en-GB" w:bidi="ar-SA"/>
              </w:rPr>
            </w:pPr>
          </w:p>
          <w:p w14:paraId="2EC5D419"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 xml:space="preserve">LD50: </w:t>
            </w:r>
            <w:r w:rsidRPr="007E252F">
              <w:rPr>
                <w:rFonts w:cs="Arial"/>
                <w:i/>
                <w:color w:val="000000"/>
                <w:sz w:val="18"/>
                <w:szCs w:val="18"/>
                <w:lang w:eastAsia="en-GB" w:bidi="ar-SA"/>
              </w:rPr>
              <w:t>Unavailable</w:t>
            </w:r>
          </w:p>
          <w:p w14:paraId="76669AD2" w14:textId="77777777" w:rsidR="007E252F" w:rsidRPr="007E252F" w:rsidRDefault="007E252F" w:rsidP="007E252F">
            <w:pPr>
              <w:widowControl/>
              <w:rPr>
                <w:rFonts w:cs="Arial"/>
                <w:b/>
                <w:color w:val="000000"/>
                <w:sz w:val="18"/>
                <w:szCs w:val="18"/>
                <w:lang w:eastAsia="en-GB" w:bidi="ar-SA"/>
              </w:rPr>
            </w:pPr>
            <w:r w:rsidRPr="007E252F">
              <w:rPr>
                <w:rFonts w:cs="Arial"/>
                <w:color w:val="000000"/>
                <w:sz w:val="18"/>
                <w:szCs w:val="18"/>
                <w:lang w:eastAsia="en-GB" w:bidi="ar-SA"/>
              </w:rPr>
              <w:t>XLogP3: 3.5</w:t>
            </w:r>
          </w:p>
        </w:tc>
        <w:tc>
          <w:tcPr>
            <w:tcW w:w="4126" w:type="dxa"/>
            <w:shd w:val="clear" w:color="auto" w:fill="auto"/>
            <w:noWrap/>
            <w:vAlign w:val="center"/>
            <w:hideMark/>
          </w:tcPr>
          <w:p w14:paraId="594E5F07" w14:textId="77777777" w:rsidR="007E252F" w:rsidRPr="007E252F" w:rsidRDefault="007E252F" w:rsidP="007E252F">
            <w:pPr>
              <w:widowControl/>
              <w:jc w:val="center"/>
              <w:rPr>
                <w:rFonts w:cs="Arial"/>
                <w:color w:val="000000"/>
                <w:sz w:val="18"/>
                <w:szCs w:val="18"/>
                <w:lang w:eastAsia="en-GB" w:bidi="ar-SA"/>
              </w:rPr>
            </w:pPr>
            <w:r w:rsidRPr="007E252F">
              <w:rPr>
                <w:noProof/>
                <w:lang w:eastAsia="en-GB" w:bidi="ar-SA"/>
              </w:rPr>
              <w:drawing>
                <wp:inline distT="0" distB="0" distL="0" distR="0" wp14:anchorId="38A2DE86" wp14:editId="5B3F7D24">
                  <wp:extent cx="2300400" cy="806400"/>
                  <wp:effectExtent l="0" t="0" r="5080" b="0"/>
                  <wp:docPr id="29" name="Picture 28">
                    <a:extLst xmlns:a="http://schemas.openxmlformats.org/drawingml/2006/main">
                      <a:ext uri="{FF2B5EF4-FFF2-40B4-BE49-F238E27FC236}">
                        <a16:creationId xmlns:a16="http://schemas.microsoft.com/office/drawing/2014/main" id="{96284239-69F2-8348-A698-14907D71DA9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96284239-69F2-8348-A698-14907D71DA9D}"/>
                              </a:ext>
                            </a:extLst>
                          </pic:cNvPr>
                          <pic:cNvPicPr>
                            <a:picLocks noChangeAspect="1"/>
                          </pic:cNvPicPr>
                        </pic:nvPicPr>
                        <pic:blipFill>
                          <a:blip r:embed="rId133"/>
                          <a:stretch>
                            <a:fillRect/>
                          </a:stretch>
                        </pic:blipFill>
                        <pic:spPr>
                          <a:xfrm>
                            <a:off x="0" y="0"/>
                            <a:ext cx="2300400" cy="806400"/>
                          </a:xfrm>
                          <a:prstGeom prst="rect">
                            <a:avLst/>
                          </a:prstGeom>
                        </pic:spPr>
                      </pic:pic>
                    </a:graphicData>
                  </a:graphic>
                </wp:inline>
              </w:drawing>
            </w:r>
          </w:p>
        </w:tc>
        <w:tc>
          <w:tcPr>
            <w:tcW w:w="2164" w:type="dxa"/>
            <w:shd w:val="clear" w:color="auto" w:fill="auto"/>
            <w:noWrap/>
            <w:hideMark/>
          </w:tcPr>
          <w:p w14:paraId="2EA06962" w14:textId="77777777" w:rsidR="007E252F" w:rsidRPr="007E252F" w:rsidRDefault="007E252F" w:rsidP="007E252F">
            <w:pPr>
              <w:widowControl/>
              <w:rPr>
                <w:rFonts w:cs="Arial"/>
                <w:color w:val="000000"/>
                <w:sz w:val="18"/>
                <w:szCs w:val="18"/>
                <w:lang w:eastAsia="en-GB" w:bidi="ar-SA"/>
              </w:rPr>
            </w:pPr>
            <w:r w:rsidRPr="007E252F">
              <w:rPr>
                <w:rFonts w:cs="Arial"/>
                <w:color w:val="000000"/>
                <w:sz w:val="18"/>
                <w:szCs w:val="18"/>
                <w:lang w:eastAsia="en-GB" w:bidi="ar-SA"/>
              </w:rPr>
              <w:t>Bilia et al., 2004; Dentali et al., 2018</w:t>
            </w:r>
          </w:p>
        </w:tc>
      </w:tr>
    </w:tbl>
    <w:p w14:paraId="69B2A4D1" w14:textId="77777777" w:rsidR="007E252F" w:rsidRPr="007E252F" w:rsidRDefault="007E252F" w:rsidP="007E252F">
      <w:pPr>
        <w:widowControl/>
        <w:rPr>
          <w:lang w:val="en-AU"/>
        </w:rPr>
      </w:pPr>
    </w:p>
    <w:p w14:paraId="0569DA85" w14:textId="77777777" w:rsidR="007E252F" w:rsidRPr="007E252F" w:rsidRDefault="007E252F" w:rsidP="007E252F">
      <w:pPr>
        <w:widowControl/>
        <w:rPr>
          <w:lang w:val="en-AU"/>
        </w:rPr>
      </w:pPr>
      <w:r w:rsidRPr="007E252F">
        <w:rPr>
          <w:rFonts w:cstheme="minorHAnsi"/>
          <w:bCs/>
          <w:color w:val="000000"/>
          <w:szCs w:val="20"/>
          <w:vertAlign w:val="superscript"/>
          <w:lang w:val="en-AU" w:eastAsia="en-GB"/>
        </w:rPr>
        <w:t xml:space="preserve">1 </w:t>
      </w:r>
      <w:r w:rsidRPr="007E252F">
        <w:rPr>
          <w:lang w:val="en-AU"/>
        </w:rPr>
        <w:t>Computed by PubChem XLogP3 3.0 (Release 2021.05.07) https://pubchem.ncbi.nlm.nih.gov. Accessed: September 2021</w:t>
      </w:r>
    </w:p>
    <w:p w14:paraId="6C0A01FA" w14:textId="77777777" w:rsidR="00092CDA" w:rsidRDefault="00092CDA" w:rsidP="00690206"/>
    <w:p w14:paraId="56FAD572" w14:textId="77777777" w:rsidR="00092CDA" w:rsidRDefault="00092CDA" w:rsidP="00690206"/>
    <w:p w14:paraId="1FA405FD" w14:textId="730402BD" w:rsidR="00051ED9" w:rsidRDefault="00051ED9" w:rsidP="007E252F"/>
    <w:sectPr w:rsidR="00051ED9" w:rsidSect="0054272D">
      <w:footerReference w:type="even" r:id="rId134"/>
      <w:footerReference w:type="default" r:id="rId135"/>
      <w:headerReference w:type="first" r:id="rId13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2FE7E" w14:textId="77777777" w:rsidR="001D40ED" w:rsidRDefault="001D40ED">
      <w:r>
        <w:separator/>
      </w:r>
    </w:p>
  </w:endnote>
  <w:endnote w:type="continuationSeparator" w:id="0">
    <w:p w14:paraId="516A62C5" w14:textId="77777777" w:rsidR="001D40ED" w:rsidRDefault="001D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750A" w14:textId="7F22D5C0" w:rsidR="000D5CF1" w:rsidRDefault="000D5CF1" w:rsidP="009117E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210AC100" w14:textId="77777777" w:rsidR="000D5CF1" w:rsidRDefault="000D5CF1" w:rsidP="00B67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27749"/>
      <w:docPartObj>
        <w:docPartGallery w:val="Page Numbers (Bottom of Page)"/>
        <w:docPartUnique/>
      </w:docPartObj>
    </w:sdtPr>
    <w:sdtEndPr/>
    <w:sdtContent>
      <w:sdt>
        <w:sdtPr>
          <w:id w:val="-1705238520"/>
          <w:docPartObj>
            <w:docPartGallery w:val="Page Numbers (Top of Page)"/>
            <w:docPartUnique/>
          </w:docPartObj>
        </w:sdtPr>
        <w:sdtEndPr/>
        <w:sdtContent>
          <w:p w14:paraId="0E195107" w14:textId="70724DE0" w:rsidR="000D5CF1" w:rsidRDefault="009117ED" w:rsidP="009117ED">
            <w:pPr>
              <w:pStyle w:val="Footer"/>
              <w:framePr w:wrap="around" w:vAnchor="text" w:hAnchor="margin" w:xAlign="center" w:y="1"/>
              <w:jc w:val="right"/>
              <w:rPr>
                <w:rStyle w:val="PageNumber"/>
              </w:rPr>
            </w:pPr>
            <w:r>
              <w:t xml:space="preserve">Page </w:t>
            </w:r>
            <w:r>
              <w:rPr>
                <w:b/>
                <w:bCs/>
                <w:sz w:val="24"/>
              </w:rPr>
              <w:fldChar w:fldCharType="begin"/>
            </w:r>
            <w:r>
              <w:rPr>
                <w:b/>
                <w:bCs/>
              </w:rPr>
              <w:instrText xml:space="preserve"> PAGE </w:instrText>
            </w:r>
            <w:r>
              <w:rPr>
                <w:b/>
                <w:bCs/>
                <w:sz w:val="24"/>
              </w:rPr>
              <w:fldChar w:fldCharType="separate"/>
            </w:r>
            <w:r w:rsidR="001449EF">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449EF">
              <w:rPr>
                <w:b/>
                <w:bCs/>
                <w:noProof/>
              </w:rPr>
              <w:t>37</w:t>
            </w:r>
            <w:r>
              <w:rPr>
                <w:b/>
                <w:bCs/>
                <w:sz w:val="24"/>
              </w:rPr>
              <w:fldChar w:fldCharType="end"/>
            </w:r>
          </w:p>
        </w:sdtContent>
      </w:sdt>
    </w:sdtContent>
  </w:sdt>
  <w:p w14:paraId="7C4636D5" w14:textId="77777777" w:rsidR="000D5CF1" w:rsidRDefault="000D5CF1" w:rsidP="00B671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6C2E" w14:textId="77777777" w:rsidR="001D40ED" w:rsidRDefault="001D40ED">
      <w:r>
        <w:separator/>
      </w:r>
    </w:p>
  </w:footnote>
  <w:footnote w:type="continuationSeparator" w:id="0">
    <w:p w14:paraId="6AFD329E" w14:textId="77777777" w:rsidR="001D40ED" w:rsidRDefault="001D40ED">
      <w:r>
        <w:continuationSeparator/>
      </w:r>
    </w:p>
  </w:footnote>
  <w:footnote w:id="1">
    <w:p w14:paraId="2DB0AC57" w14:textId="77777777" w:rsidR="000D5CF1" w:rsidRDefault="000D5CF1" w:rsidP="007E252F">
      <w:pPr>
        <w:pStyle w:val="FootnoteText"/>
      </w:pPr>
      <w:r>
        <w:rPr>
          <w:rStyle w:val="FootnoteReference"/>
        </w:rPr>
        <w:footnoteRef/>
      </w:r>
      <w:r>
        <w:t xml:space="preserve"> The Poisons Standard is available at </w:t>
      </w:r>
      <w:hyperlink r:id="rId1" w:history="1">
        <w:r w:rsidRPr="007C4F19">
          <w:rPr>
            <w:rStyle w:val="Hyperlink"/>
          </w:rPr>
          <w:t>https://www.legislation.gov.au/Details/F2021L01345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B202" w14:textId="42295653" w:rsidR="000D5CF1" w:rsidRDefault="000D5CF1">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ABD"/>
    <w:multiLevelType w:val="hybridMultilevel"/>
    <w:tmpl w:val="917E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B2D436E"/>
    <w:multiLevelType w:val="hybridMultilevel"/>
    <w:tmpl w:val="18E8D740"/>
    <w:lvl w:ilvl="0" w:tplc="DACA17D2">
      <w:start w:val="1"/>
      <w:numFmt w:val="bullet"/>
      <w:lvlText w:val=""/>
      <w:lvlJc w:val="left"/>
      <w:pPr>
        <w:ind w:left="567" w:hanging="283"/>
      </w:pPr>
      <w:rPr>
        <w:rFonts w:ascii="Symbol" w:hAnsi="Symbol" w:hint="default"/>
      </w:rPr>
    </w:lvl>
    <w:lvl w:ilvl="1" w:tplc="ECA86F5A">
      <w:start w:val="1"/>
      <w:numFmt w:val="bullet"/>
      <w:lvlText w:val="o"/>
      <w:lvlJc w:val="left"/>
      <w:pPr>
        <w:ind w:left="1134"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025F5"/>
    <w:multiLevelType w:val="multilevel"/>
    <w:tmpl w:val="35A8F564"/>
    <w:lvl w:ilvl="0">
      <w:start w:val="2"/>
      <w:numFmt w:val="decimal"/>
      <w:lvlText w:val="%1"/>
      <w:lvlJc w:val="left"/>
      <w:pPr>
        <w:ind w:left="855" w:hanging="855"/>
      </w:pPr>
      <w:rPr>
        <w:rFonts w:hint="default"/>
      </w:rPr>
    </w:lvl>
    <w:lvl w:ilvl="1">
      <w:start w:val="1"/>
      <w:numFmt w:val="decimal"/>
      <w:lvlText w:val="%1.%2"/>
      <w:lvlJc w:val="left"/>
      <w:pPr>
        <w:ind w:left="3266"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C6D28"/>
    <w:multiLevelType w:val="hybridMultilevel"/>
    <w:tmpl w:val="A4B68B96"/>
    <w:lvl w:ilvl="0" w:tplc="08090001">
      <w:start w:val="1"/>
      <w:numFmt w:val="bullet"/>
      <w:lvlText w:val=""/>
      <w:lvlJc w:val="left"/>
      <w:pPr>
        <w:ind w:left="720" w:hanging="360"/>
      </w:pPr>
      <w:rPr>
        <w:rFonts w:ascii="Symbol" w:hAnsi="Symbol" w:hint="default"/>
      </w:rPr>
    </w:lvl>
    <w:lvl w:ilvl="1" w:tplc="A60A3DC0">
      <w:numFmt w:val="bullet"/>
      <w:lvlText w:val="•"/>
      <w:lvlJc w:val="left"/>
      <w:pPr>
        <w:ind w:left="1440" w:hanging="360"/>
      </w:pPr>
      <w:rPr>
        <w:rFonts w:ascii="Arial" w:eastAsia="Times New Roman" w:hAnsi="Aria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964796"/>
    <w:multiLevelType w:val="multilevel"/>
    <w:tmpl w:val="99D025B6"/>
    <w:lvl w:ilvl="0">
      <w:start w:val="5"/>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034BDB"/>
    <w:multiLevelType w:val="hybridMultilevel"/>
    <w:tmpl w:val="BBDE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C6115C"/>
    <w:multiLevelType w:val="hybridMultilevel"/>
    <w:tmpl w:val="C088B19C"/>
    <w:lvl w:ilvl="0" w:tplc="3542B17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54616E"/>
    <w:multiLevelType w:val="hybridMultilevel"/>
    <w:tmpl w:val="27D0B180"/>
    <w:lvl w:ilvl="0" w:tplc="4C2EEFF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F0729"/>
    <w:multiLevelType w:val="multilevel"/>
    <w:tmpl w:val="1F80CA2E"/>
    <w:lvl w:ilvl="0">
      <w:start w:val="3"/>
      <w:numFmt w:val="decimal"/>
      <w:lvlText w:val="%1"/>
      <w:lvlJc w:val="left"/>
      <w:pPr>
        <w:ind w:left="855" w:hanging="855"/>
      </w:pPr>
      <w:rPr>
        <w:rFonts w:hint="default"/>
      </w:rPr>
    </w:lvl>
    <w:lvl w:ilvl="1">
      <w:start w:val="1"/>
      <w:numFmt w:val="decimal"/>
      <w:lvlText w:val="%1.%2"/>
      <w:lvlJc w:val="left"/>
      <w:pPr>
        <w:ind w:left="3266"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1"/>
  </w:num>
  <w:num w:numId="4">
    <w:abstractNumId w:val="3"/>
  </w:num>
  <w:num w:numId="5">
    <w:abstractNumId w:val="7"/>
  </w:num>
  <w:num w:numId="6">
    <w:abstractNumId w:val="9"/>
  </w:num>
  <w:num w:numId="7">
    <w:abstractNumId w:val="8"/>
  </w:num>
  <w:num w:numId="8">
    <w:abstractNumId w:val="2"/>
  </w:num>
  <w:num w:numId="9">
    <w:abstractNumId w:val="0"/>
  </w:num>
  <w:num w:numId="10">
    <w:abstractNumId w:val="5"/>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CF2"/>
    <w:rsid w:val="0000247B"/>
    <w:rsid w:val="0000469B"/>
    <w:rsid w:val="00035FF3"/>
    <w:rsid w:val="00051021"/>
    <w:rsid w:val="00051ED9"/>
    <w:rsid w:val="00057181"/>
    <w:rsid w:val="0006473A"/>
    <w:rsid w:val="00064B2D"/>
    <w:rsid w:val="00065F1F"/>
    <w:rsid w:val="00076D33"/>
    <w:rsid w:val="0008510D"/>
    <w:rsid w:val="00092CDA"/>
    <w:rsid w:val="000A27E9"/>
    <w:rsid w:val="000A3D8B"/>
    <w:rsid w:val="000A5DF8"/>
    <w:rsid w:val="000B6AF2"/>
    <w:rsid w:val="000D5CF1"/>
    <w:rsid w:val="000D6FD4"/>
    <w:rsid w:val="000E0AE4"/>
    <w:rsid w:val="000E3DBC"/>
    <w:rsid w:val="00113CE3"/>
    <w:rsid w:val="00117522"/>
    <w:rsid w:val="001449EF"/>
    <w:rsid w:val="001542D8"/>
    <w:rsid w:val="00180C41"/>
    <w:rsid w:val="00182C4C"/>
    <w:rsid w:val="00197D8D"/>
    <w:rsid w:val="001A1A75"/>
    <w:rsid w:val="001A7E9A"/>
    <w:rsid w:val="001C27A3"/>
    <w:rsid w:val="001C5295"/>
    <w:rsid w:val="001D40ED"/>
    <w:rsid w:val="001E09FA"/>
    <w:rsid w:val="001F2810"/>
    <w:rsid w:val="00203540"/>
    <w:rsid w:val="0021612B"/>
    <w:rsid w:val="0022083A"/>
    <w:rsid w:val="00221D07"/>
    <w:rsid w:val="00227E4A"/>
    <w:rsid w:val="0024582E"/>
    <w:rsid w:val="00245C56"/>
    <w:rsid w:val="002547EF"/>
    <w:rsid w:val="00256D65"/>
    <w:rsid w:val="00271F00"/>
    <w:rsid w:val="00273A80"/>
    <w:rsid w:val="0029204E"/>
    <w:rsid w:val="0029631C"/>
    <w:rsid w:val="002A0194"/>
    <w:rsid w:val="002A3314"/>
    <w:rsid w:val="002A5F8B"/>
    <w:rsid w:val="002A7F6C"/>
    <w:rsid w:val="002D6809"/>
    <w:rsid w:val="002F6488"/>
    <w:rsid w:val="00320839"/>
    <w:rsid w:val="003213F9"/>
    <w:rsid w:val="00323DBF"/>
    <w:rsid w:val="00326D85"/>
    <w:rsid w:val="003309A8"/>
    <w:rsid w:val="00332B12"/>
    <w:rsid w:val="00351B07"/>
    <w:rsid w:val="00351DD8"/>
    <w:rsid w:val="00352CF2"/>
    <w:rsid w:val="00364841"/>
    <w:rsid w:val="00371B29"/>
    <w:rsid w:val="0037656B"/>
    <w:rsid w:val="00391769"/>
    <w:rsid w:val="003953E1"/>
    <w:rsid w:val="003956B3"/>
    <w:rsid w:val="003A68BE"/>
    <w:rsid w:val="003B1805"/>
    <w:rsid w:val="003B3C9D"/>
    <w:rsid w:val="003B78E0"/>
    <w:rsid w:val="003C4969"/>
    <w:rsid w:val="003E41D5"/>
    <w:rsid w:val="003E46BA"/>
    <w:rsid w:val="003E7D22"/>
    <w:rsid w:val="003F74C1"/>
    <w:rsid w:val="00405B1A"/>
    <w:rsid w:val="00410C76"/>
    <w:rsid w:val="00411907"/>
    <w:rsid w:val="00413CA8"/>
    <w:rsid w:val="00417EE3"/>
    <w:rsid w:val="004207EB"/>
    <w:rsid w:val="00437276"/>
    <w:rsid w:val="00456B54"/>
    <w:rsid w:val="00464643"/>
    <w:rsid w:val="00486793"/>
    <w:rsid w:val="004A2037"/>
    <w:rsid w:val="004B5F2D"/>
    <w:rsid w:val="004C2CE7"/>
    <w:rsid w:val="004C3179"/>
    <w:rsid w:val="004F4F98"/>
    <w:rsid w:val="004F69F6"/>
    <w:rsid w:val="004F79AC"/>
    <w:rsid w:val="005017CF"/>
    <w:rsid w:val="005207D8"/>
    <w:rsid w:val="0053464E"/>
    <w:rsid w:val="0054272D"/>
    <w:rsid w:val="00557B44"/>
    <w:rsid w:val="00562917"/>
    <w:rsid w:val="0057615C"/>
    <w:rsid w:val="00586228"/>
    <w:rsid w:val="005A1D97"/>
    <w:rsid w:val="005A58F3"/>
    <w:rsid w:val="005B6AF4"/>
    <w:rsid w:val="005B7A73"/>
    <w:rsid w:val="005C04CB"/>
    <w:rsid w:val="005D16AD"/>
    <w:rsid w:val="005D72E1"/>
    <w:rsid w:val="005E6E16"/>
    <w:rsid w:val="005F400E"/>
    <w:rsid w:val="005F7342"/>
    <w:rsid w:val="00603A08"/>
    <w:rsid w:val="00610A3C"/>
    <w:rsid w:val="00627F48"/>
    <w:rsid w:val="00630C23"/>
    <w:rsid w:val="006460AB"/>
    <w:rsid w:val="00663FCF"/>
    <w:rsid w:val="006652A2"/>
    <w:rsid w:val="00690206"/>
    <w:rsid w:val="006937FF"/>
    <w:rsid w:val="006A48A7"/>
    <w:rsid w:val="006B4BA1"/>
    <w:rsid w:val="006B5EBE"/>
    <w:rsid w:val="006C5CF5"/>
    <w:rsid w:val="006F4A82"/>
    <w:rsid w:val="0070373B"/>
    <w:rsid w:val="00724FA4"/>
    <w:rsid w:val="00730800"/>
    <w:rsid w:val="00757548"/>
    <w:rsid w:val="007602AA"/>
    <w:rsid w:val="007652EF"/>
    <w:rsid w:val="00772BDC"/>
    <w:rsid w:val="00780792"/>
    <w:rsid w:val="00796562"/>
    <w:rsid w:val="007A44B4"/>
    <w:rsid w:val="007A7D3D"/>
    <w:rsid w:val="007B225D"/>
    <w:rsid w:val="007C174F"/>
    <w:rsid w:val="007C1C64"/>
    <w:rsid w:val="007D03EA"/>
    <w:rsid w:val="007E252F"/>
    <w:rsid w:val="007E48BC"/>
    <w:rsid w:val="007E79F7"/>
    <w:rsid w:val="007F3630"/>
    <w:rsid w:val="00807559"/>
    <w:rsid w:val="008450BC"/>
    <w:rsid w:val="0085334B"/>
    <w:rsid w:val="00870214"/>
    <w:rsid w:val="00872217"/>
    <w:rsid w:val="00885C51"/>
    <w:rsid w:val="00885EB0"/>
    <w:rsid w:val="00891F4B"/>
    <w:rsid w:val="0089264A"/>
    <w:rsid w:val="00896B85"/>
    <w:rsid w:val="008A22BE"/>
    <w:rsid w:val="008C1B36"/>
    <w:rsid w:val="008D06C6"/>
    <w:rsid w:val="008E6250"/>
    <w:rsid w:val="00902AF6"/>
    <w:rsid w:val="009117ED"/>
    <w:rsid w:val="00920249"/>
    <w:rsid w:val="00924C80"/>
    <w:rsid w:val="00932F14"/>
    <w:rsid w:val="0094247F"/>
    <w:rsid w:val="00942D60"/>
    <w:rsid w:val="00951B19"/>
    <w:rsid w:val="0096523B"/>
    <w:rsid w:val="00966EE3"/>
    <w:rsid w:val="00972D06"/>
    <w:rsid w:val="009A391C"/>
    <w:rsid w:val="009A50F2"/>
    <w:rsid w:val="009E0A61"/>
    <w:rsid w:val="009E3010"/>
    <w:rsid w:val="009F007E"/>
    <w:rsid w:val="009F7065"/>
    <w:rsid w:val="00A4175D"/>
    <w:rsid w:val="00A56DC7"/>
    <w:rsid w:val="00A74FD1"/>
    <w:rsid w:val="00A77BFA"/>
    <w:rsid w:val="00A84A58"/>
    <w:rsid w:val="00A95694"/>
    <w:rsid w:val="00AF06FC"/>
    <w:rsid w:val="00AF3391"/>
    <w:rsid w:val="00AF387F"/>
    <w:rsid w:val="00B00E7F"/>
    <w:rsid w:val="00B07105"/>
    <w:rsid w:val="00B07483"/>
    <w:rsid w:val="00B12F1E"/>
    <w:rsid w:val="00B173DA"/>
    <w:rsid w:val="00B21DCC"/>
    <w:rsid w:val="00B25F37"/>
    <w:rsid w:val="00B37BF0"/>
    <w:rsid w:val="00B44422"/>
    <w:rsid w:val="00B46EA0"/>
    <w:rsid w:val="00B671F3"/>
    <w:rsid w:val="00B731D3"/>
    <w:rsid w:val="00B839A3"/>
    <w:rsid w:val="00B902BD"/>
    <w:rsid w:val="00BA24E2"/>
    <w:rsid w:val="00BD2A39"/>
    <w:rsid w:val="00BD2E80"/>
    <w:rsid w:val="00BE11B8"/>
    <w:rsid w:val="00BF7FF0"/>
    <w:rsid w:val="00C057F4"/>
    <w:rsid w:val="00C12502"/>
    <w:rsid w:val="00C36578"/>
    <w:rsid w:val="00C40AA5"/>
    <w:rsid w:val="00C46F70"/>
    <w:rsid w:val="00C476D0"/>
    <w:rsid w:val="00C61AC1"/>
    <w:rsid w:val="00C836E3"/>
    <w:rsid w:val="00C86577"/>
    <w:rsid w:val="00C92E07"/>
    <w:rsid w:val="00C96868"/>
    <w:rsid w:val="00CA0416"/>
    <w:rsid w:val="00CA641D"/>
    <w:rsid w:val="00CC560B"/>
    <w:rsid w:val="00CC75E2"/>
    <w:rsid w:val="00CD46EB"/>
    <w:rsid w:val="00CD7EBF"/>
    <w:rsid w:val="00CF7BEA"/>
    <w:rsid w:val="00D056F1"/>
    <w:rsid w:val="00D11171"/>
    <w:rsid w:val="00D22F3C"/>
    <w:rsid w:val="00D23DB6"/>
    <w:rsid w:val="00D43FE6"/>
    <w:rsid w:val="00D51A95"/>
    <w:rsid w:val="00D60568"/>
    <w:rsid w:val="00D70C7A"/>
    <w:rsid w:val="00D81D38"/>
    <w:rsid w:val="00D9620E"/>
    <w:rsid w:val="00DA10A8"/>
    <w:rsid w:val="00DB1E08"/>
    <w:rsid w:val="00DB2973"/>
    <w:rsid w:val="00DC1B56"/>
    <w:rsid w:val="00DC2129"/>
    <w:rsid w:val="00DC2CAF"/>
    <w:rsid w:val="00DC6570"/>
    <w:rsid w:val="00DD3C5E"/>
    <w:rsid w:val="00DF25C3"/>
    <w:rsid w:val="00E04062"/>
    <w:rsid w:val="00E063C6"/>
    <w:rsid w:val="00E066BA"/>
    <w:rsid w:val="00E2003B"/>
    <w:rsid w:val="00E203C2"/>
    <w:rsid w:val="00E279D8"/>
    <w:rsid w:val="00E319B1"/>
    <w:rsid w:val="00E44E0D"/>
    <w:rsid w:val="00E5492F"/>
    <w:rsid w:val="00E62DEF"/>
    <w:rsid w:val="00E70A86"/>
    <w:rsid w:val="00E777EC"/>
    <w:rsid w:val="00E80FCD"/>
    <w:rsid w:val="00EA7F2F"/>
    <w:rsid w:val="00EC00DE"/>
    <w:rsid w:val="00EC30E1"/>
    <w:rsid w:val="00ED172A"/>
    <w:rsid w:val="00F11F6C"/>
    <w:rsid w:val="00F14BEC"/>
    <w:rsid w:val="00F21E21"/>
    <w:rsid w:val="00F225C5"/>
    <w:rsid w:val="00F2587A"/>
    <w:rsid w:val="00F3715D"/>
    <w:rsid w:val="00F420C8"/>
    <w:rsid w:val="00F42A4C"/>
    <w:rsid w:val="00F604DE"/>
    <w:rsid w:val="00FA01B2"/>
    <w:rsid w:val="00FB7512"/>
    <w:rsid w:val="00FD7547"/>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2E9F72"/>
  <w15:docId w15:val="{3DD2E75F-8C32-49E6-BAB5-E1CF1179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6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06473A"/>
    <w:pPr>
      <w:keepNext/>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53464E"/>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06473A"/>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53464E"/>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uiPriority w:val="99"/>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B25F37"/>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basedOn w:val="Normal"/>
    <w:link w:val="FooterChar"/>
    <w:uiPriority w:val="99"/>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
    <w:basedOn w:val="Normal"/>
    <w:link w:val="FootnoteTextChar"/>
    <w:qFormat/>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qFormat/>
    <w:rsid w:val="0029631C"/>
    <w:pPr>
      <w:widowControl/>
      <w:numPr>
        <w:numId w:val="1"/>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uiPriority w:val="6"/>
    <w:qFormat/>
    <w:rsid w:val="0029631C"/>
    <w:pPr>
      <w:widowControl/>
      <w:numPr>
        <w:numId w:val="2"/>
      </w:numPr>
      <w:ind w:left="1134" w:hanging="567"/>
    </w:pPr>
    <w:rPr>
      <w:rFonts w:eastAsia="Calibri"/>
      <w:szCs w:val="22"/>
      <w:lang w:bidi="ar-SA"/>
    </w:rPr>
  </w:style>
  <w:style w:type="paragraph" w:customStyle="1" w:styleId="FSBullet3">
    <w:name w:val="FSBullet 3"/>
    <w:basedOn w:val="Normal"/>
    <w:uiPriority w:val="6"/>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uiPriority w:val="99"/>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bidi="en-US"/>
    </w:rPr>
  </w:style>
  <w:style w:type="numbering" w:customStyle="1" w:styleId="NoList1">
    <w:name w:val="No List1"/>
    <w:next w:val="NoList"/>
    <w:uiPriority w:val="99"/>
    <w:semiHidden/>
    <w:unhideWhenUsed/>
    <w:rsid w:val="007E252F"/>
  </w:style>
  <w:style w:type="paragraph" w:customStyle="1" w:styleId="CitaviBibliographyEntry">
    <w:name w:val="Citavi Bibliography Entry"/>
    <w:basedOn w:val="Normal"/>
    <w:link w:val="CitaviBibliographyEntryChar"/>
    <w:rsid w:val="007E252F"/>
    <w:pPr>
      <w:widowControl/>
      <w:tabs>
        <w:tab w:val="left" w:pos="397"/>
      </w:tabs>
      <w:ind w:left="397" w:hanging="397"/>
    </w:pPr>
    <w:rPr>
      <w:lang w:val="en-AU"/>
    </w:rPr>
  </w:style>
  <w:style w:type="character" w:customStyle="1" w:styleId="CitaviBibliographyEntryChar">
    <w:name w:val="Citavi Bibliography Entry Char"/>
    <w:basedOn w:val="DefaultParagraphFont"/>
    <w:link w:val="CitaviBibliographyEntry"/>
    <w:rsid w:val="007E252F"/>
    <w:rPr>
      <w:rFonts w:ascii="Arial" w:hAnsi="Arial"/>
      <w:sz w:val="22"/>
      <w:szCs w:val="24"/>
      <w:lang w:val="en-AU" w:eastAsia="en-US" w:bidi="en-US"/>
    </w:rPr>
  </w:style>
  <w:style w:type="paragraph" w:customStyle="1" w:styleId="CitaviBibliographyHeading">
    <w:name w:val="Citavi Bibliography Heading"/>
    <w:basedOn w:val="Heading1"/>
    <w:link w:val="CitaviBibliographyHeadingChar"/>
    <w:rsid w:val="007E252F"/>
    <w:pPr>
      <w:widowControl/>
    </w:pPr>
    <w:rPr>
      <w:lang w:val="en-AU"/>
    </w:rPr>
  </w:style>
  <w:style w:type="character" w:customStyle="1" w:styleId="CitaviBibliographyHeadingChar">
    <w:name w:val="Citavi Bibliography Heading Char"/>
    <w:basedOn w:val="DefaultParagraphFont"/>
    <w:link w:val="CitaviBibliographyHeading"/>
    <w:rsid w:val="007E252F"/>
    <w:rPr>
      <w:rFonts w:ascii="Arial" w:hAnsi="Arial"/>
      <w:b/>
      <w:bCs/>
      <w:sz w:val="36"/>
      <w:szCs w:val="28"/>
      <w:lang w:val="en-AU" w:eastAsia="en-US"/>
    </w:rPr>
  </w:style>
  <w:style w:type="paragraph" w:customStyle="1" w:styleId="CitaviBibliographySubheading1">
    <w:name w:val="Citavi Bibliography Subheading 1"/>
    <w:basedOn w:val="Heading2"/>
    <w:link w:val="CitaviBibliographySubheading1Char"/>
    <w:rsid w:val="007E252F"/>
    <w:pPr>
      <w:widowControl/>
      <w:spacing w:before="0" w:after="0"/>
      <w:outlineLvl w:val="9"/>
    </w:pPr>
    <w:rPr>
      <w:lang w:val="en-AU"/>
    </w:rPr>
  </w:style>
  <w:style w:type="character" w:customStyle="1" w:styleId="CitaviBibliographySubheading1Char">
    <w:name w:val="Citavi Bibliography Subheading 1 Char"/>
    <w:basedOn w:val="DefaultParagraphFont"/>
    <w:link w:val="CitaviBibliographySubheading1"/>
    <w:rsid w:val="007E252F"/>
    <w:rPr>
      <w:rFonts w:ascii="Arial" w:hAnsi="Arial" w:cs="Arial"/>
      <w:b/>
      <w:bCs/>
      <w:sz w:val="28"/>
      <w:szCs w:val="22"/>
      <w:lang w:val="en-AU" w:eastAsia="en-US"/>
    </w:rPr>
  </w:style>
  <w:style w:type="paragraph" w:customStyle="1" w:styleId="CitaviBibliographySubheading2">
    <w:name w:val="Citavi Bibliography Subheading 2"/>
    <w:basedOn w:val="Heading3"/>
    <w:link w:val="CitaviBibliographySubheading2Char"/>
    <w:rsid w:val="007E252F"/>
    <w:pPr>
      <w:widowControl/>
      <w:spacing w:before="0" w:after="0"/>
      <w:ind w:left="0" w:firstLine="0"/>
      <w:outlineLvl w:val="9"/>
    </w:pPr>
  </w:style>
  <w:style w:type="character" w:customStyle="1" w:styleId="CitaviBibliographySubheading2Char">
    <w:name w:val="Citavi Bibliography Subheading 2 Char"/>
    <w:basedOn w:val="DefaultParagraphFont"/>
    <w:link w:val="CitaviBibliographySubheading2"/>
    <w:rsid w:val="007E252F"/>
    <w:rPr>
      <w:rFonts w:ascii="Arial" w:hAnsi="Arial"/>
      <w:b/>
      <w:bCs/>
      <w:color w:val="000000" w:themeColor="text1"/>
      <w:sz w:val="22"/>
      <w:szCs w:val="24"/>
      <w:lang w:eastAsia="en-AU"/>
    </w:rPr>
  </w:style>
  <w:style w:type="paragraph" w:customStyle="1" w:styleId="CitaviBibliographySubheading3">
    <w:name w:val="Citavi Bibliography Subheading 3"/>
    <w:basedOn w:val="Heading4"/>
    <w:link w:val="CitaviBibliographySubheading3Char"/>
    <w:rsid w:val="007E252F"/>
    <w:pPr>
      <w:widowControl/>
      <w:outlineLvl w:val="9"/>
    </w:pPr>
    <w:rPr>
      <w:lang w:val="en-AU"/>
    </w:rPr>
  </w:style>
  <w:style w:type="character" w:customStyle="1" w:styleId="CitaviBibliographySubheading3Char">
    <w:name w:val="Citavi Bibliography Subheading 3 Char"/>
    <w:basedOn w:val="DefaultParagraphFont"/>
    <w:link w:val="CitaviBibliographySubheading3"/>
    <w:rsid w:val="007E252F"/>
    <w:rPr>
      <w:rFonts w:ascii="Arial" w:hAnsi="Arial"/>
      <w:b/>
      <w:bCs/>
      <w:i/>
      <w:iCs/>
      <w:sz w:val="22"/>
      <w:szCs w:val="22"/>
      <w:lang w:val="en-AU" w:eastAsia="en-US"/>
    </w:rPr>
  </w:style>
  <w:style w:type="paragraph" w:customStyle="1" w:styleId="CitaviBibliographySubheading4">
    <w:name w:val="Citavi Bibliography Subheading 4"/>
    <w:basedOn w:val="Heading5"/>
    <w:link w:val="CitaviBibliographySubheading4Char"/>
    <w:rsid w:val="007E252F"/>
    <w:pPr>
      <w:widowControl/>
      <w:outlineLvl w:val="9"/>
    </w:pPr>
    <w:rPr>
      <w:lang w:val="en-AU"/>
    </w:rPr>
  </w:style>
  <w:style w:type="character" w:customStyle="1" w:styleId="CitaviBibliographySubheading4Char">
    <w:name w:val="Citavi Bibliography Subheading 4 Char"/>
    <w:basedOn w:val="DefaultParagraphFont"/>
    <w:link w:val="CitaviBibliographySubheading4"/>
    <w:rsid w:val="007E252F"/>
    <w:rPr>
      <w:rFonts w:ascii="Arial" w:hAnsi="Arial"/>
      <w:i/>
      <w:sz w:val="22"/>
      <w:szCs w:val="22"/>
      <w:lang w:val="en-AU" w:eastAsia="en-US"/>
    </w:rPr>
  </w:style>
  <w:style w:type="paragraph" w:customStyle="1" w:styleId="CitaviBibliographySubheading5">
    <w:name w:val="Citavi Bibliography Subheading 5"/>
    <w:basedOn w:val="Heading6"/>
    <w:link w:val="CitaviBibliographySubheading5Char"/>
    <w:rsid w:val="007E252F"/>
    <w:pPr>
      <w:widowControl/>
      <w:outlineLvl w:val="9"/>
    </w:pPr>
    <w:rPr>
      <w:lang w:val="en-AU" w:bidi="ar-SA"/>
    </w:rPr>
  </w:style>
  <w:style w:type="character" w:customStyle="1" w:styleId="CitaviBibliographySubheading5Char">
    <w:name w:val="Citavi Bibliography Subheading 5 Char"/>
    <w:basedOn w:val="DefaultParagraphFont"/>
    <w:link w:val="CitaviBibliographySubheading5"/>
    <w:rsid w:val="007E252F"/>
    <w:rPr>
      <w:rFonts w:ascii="Arial" w:hAnsi="Arial" w:cs="Arial Unicode MS"/>
      <w:b/>
      <w:bCs/>
      <w:sz w:val="22"/>
      <w:szCs w:val="22"/>
      <w:lang w:val="en-AU" w:eastAsia="en-US"/>
    </w:rPr>
  </w:style>
  <w:style w:type="paragraph" w:customStyle="1" w:styleId="CitaviBibliographySubheading6">
    <w:name w:val="Citavi Bibliography Subheading 6"/>
    <w:basedOn w:val="Heading7"/>
    <w:link w:val="CitaviBibliographySubheading6Char"/>
    <w:rsid w:val="007E252F"/>
    <w:pPr>
      <w:widowControl/>
      <w:outlineLvl w:val="9"/>
    </w:pPr>
    <w:rPr>
      <w:lang w:val="en-AU" w:bidi="ar-SA"/>
    </w:rPr>
  </w:style>
  <w:style w:type="character" w:customStyle="1" w:styleId="CitaviBibliographySubheading6Char">
    <w:name w:val="Citavi Bibliography Subheading 6 Char"/>
    <w:basedOn w:val="DefaultParagraphFont"/>
    <w:link w:val="CitaviBibliographySubheading6"/>
    <w:rsid w:val="007E252F"/>
    <w:rPr>
      <w:rFonts w:ascii="Arial" w:hAnsi="Arial"/>
      <w:sz w:val="22"/>
      <w:szCs w:val="24"/>
      <w:lang w:val="en-AU" w:eastAsia="en-US"/>
    </w:rPr>
  </w:style>
  <w:style w:type="paragraph" w:customStyle="1" w:styleId="CitaviBibliographySubheading7">
    <w:name w:val="Citavi Bibliography Subheading 7"/>
    <w:basedOn w:val="Heading8"/>
    <w:link w:val="CitaviBibliographySubheading7Char"/>
    <w:rsid w:val="007E252F"/>
    <w:pPr>
      <w:widowControl/>
      <w:outlineLvl w:val="9"/>
    </w:pPr>
    <w:rPr>
      <w:lang w:val="en-AU" w:bidi="ar-SA"/>
    </w:rPr>
  </w:style>
  <w:style w:type="character" w:customStyle="1" w:styleId="CitaviBibliographySubheading7Char">
    <w:name w:val="Citavi Bibliography Subheading 7 Char"/>
    <w:basedOn w:val="DefaultParagraphFont"/>
    <w:link w:val="CitaviBibliographySubheading7"/>
    <w:rsid w:val="007E252F"/>
    <w:rPr>
      <w:rFonts w:ascii="Arial" w:hAnsi="Arial"/>
      <w:i/>
      <w:iCs/>
      <w:sz w:val="22"/>
      <w:szCs w:val="24"/>
      <w:lang w:val="en-AU" w:eastAsia="en-US"/>
    </w:rPr>
  </w:style>
  <w:style w:type="paragraph" w:customStyle="1" w:styleId="CitaviBibliographySubheading8">
    <w:name w:val="Citavi Bibliography Subheading 8"/>
    <w:basedOn w:val="Heading9"/>
    <w:link w:val="CitaviBibliographySubheading8Char"/>
    <w:rsid w:val="007E252F"/>
    <w:pPr>
      <w:widowControl/>
      <w:outlineLvl w:val="9"/>
    </w:pPr>
    <w:rPr>
      <w:lang w:val="en-AU" w:bidi="ar-SA"/>
    </w:rPr>
  </w:style>
  <w:style w:type="character" w:customStyle="1" w:styleId="CitaviBibliographySubheading8Char">
    <w:name w:val="Citavi Bibliography Subheading 8 Char"/>
    <w:basedOn w:val="DefaultParagraphFont"/>
    <w:link w:val="CitaviBibliographySubheading8"/>
    <w:rsid w:val="007E252F"/>
    <w:rPr>
      <w:rFonts w:ascii="Cambria" w:hAnsi="Cambria"/>
      <w:sz w:val="22"/>
      <w:szCs w:val="22"/>
      <w:lang w:val="en-AU" w:eastAsia="en-US"/>
    </w:rPr>
  </w:style>
  <w:style w:type="paragraph" w:styleId="Bibliography">
    <w:name w:val="Bibliography"/>
    <w:basedOn w:val="Normal"/>
    <w:next w:val="Normal"/>
    <w:uiPriority w:val="37"/>
    <w:semiHidden/>
    <w:unhideWhenUsed/>
    <w:rsid w:val="007E252F"/>
    <w:pPr>
      <w:widowControl/>
    </w:pPr>
    <w:rPr>
      <w:lang w:val="en-AU"/>
    </w:rPr>
  </w:style>
  <w:style w:type="character" w:styleId="BookTitle">
    <w:name w:val="Book Title"/>
    <w:basedOn w:val="DefaultParagraphFont"/>
    <w:uiPriority w:val="33"/>
    <w:rsid w:val="007E252F"/>
    <w:rPr>
      <w:b/>
      <w:bCs/>
      <w:i/>
      <w:iCs/>
      <w:spacing w:val="5"/>
    </w:rPr>
  </w:style>
  <w:style w:type="character" w:styleId="IntenseReference">
    <w:name w:val="Intense Reference"/>
    <w:basedOn w:val="DefaultParagraphFont"/>
    <w:uiPriority w:val="32"/>
    <w:rsid w:val="007E252F"/>
    <w:rPr>
      <w:b/>
      <w:bCs/>
      <w:smallCaps/>
      <w:color w:val="4F81BD" w:themeColor="accent1"/>
      <w:spacing w:val="5"/>
    </w:rPr>
  </w:style>
  <w:style w:type="character" w:styleId="SubtleReference">
    <w:name w:val="Subtle Reference"/>
    <w:basedOn w:val="DefaultParagraphFont"/>
    <w:uiPriority w:val="31"/>
    <w:rsid w:val="007E252F"/>
    <w:rPr>
      <w:smallCaps/>
      <w:color w:val="5A5A5A" w:themeColor="text1" w:themeTint="A5"/>
    </w:rPr>
  </w:style>
  <w:style w:type="character" w:styleId="IntenseEmphasis">
    <w:name w:val="Intense Emphasis"/>
    <w:basedOn w:val="DefaultParagraphFont"/>
    <w:uiPriority w:val="21"/>
    <w:rsid w:val="007E252F"/>
    <w:rPr>
      <w:i/>
      <w:iCs/>
      <w:color w:val="4F81BD" w:themeColor="accent1"/>
    </w:rPr>
  </w:style>
  <w:style w:type="character" w:styleId="SubtleEmphasis">
    <w:name w:val="Subtle Emphasis"/>
    <w:basedOn w:val="DefaultParagraphFont"/>
    <w:uiPriority w:val="19"/>
    <w:rsid w:val="007E252F"/>
    <w:rPr>
      <w:i/>
      <w:iCs/>
      <w:color w:val="404040" w:themeColor="text1" w:themeTint="BF"/>
    </w:rPr>
  </w:style>
  <w:style w:type="paragraph" w:styleId="IntenseQuote">
    <w:name w:val="Intense Quote"/>
    <w:basedOn w:val="Normal"/>
    <w:next w:val="Normal"/>
    <w:link w:val="IntenseQuoteChar"/>
    <w:uiPriority w:val="30"/>
    <w:rsid w:val="007E252F"/>
    <w:pPr>
      <w:widowControl/>
      <w:pBdr>
        <w:top w:val="single" w:sz="4" w:space="10" w:color="4F81BD" w:themeColor="accent1"/>
        <w:bottom w:val="single" w:sz="4" w:space="10" w:color="4F81BD" w:themeColor="accent1"/>
      </w:pBdr>
      <w:spacing w:before="360" w:after="360"/>
      <w:ind w:left="864" w:right="864"/>
      <w:jc w:val="center"/>
    </w:pPr>
    <w:rPr>
      <w:i/>
      <w:iCs/>
      <w:color w:val="4F81BD" w:themeColor="accent1"/>
      <w:lang w:val="en-AU"/>
    </w:rPr>
  </w:style>
  <w:style w:type="character" w:customStyle="1" w:styleId="IntenseQuoteChar">
    <w:name w:val="Intense Quote Char"/>
    <w:basedOn w:val="DefaultParagraphFont"/>
    <w:link w:val="IntenseQuote"/>
    <w:uiPriority w:val="30"/>
    <w:rsid w:val="007E252F"/>
    <w:rPr>
      <w:rFonts w:ascii="Arial" w:hAnsi="Arial"/>
      <w:i/>
      <w:iCs/>
      <w:color w:val="4F81BD" w:themeColor="accent1"/>
      <w:sz w:val="22"/>
      <w:szCs w:val="24"/>
      <w:lang w:val="en-AU" w:eastAsia="en-US" w:bidi="en-US"/>
    </w:rPr>
  </w:style>
  <w:style w:type="paragraph" w:styleId="Quote">
    <w:name w:val="Quote"/>
    <w:basedOn w:val="Normal"/>
    <w:next w:val="Normal"/>
    <w:link w:val="QuoteChar"/>
    <w:uiPriority w:val="29"/>
    <w:rsid w:val="007E252F"/>
    <w:pPr>
      <w:widowControl/>
      <w:spacing w:before="200" w:after="160"/>
      <w:ind w:left="864" w:right="864"/>
      <w:jc w:val="center"/>
    </w:pPr>
    <w:rPr>
      <w:i/>
      <w:iCs/>
      <w:color w:val="404040" w:themeColor="text1" w:themeTint="BF"/>
      <w:lang w:val="en-AU"/>
    </w:rPr>
  </w:style>
  <w:style w:type="character" w:customStyle="1" w:styleId="QuoteChar">
    <w:name w:val="Quote Char"/>
    <w:basedOn w:val="DefaultParagraphFont"/>
    <w:link w:val="Quote"/>
    <w:uiPriority w:val="29"/>
    <w:rsid w:val="007E252F"/>
    <w:rPr>
      <w:rFonts w:ascii="Arial" w:hAnsi="Arial"/>
      <w:i/>
      <w:iCs/>
      <w:color w:val="404040" w:themeColor="text1" w:themeTint="BF"/>
      <w:sz w:val="22"/>
      <w:szCs w:val="24"/>
      <w:lang w:val="en-AU" w:eastAsia="en-US" w:bidi="en-US"/>
    </w:rPr>
  </w:style>
  <w:style w:type="paragraph" w:styleId="ListParagraph">
    <w:name w:val="List Paragraph"/>
    <w:basedOn w:val="Normal"/>
    <w:uiPriority w:val="34"/>
    <w:qFormat/>
    <w:rsid w:val="007E252F"/>
    <w:pPr>
      <w:widowControl/>
      <w:ind w:left="720"/>
      <w:contextualSpacing/>
    </w:pPr>
    <w:rPr>
      <w:lang w:val="en-AU"/>
    </w:rPr>
  </w:style>
  <w:style w:type="table" w:styleId="MediumList1-Accent1">
    <w:name w:val="Medium List 1 Accent 1"/>
    <w:basedOn w:val="TableNormal"/>
    <w:uiPriority w:val="65"/>
    <w:semiHidden/>
    <w:unhideWhenUsed/>
    <w:rsid w:val="007E25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7E25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Accent1">
    <w:name w:val="Medium Shading 1 Accent 1"/>
    <w:basedOn w:val="TableNormal"/>
    <w:uiPriority w:val="63"/>
    <w:semiHidden/>
    <w:unhideWhenUsed/>
    <w:rsid w:val="007E25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7E25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7E25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7E25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7E25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7E25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7E25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E25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7E25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7E25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7E25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7E25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7E25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7E25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
    <w:name w:val="Medium Shading 1"/>
    <w:basedOn w:val="TableNormal"/>
    <w:uiPriority w:val="63"/>
    <w:semiHidden/>
    <w:unhideWhenUsed/>
    <w:rsid w:val="007E25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7E25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7E25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7E25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rsid w:val="007E252F"/>
    <w:pPr>
      <w:widowControl w:val="0"/>
    </w:pPr>
    <w:rPr>
      <w:rFonts w:ascii="Arial" w:hAnsi="Arial"/>
      <w:sz w:val="22"/>
      <w:szCs w:val="24"/>
      <w:lang w:eastAsia="en-US" w:bidi="en-US"/>
    </w:rPr>
  </w:style>
  <w:style w:type="character" w:styleId="HTMLVariable">
    <w:name w:val="HTML Variable"/>
    <w:basedOn w:val="DefaultParagraphFont"/>
    <w:semiHidden/>
    <w:unhideWhenUsed/>
    <w:rsid w:val="007E252F"/>
    <w:rPr>
      <w:i/>
      <w:iCs/>
    </w:rPr>
  </w:style>
  <w:style w:type="character" w:styleId="HTMLTypewriter">
    <w:name w:val="HTML Typewriter"/>
    <w:basedOn w:val="DefaultParagraphFont"/>
    <w:semiHidden/>
    <w:unhideWhenUsed/>
    <w:rsid w:val="007E252F"/>
    <w:rPr>
      <w:rFonts w:ascii="Consolas" w:hAnsi="Consolas"/>
      <w:sz w:val="20"/>
      <w:szCs w:val="20"/>
    </w:rPr>
  </w:style>
  <w:style w:type="character" w:styleId="HTMLSample">
    <w:name w:val="HTML Sample"/>
    <w:basedOn w:val="DefaultParagraphFont"/>
    <w:semiHidden/>
    <w:unhideWhenUsed/>
    <w:rsid w:val="007E252F"/>
    <w:rPr>
      <w:rFonts w:ascii="Consolas" w:hAnsi="Consolas"/>
      <w:sz w:val="24"/>
      <w:szCs w:val="24"/>
    </w:rPr>
  </w:style>
  <w:style w:type="paragraph" w:styleId="HTMLPreformatted">
    <w:name w:val="HTML Preformatted"/>
    <w:basedOn w:val="Normal"/>
    <w:link w:val="HTMLPreformattedChar"/>
    <w:semiHidden/>
    <w:unhideWhenUsed/>
    <w:rsid w:val="007E252F"/>
    <w:pPr>
      <w:widowControl/>
    </w:pPr>
    <w:rPr>
      <w:rFonts w:ascii="Consolas" w:hAnsi="Consolas"/>
      <w:sz w:val="20"/>
      <w:szCs w:val="20"/>
      <w:lang w:val="en-AU"/>
    </w:rPr>
  </w:style>
  <w:style w:type="character" w:customStyle="1" w:styleId="HTMLPreformattedChar">
    <w:name w:val="HTML Preformatted Char"/>
    <w:basedOn w:val="DefaultParagraphFont"/>
    <w:link w:val="HTMLPreformatted"/>
    <w:semiHidden/>
    <w:rsid w:val="007E252F"/>
    <w:rPr>
      <w:rFonts w:ascii="Consolas" w:hAnsi="Consolas"/>
      <w:lang w:val="en-AU" w:eastAsia="en-US" w:bidi="en-US"/>
    </w:rPr>
  </w:style>
  <w:style w:type="character" w:styleId="HTMLKeyboard">
    <w:name w:val="HTML Keyboard"/>
    <w:basedOn w:val="DefaultParagraphFont"/>
    <w:semiHidden/>
    <w:unhideWhenUsed/>
    <w:rsid w:val="007E252F"/>
    <w:rPr>
      <w:rFonts w:ascii="Consolas" w:hAnsi="Consolas"/>
      <w:sz w:val="20"/>
      <w:szCs w:val="20"/>
    </w:rPr>
  </w:style>
  <w:style w:type="character" w:styleId="HTMLDefinition">
    <w:name w:val="HTML Definition"/>
    <w:basedOn w:val="DefaultParagraphFont"/>
    <w:semiHidden/>
    <w:unhideWhenUsed/>
    <w:rsid w:val="007E252F"/>
    <w:rPr>
      <w:i/>
      <w:iCs/>
    </w:rPr>
  </w:style>
  <w:style w:type="character" w:styleId="HTMLCode">
    <w:name w:val="HTML Code"/>
    <w:basedOn w:val="DefaultParagraphFont"/>
    <w:semiHidden/>
    <w:unhideWhenUsed/>
    <w:rsid w:val="007E252F"/>
    <w:rPr>
      <w:rFonts w:ascii="Consolas" w:hAnsi="Consolas"/>
      <w:sz w:val="20"/>
      <w:szCs w:val="20"/>
    </w:rPr>
  </w:style>
  <w:style w:type="character" w:styleId="HTMLCite">
    <w:name w:val="HTML Cite"/>
    <w:basedOn w:val="DefaultParagraphFont"/>
    <w:semiHidden/>
    <w:unhideWhenUsed/>
    <w:rsid w:val="007E252F"/>
    <w:rPr>
      <w:i/>
      <w:iCs/>
    </w:rPr>
  </w:style>
  <w:style w:type="paragraph" w:styleId="HTMLAddress">
    <w:name w:val="HTML Address"/>
    <w:basedOn w:val="Normal"/>
    <w:link w:val="HTMLAddressChar"/>
    <w:semiHidden/>
    <w:unhideWhenUsed/>
    <w:rsid w:val="007E252F"/>
    <w:pPr>
      <w:widowControl/>
    </w:pPr>
    <w:rPr>
      <w:i/>
      <w:iCs/>
      <w:lang w:val="en-AU"/>
    </w:rPr>
  </w:style>
  <w:style w:type="character" w:customStyle="1" w:styleId="HTMLAddressChar">
    <w:name w:val="HTML Address Char"/>
    <w:basedOn w:val="DefaultParagraphFont"/>
    <w:link w:val="HTMLAddress"/>
    <w:semiHidden/>
    <w:rsid w:val="007E252F"/>
    <w:rPr>
      <w:rFonts w:ascii="Arial" w:hAnsi="Arial"/>
      <w:i/>
      <w:iCs/>
      <w:sz w:val="22"/>
      <w:szCs w:val="24"/>
      <w:lang w:val="en-AU" w:eastAsia="en-US" w:bidi="en-US"/>
    </w:rPr>
  </w:style>
  <w:style w:type="character" w:styleId="HTMLAcronym">
    <w:name w:val="HTML Acronym"/>
    <w:basedOn w:val="DefaultParagraphFont"/>
    <w:semiHidden/>
    <w:unhideWhenUsed/>
    <w:rsid w:val="007E252F"/>
  </w:style>
  <w:style w:type="paragraph" w:styleId="NormalWeb">
    <w:name w:val="Normal (Web)"/>
    <w:basedOn w:val="Normal"/>
    <w:uiPriority w:val="99"/>
    <w:semiHidden/>
    <w:unhideWhenUsed/>
    <w:rsid w:val="007E252F"/>
    <w:pPr>
      <w:widowControl/>
    </w:pPr>
    <w:rPr>
      <w:rFonts w:ascii="Times New Roman" w:hAnsi="Times New Roman"/>
      <w:sz w:val="24"/>
      <w:lang w:val="en-AU"/>
    </w:rPr>
  </w:style>
  <w:style w:type="paragraph" w:styleId="PlainText">
    <w:name w:val="Plain Text"/>
    <w:basedOn w:val="Normal"/>
    <w:link w:val="PlainTextChar"/>
    <w:semiHidden/>
    <w:unhideWhenUsed/>
    <w:rsid w:val="007E252F"/>
    <w:pPr>
      <w:widowControl/>
    </w:pPr>
    <w:rPr>
      <w:rFonts w:ascii="Consolas" w:hAnsi="Consolas"/>
      <w:sz w:val="21"/>
      <w:szCs w:val="21"/>
      <w:lang w:val="en-AU"/>
    </w:rPr>
  </w:style>
  <w:style w:type="character" w:customStyle="1" w:styleId="PlainTextChar">
    <w:name w:val="Plain Text Char"/>
    <w:basedOn w:val="DefaultParagraphFont"/>
    <w:link w:val="PlainText"/>
    <w:semiHidden/>
    <w:rsid w:val="007E252F"/>
    <w:rPr>
      <w:rFonts w:ascii="Consolas" w:hAnsi="Consolas"/>
      <w:sz w:val="21"/>
      <w:szCs w:val="21"/>
      <w:lang w:val="en-AU" w:eastAsia="en-US" w:bidi="en-US"/>
    </w:rPr>
  </w:style>
  <w:style w:type="paragraph" w:styleId="DocumentMap">
    <w:name w:val="Document Map"/>
    <w:basedOn w:val="Normal"/>
    <w:link w:val="DocumentMapChar"/>
    <w:semiHidden/>
    <w:unhideWhenUsed/>
    <w:rsid w:val="007E252F"/>
    <w:pPr>
      <w:widowControl/>
    </w:pPr>
    <w:rPr>
      <w:rFonts w:ascii="Segoe UI" w:hAnsi="Segoe UI" w:cs="Segoe UI"/>
      <w:sz w:val="16"/>
      <w:szCs w:val="16"/>
      <w:lang w:val="en-AU"/>
    </w:rPr>
  </w:style>
  <w:style w:type="character" w:customStyle="1" w:styleId="DocumentMapChar">
    <w:name w:val="Document Map Char"/>
    <w:basedOn w:val="DefaultParagraphFont"/>
    <w:link w:val="DocumentMap"/>
    <w:semiHidden/>
    <w:rsid w:val="007E252F"/>
    <w:rPr>
      <w:rFonts w:ascii="Segoe UI" w:hAnsi="Segoe UI" w:cs="Segoe UI"/>
      <w:sz w:val="16"/>
      <w:szCs w:val="16"/>
      <w:lang w:val="en-AU" w:eastAsia="en-US" w:bidi="en-US"/>
    </w:rPr>
  </w:style>
  <w:style w:type="character" w:styleId="Emphasis">
    <w:name w:val="Emphasis"/>
    <w:basedOn w:val="DefaultParagraphFont"/>
    <w:uiPriority w:val="20"/>
    <w:qFormat/>
    <w:rsid w:val="007E252F"/>
    <w:rPr>
      <w:i/>
      <w:iCs/>
    </w:rPr>
  </w:style>
  <w:style w:type="character" w:styleId="Strong">
    <w:name w:val="Strong"/>
    <w:basedOn w:val="DefaultParagraphFont"/>
    <w:uiPriority w:val="22"/>
    <w:qFormat/>
    <w:rsid w:val="007E252F"/>
    <w:rPr>
      <w:b/>
      <w:bCs/>
    </w:rPr>
  </w:style>
  <w:style w:type="paragraph" w:styleId="BlockText">
    <w:name w:val="Block Text"/>
    <w:basedOn w:val="Normal"/>
    <w:semiHidden/>
    <w:unhideWhenUsed/>
    <w:rsid w:val="007E252F"/>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en-AU"/>
    </w:rPr>
  </w:style>
  <w:style w:type="paragraph" w:styleId="BodyTextIndent3">
    <w:name w:val="Body Text Indent 3"/>
    <w:basedOn w:val="Normal"/>
    <w:link w:val="BodyTextIndent3Char"/>
    <w:semiHidden/>
    <w:unhideWhenUsed/>
    <w:rsid w:val="007E252F"/>
    <w:pPr>
      <w:widowControl/>
      <w:spacing w:after="120"/>
      <w:ind w:left="283"/>
    </w:pPr>
    <w:rPr>
      <w:sz w:val="16"/>
      <w:szCs w:val="16"/>
      <w:lang w:val="en-AU"/>
    </w:rPr>
  </w:style>
  <w:style w:type="character" w:customStyle="1" w:styleId="BodyTextIndent3Char">
    <w:name w:val="Body Text Indent 3 Char"/>
    <w:basedOn w:val="DefaultParagraphFont"/>
    <w:link w:val="BodyTextIndent3"/>
    <w:semiHidden/>
    <w:rsid w:val="007E252F"/>
    <w:rPr>
      <w:rFonts w:ascii="Arial" w:hAnsi="Arial"/>
      <w:sz w:val="16"/>
      <w:szCs w:val="16"/>
      <w:lang w:val="en-AU" w:eastAsia="en-US" w:bidi="en-US"/>
    </w:rPr>
  </w:style>
  <w:style w:type="paragraph" w:styleId="BodyTextIndent2">
    <w:name w:val="Body Text Indent 2"/>
    <w:basedOn w:val="Normal"/>
    <w:link w:val="BodyTextIndent2Char"/>
    <w:semiHidden/>
    <w:unhideWhenUsed/>
    <w:rsid w:val="007E252F"/>
    <w:pPr>
      <w:widowControl/>
      <w:spacing w:after="120" w:line="480" w:lineRule="auto"/>
      <w:ind w:left="283"/>
    </w:pPr>
    <w:rPr>
      <w:lang w:val="en-AU"/>
    </w:rPr>
  </w:style>
  <w:style w:type="character" w:customStyle="1" w:styleId="BodyTextIndent2Char">
    <w:name w:val="Body Text Indent 2 Char"/>
    <w:basedOn w:val="DefaultParagraphFont"/>
    <w:link w:val="BodyTextIndent2"/>
    <w:semiHidden/>
    <w:rsid w:val="007E252F"/>
    <w:rPr>
      <w:rFonts w:ascii="Arial" w:hAnsi="Arial"/>
      <w:sz w:val="22"/>
      <w:szCs w:val="24"/>
      <w:lang w:val="en-AU" w:eastAsia="en-US" w:bidi="en-US"/>
    </w:rPr>
  </w:style>
  <w:style w:type="paragraph" w:styleId="BodyText3">
    <w:name w:val="Body Text 3"/>
    <w:basedOn w:val="Normal"/>
    <w:link w:val="BodyText3Char"/>
    <w:semiHidden/>
    <w:unhideWhenUsed/>
    <w:rsid w:val="007E252F"/>
    <w:pPr>
      <w:widowControl/>
      <w:spacing w:after="120"/>
    </w:pPr>
    <w:rPr>
      <w:sz w:val="16"/>
      <w:szCs w:val="16"/>
      <w:lang w:val="en-AU"/>
    </w:rPr>
  </w:style>
  <w:style w:type="character" w:customStyle="1" w:styleId="BodyText3Char">
    <w:name w:val="Body Text 3 Char"/>
    <w:basedOn w:val="DefaultParagraphFont"/>
    <w:link w:val="BodyText3"/>
    <w:semiHidden/>
    <w:rsid w:val="007E252F"/>
    <w:rPr>
      <w:rFonts w:ascii="Arial" w:hAnsi="Arial"/>
      <w:sz w:val="16"/>
      <w:szCs w:val="16"/>
      <w:lang w:val="en-AU" w:eastAsia="en-US" w:bidi="en-US"/>
    </w:rPr>
  </w:style>
  <w:style w:type="paragraph" w:styleId="BodyText2">
    <w:name w:val="Body Text 2"/>
    <w:basedOn w:val="Normal"/>
    <w:link w:val="BodyText2Char"/>
    <w:semiHidden/>
    <w:unhideWhenUsed/>
    <w:rsid w:val="007E252F"/>
    <w:pPr>
      <w:widowControl/>
      <w:spacing w:after="120" w:line="480" w:lineRule="auto"/>
    </w:pPr>
    <w:rPr>
      <w:lang w:val="en-AU"/>
    </w:rPr>
  </w:style>
  <w:style w:type="character" w:customStyle="1" w:styleId="BodyText2Char">
    <w:name w:val="Body Text 2 Char"/>
    <w:basedOn w:val="DefaultParagraphFont"/>
    <w:link w:val="BodyText2"/>
    <w:semiHidden/>
    <w:rsid w:val="007E252F"/>
    <w:rPr>
      <w:rFonts w:ascii="Arial" w:hAnsi="Arial"/>
      <w:sz w:val="22"/>
      <w:szCs w:val="24"/>
      <w:lang w:val="en-AU" w:eastAsia="en-US" w:bidi="en-US"/>
    </w:rPr>
  </w:style>
  <w:style w:type="paragraph" w:styleId="NoteHeading">
    <w:name w:val="Note Heading"/>
    <w:basedOn w:val="Normal"/>
    <w:next w:val="Normal"/>
    <w:link w:val="NoteHeadingChar"/>
    <w:semiHidden/>
    <w:unhideWhenUsed/>
    <w:rsid w:val="007E252F"/>
    <w:pPr>
      <w:widowControl/>
    </w:pPr>
    <w:rPr>
      <w:lang w:val="en-AU"/>
    </w:rPr>
  </w:style>
  <w:style w:type="character" w:customStyle="1" w:styleId="NoteHeadingChar">
    <w:name w:val="Note Heading Char"/>
    <w:basedOn w:val="DefaultParagraphFont"/>
    <w:link w:val="NoteHeading"/>
    <w:semiHidden/>
    <w:rsid w:val="007E252F"/>
    <w:rPr>
      <w:rFonts w:ascii="Arial" w:hAnsi="Arial"/>
      <w:sz w:val="22"/>
      <w:szCs w:val="24"/>
      <w:lang w:val="en-AU" w:eastAsia="en-US" w:bidi="en-US"/>
    </w:rPr>
  </w:style>
  <w:style w:type="paragraph" w:styleId="BodyTextIndent">
    <w:name w:val="Body Text Indent"/>
    <w:basedOn w:val="Normal"/>
    <w:link w:val="BodyTextIndentChar"/>
    <w:semiHidden/>
    <w:unhideWhenUsed/>
    <w:rsid w:val="007E252F"/>
    <w:pPr>
      <w:widowControl/>
      <w:spacing w:after="120"/>
      <w:ind w:left="283"/>
    </w:pPr>
    <w:rPr>
      <w:lang w:val="en-AU"/>
    </w:rPr>
  </w:style>
  <w:style w:type="character" w:customStyle="1" w:styleId="BodyTextIndentChar">
    <w:name w:val="Body Text Indent Char"/>
    <w:basedOn w:val="DefaultParagraphFont"/>
    <w:link w:val="BodyTextIndent"/>
    <w:semiHidden/>
    <w:rsid w:val="007E252F"/>
    <w:rPr>
      <w:rFonts w:ascii="Arial" w:hAnsi="Arial"/>
      <w:sz w:val="22"/>
      <w:szCs w:val="24"/>
      <w:lang w:val="en-AU" w:eastAsia="en-US" w:bidi="en-US"/>
    </w:rPr>
  </w:style>
  <w:style w:type="paragraph" w:styleId="BodyTextFirstIndent2">
    <w:name w:val="Body Text First Indent 2"/>
    <w:basedOn w:val="BodyTextIndent"/>
    <w:link w:val="BodyTextFirstIndent2Char"/>
    <w:semiHidden/>
    <w:unhideWhenUsed/>
    <w:rsid w:val="007E252F"/>
    <w:pPr>
      <w:spacing w:after="0"/>
      <w:ind w:left="360" w:firstLine="360"/>
    </w:pPr>
  </w:style>
  <w:style w:type="character" w:customStyle="1" w:styleId="BodyTextFirstIndent2Char">
    <w:name w:val="Body Text First Indent 2 Char"/>
    <w:basedOn w:val="BodyTextIndentChar"/>
    <w:link w:val="BodyTextFirstIndent2"/>
    <w:semiHidden/>
    <w:rsid w:val="007E252F"/>
    <w:rPr>
      <w:rFonts w:ascii="Arial" w:hAnsi="Arial"/>
      <w:sz w:val="22"/>
      <w:szCs w:val="24"/>
      <w:lang w:val="en-AU" w:eastAsia="en-US" w:bidi="en-US"/>
    </w:rPr>
  </w:style>
  <w:style w:type="paragraph" w:styleId="BodyText">
    <w:name w:val="Body Text"/>
    <w:basedOn w:val="Normal"/>
    <w:link w:val="BodyTextChar"/>
    <w:semiHidden/>
    <w:unhideWhenUsed/>
    <w:rsid w:val="007E252F"/>
    <w:pPr>
      <w:widowControl/>
      <w:spacing w:after="120"/>
    </w:pPr>
    <w:rPr>
      <w:lang w:val="en-AU"/>
    </w:rPr>
  </w:style>
  <w:style w:type="character" w:customStyle="1" w:styleId="BodyTextChar">
    <w:name w:val="Body Text Char"/>
    <w:basedOn w:val="DefaultParagraphFont"/>
    <w:link w:val="BodyText"/>
    <w:semiHidden/>
    <w:rsid w:val="007E252F"/>
    <w:rPr>
      <w:rFonts w:ascii="Arial" w:hAnsi="Arial"/>
      <w:sz w:val="22"/>
      <w:szCs w:val="24"/>
      <w:lang w:val="en-AU" w:eastAsia="en-US" w:bidi="en-US"/>
    </w:rPr>
  </w:style>
  <w:style w:type="paragraph" w:styleId="BodyTextFirstIndent">
    <w:name w:val="Body Text First Indent"/>
    <w:basedOn w:val="BodyText"/>
    <w:link w:val="BodyTextFirstIndentChar"/>
    <w:rsid w:val="007E252F"/>
    <w:pPr>
      <w:spacing w:after="0"/>
      <w:ind w:firstLine="360"/>
    </w:pPr>
  </w:style>
  <w:style w:type="character" w:customStyle="1" w:styleId="BodyTextFirstIndentChar">
    <w:name w:val="Body Text First Indent Char"/>
    <w:basedOn w:val="BodyTextChar"/>
    <w:link w:val="BodyTextFirstIndent"/>
    <w:rsid w:val="007E252F"/>
    <w:rPr>
      <w:rFonts w:ascii="Arial" w:hAnsi="Arial"/>
      <w:sz w:val="22"/>
      <w:szCs w:val="24"/>
      <w:lang w:val="en-AU" w:eastAsia="en-US" w:bidi="en-US"/>
    </w:rPr>
  </w:style>
  <w:style w:type="paragraph" w:styleId="Date">
    <w:name w:val="Date"/>
    <w:basedOn w:val="Normal"/>
    <w:next w:val="Normal"/>
    <w:link w:val="DateChar"/>
    <w:rsid w:val="007E252F"/>
    <w:pPr>
      <w:widowControl/>
    </w:pPr>
    <w:rPr>
      <w:lang w:val="en-AU"/>
    </w:rPr>
  </w:style>
  <w:style w:type="character" w:customStyle="1" w:styleId="DateChar">
    <w:name w:val="Date Char"/>
    <w:basedOn w:val="DefaultParagraphFont"/>
    <w:link w:val="Date"/>
    <w:rsid w:val="007E252F"/>
    <w:rPr>
      <w:rFonts w:ascii="Arial" w:hAnsi="Arial"/>
      <w:sz w:val="22"/>
      <w:szCs w:val="24"/>
      <w:lang w:val="en-AU" w:eastAsia="en-US" w:bidi="en-US"/>
    </w:rPr>
  </w:style>
  <w:style w:type="paragraph" w:styleId="Salutation">
    <w:name w:val="Salutation"/>
    <w:basedOn w:val="Normal"/>
    <w:next w:val="Normal"/>
    <w:link w:val="SalutationChar"/>
    <w:rsid w:val="007E252F"/>
    <w:pPr>
      <w:widowControl/>
    </w:pPr>
    <w:rPr>
      <w:lang w:val="en-AU"/>
    </w:rPr>
  </w:style>
  <w:style w:type="character" w:customStyle="1" w:styleId="SalutationChar">
    <w:name w:val="Salutation Char"/>
    <w:basedOn w:val="DefaultParagraphFont"/>
    <w:link w:val="Salutation"/>
    <w:rsid w:val="007E252F"/>
    <w:rPr>
      <w:rFonts w:ascii="Arial" w:hAnsi="Arial"/>
      <w:sz w:val="22"/>
      <w:szCs w:val="24"/>
      <w:lang w:val="en-AU" w:eastAsia="en-US" w:bidi="en-US"/>
    </w:rPr>
  </w:style>
  <w:style w:type="paragraph" w:styleId="Subtitle">
    <w:name w:val="Subtitle"/>
    <w:basedOn w:val="Normal"/>
    <w:next w:val="Normal"/>
    <w:link w:val="SubtitleChar"/>
    <w:uiPriority w:val="11"/>
    <w:rsid w:val="007E252F"/>
    <w:pPr>
      <w:widowControl/>
      <w:numPr>
        <w:ilvl w:val="1"/>
      </w:numPr>
      <w:spacing w:after="160"/>
    </w:pPr>
    <w:rPr>
      <w:rFonts w:asciiTheme="minorHAnsi" w:eastAsiaTheme="minorEastAsia" w:hAnsiTheme="minorHAnsi" w:cstheme="minorBidi"/>
      <w:color w:val="5A5A5A" w:themeColor="text1" w:themeTint="A5"/>
      <w:spacing w:val="15"/>
      <w:szCs w:val="22"/>
      <w:lang w:val="en-AU"/>
    </w:rPr>
  </w:style>
  <w:style w:type="character" w:customStyle="1" w:styleId="SubtitleChar">
    <w:name w:val="Subtitle Char"/>
    <w:basedOn w:val="DefaultParagraphFont"/>
    <w:link w:val="Subtitle"/>
    <w:uiPriority w:val="11"/>
    <w:rsid w:val="007E252F"/>
    <w:rPr>
      <w:rFonts w:asciiTheme="minorHAnsi" w:eastAsiaTheme="minorEastAsia" w:hAnsiTheme="minorHAnsi" w:cstheme="minorBidi"/>
      <w:color w:val="5A5A5A" w:themeColor="text1" w:themeTint="A5"/>
      <w:spacing w:val="15"/>
      <w:sz w:val="22"/>
      <w:szCs w:val="22"/>
      <w:lang w:val="en-AU" w:eastAsia="en-US" w:bidi="en-US"/>
    </w:rPr>
  </w:style>
  <w:style w:type="paragraph" w:styleId="MessageHeader">
    <w:name w:val="Message Header"/>
    <w:basedOn w:val="Normal"/>
    <w:link w:val="MessageHeaderChar"/>
    <w:semiHidden/>
    <w:unhideWhenUsed/>
    <w:rsid w:val="007E252F"/>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en-AU"/>
    </w:rPr>
  </w:style>
  <w:style w:type="character" w:customStyle="1" w:styleId="MessageHeaderChar">
    <w:name w:val="Message Header Char"/>
    <w:basedOn w:val="DefaultParagraphFont"/>
    <w:link w:val="MessageHeader"/>
    <w:semiHidden/>
    <w:rsid w:val="007E252F"/>
    <w:rPr>
      <w:rFonts w:asciiTheme="majorHAnsi" w:eastAsiaTheme="majorEastAsia" w:hAnsiTheme="majorHAnsi" w:cstheme="majorBidi"/>
      <w:sz w:val="24"/>
      <w:szCs w:val="24"/>
      <w:shd w:val="pct20" w:color="auto" w:fill="auto"/>
      <w:lang w:val="en-AU" w:eastAsia="en-US" w:bidi="en-US"/>
    </w:rPr>
  </w:style>
  <w:style w:type="paragraph" w:styleId="ListContinue5">
    <w:name w:val="List Continue 5"/>
    <w:basedOn w:val="Normal"/>
    <w:semiHidden/>
    <w:unhideWhenUsed/>
    <w:rsid w:val="007E252F"/>
    <w:pPr>
      <w:widowControl/>
      <w:spacing w:after="120"/>
      <w:ind w:left="1415"/>
      <w:contextualSpacing/>
    </w:pPr>
    <w:rPr>
      <w:lang w:val="en-AU"/>
    </w:rPr>
  </w:style>
  <w:style w:type="paragraph" w:styleId="ListContinue4">
    <w:name w:val="List Continue 4"/>
    <w:basedOn w:val="Normal"/>
    <w:semiHidden/>
    <w:unhideWhenUsed/>
    <w:rsid w:val="007E252F"/>
    <w:pPr>
      <w:widowControl/>
      <w:spacing w:after="120"/>
      <w:ind w:left="1132"/>
      <w:contextualSpacing/>
    </w:pPr>
    <w:rPr>
      <w:lang w:val="en-AU"/>
    </w:rPr>
  </w:style>
  <w:style w:type="paragraph" w:styleId="ListContinue3">
    <w:name w:val="List Continue 3"/>
    <w:basedOn w:val="Normal"/>
    <w:semiHidden/>
    <w:unhideWhenUsed/>
    <w:rsid w:val="007E252F"/>
    <w:pPr>
      <w:widowControl/>
      <w:spacing w:after="120"/>
      <w:ind w:left="849"/>
      <w:contextualSpacing/>
    </w:pPr>
    <w:rPr>
      <w:lang w:val="en-AU"/>
    </w:rPr>
  </w:style>
  <w:style w:type="paragraph" w:styleId="ListContinue2">
    <w:name w:val="List Continue 2"/>
    <w:basedOn w:val="Normal"/>
    <w:semiHidden/>
    <w:unhideWhenUsed/>
    <w:rsid w:val="007E252F"/>
    <w:pPr>
      <w:widowControl/>
      <w:spacing w:after="120"/>
      <w:ind w:left="566"/>
      <w:contextualSpacing/>
    </w:pPr>
    <w:rPr>
      <w:lang w:val="en-AU"/>
    </w:rPr>
  </w:style>
  <w:style w:type="paragraph" w:styleId="ListContinue">
    <w:name w:val="List Continue"/>
    <w:basedOn w:val="Normal"/>
    <w:semiHidden/>
    <w:unhideWhenUsed/>
    <w:rsid w:val="007E252F"/>
    <w:pPr>
      <w:widowControl/>
      <w:spacing w:after="120"/>
      <w:ind w:left="283"/>
      <w:contextualSpacing/>
    </w:pPr>
    <w:rPr>
      <w:lang w:val="en-AU"/>
    </w:rPr>
  </w:style>
  <w:style w:type="paragraph" w:styleId="Signature">
    <w:name w:val="Signature"/>
    <w:basedOn w:val="Normal"/>
    <w:link w:val="SignatureChar"/>
    <w:semiHidden/>
    <w:unhideWhenUsed/>
    <w:rsid w:val="007E252F"/>
    <w:pPr>
      <w:widowControl/>
      <w:ind w:left="4252"/>
    </w:pPr>
    <w:rPr>
      <w:lang w:val="en-AU"/>
    </w:rPr>
  </w:style>
  <w:style w:type="character" w:customStyle="1" w:styleId="SignatureChar">
    <w:name w:val="Signature Char"/>
    <w:basedOn w:val="DefaultParagraphFont"/>
    <w:link w:val="Signature"/>
    <w:semiHidden/>
    <w:rsid w:val="007E252F"/>
    <w:rPr>
      <w:rFonts w:ascii="Arial" w:hAnsi="Arial"/>
      <w:sz w:val="22"/>
      <w:szCs w:val="24"/>
      <w:lang w:val="en-AU" w:eastAsia="en-US" w:bidi="en-US"/>
    </w:rPr>
  </w:style>
  <w:style w:type="paragraph" w:styleId="Closing">
    <w:name w:val="Closing"/>
    <w:basedOn w:val="Normal"/>
    <w:link w:val="ClosingChar"/>
    <w:semiHidden/>
    <w:unhideWhenUsed/>
    <w:rsid w:val="007E252F"/>
    <w:pPr>
      <w:widowControl/>
      <w:ind w:left="4252"/>
    </w:pPr>
    <w:rPr>
      <w:lang w:val="en-AU"/>
    </w:rPr>
  </w:style>
  <w:style w:type="character" w:customStyle="1" w:styleId="ClosingChar">
    <w:name w:val="Closing Char"/>
    <w:basedOn w:val="DefaultParagraphFont"/>
    <w:link w:val="Closing"/>
    <w:semiHidden/>
    <w:rsid w:val="007E252F"/>
    <w:rPr>
      <w:rFonts w:ascii="Arial" w:hAnsi="Arial"/>
      <w:sz w:val="22"/>
      <w:szCs w:val="24"/>
      <w:lang w:val="en-AU" w:eastAsia="en-US" w:bidi="en-US"/>
    </w:rPr>
  </w:style>
  <w:style w:type="paragraph" w:styleId="Title">
    <w:name w:val="Title"/>
    <w:basedOn w:val="Normal"/>
    <w:next w:val="Normal"/>
    <w:link w:val="TitleChar"/>
    <w:uiPriority w:val="10"/>
    <w:rsid w:val="007E252F"/>
    <w:pPr>
      <w:widowControl/>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7E252F"/>
    <w:rPr>
      <w:rFonts w:asciiTheme="majorHAnsi" w:eastAsiaTheme="majorEastAsia" w:hAnsiTheme="majorHAnsi" w:cstheme="majorBidi"/>
      <w:spacing w:val="-10"/>
      <w:kern w:val="28"/>
      <w:sz w:val="56"/>
      <w:szCs w:val="56"/>
      <w:lang w:val="en-AU" w:eastAsia="en-US" w:bidi="en-US"/>
    </w:rPr>
  </w:style>
  <w:style w:type="paragraph" w:styleId="ListNumber5">
    <w:name w:val="List Number 5"/>
    <w:basedOn w:val="Normal"/>
    <w:semiHidden/>
    <w:unhideWhenUsed/>
    <w:rsid w:val="007E252F"/>
    <w:pPr>
      <w:widowControl/>
      <w:tabs>
        <w:tab w:val="num" w:pos="1492"/>
      </w:tabs>
      <w:ind w:left="1492" w:hanging="360"/>
      <w:contextualSpacing/>
    </w:pPr>
    <w:rPr>
      <w:lang w:val="en-AU"/>
    </w:rPr>
  </w:style>
  <w:style w:type="paragraph" w:styleId="ListNumber4">
    <w:name w:val="List Number 4"/>
    <w:basedOn w:val="Normal"/>
    <w:semiHidden/>
    <w:unhideWhenUsed/>
    <w:rsid w:val="007E252F"/>
    <w:pPr>
      <w:widowControl/>
      <w:tabs>
        <w:tab w:val="num" w:pos="1209"/>
      </w:tabs>
      <w:ind w:left="1209" w:hanging="360"/>
      <w:contextualSpacing/>
    </w:pPr>
    <w:rPr>
      <w:lang w:val="en-AU"/>
    </w:rPr>
  </w:style>
  <w:style w:type="paragraph" w:styleId="ListNumber3">
    <w:name w:val="List Number 3"/>
    <w:basedOn w:val="Normal"/>
    <w:semiHidden/>
    <w:unhideWhenUsed/>
    <w:rsid w:val="007E252F"/>
    <w:pPr>
      <w:widowControl/>
      <w:tabs>
        <w:tab w:val="num" w:pos="926"/>
      </w:tabs>
      <w:ind w:left="926" w:hanging="360"/>
      <w:contextualSpacing/>
    </w:pPr>
    <w:rPr>
      <w:lang w:val="en-AU"/>
    </w:rPr>
  </w:style>
  <w:style w:type="paragraph" w:styleId="ListNumber2">
    <w:name w:val="List Number 2"/>
    <w:basedOn w:val="Normal"/>
    <w:semiHidden/>
    <w:unhideWhenUsed/>
    <w:rsid w:val="007E252F"/>
    <w:pPr>
      <w:widowControl/>
      <w:tabs>
        <w:tab w:val="num" w:pos="643"/>
      </w:tabs>
      <w:ind w:left="643" w:hanging="360"/>
      <w:contextualSpacing/>
    </w:pPr>
    <w:rPr>
      <w:lang w:val="en-AU"/>
    </w:rPr>
  </w:style>
  <w:style w:type="paragraph" w:styleId="ListBullet5">
    <w:name w:val="List Bullet 5"/>
    <w:basedOn w:val="Normal"/>
    <w:semiHidden/>
    <w:unhideWhenUsed/>
    <w:rsid w:val="007E252F"/>
    <w:pPr>
      <w:widowControl/>
      <w:tabs>
        <w:tab w:val="num" w:pos="1492"/>
      </w:tabs>
      <w:ind w:left="1492" w:hanging="360"/>
      <w:contextualSpacing/>
    </w:pPr>
    <w:rPr>
      <w:lang w:val="en-AU"/>
    </w:rPr>
  </w:style>
  <w:style w:type="paragraph" w:styleId="ListBullet4">
    <w:name w:val="List Bullet 4"/>
    <w:basedOn w:val="Normal"/>
    <w:semiHidden/>
    <w:unhideWhenUsed/>
    <w:rsid w:val="007E252F"/>
    <w:pPr>
      <w:widowControl/>
      <w:tabs>
        <w:tab w:val="num" w:pos="1209"/>
      </w:tabs>
      <w:ind w:left="1209" w:hanging="360"/>
      <w:contextualSpacing/>
    </w:pPr>
    <w:rPr>
      <w:lang w:val="en-AU"/>
    </w:rPr>
  </w:style>
  <w:style w:type="paragraph" w:styleId="ListBullet3">
    <w:name w:val="List Bullet 3"/>
    <w:basedOn w:val="Normal"/>
    <w:semiHidden/>
    <w:unhideWhenUsed/>
    <w:rsid w:val="007E252F"/>
    <w:pPr>
      <w:widowControl/>
      <w:tabs>
        <w:tab w:val="num" w:pos="926"/>
      </w:tabs>
      <w:ind w:left="926" w:hanging="360"/>
      <w:contextualSpacing/>
    </w:pPr>
    <w:rPr>
      <w:lang w:val="en-AU"/>
    </w:rPr>
  </w:style>
  <w:style w:type="paragraph" w:styleId="ListBullet2">
    <w:name w:val="List Bullet 2"/>
    <w:basedOn w:val="Normal"/>
    <w:semiHidden/>
    <w:unhideWhenUsed/>
    <w:rsid w:val="007E252F"/>
    <w:pPr>
      <w:widowControl/>
      <w:tabs>
        <w:tab w:val="num" w:pos="643"/>
      </w:tabs>
      <w:ind w:left="643" w:hanging="360"/>
      <w:contextualSpacing/>
    </w:pPr>
    <w:rPr>
      <w:lang w:val="en-AU"/>
    </w:rPr>
  </w:style>
  <w:style w:type="paragraph" w:styleId="List5">
    <w:name w:val="List 5"/>
    <w:basedOn w:val="Normal"/>
    <w:rsid w:val="007E252F"/>
    <w:pPr>
      <w:widowControl/>
      <w:ind w:left="1415" w:hanging="283"/>
      <w:contextualSpacing/>
    </w:pPr>
    <w:rPr>
      <w:lang w:val="en-AU"/>
    </w:rPr>
  </w:style>
  <w:style w:type="paragraph" w:styleId="List4">
    <w:name w:val="List 4"/>
    <w:basedOn w:val="Normal"/>
    <w:rsid w:val="007E252F"/>
    <w:pPr>
      <w:widowControl/>
      <w:ind w:left="1132" w:hanging="283"/>
      <w:contextualSpacing/>
    </w:pPr>
    <w:rPr>
      <w:lang w:val="en-AU"/>
    </w:rPr>
  </w:style>
  <w:style w:type="paragraph" w:styleId="List3">
    <w:name w:val="List 3"/>
    <w:basedOn w:val="Normal"/>
    <w:semiHidden/>
    <w:unhideWhenUsed/>
    <w:rsid w:val="007E252F"/>
    <w:pPr>
      <w:widowControl/>
      <w:ind w:left="849" w:hanging="283"/>
      <w:contextualSpacing/>
    </w:pPr>
    <w:rPr>
      <w:lang w:val="en-AU"/>
    </w:rPr>
  </w:style>
  <w:style w:type="paragraph" w:styleId="List2">
    <w:name w:val="List 2"/>
    <w:basedOn w:val="Normal"/>
    <w:semiHidden/>
    <w:unhideWhenUsed/>
    <w:rsid w:val="007E252F"/>
    <w:pPr>
      <w:widowControl/>
      <w:ind w:left="566" w:hanging="283"/>
      <w:contextualSpacing/>
    </w:pPr>
    <w:rPr>
      <w:lang w:val="en-AU"/>
    </w:rPr>
  </w:style>
  <w:style w:type="paragraph" w:styleId="ListNumber">
    <w:name w:val="List Number"/>
    <w:basedOn w:val="Normal"/>
    <w:rsid w:val="007E252F"/>
    <w:pPr>
      <w:widowControl/>
      <w:tabs>
        <w:tab w:val="num" w:pos="360"/>
      </w:tabs>
      <w:ind w:left="360" w:hanging="360"/>
      <w:contextualSpacing/>
    </w:pPr>
    <w:rPr>
      <w:lang w:val="en-AU"/>
    </w:rPr>
  </w:style>
  <w:style w:type="paragraph" w:styleId="ListBullet">
    <w:name w:val="List Bullet"/>
    <w:basedOn w:val="Normal"/>
    <w:semiHidden/>
    <w:unhideWhenUsed/>
    <w:rsid w:val="007E252F"/>
    <w:pPr>
      <w:widowControl/>
      <w:tabs>
        <w:tab w:val="num" w:pos="360"/>
      </w:tabs>
      <w:ind w:left="360" w:hanging="360"/>
      <w:contextualSpacing/>
    </w:pPr>
    <w:rPr>
      <w:lang w:val="en-AU"/>
    </w:rPr>
  </w:style>
  <w:style w:type="paragraph" w:styleId="List">
    <w:name w:val="List"/>
    <w:basedOn w:val="Normal"/>
    <w:semiHidden/>
    <w:unhideWhenUsed/>
    <w:rsid w:val="007E252F"/>
    <w:pPr>
      <w:widowControl/>
      <w:ind w:left="283" w:hanging="283"/>
      <w:contextualSpacing/>
    </w:pPr>
    <w:rPr>
      <w:lang w:val="en-AU"/>
    </w:rPr>
  </w:style>
  <w:style w:type="paragraph" w:styleId="TOAHeading">
    <w:name w:val="toa heading"/>
    <w:basedOn w:val="Normal"/>
    <w:next w:val="Normal"/>
    <w:semiHidden/>
    <w:unhideWhenUsed/>
    <w:rsid w:val="007E252F"/>
    <w:pPr>
      <w:widowControl/>
      <w:spacing w:before="120"/>
    </w:pPr>
    <w:rPr>
      <w:rFonts w:asciiTheme="majorHAnsi" w:eastAsiaTheme="majorEastAsia" w:hAnsiTheme="majorHAnsi" w:cstheme="majorBidi"/>
      <w:b/>
      <w:bCs/>
      <w:sz w:val="24"/>
      <w:lang w:val="en-AU"/>
    </w:rPr>
  </w:style>
  <w:style w:type="paragraph" w:styleId="MacroText">
    <w:name w:val="macro"/>
    <w:link w:val="MacroTextChar"/>
    <w:semiHidden/>
    <w:unhideWhenUsed/>
    <w:rsid w:val="007E252F"/>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bidi="en-US"/>
    </w:rPr>
  </w:style>
  <w:style w:type="character" w:customStyle="1" w:styleId="MacroTextChar">
    <w:name w:val="Macro Text Char"/>
    <w:basedOn w:val="DefaultParagraphFont"/>
    <w:link w:val="MacroText"/>
    <w:semiHidden/>
    <w:rsid w:val="007E252F"/>
    <w:rPr>
      <w:rFonts w:ascii="Consolas" w:hAnsi="Consolas"/>
      <w:lang w:eastAsia="en-US" w:bidi="en-US"/>
    </w:rPr>
  </w:style>
  <w:style w:type="paragraph" w:styleId="TableofAuthorities">
    <w:name w:val="table of authorities"/>
    <w:basedOn w:val="Normal"/>
    <w:next w:val="Normal"/>
    <w:semiHidden/>
    <w:unhideWhenUsed/>
    <w:rsid w:val="007E252F"/>
    <w:pPr>
      <w:widowControl/>
      <w:ind w:left="220" w:hanging="220"/>
    </w:pPr>
    <w:rPr>
      <w:lang w:val="en-AU"/>
    </w:rPr>
  </w:style>
  <w:style w:type="paragraph" w:styleId="EndnoteText">
    <w:name w:val="endnote text"/>
    <w:basedOn w:val="Normal"/>
    <w:link w:val="EndnoteTextChar"/>
    <w:uiPriority w:val="99"/>
    <w:semiHidden/>
    <w:unhideWhenUsed/>
    <w:rsid w:val="007E252F"/>
    <w:pPr>
      <w:widowControl/>
    </w:pPr>
    <w:rPr>
      <w:sz w:val="20"/>
      <w:szCs w:val="20"/>
      <w:lang w:val="en-AU"/>
    </w:rPr>
  </w:style>
  <w:style w:type="character" w:customStyle="1" w:styleId="EndnoteTextChar">
    <w:name w:val="Endnote Text Char"/>
    <w:basedOn w:val="DefaultParagraphFont"/>
    <w:link w:val="EndnoteText"/>
    <w:uiPriority w:val="99"/>
    <w:semiHidden/>
    <w:rsid w:val="007E252F"/>
    <w:rPr>
      <w:rFonts w:ascii="Arial" w:hAnsi="Arial"/>
      <w:lang w:val="en-AU" w:eastAsia="en-US" w:bidi="en-US"/>
    </w:rPr>
  </w:style>
  <w:style w:type="character" w:styleId="EndnoteReference">
    <w:name w:val="endnote reference"/>
    <w:basedOn w:val="DefaultParagraphFont"/>
    <w:uiPriority w:val="99"/>
    <w:semiHidden/>
    <w:unhideWhenUsed/>
    <w:rsid w:val="007E252F"/>
    <w:rPr>
      <w:vertAlign w:val="superscript"/>
    </w:rPr>
  </w:style>
  <w:style w:type="character" w:styleId="LineNumber">
    <w:name w:val="line number"/>
    <w:basedOn w:val="DefaultParagraphFont"/>
    <w:semiHidden/>
    <w:unhideWhenUsed/>
    <w:rsid w:val="007E252F"/>
  </w:style>
  <w:style w:type="paragraph" w:styleId="EnvelopeReturn">
    <w:name w:val="envelope return"/>
    <w:basedOn w:val="Normal"/>
    <w:semiHidden/>
    <w:unhideWhenUsed/>
    <w:rsid w:val="007E252F"/>
    <w:pPr>
      <w:widowControl/>
    </w:pPr>
    <w:rPr>
      <w:rFonts w:asciiTheme="majorHAnsi" w:eastAsiaTheme="majorEastAsia" w:hAnsiTheme="majorHAnsi" w:cstheme="majorBidi"/>
      <w:sz w:val="20"/>
      <w:szCs w:val="20"/>
      <w:lang w:val="en-AU"/>
    </w:rPr>
  </w:style>
  <w:style w:type="paragraph" w:styleId="EnvelopeAddress">
    <w:name w:val="envelope address"/>
    <w:basedOn w:val="Normal"/>
    <w:semiHidden/>
    <w:unhideWhenUsed/>
    <w:rsid w:val="007E252F"/>
    <w:pPr>
      <w:framePr w:w="7920" w:h="1980" w:hRule="exact" w:hSpace="180" w:wrap="auto" w:hAnchor="page" w:xAlign="center" w:yAlign="bottom"/>
      <w:widowControl/>
      <w:ind w:left="2880"/>
    </w:pPr>
    <w:rPr>
      <w:rFonts w:asciiTheme="majorHAnsi" w:eastAsiaTheme="majorEastAsia" w:hAnsiTheme="majorHAnsi" w:cstheme="majorBidi"/>
      <w:sz w:val="24"/>
      <w:lang w:val="en-AU"/>
    </w:rPr>
  </w:style>
  <w:style w:type="paragraph" w:styleId="TableofFigures">
    <w:name w:val="table of figures"/>
    <w:basedOn w:val="Normal"/>
    <w:next w:val="Normal"/>
    <w:semiHidden/>
    <w:unhideWhenUsed/>
    <w:rsid w:val="007E252F"/>
    <w:pPr>
      <w:widowControl/>
    </w:pPr>
    <w:rPr>
      <w:lang w:val="en-AU"/>
    </w:rPr>
  </w:style>
  <w:style w:type="paragraph" w:styleId="Caption">
    <w:name w:val="caption"/>
    <w:basedOn w:val="Normal"/>
    <w:next w:val="Normal"/>
    <w:semiHidden/>
    <w:unhideWhenUsed/>
    <w:rsid w:val="007E252F"/>
    <w:pPr>
      <w:widowControl/>
      <w:spacing w:after="200"/>
    </w:pPr>
    <w:rPr>
      <w:i/>
      <w:iCs/>
      <w:color w:val="1F497D" w:themeColor="text2"/>
      <w:sz w:val="18"/>
      <w:szCs w:val="18"/>
      <w:lang w:val="en-AU"/>
    </w:rPr>
  </w:style>
  <w:style w:type="paragraph" w:styleId="Index1">
    <w:name w:val="index 1"/>
    <w:basedOn w:val="Normal"/>
    <w:next w:val="Normal"/>
    <w:autoRedefine/>
    <w:semiHidden/>
    <w:unhideWhenUsed/>
    <w:rsid w:val="007E252F"/>
    <w:pPr>
      <w:widowControl/>
      <w:ind w:left="220" w:hanging="220"/>
    </w:pPr>
    <w:rPr>
      <w:lang w:val="en-AU"/>
    </w:rPr>
  </w:style>
  <w:style w:type="paragraph" w:styleId="IndexHeading">
    <w:name w:val="index heading"/>
    <w:basedOn w:val="Normal"/>
    <w:next w:val="Index1"/>
    <w:semiHidden/>
    <w:unhideWhenUsed/>
    <w:rsid w:val="007E252F"/>
    <w:pPr>
      <w:widowControl/>
    </w:pPr>
    <w:rPr>
      <w:rFonts w:asciiTheme="majorHAnsi" w:eastAsiaTheme="majorEastAsia" w:hAnsiTheme="majorHAnsi" w:cstheme="majorBidi"/>
      <w:b/>
      <w:bCs/>
      <w:lang w:val="en-AU"/>
    </w:rPr>
  </w:style>
  <w:style w:type="paragraph" w:styleId="NormalIndent">
    <w:name w:val="Normal Indent"/>
    <w:basedOn w:val="Normal"/>
    <w:semiHidden/>
    <w:unhideWhenUsed/>
    <w:rsid w:val="007E252F"/>
    <w:pPr>
      <w:widowControl/>
      <w:ind w:left="567"/>
    </w:pPr>
    <w:rPr>
      <w:lang w:val="en-AU"/>
    </w:rPr>
  </w:style>
  <w:style w:type="paragraph" w:styleId="Index9">
    <w:name w:val="index 9"/>
    <w:basedOn w:val="Normal"/>
    <w:next w:val="Normal"/>
    <w:autoRedefine/>
    <w:semiHidden/>
    <w:unhideWhenUsed/>
    <w:rsid w:val="007E252F"/>
    <w:pPr>
      <w:widowControl/>
      <w:ind w:left="1980" w:hanging="220"/>
    </w:pPr>
    <w:rPr>
      <w:lang w:val="en-AU"/>
    </w:rPr>
  </w:style>
  <w:style w:type="paragraph" w:styleId="Index8">
    <w:name w:val="index 8"/>
    <w:basedOn w:val="Normal"/>
    <w:next w:val="Normal"/>
    <w:autoRedefine/>
    <w:semiHidden/>
    <w:unhideWhenUsed/>
    <w:rsid w:val="007E252F"/>
    <w:pPr>
      <w:widowControl/>
      <w:ind w:left="1760" w:hanging="220"/>
    </w:pPr>
    <w:rPr>
      <w:lang w:val="en-AU"/>
    </w:rPr>
  </w:style>
  <w:style w:type="paragraph" w:styleId="Index7">
    <w:name w:val="index 7"/>
    <w:basedOn w:val="Normal"/>
    <w:next w:val="Normal"/>
    <w:autoRedefine/>
    <w:semiHidden/>
    <w:unhideWhenUsed/>
    <w:rsid w:val="007E252F"/>
    <w:pPr>
      <w:widowControl/>
      <w:ind w:left="1540" w:hanging="220"/>
    </w:pPr>
    <w:rPr>
      <w:lang w:val="en-AU"/>
    </w:rPr>
  </w:style>
  <w:style w:type="paragraph" w:styleId="Index6">
    <w:name w:val="index 6"/>
    <w:basedOn w:val="Normal"/>
    <w:next w:val="Normal"/>
    <w:autoRedefine/>
    <w:semiHidden/>
    <w:unhideWhenUsed/>
    <w:rsid w:val="007E252F"/>
    <w:pPr>
      <w:widowControl/>
      <w:ind w:left="1320" w:hanging="220"/>
    </w:pPr>
    <w:rPr>
      <w:lang w:val="en-AU"/>
    </w:rPr>
  </w:style>
  <w:style w:type="paragraph" w:styleId="Index5">
    <w:name w:val="index 5"/>
    <w:basedOn w:val="Normal"/>
    <w:next w:val="Normal"/>
    <w:autoRedefine/>
    <w:semiHidden/>
    <w:unhideWhenUsed/>
    <w:rsid w:val="007E252F"/>
    <w:pPr>
      <w:widowControl/>
      <w:ind w:left="1100" w:hanging="220"/>
    </w:pPr>
    <w:rPr>
      <w:lang w:val="en-AU"/>
    </w:rPr>
  </w:style>
  <w:style w:type="paragraph" w:styleId="Index4">
    <w:name w:val="index 4"/>
    <w:basedOn w:val="Normal"/>
    <w:next w:val="Normal"/>
    <w:autoRedefine/>
    <w:semiHidden/>
    <w:unhideWhenUsed/>
    <w:rsid w:val="007E252F"/>
    <w:pPr>
      <w:widowControl/>
      <w:ind w:left="880" w:hanging="220"/>
    </w:pPr>
    <w:rPr>
      <w:lang w:val="en-AU"/>
    </w:rPr>
  </w:style>
  <w:style w:type="paragraph" w:styleId="Index3">
    <w:name w:val="index 3"/>
    <w:basedOn w:val="Normal"/>
    <w:next w:val="Normal"/>
    <w:autoRedefine/>
    <w:semiHidden/>
    <w:unhideWhenUsed/>
    <w:rsid w:val="007E252F"/>
    <w:pPr>
      <w:widowControl/>
      <w:ind w:left="660" w:hanging="220"/>
    </w:pPr>
    <w:rPr>
      <w:lang w:val="en-AU"/>
    </w:rPr>
  </w:style>
  <w:style w:type="paragraph" w:styleId="Index2">
    <w:name w:val="index 2"/>
    <w:basedOn w:val="Normal"/>
    <w:next w:val="Normal"/>
    <w:autoRedefine/>
    <w:semiHidden/>
    <w:unhideWhenUsed/>
    <w:rsid w:val="007E252F"/>
    <w:pPr>
      <w:widowControl/>
      <w:ind w:left="440" w:hanging="220"/>
    </w:pPr>
    <w:rPr>
      <w:lang w:val="en-AU"/>
    </w:rPr>
  </w:style>
  <w:style w:type="table" w:styleId="ListTable3-Accent1">
    <w:name w:val="List Table 3 Accent 1"/>
    <w:basedOn w:val="TableNormal"/>
    <w:uiPriority w:val="48"/>
    <w:rsid w:val="007E252F"/>
    <w:rPr>
      <w:rFonts w:asciiTheme="minorHAnsi" w:eastAsiaTheme="minorHAnsi" w:hAnsiTheme="minorHAnsi" w:cstheme="minorBidi"/>
      <w:sz w:val="22"/>
      <w:szCs w:val="22"/>
      <w:lang w:val="en-AU"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FooterChar">
    <w:name w:val="Footer Char"/>
    <w:basedOn w:val="DefaultParagraphFont"/>
    <w:link w:val="Footer"/>
    <w:uiPriority w:val="99"/>
    <w:rsid w:val="007E252F"/>
    <w:rPr>
      <w:rFonts w:ascii="Arial" w:hAnsi="Arial"/>
      <w:szCs w:val="24"/>
      <w:lang w:eastAsia="en-US" w:bidi="en-US"/>
    </w:rPr>
  </w:style>
  <w:style w:type="table" w:styleId="GridTable4-Accent1">
    <w:name w:val="Grid Table 4 Accent 1"/>
    <w:basedOn w:val="TableNormal"/>
    <w:uiPriority w:val="49"/>
    <w:rsid w:val="007E25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7E252F"/>
    <w:rPr>
      <w:color w:val="808080"/>
    </w:rPr>
  </w:style>
  <w:style w:type="paragraph" w:styleId="CommentSubject">
    <w:name w:val="annotation subject"/>
    <w:basedOn w:val="CommentText"/>
    <w:next w:val="CommentText"/>
    <w:link w:val="CommentSubjectChar"/>
    <w:semiHidden/>
    <w:unhideWhenUsed/>
    <w:rsid w:val="007E252F"/>
    <w:pPr>
      <w:widowControl/>
    </w:pPr>
    <w:rPr>
      <w:b/>
      <w:bCs/>
      <w:lang w:val="en-AU"/>
    </w:rPr>
  </w:style>
  <w:style w:type="character" w:customStyle="1" w:styleId="CommentSubjectChar">
    <w:name w:val="Comment Subject Char"/>
    <w:basedOn w:val="CommentTextChar"/>
    <w:link w:val="CommentSubject"/>
    <w:semiHidden/>
    <w:rsid w:val="007E252F"/>
    <w:rPr>
      <w:rFonts w:ascii="Arial" w:hAnsi="Arial"/>
      <w:b/>
      <w:bCs/>
      <w:lang w:val="en-AU" w:eastAsia="en-US" w:bidi="en-US"/>
    </w:rPr>
  </w:style>
  <w:style w:type="table" w:customStyle="1" w:styleId="TableGrid16">
    <w:name w:val="Table Grid16"/>
    <w:basedOn w:val="TableNormal"/>
    <w:next w:val="TableGrid"/>
    <w:uiPriority w:val="59"/>
    <w:rsid w:val="007E25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E252F"/>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7E252F"/>
    <w:rPr>
      <w:rFonts w:ascii="Arial" w:hAnsi="Arial"/>
      <w:sz w:val="22"/>
      <w:szCs w:val="24"/>
      <w:lang w:val="en-AU" w:eastAsia="en-US" w:bidi="en-US"/>
    </w:rPr>
  </w:style>
  <w:style w:type="character" w:customStyle="1" w:styleId="ref-title">
    <w:name w:val="ref-title"/>
    <w:basedOn w:val="DefaultParagraphFont"/>
    <w:rsid w:val="007E252F"/>
  </w:style>
  <w:style w:type="character" w:customStyle="1" w:styleId="ref-vol">
    <w:name w:val="ref-vol"/>
    <w:basedOn w:val="DefaultParagraphFont"/>
    <w:rsid w:val="007E252F"/>
  </w:style>
  <w:style w:type="character" w:customStyle="1" w:styleId="nowrap">
    <w:name w:val="nowrap"/>
    <w:basedOn w:val="DefaultParagraphFont"/>
    <w:rsid w:val="007E252F"/>
  </w:style>
  <w:style w:type="table" w:customStyle="1" w:styleId="TableTheme2">
    <w:name w:val="Table Theme2"/>
    <w:basedOn w:val="TableNormal"/>
    <w:next w:val="TableTheme"/>
    <w:rsid w:val="007E25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7E25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type">
    <w:name w:val="author-type"/>
    <w:basedOn w:val="Normal"/>
    <w:rsid w:val="007E252F"/>
    <w:pPr>
      <w:widowControl/>
      <w:spacing w:before="75" w:after="75"/>
    </w:pPr>
    <w:rPr>
      <w:rFonts w:ascii="Times New Roman" w:hAnsi="Times New Roman"/>
      <w:sz w:val="24"/>
      <w:lang w:eastAsia="en-GB" w:bidi="ar-SA"/>
    </w:rPr>
  </w:style>
  <w:style w:type="character" w:customStyle="1" w:styleId="epub-state1">
    <w:name w:val="epub-state1"/>
    <w:basedOn w:val="DefaultParagraphFont"/>
    <w:rsid w:val="007E252F"/>
    <w:rPr>
      <w:color w:val="8B8B8B"/>
    </w:rPr>
  </w:style>
  <w:style w:type="character" w:customStyle="1" w:styleId="epub-date1">
    <w:name w:val="epub-date1"/>
    <w:basedOn w:val="DefaultParagraphFont"/>
    <w:rsid w:val="007E252F"/>
    <w:rPr>
      <w:b w:val="0"/>
      <w:bCs w:val="0"/>
      <w:color w:val="1C1D1E"/>
    </w:rPr>
  </w:style>
  <w:style w:type="character" w:customStyle="1" w:styleId="cit">
    <w:name w:val="cit"/>
    <w:basedOn w:val="DefaultParagraphFont"/>
    <w:rsid w:val="007E252F"/>
  </w:style>
  <w:style w:type="character" w:customStyle="1" w:styleId="fm-vol-iss-date">
    <w:name w:val="fm-vol-iss-date"/>
    <w:basedOn w:val="DefaultParagraphFont"/>
    <w:rsid w:val="007E252F"/>
  </w:style>
  <w:style w:type="character" w:customStyle="1" w:styleId="doi2">
    <w:name w:val="doi2"/>
    <w:basedOn w:val="DefaultParagraphFont"/>
    <w:rsid w:val="007E252F"/>
  </w:style>
  <w:style w:type="character" w:customStyle="1" w:styleId="fm-citation-ids-label">
    <w:name w:val="fm-citation-ids-label"/>
    <w:basedOn w:val="DefaultParagraphFont"/>
    <w:rsid w:val="007E252F"/>
  </w:style>
  <w:style w:type="character" w:customStyle="1" w:styleId="mixed-citation">
    <w:name w:val="mixed-citation"/>
    <w:basedOn w:val="DefaultParagraphFont"/>
    <w:rsid w:val="007E252F"/>
  </w:style>
  <w:style w:type="character" w:customStyle="1" w:styleId="label18">
    <w:name w:val="label18"/>
    <w:basedOn w:val="DefaultParagraphFont"/>
    <w:rsid w:val="007E252F"/>
    <w:rPr>
      <w:b/>
      <w:bCs/>
    </w:rPr>
  </w:style>
  <w:style w:type="character" w:customStyle="1" w:styleId="collab">
    <w:name w:val="collab"/>
    <w:basedOn w:val="DefaultParagraphFont"/>
    <w:rsid w:val="007E252F"/>
  </w:style>
  <w:style w:type="character" w:customStyle="1" w:styleId="year">
    <w:name w:val="year"/>
    <w:basedOn w:val="DefaultParagraphFont"/>
    <w:rsid w:val="007E252F"/>
  </w:style>
  <w:style w:type="character" w:customStyle="1" w:styleId="resolver-links">
    <w:name w:val="resolver-links"/>
    <w:basedOn w:val="DefaultParagraphFont"/>
    <w:rsid w:val="007E252F"/>
  </w:style>
  <w:style w:type="character" w:customStyle="1" w:styleId="A12">
    <w:name w:val="A1+2"/>
    <w:uiPriority w:val="99"/>
    <w:rsid w:val="007E252F"/>
    <w:rPr>
      <w:rFonts w:cs="Myriad Pro"/>
      <w:color w:val="000000"/>
    </w:rPr>
  </w:style>
  <w:style w:type="character" w:customStyle="1" w:styleId="hlfld-title">
    <w:name w:val="hlfld-title"/>
    <w:basedOn w:val="DefaultParagraphFont"/>
    <w:rsid w:val="007E252F"/>
  </w:style>
  <w:style w:type="table" w:styleId="ColorfulList-Accent1">
    <w:name w:val="Colorful List Accent 1"/>
    <w:basedOn w:val="TableNormal"/>
    <w:uiPriority w:val="72"/>
    <w:rsid w:val="007E25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italic">
    <w:name w:val="italic"/>
    <w:basedOn w:val="DefaultParagraphFont"/>
    <w:rsid w:val="007E252F"/>
  </w:style>
  <w:style w:type="character" w:customStyle="1" w:styleId="FootnoteTextChar">
    <w:name w:val="Footnote Text Char"/>
    <w:aliases w:val="Footnotes Text Char,FSFootnotes Text Char"/>
    <w:basedOn w:val="DefaultParagraphFont"/>
    <w:link w:val="FootnoteText"/>
    <w:rsid w:val="007E252F"/>
    <w:rPr>
      <w:rFonts w:ascii="Arial" w:hAnsi="Arial"/>
      <w:lang w:eastAsia="en-US" w:bidi="en-US"/>
    </w:rPr>
  </w:style>
  <w:style w:type="character" w:customStyle="1" w:styleId="sc">
    <w:name w:val="sc"/>
    <w:basedOn w:val="DefaultParagraphFont"/>
    <w:rsid w:val="007E252F"/>
  </w:style>
  <w:style w:type="character" w:customStyle="1" w:styleId="a">
    <w:name w:val="_"/>
    <w:basedOn w:val="DefaultParagraphFont"/>
    <w:rsid w:val="007E252F"/>
  </w:style>
  <w:style w:type="table" w:customStyle="1" w:styleId="TableGrid12">
    <w:name w:val="Table Grid12"/>
    <w:basedOn w:val="TableNormal"/>
    <w:next w:val="TableGrid"/>
    <w:uiPriority w:val="59"/>
    <w:rsid w:val="007E25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PPHFF-21022022-95839AM">
    <w:name w:val="FooterPPHFF-21022022-95839 AM"/>
    <w:rsid w:val="009117E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571743881">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2.emf"/><Relationship Id="rId21" Type="http://schemas.openxmlformats.org/officeDocument/2006/relationships/hyperlink" Target="https://www.aihw.gov.au/getmedia/59dd97b5-a40b-47cf-99bd-7f0dd860fd1d/ndshs07-df.pdf.aspx" TargetMode="External"/><Relationship Id="rId42" Type="http://schemas.openxmlformats.org/officeDocument/2006/relationships/hyperlink" Target="https://doi.org/10.1016/s0021-9673(01)89682-5" TargetMode="External"/><Relationship Id="rId63" Type="http://schemas.openxmlformats.org/officeDocument/2006/relationships/hyperlink" Target="https://doi.org/10.1093/toxsci/kfm035" TargetMode="External"/><Relationship Id="rId84" Type="http://schemas.openxmlformats.org/officeDocument/2006/relationships/hyperlink" Target="https://doi.org/10.1055/s-2003-40658" TargetMode="External"/><Relationship Id="rId138" Type="http://schemas.openxmlformats.org/officeDocument/2006/relationships/theme" Target="theme/theme1.xml"/><Relationship Id="rId16" Type="http://schemas.openxmlformats.org/officeDocument/2006/relationships/hyperlink" Target="https://doi.org/10.1016/j.jep.2004.04.009" TargetMode="External"/><Relationship Id="rId107" Type="http://schemas.openxmlformats.org/officeDocument/2006/relationships/image" Target="media/image2.emf"/><Relationship Id="rId11" Type="http://schemas.openxmlformats.org/officeDocument/2006/relationships/webSettings" Target="webSettings.xml"/><Relationship Id="rId32" Type="http://schemas.openxmlformats.org/officeDocument/2006/relationships/hyperlink" Target="https://doi.org/10.1080/cdar.19.3.319.328" TargetMode="External"/><Relationship Id="rId37" Type="http://schemas.openxmlformats.org/officeDocument/2006/relationships/hyperlink" Target="https://www.fao.org/fao-who-codexalimentarius/sh-proxy/en/?lnk=1&amp;url=https%253A%252F%252Fworkspace.fao.org%252Fsites%252Fcodex%252FStandards%252FCXS%2B336R-2020%252FCXS_336Re.pdf" TargetMode="External"/><Relationship Id="rId53" Type="http://schemas.openxmlformats.org/officeDocument/2006/relationships/hyperlink" Target="https://doi.org/10.1111/j.1472-765X.2009.02739.x" TargetMode="External"/><Relationship Id="rId58" Type="http://schemas.openxmlformats.org/officeDocument/2006/relationships/hyperlink" Target="http://www.jstor.org/stable/23187398" TargetMode="External"/><Relationship Id="rId74" Type="http://schemas.openxmlformats.org/officeDocument/2006/relationships/hyperlink" Target="https://doi.org/10.1002/ptr.4620" TargetMode="External"/><Relationship Id="rId79" Type="http://schemas.openxmlformats.org/officeDocument/2006/relationships/hyperlink" Target="https://doi.org/10.1007/s00213-009-1549-9" TargetMode="External"/><Relationship Id="rId102" Type="http://schemas.openxmlformats.org/officeDocument/2006/relationships/hyperlink" Target="https://apps.who.int/iris/bitstream/handle/10665/43630/9789241595261_eng.pdf" TargetMode="External"/><Relationship Id="rId123" Type="http://schemas.openxmlformats.org/officeDocument/2006/relationships/image" Target="media/image18.emf"/><Relationship Id="rId128" Type="http://schemas.openxmlformats.org/officeDocument/2006/relationships/image" Target="media/image23.emf"/><Relationship Id="rId5" Type="http://schemas.openxmlformats.org/officeDocument/2006/relationships/customXml" Target="../customXml/item5.xml"/><Relationship Id="rId90" Type="http://schemas.openxmlformats.org/officeDocument/2006/relationships/hyperlink" Target="https://doi.org/10.1016/j.fct.2011.06.075" TargetMode="External"/><Relationship Id="rId95" Type="http://schemas.openxmlformats.org/officeDocument/2006/relationships/hyperlink" Target="https://doi.org/10.1021/acs.chemrestox.9b00098" TargetMode="External"/><Relationship Id="rId22" Type="http://schemas.openxmlformats.org/officeDocument/2006/relationships/hyperlink" Target="https://doi.org/10.3390/nu12103044" TargetMode="External"/><Relationship Id="rId27" Type="http://schemas.openxmlformats.org/officeDocument/2006/relationships/hyperlink" Target="https://doi.org/10.1016/j.jep.2018.12.029" TargetMode="External"/><Relationship Id="rId43" Type="http://schemas.openxmlformats.org/officeDocument/2006/relationships/hyperlink" Target="https://doi.org/10.2903/j.efsa.2014.3937" TargetMode="External"/><Relationship Id="rId48" Type="http://schemas.openxmlformats.org/officeDocument/2006/relationships/hyperlink" Target="http://www.foodstandards.gov.au/code/proposals/Documents/SD2%20FINAL_2nd%20CFS%20Micro%20RA%20P1052%20with%20appendices_ref%20unlinked.pdf" TargetMode="External"/><Relationship Id="rId64" Type="http://schemas.openxmlformats.org/officeDocument/2006/relationships/hyperlink" Target="https://doi.org/10.1371/journal.pone.0111572" TargetMode="External"/><Relationship Id="rId69" Type="http://schemas.openxmlformats.org/officeDocument/2006/relationships/hyperlink" Target="https://doi.org/10.1093/toxsci/kfh067" TargetMode="External"/><Relationship Id="rId113" Type="http://schemas.openxmlformats.org/officeDocument/2006/relationships/image" Target="media/image8.emf"/><Relationship Id="rId118" Type="http://schemas.openxmlformats.org/officeDocument/2006/relationships/image" Target="media/image13.emf"/><Relationship Id="rId134" Type="http://schemas.openxmlformats.org/officeDocument/2006/relationships/footer" Target="footer1.xml"/><Relationship Id="rId80" Type="http://schemas.openxmlformats.org/officeDocument/2006/relationships/hyperlink" Target="https://doi.org/10.1177/0004867419891246" TargetMode="External"/><Relationship Id="rId85" Type="http://schemas.openxmlformats.org/officeDocument/2006/relationships/hyperlink" Target="https://doi.org/10.1016/j.ctcp.2018.09.003" TargetMode="External"/><Relationship Id="rId12" Type="http://schemas.openxmlformats.org/officeDocument/2006/relationships/footnotes" Target="footnotes.xml"/><Relationship Id="rId17" Type="http://schemas.openxmlformats.org/officeDocument/2006/relationships/hyperlink" Target="https://mro-ns.massey.ac.nz/handle/10179/4683" TargetMode="External"/><Relationship Id="rId33" Type="http://schemas.openxmlformats.org/officeDocument/2006/relationships/hyperlink" Target="https://doi.org/10.1046/j.1444-0903.2003.00405.x" TargetMode="External"/><Relationship Id="rId38" Type="http://schemas.openxmlformats.org/officeDocument/2006/relationships/hyperlink" Target="https://doi.org/10.1016/j.bbrc.2004.07.093" TargetMode="External"/><Relationship Id="rId59" Type="http://schemas.openxmlformats.org/officeDocument/2006/relationships/hyperlink" Target="https://doi.org/10.1016/0031-9422(96)00209-9" TargetMode="External"/><Relationship Id="rId103" Type="http://schemas.openxmlformats.org/officeDocument/2006/relationships/hyperlink" Target="https://doi.org/10.1007/s11418-007-0203-2" TargetMode="External"/><Relationship Id="rId108" Type="http://schemas.openxmlformats.org/officeDocument/2006/relationships/image" Target="media/image3.emf"/><Relationship Id="rId124" Type="http://schemas.openxmlformats.org/officeDocument/2006/relationships/image" Target="media/image19.emf"/><Relationship Id="rId129" Type="http://schemas.openxmlformats.org/officeDocument/2006/relationships/image" Target="media/image24.emf"/><Relationship Id="rId54" Type="http://schemas.openxmlformats.org/officeDocument/2006/relationships/hyperlink" Target="https://biosecurity.gov.vu/images/Export/kava-act-2002.pdf" TargetMode="External"/><Relationship Id="rId70" Type="http://schemas.openxmlformats.org/officeDocument/2006/relationships/hyperlink" Target="https://doi.org/10.1016/j.jep.2016.06.039" TargetMode="External"/><Relationship Id="rId75" Type="http://schemas.openxmlformats.org/officeDocument/2006/relationships/hyperlink" Target="https://doi.org/10.1155/2011/326724" TargetMode="External"/><Relationship Id="rId91" Type="http://schemas.openxmlformats.org/officeDocument/2006/relationships/hyperlink" Target="https://doi.org/10.1111/j.1365-2125.2011.04070.x" TargetMode="External"/><Relationship Id="rId96" Type="http://schemas.openxmlformats.org/officeDocument/2006/relationships/hyperlink" Target="https://doi.org/10.1155/2021/6851798"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doi.org/10.1016/j.jchromb.2004.07.038" TargetMode="External"/><Relationship Id="rId28" Type="http://schemas.openxmlformats.org/officeDocument/2006/relationships/hyperlink" Target="https://doi.org/10.1046/j.1440-1614.2002.01027.x" TargetMode="External"/><Relationship Id="rId49" Type="http://schemas.openxmlformats.org/officeDocument/2006/relationships/hyperlink" Target="https://phamaplus.com.au/wp-content/uploads/2020/06/Tonga_Kava_Quality_Standard_Final_e-copy-1.pdf" TargetMode="External"/><Relationship Id="rId114" Type="http://schemas.openxmlformats.org/officeDocument/2006/relationships/image" Target="media/image9.emf"/><Relationship Id="rId119" Type="http://schemas.openxmlformats.org/officeDocument/2006/relationships/image" Target="media/image14.emf"/><Relationship Id="rId44" Type="http://schemas.openxmlformats.org/officeDocument/2006/relationships/hyperlink" Target="http://www.fao.org/3/i5770e/i5770e.pdf" TargetMode="External"/><Relationship Id="rId60" Type="http://schemas.openxmlformats.org/officeDocument/2006/relationships/hyperlink" Target="https://doi.org/10.2307/j.ctt211qwxb" TargetMode="External"/><Relationship Id="rId65" Type="http://schemas.openxmlformats.org/officeDocument/2006/relationships/hyperlink" Target="https://doi.org/10.5694/j.1326-5377.1988.tb93809.x" TargetMode="External"/><Relationship Id="rId81" Type="http://schemas.openxmlformats.org/officeDocument/2006/relationships/hyperlink" Target="https://doi.org/10.1097/JCP.0b013e318291be67" TargetMode="External"/><Relationship Id="rId86" Type="http://schemas.openxmlformats.org/officeDocument/2006/relationships/hyperlink" Target="https://doi.org/10.1111/ced.14129" TargetMode="External"/><Relationship Id="rId130" Type="http://schemas.openxmlformats.org/officeDocument/2006/relationships/image" Target="media/image25.emf"/><Relationship Id="rId135" Type="http://schemas.openxmlformats.org/officeDocument/2006/relationships/footer" Target="footer2.xml"/><Relationship Id="rId13" Type="http://schemas.openxmlformats.org/officeDocument/2006/relationships/endnotes" Target="endnotes.xml"/><Relationship Id="rId18" Type="http://schemas.openxmlformats.org/officeDocument/2006/relationships/hyperlink" Target="https://researchcommons.waikato.ac.nz/handle/10289/12796" TargetMode="External"/><Relationship Id="rId39" Type="http://schemas.openxmlformats.org/officeDocument/2006/relationships/hyperlink" Target="https://doi.org/10.5740/jaoacint.SMPR2018.005" TargetMode="External"/><Relationship Id="rId109" Type="http://schemas.openxmlformats.org/officeDocument/2006/relationships/image" Target="media/image4.emf"/><Relationship Id="rId34" Type="http://schemas.openxmlformats.org/officeDocument/2006/relationships/hyperlink" Target="https://doi.org/10.1038/sj.ejcn.1601921" TargetMode="External"/><Relationship Id="rId50" Type="http://schemas.openxmlformats.org/officeDocument/2006/relationships/hyperlink" Target="https://doi.org/10.1016/j.jaad.2005.04.068" TargetMode="External"/><Relationship Id="rId55" Type="http://schemas.openxmlformats.org/officeDocument/2006/relationships/hyperlink" Target="https://doi.org/10.1002/jps.2600771203" TargetMode="External"/><Relationship Id="rId76" Type="http://schemas.openxmlformats.org/officeDocument/2006/relationships/hyperlink" Target="https://doi.org/10.1097/00042737-200309000-00015" TargetMode="External"/><Relationship Id="rId97" Type="http://schemas.openxmlformats.org/officeDocument/2006/relationships/hyperlink" Target="https://doi.org/10.1007/s002280050488" TargetMode="External"/><Relationship Id="rId104" Type="http://schemas.openxmlformats.org/officeDocument/2006/relationships/hyperlink" Target="https://doi.org/10.1002/bmc.4391" TargetMode="External"/><Relationship Id="rId120" Type="http://schemas.openxmlformats.org/officeDocument/2006/relationships/image" Target="media/image15.emf"/><Relationship Id="rId125" Type="http://schemas.openxmlformats.org/officeDocument/2006/relationships/image" Target="media/image20.emf"/><Relationship Id="rId7" Type="http://schemas.openxmlformats.org/officeDocument/2006/relationships/customXml" Target="../customXml/item7.xml"/><Relationship Id="rId71" Type="http://schemas.openxmlformats.org/officeDocument/2006/relationships/hyperlink" Target="https://doi.org/10.1002/14651858.CD003383" TargetMode="External"/><Relationship Id="rId92" Type="http://schemas.openxmlformats.org/officeDocument/2006/relationships/hyperlink" Target="https://doi.org/10.1097/MEG.0b013e3283036768" TargetMode="External"/><Relationship Id="rId2" Type="http://schemas.openxmlformats.org/officeDocument/2006/relationships/customXml" Target="../customXml/item2.xml"/><Relationship Id="rId29" Type="http://schemas.openxmlformats.org/officeDocument/2006/relationships/hyperlink" Target="https://doi.org/10.1002/hup.532" TargetMode="External"/><Relationship Id="rId24" Type="http://schemas.openxmlformats.org/officeDocument/2006/relationships/hyperlink" Target="https://doi.org/10.1177/0269881119841569" TargetMode="External"/><Relationship Id="rId40" Type="http://schemas.openxmlformats.org/officeDocument/2006/relationships/hyperlink" Target="https://doi.org/10.1111/j.1472-765X.2011.03065.x" TargetMode="External"/><Relationship Id="rId45" Type="http://schemas.openxmlformats.org/officeDocument/2006/relationships/hyperlink" Target="https://phamaplus.com.au/wp-content/uploads/2017/03/Fiji_Kava_Standard_ecopy.pdf" TargetMode="External"/><Relationship Id="rId66" Type="http://schemas.openxmlformats.org/officeDocument/2006/relationships/hyperlink" Target="https://doi.org/10.1124/dmd.105.004317" TargetMode="External"/><Relationship Id="rId87" Type="http://schemas.openxmlformats.org/officeDocument/2006/relationships/hyperlink" Target="https://doi.org/10.1007/s001050050451" TargetMode="External"/><Relationship Id="rId110" Type="http://schemas.openxmlformats.org/officeDocument/2006/relationships/image" Target="media/image5.emf"/><Relationship Id="rId115" Type="http://schemas.openxmlformats.org/officeDocument/2006/relationships/image" Target="media/image10.emf"/><Relationship Id="rId131" Type="http://schemas.openxmlformats.org/officeDocument/2006/relationships/image" Target="media/image26.emf"/><Relationship Id="rId136" Type="http://schemas.openxmlformats.org/officeDocument/2006/relationships/header" Target="header1.xml"/><Relationship Id="rId61" Type="http://schemas.openxmlformats.org/officeDocument/2006/relationships/hyperlink" Target="https://doi.org/10.1002/ptr.3046" TargetMode="External"/><Relationship Id="rId82" Type="http://schemas.openxmlformats.org/officeDocument/2006/relationships/hyperlink" Target="https://doi.org/10.1002/ptr.5291" TargetMode="External"/><Relationship Id="rId19" Type="http://schemas.openxmlformats.org/officeDocument/2006/relationships/hyperlink" Target="https://doi.org/10.1002/hup.2725" TargetMode="External"/><Relationship Id="rId14" Type="http://schemas.openxmlformats.org/officeDocument/2006/relationships/image" Target="media/image1.png"/><Relationship Id="rId30" Type="http://schemas.openxmlformats.org/officeDocument/2006/relationships/hyperlink" Target="https://doi.org/10.3109/00048678509158818" TargetMode="External"/><Relationship Id="rId35" Type="http://schemas.openxmlformats.org/officeDocument/2006/relationships/hyperlink" Target="https://doi.org/10.1080/0959523021000059820" TargetMode="External"/><Relationship Id="rId56" Type="http://schemas.openxmlformats.org/officeDocument/2006/relationships/hyperlink" Target="https://doi.org/10.1002/hup.1180" TargetMode="External"/><Relationship Id="rId77" Type="http://schemas.openxmlformats.org/officeDocument/2006/relationships/hyperlink" Target="https://doi.org/10.1111/j.1465-3362.2010.00184.x" TargetMode="External"/><Relationship Id="rId100" Type="http://schemas.openxmlformats.org/officeDocument/2006/relationships/hyperlink" Target="https://doi.org/10.1016/j.fct.2007.07.013" TargetMode="External"/><Relationship Id="rId105" Type="http://schemas.openxmlformats.org/officeDocument/2006/relationships/hyperlink" Target="https://doi.org/10.1021/acs.jafc.5b01858" TargetMode="External"/><Relationship Id="rId126" Type="http://schemas.openxmlformats.org/officeDocument/2006/relationships/image" Target="media/image21.emf"/><Relationship Id="rId8" Type="http://schemas.openxmlformats.org/officeDocument/2006/relationships/numbering" Target="numbering.xml"/><Relationship Id="rId51" Type="http://schemas.openxmlformats.org/officeDocument/2006/relationships/hyperlink" Target="https://doi.org/10.1111/ijd.12546" TargetMode="External"/><Relationship Id="rId72" Type="http://schemas.openxmlformats.org/officeDocument/2006/relationships/hyperlink" Target="https://doi.org/10.1046/j.1365-2710.2000.00281.x" TargetMode="External"/><Relationship Id="rId93" Type="http://schemas.openxmlformats.org/officeDocument/2006/relationships/hyperlink" Target="https://doi.org/10.1111/tmi.12367" TargetMode="External"/><Relationship Id="rId98" Type="http://schemas.openxmlformats.org/officeDocument/2006/relationships/hyperlink" Target="https://doi.org/10.1093/jaoac/93.1.184" TargetMode="External"/><Relationship Id="rId121" Type="http://schemas.openxmlformats.org/officeDocument/2006/relationships/image" Target="media/image16.emf"/><Relationship Id="rId25" Type="http://schemas.openxmlformats.org/officeDocument/2006/relationships/hyperlink" Target="https://doi.org/10.1080/15563650701365875" TargetMode="External"/><Relationship Id="rId46" Type="http://schemas.openxmlformats.org/officeDocument/2006/relationships/hyperlink" Target="https://doi.org/10.1080/09595239700186441" TargetMode="External"/><Relationship Id="rId67" Type="http://schemas.openxmlformats.org/officeDocument/2006/relationships/hyperlink" Target="https://doi.org/10.1021/tx5003194" TargetMode="External"/><Relationship Id="rId116" Type="http://schemas.openxmlformats.org/officeDocument/2006/relationships/image" Target="media/image11.emf"/><Relationship Id="rId137" Type="http://schemas.openxmlformats.org/officeDocument/2006/relationships/fontTable" Target="fontTable.xml"/><Relationship Id="rId20" Type="http://schemas.openxmlformats.org/officeDocument/2006/relationships/hyperlink" Target="https://doi.org/10.1007/978-981-13-2898-5_134" TargetMode="External"/><Relationship Id="rId41" Type="http://schemas.openxmlformats.org/officeDocument/2006/relationships/hyperlink" Target="https://doi.org/10.1016/s0031-9422(03)00111-0" TargetMode="External"/><Relationship Id="rId62" Type="http://schemas.openxmlformats.org/officeDocument/2006/relationships/hyperlink" Target="https://doi.org/10.1016/j.toxrep.2014.02.002" TargetMode="External"/><Relationship Id="rId83" Type="http://schemas.openxmlformats.org/officeDocument/2006/relationships/hyperlink" Target="https://doi.org/10.1016/0378-8741(92)90003-a" TargetMode="External"/><Relationship Id="rId88" Type="http://schemas.openxmlformats.org/officeDocument/2006/relationships/hyperlink" Target="https://doi.org/10.3390/molecules24071245" TargetMode="External"/><Relationship Id="rId111" Type="http://schemas.openxmlformats.org/officeDocument/2006/relationships/image" Target="media/image6.emf"/><Relationship Id="rId132" Type="http://schemas.openxmlformats.org/officeDocument/2006/relationships/image" Target="media/image27.emf"/><Relationship Id="rId15" Type="http://schemas.openxmlformats.org/officeDocument/2006/relationships/hyperlink" Target="https://www.legislation.gov.au/Details/F2021L01345" TargetMode="External"/><Relationship Id="rId36" Type="http://schemas.openxmlformats.org/officeDocument/2006/relationships/hyperlink" Target="https://doi.org/10.1081/clt-120025347" TargetMode="External"/><Relationship Id="rId57" Type="http://schemas.openxmlformats.org/officeDocument/2006/relationships/hyperlink" Target="https://doi.org/10.1016/j.foodchem.2013.11.120" TargetMode="External"/><Relationship Id="rId106" Type="http://schemas.openxmlformats.org/officeDocument/2006/relationships/hyperlink" Target="https://doi.org/10.1096/fj.10-163311" TargetMode="External"/><Relationship Id="rId127" Type="http://schemas.openxmlformats.org/officeDocument/2006/relationships/image" Target="media/image22.emf"/><Relationship Id="rId10" Type="http://schemas.openxmlformats.org/officeDocument/2006/relationships/settings" Target="settings.xml"/><Relationship Id="rId31" Type="http://schemas.openxmlformats.org/officeDocument/2006/relationships/hyperlink" Target="https://doi.org/10.1016/j.etp.2006.08.002" TargetMode="External"/><Relationship Id="rId52" Type="http://schemas.openxmlformats.org/officeDocument/2006/relationships/hyperlink" Target="https://doi.org/10.1111/j.1750-3841.2007.00278.x" TargetMode="External"/><Relationship Id="rId73" Type="http://schemas.openxmlformats.org/officeDocument/2006/relationships/hyperlink" Target="https://doi.org/10.3109/00498257909034699" TargetMode="External"/><Relationship Id="rId78" Type="http://schemas.openxmlformats.org/officeDocument/2006/relationships/hyperlink" Target="https://phamaplus.com.au/wp-content/uploads/2018/06/Samoa_Ava_Standard-English-Final_ecopy.pdf" TargetMode="External"/><Relationship Id="rId94" Type="http://schemas.openxmlformats.org/officeDocument/2006/relationships/hyperlink" Target="https://doi.org/10.1371/journal.pone.0149719" TargetMode="External"/><Relationship Id="rId99" Type="http://schemas.openxmlformats.org/officeDocument/2006/relationships/hyperlink" Target="https://doi.org/10.1002/jcph.1263" TargetMode="External"/><Relationship Id="rId101" Type="http://schemas.openxmlformats.org/officeDocument/2006/relationships/hyperlink" Target="https://doi.org/10.1016/s0031-9422(03)00381-9" TargetMode="External"/><Relationship Id="rId122" Type="http://schemas.openxmlformats.org/officeDocument/2006/relationships/image" Target="media/image17.emf"/><Relationship Id="rId9" Type="http://schemas.openxmlformats.org/officeDocument/2006/relationships/styles" Target="styles.xml"/><Relationship Id="rId26" Type="http://schemas.openxmlformats.org/officeDocument/2006/relationships/hyperlink" Target="http://healthbulletin.org.au/wp-content/uploads/2019/04/kava-bulletin-web.pdf" TargetMode="External"/><Relationship Id="rId47" Type="http://schemas.openxmlformats.org/officeDocument/2006/relationships/hyperlink" Target="https://www.foodstandards.gov.au/publications/documents/30_Kava1.pdf" TargetMode="External"/><Relationship Id="rId68" Type="http://schemas.openxmlformats.org/officeDocument/2006/relationships/hyperlink" Target="https://phamaplus.com.au/wp-content/uploads/2017/07/Vanuatu_Quality_Standard_ecopy.pdf" TargetMode="External"/><Relationship Id="rId89" Type="http://schemas.openxmlformats.org/officeDocument/2006/relationships/hyperlink" Target="https://doi.org/10.1016/s1570-0232(03)00046-1" TargetMode="External"/><Relationship Id="rId112" Type="http://schemas.openxmlformats.org/officeDocument/2006/relationships/image" Target="media/image7.emf"/><Relationship Id="rId133" Type="http://schemas.openxmlformats.org/officeDocument/2006/relationships/image" Target="media/image28.emf"/></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L01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41A51470735A64F9E86BC30FD1A33A0" ma:contentTypeVersion="23" ma:contentTypeDescription="Files created by FSANZ including letters, draft documents and ideas for FSANZ business." ma:contentTypeScope="" ma:versionID="cbc601a6f4d01b7adb89160c806d1e35">
  <xsd:schema xmlns:xsd="http://www.w3.org/2001/XMLSchema" xmlns:xs="http://www.w3.org/2001/XMLSchema" xmlns:p="http://schemas.microsoft.com/office/2006/metadata/properties" xmlns:ns3="ec50576e-4a27-4780-a1e1-e59563bc70b8" xmlns:ns4="7e329c68-5cbf-4e54-96e5-e53e71021bd2" targetNamespace="http://schemas.microsoft.com/office/2006/metadata/properties" ma:root="true" ma:fieldsID="b910fd6dfd15266e4f7ec6bf0db8570f" ns3:_="" ns4:_="">
    <xsd:import namespace="ec50576e-4a27-4780-a1e1-e59563bc70b8"/>
    <xsd:import namespace="7e329c68-5cbf-4e54-96e5-e53e71021bd2"/>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1dd242-5574-46eb-ad7a-c292bf7fa417}" ma:internalName="TaxCatchAll" ma:showField="CatchAllData"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1dd242-5574-46eb-ad7a-c292bf7fa417}" ma:internalName="TaxCatchAllLabel" ma:readOnly="true" ma:showField="CatchAllDataLabel"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329c68-5cbf-4e54-96e5-e53e71021b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F57FB-77B9-49E3-835A-EE5085867397}"/>
</file>

<file path=customXml/itemProps2.xml><?xml version="1.0" encoding="utf-8"?>
<ds:datastoreItem xmlns:ds="http://schemas.openxmlformats.org/officeDocument/2006/customXml" ds:itemID="{F1101C44-4A9C-4BD7-8459-BBE16F163F89}"/>
</file>

<file path=customXml/itemProps3.xml><?xml version="1.0" encoding="utf-8"?>
<ds:datastoreItem xmlns:ds="http://schemas.openxmlformats.org/officeDocument/2006/customXml" ds:itemID="{4B7B9A63-AD8C-4456-B643-199B0D245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7e329c68-5cbf-4e54-96e5-e53e71021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62800-377D-47BC-A2C5-21AB194AF398}">
  <ds:schemaRefs>
    <ds:schemaRef ds:uri="http://schemas.microsoft.com/sharepoint/v3/contenttype/forms"/>
  </ds:schemaRefs>
</ds:datastoreItem>
</file>

<file path=customXml/itemProps5.xml><?xml version="1.0" encoding="utf-8"?>
<ds:datastoreItem xmlns:ds="http://schemas.openxmlformats.org/officeDocument/2006/customXml" ds:itemID="{4012987A-7705-45AB-8217-690351D62BC0}"/>
</file>

<file path=customXml/itemProps6.xml><?xml version="1.0" encoding="utf-8"?>
<ds:datastoreItem xmlns:ds="http://schemas.openxmlformats.org/officeDocument/2006/customXml" ds:itemID="{9F20573D-5D59-48D2-9176-2267D2898608}"/>
</file>

<file path=customXml/itemProps7.xml><?xml version="1.0" encoding="utf-8"?>
<ds:datastoreItem xmlns:ds="http://schemas.openxmlformats.org/officeDocument/2006/customXml" ds:itemID="{0C962800-377D-47BC-A2C5-21AB194AF398}"/>
</file>

<file path=docProps/app.xml><?xml version="1.0" encoding="utf-8"?>
<Properties xmlns="http://schemas.openxmlformats.org/officeDocument/2006/extended-properties" xmlns:vt="http://schemas.openxmlformats.org/officeDocument/2006/docPropsVTypes">
  <Template>Normal</Template>
  <TotalTime>5</TotalTime>
  <Pages>37</Pages>
  <Words>16089</Words>
  <Characters>91713</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107587</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seymok</dc:creator>
  <cp:keywords/>
  <cp:lastModifiedBy>Sally Ronaldson</cp:lastModifiedBy>
  <cp:revision>11</cp:revision>
  <cp:lastPrinted>2022-03-09T22:45:00Z</cp:lastPrinted>
  <dcterms:created xsi:type="dcterms:W3CDTF">2022-03-07T21:12:00Z</dcterms:created>
  <dcterms:modified xsi:type="dcterms:W3CDTF">2022-03-21T01:22:00Z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8d41898d-7b37-405b-9eb5-f5223c57b4b3</vt:lpwstr>
  </property>
  <property fmtid="{D5CDD505-2E9C-101B-9397-08002B2CF9AE}" pid="3" name="bjSaver">
    <vt:lpwstr>LlgSMo3yJ+fkgNEgbtQQbG6KKfc49ivc</vt:lpwstr>
  </property>
  <property fmtid="{D5CDD505-2E9C-101B-9397-08002B2CF9AE}" pid="4" name="ContentTypeId">
    <vt:lpwstr>0x010100FB86A4CA77FAD24FB4C8632D8CBF0C4A</vt:lpwstr>
  </property>
  <property fmtid="{D5CDD505-2E9C-101B-9397-08002B2CF9AE}" pid="5" name="RecordPoint_WorkflowType">
    <vt:lpwstr>ActiveSubmitStub</vt:lpwstr>
  </property>
  <property fmtid="{D5CDD505-2E9C-101B-9397-08002B2CF9AE}" pid="6" name="DisposalClass">
    <vt:lpwstr/>
  </property>
  <property fmtid="{D5CDD505-2E9C-101B-9397-08002B2CF9AE}" pid="7" name="BCS_">
    <vt:lpwstr>7;#Evaluation|43bd8487-b9f6-4055-946c-a118d364275d</vt:lpwstr>
  </property>
  <property fmtid="{D5CDD505-2E9C-101B-9397-08002B2CF9AE}" pid="8" name="RecordPoint_ActiveItemUniqueId">
    <vt:lpwstr>{9ed81940-3e27-4fb9-880b-1add406cab52}</vt:lpwstr>
  </property>
  <property fmtid="{D5CDD505-2E9C-101B-9397-08002B2CF9AE}" pid="9" name="RecordPoint_SubmissionCompleted">
    <vt:lpwstr>2022-02-21T17:25:11.2658894+11:00</vt:lpwstr>
  </property>
  <property fmtid="{D5CDD505-2E9C-101B-9397-08002B2CF9AE}" pid="10" name="_dlc_DocIdItemGuid">
    <vt:lpwstr>fb939ce2-0847-436d-a53f-5d9c3d0fa4a4</vt:lpwstr>
  </property>
  <property fmtid="{D5CDD505-2E9C-101B-9397-08002B2CF9AE}" pid="11" name="RecordPoint_ActiveItemWebId">
    <vt:lpwstr>{0a24ff59-26de-499e-af6c-870128dbbd86}</vt:lpwstr>
  </property>
  <property fmtid="{D5CDD505-2E9C-101B-9397-08002B2CF9AE}" pid="12" name="RecordPoint_ActiveItemSiteId">
    <vt:lpwstr>{cec154f9-42c6-4481-9906-45443d426660}</vt:lpwstr>
  </property>
  <property fmtid="{D5CDD505-2E9C-101B-9397-08002B2CF9AE}" pid="13" name="RecordPoint_ActiveItemListId">
    <vt:lpwstr>{3a9826a6-ef3d-4704-849b-07726235ecc0}</vt:lpwstr>
  </property>
  <property fmtid="{D5CDD505-2E9C-101B-9397-08002B2CF9AE}" pid="14" name="RecordPoint_RecordNumberSubmitted">
    <vt:lpwstr>R0000199524</vt:lpwstr>
  </property>
  <property fmtid="{D5CDD505-2E9C-101B-9397-08002B2CF9AE}" pid="15" name="CitaviDocumentProperty_16">
    <vt:lpwstr>Subtitle</vt:lpwstr>
  </property>
  <property fmtid="{D5CDD505-2E9C-101B-9397-08002B2CF9AE}" pid="16" name="CitaviDocumentProperty_1">
    <vt:lpwstr>5.7.1.0</vt:lpwstr>
  </property>
  <property fmtid="{D5CDD505-2E9C-101B-9397-08002B2CF9AE}" pid="17" name="CitaviDocumentProperty_11">
    <vt:lpwstr>Heading 1,FSHeading 1,Chapter heading</vt:lpwstr>
  </property>
  <property fmtid="{D5CDD505-2E9C-101B-9397-08002B2CF9AE}" pid="18" name="CitaviDocumentProperty_6">
    <vt:lpwstr>False</vt:lpwstr>
  </property>
  <property fmtid="{D5CDD505-2E9C-101B-9397-08002B2CF9AE}" pid="19" name="CitaviDocumentProperty_27">
    <vt:lpwstr>True</vt:lpwstr>
  </property>
  <property fmtid="{D5CDD505-2E9C-101B-9397-08002B2CF9AE}" pid="20" name="CitaviDocumentProperty_9">
    <vt:lpwstr>False</vt:lpwstr>
  </property>
  <property fmtid="{D5CDD505-2E9C-101B-9397-08002B2CF9AE}" pid="21" name="CitaviDocumentProperty_17">
    <vt:lpwstr>Normal</vt:lpwstr>
  </property>
  <property fmtid="{D5CDD505-2E9C-101B-9397-08002B2CF9AE}" pid="22" name="CitaviDocumentProperty_12">
    <vt:lpwstr>Normal</vt:lpwstr>
  </property>
  <property fmtid="{D5CDD505-2E9C-101B-9397-08002B2CF9AE}" pid="23" name="CitaviDocumentProperty_7">
    <vt:lpwstr>Kava-CtaviRefs</vt:lpwstr>
  </property>
  <property fmtid="{D5CDD505-2E9C-101B-9397-08002B2CF9AE}" pid="24" name="CitaviDocumentProperty_15">
    <vt:lpwstr>Normal</vt:lpwstr>
  </property>
  <property fmtid="{D5CDD505-2E9C-101B-9397-08002B2CF9AE}" pid="25" name="CitaviDocumentProperty_0">
    <vt:lpwstr>a0a64c14-7eb6-47a0-89dc-350944446acb</vt:lpwstr>
  </property>
  <property fmtid="{D5CDD505-2E9C-101B-9397-08002B2CF9AE}" pid="26" name="CitaviDocumentProperty_26">
    <vt:lpwstr>References</vt:lpwstr>
  </property>
  <property fmtid="{D5CDD505-2E9C-101B-9397-08002B2CF9AE}" pid="27" name="CitaviDocumentProperty_8">
    <vt:lpwstr>\\fsintranet\DavWWWRoot\Sections\RACSAN\Documents\Kava\Kava-CtaviRefs\Kava-CtaviRefs.ctv6</vt:lpwstr>
  </property>
  <property fmtid="{D5CDD505-2E9C-101B-9397-08002B2CF9AE}" pid="28" name="CitaviDocumentProperty_13">
    <vt:lpwstr>Normal</vt:lpwstr>
  </property>
  <property fmtid="{D5CDD505-2E9C-101B-9397-08002B2CF9AE}" pid="29" name="bjClsUserRVM">
    <vt:lpwstr>[]</vt:lpwstr>
  </property>
  <property fmtid="{D5CDD505-2E9C-101B-9397-08002B2CF9AE}" pid="30" name="RecordPoint_SubmissionDate">
    <vt:lpwstr/>
  </property>
  <property fmtid="{D5CDD505-2E9C-101B-9397-08002B2CF9AE}" pid="31" name="RecordPoint_ActiveItemMoved">
    <vt:lpwstr/>
  </property>
  <property fmtid="{D5CDD505-2E9C-101B-9397-08002B2CF9AE}" pid="32" name="RecordPoint_RecordFormat">
    <vt:lpwstr/>
  </property>
  <property fmtid="{D5CDD505-2E9C-101B-9397-08002B2CF9AE}" pid="33"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34" name="bjDocumentLabelXML-0">
    <vt:lpwstr>ames.com/2008/01/sie/internal/label"&gt;&lt;element uid="66ddac19-06c4-4e63-b4dd-d8240d87a23f" value="" /&gt;&lt;/sisl&gt;</vt:lpwstr>
  </property>
  <property fmtid="{D5CDD505-2E9C-101B-9397-08002B2CF9AE}" pid="35" name="bjDocumentSecurityLabel">
    <vt:lpwstr>NO SECURITY CLASSIFICATION REQUIRED</vt:lpwstr>
  </property>
</Properties>
</file>