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F3750" w14:textId="1F3F0DEC" w:rsidR="00E203C2" w:rsidRDefault="00E203C2" w:rsidP="00E203C2">
      <w:r>
        <w:rPr>
          <w:noProof/>
          <w:lang w:eastAsia="en-GB" w:bidi="ar-SA"/>
        </w:rPr>
        <w:drawing>
          <wp:inline distT="0" distB="0" distL="0" distR="0" wp14:anchorId="7F2F3764" wp14:editId="7310CB56">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F2F3751" w14:textId="77777777" w:rsidR="00E203C2" w:rsidRDefault="00E203C2" w:rsidP="00E203C2"/>
    <w:p w14:paraId="7F2F3752" w14:textId="102DDAB9" w:rsidR="00092CDA" w:rsidRPr="000A5113" w:rsidRDefault="00092CDA" w:rsidP="007E2A71">
      <w:pPr>
        <w:pStyle w:val="FSTitle"/>
        <w:rPr>
          <w:b/>
        </w:rPr>
      </w:pPr>
      <w:r w:rsidRPr="000A5113">
        <w:rPr>
          <w:b/>
        </w:rPr>
        <w:t>S</w:t>
      </w:r>
      <w:r w:rsidR="00B12F1E" w:rsidRPr="000A5113">
        <w:rPr>
          <w:b/>
        </w:rPr>
        <w:t>upporting document</w:t>
      </w:r>
      <w:r w:rsidRPr="000A5113">
        <w:rPr>
          <w:b/>
        </w:rPr>
        <w:t xml:space="preserve"> </w:t>
      </w:r>
      <w:r w:rsidR="00797058" w:rsidRPr="000A5113">
        <w:rPr>
          <w:b/>
        </w:rPr>
        <w:t>3</w:t>
      </w:r>
    </w:p>
    <w:p w14:paraId="7F2F3753" w14:textId="77777777" w:rsidR="00BA24E2" w:rsidRDefault="00BA24E2" w:rsidP="00E203C2"/>
    <w:p w14:paraId="7F2F3754" w14:textId="77777777" w:rsidR="00D056F1" w:rsidRPr="0041246C" w:rsidRDefault="0083274C" w:rsidP="00690206">
      <w:pPr>
        <w:pStyle w:val="FSTitle"/>
        <w:rPr>
          <w:color w:val="000000" w:themeColor="text1"/>
        </w:rPr>
      </w:pPr>
      <w:r w:rsidRPr="0041246C">
        <w:rPr>
          <w:color w:val="000000" w:themeColor="text1"/>
        </w:rPr>
        <w:t>Risk profile</w:t>
      </w:r>
      <w:r w:rsidR="006B5EBE" w:rsidRPr="0041246C">
        <w:rPr>
          <w:color w:val="000000" w:themeColor="text1"/>
        </w:rPr>
        <w:t xml:space="preserve"> – </w:t>
      </w:r>
      <w:r w:rsidR="00B12F1E" w:rsidRPr="0041246C">
        <w:rPr>
          <w:color w:val="000000" w:themeColor="text1"/>
        </w:rPr>
        <w:t>Proposal</w:t>
      </w:r>
      <w:r w:rsidRPr="0041246C">
        <w:rPr>
          <w:color w:val="000000" w:themeColor="text1"/>
        </w:rPr>
        <w:t xml:space="preserve"> </w:t>
      </w:r>
      <w:r w:rsidR="00E203C2" w:rsidRPr="0041246C">
        <w:rPr>
          <w:color w:val="000000" w:themeColor="text1"/>
        </w:rPr>
        <w:t>P</w:t>
      </w:r>
      <w:r w:rsidRPr="0041246C">
        <w:rPr>
          <w:color w:val="000000" w:themeColor="text1"/>
        </w:rPr>
        <w:t>1034</w:t>
      </w:r>
    </w:p>
    <w:p w14:paraId="7F2F3755" w14:textId="77777777" w:rsidR="00E203C2" w:rsidRPr="0041246C" w:rsidRDefault="00E203C2" w:rsidP="00690206">
      <w:pPr>
        <w:rPr>
          <w:color w:val="000000" w:themeColor="text1"/>
        </w:rPr>
      </w:pPr>
    </w:p>
    <w:p w14:paraId="7F2F3756" w14:textId="4A542494" w:rsidR="00D056F1" w:rsidRPr="0041246C" w:rsidRDefault="0083274C" w:rsidP="00690206">
      <w:pPr>
        <w:pStyle w:val="FSTitle"/>
        <w:rPr>
          <w:color w:val="000000" w:themeColor="text1"/>
        </w:rPr>
      </w:pPr>
      <w:r w:rsidRPr="0041246C">
        <w:rPr>
          <w:color w:val="000000" w:themeColor="text1"/>
        </w:rPr>
        <w:t>Chemical Migration from Packaging into Food</w:t>
      </w:r>
    </w:p>
    <w:p w14:paraId="7F2F3757" w14:textId="77777777" w:rsidR="00E203C2" w:rsidRPr="00B37BF0" w:rsidRDefault="00E203C2" w:rsidP="00E203C2">
      <w:pPr>
        <w:pBdr>
          <w:bottom w:val="single" w:sz="12" w:space="1" w:color="auto"/>
        </w:pBdr>
        <w:spacing w:line="280" w:lineRule="exact"/>
        <w:rPr>
          <w:rFonts w:cs="Arial"/>
          <w:bCs/>
        </w:rPr>
      </w:pPr>
    </w:p>
    <w:p w14:paraId="7F2F3758" w14:textId="77777777" w:rsidR="00E203C2" w:rsidRPr="00B37BF0" w:rsidRDefault="00E203C2" w:rsidP="00E203C2"/>
    <w:p w14:paraId="7F2F3759" w14:textId="77777777" w:rsidR="00092CDA" w:rsidRPr="00092CDA" w:rsidRDefault="00092CDA" w:rsidP="00352CF2">
      <w:pPr>
        <w:pStyle w:val="Heading1"/>
      </w:pPr>
      <w:bookmarkStart w:id="0" w:name="_Toc286391001"/>
      <w:bookmarkStart w:id="1" w:name="_Toc300933414"/>
      <w:bookmarkStart w:id="2" w:name="_Toc448936152"/>
      <w:r w:rsidRPr="00092CDA">
        <w:t xml:space="preserve">Executive </w:t>
      </w:r>
      <w:r w:rsidR="00B12F1E">
        <w:t>s</w:t>
      </w:r>
      <w:r w:rsidRPr="00092CDA">
        <w:t>ummary</w:t>
      </w:r>
      <w:bookmarkEnd w:id="0"/>
      <w:bookmarkEnd w:id="1"/>
      <w:bookmarkEnd w:id="2"/>
    </w:p>
    <w:p w14:paraId="7F2F375A" w14:textId="44692B8B" w:rsidR="00092CDA" w:rsidRDefault="00B74CF4" w:rsidP="00690206">
      <w:r>
        <w:t>Food packaging is manufactured from a range of materials including glass, paper/ paperboard, a variety of plastics, and metals such as aluminium and steel. The bulk packaging material is often modified due to the use of adhesives, protective coatings and printing inks, for example. Several thousand chemicals are used in the manufacture of food packaging and other materials that come into contact with food during its production and processing.</w:t>
      </w:r>
    </w:p>
    <w:p w14:paraId="369D1CDD" w14:textId="77777777" w:rsidR="00B74CF4" w:rsidRDefault="00B74CF4" w:rsidP="00690206"/>
    <w:p w14:paraId="66B37C64" w14:textId="0A7FE501" w:rsidR="00F84F53" w:rsidRDefault="00F84F53" w:rsidP="00690206">
      <w:r>
        <w:t xml:space="preserve">In order to gain an understanding of the risk posed by </w:t>
      </w:r>
      <w:r w:rsidRPr="00FB610B">
        <w:t>chemical mig</w:t>
      </w:r>
      <w:r>
        <w:t>ration from packaging into food, FSANZ</w:t>
      </w:r>
      <w:r w:rsidRPr="00E1357B">
        <w:t xml:space="preserve"> has been investigating</w:t>
      </w:r>
      <w:r>
        <w:t xml:space="preserve"> information on the hazard characteristics of chemicals used in the production of food packaging, and estimated dietary exposure to these chemicals due to migration into food.</w:t>
      </w:r>
      <w:r w:rsidRPr="00F84F53">
        <w:t xml:space="preserve"> </w:t>
      </w:r>
      <w:r>
        <w:t xml:space="preserve">Use of </w:t>
      </w:r>
      <w:r w:rsidRPr="00F84F53">
        <w:t>the threshold of toxicological concern (TTC) concept</w:t>
      </w:r>
      <w:r>
        <w:t xml:space="preserve"> has been </w:t>
      </w:r>
      <w:r w:rsidR="00046DBE">
        <w:t>particularly valuable for this work.</w:t>
      </w:r>
      <w:r>
        <w:t xml:space="preserve"> </w:t>
      </w:r>
    </w:p>
    <w:p w14:paraId="5F2B277E" w14:textId="77777777" w:rsidR="00C927EB" w:rsidRDefault="00C927EB" w:rsidP="00690206"/>
    <w:p w14:paraId="6E177FED" w14:textId="77777777" w:rsidR="00046DBE" w:rsidRDefault="00046DBE" w:rsidP="00046DBE">
      <w:r>
        <w:t>The t</w:t>
      </w:r>
      <w:r w:rsidRPr="00142316">
        <w:t xml:space="preserve">oxicological </w:t>
      </w:r>
      <w:r>
        <w:t>properties of</w:t>
      </w:r>
      <w:r w:rsidRPr="00142316">
        <w:t xml:space="preserve"> packaging chemicals </w:t>
      </w:r>
      <w:r>
        <w:t>span a continuum ranging</w:t>
      </w:r>
      <w:r w:rsidRPr="00142316">
        <w:t xml:space="preserve"> from innocuous (“non-toxic”) to </w:t>
      </w:r>
      <w:r>
        <w:t xml:space="preserve">concerning (e.g. </w:t>
      </w:r>
      <w:r w:rsidRPr="00142316">
        <w:t>carcinogenic or toxic to reproduction/ development).</w:t>
      </w:r>
      <w:r>
        <w:t xml:space="preserve"> For example, the EU plastics regulation contains specific permissions for the use of water and vegetable oils in the production of food contact materials, while the same regulation also lists over 30 substances that may be used in food contact materials but, because of their adverse toxicological profiles, must not be detectable in food.</w:t>
      </w:r>
    </w:p>
    <w:p w14:paraId="6DA4ADA6" w14:textId="77777777" w:rsidR="00046DBE" w:rsidRDefault="00046DBE" w:rsidP="00690206"/>
    <w:p w14:paraId="10A509D9" w14:textId="1CE68E62" w:rsidR="00CB5D00" w:rsidRDefault="00F84F53" w:rsidP="00690206">
      <w:r>
        <w:t xml:space="preserve">The TTC approach </w:t>
      </w:r>
      <w:r w:rsidRPr="006C724B">
        <w:t>is a screening tool, based on risk assessment principles</w:t>
      </w:r>
      <w:r>
        <w:t>, that</w:t>
      </w:r>
      <w:r w:rsidRPr="006C724B">
        <w:t xml:space="preserve"> categorises chemicals into various levels of safe expected exposure depending on chemical structure features.</w:t>
      </w:r>
      <w:r>
        <w:t xml:space="preserve"> </w:t>
      </w:r>
      <w:r w:rsidRPr="006C724B">
        <w:t xml:space="preserve">Estimated dietary exposure that is below the </w:t>
      </w:r>
      <w:r w:rsidR="00046DBE">
        <w:t xml:space="preserve">applicable </w:t>
      </w:r>
      <w:r w:rsidRPr="006C724B">
        <w:t>TTC indicates no safety concern, wh</w:t>
      </w:r>
      <w:r w:rsidR="00046DBE">
        <w:t>ile exposure above the</w:t>
      </w:r>
      <w:r w:rsidRPr="006C724B">
        <w:t xml:space="preserve"> threshold indicates that appropriate toxicity data on the chemical, or a close structural relative, is required to perform a safety assessment.</w:t>
      </w:r>
    </w:p>
    <w:p w14:paraId="0F2D2C8D" w14:textId="77777777" w:rsidR="00D522BB" w:rsidRDefault="00D522BB" w:rsidP="00690206"/>
    <w:p w14:paraId="70728CB6" w14:textId="175BED24" w:rsidR="002550FD" w:rsidRDefault="00AD48CD" w:rsidP="00B9522C">
      <w:r>
        <w:t>A</w:t>
      </w:r>
      <w:r w:rsidR="00EC4740">
        <w:t xml:space="preserve"> TTC analysis, conducted on a </w:t>
      </w:r>
      <w:r w:rsidR="007A474A">
        <w:t>USFDA</w:t>
      </w:r>
      <w:r w:rsidR="00EC4740">
        <w:t xml:space="preserve"> database of over 1300 food contact substances, </w:t>
      </w:r>
      <w:r w:rsidR="005E1E51">
        <w:t xml:space="preserve">showed that for </w:t>
      </w:r>
      <w:r w:rsidR="00EC4740" w:rsidRPr="00EC4740">
        <w:t>86% of the substances</w:t>
      </w:r>
      <w:r w:rsidR="00EC4740">
        <w:t xml:space="preserve">, </w:t>
      </w:r>
      <w:r w:rsidR="00EC4740" w:rsidRPr="00EC4740">
        <w:t>estimated dietary exp</w:t>
      </w:r>
      <w:r w:rsidR="00EC4740">
        <w:t>osure is less than the lowest TTC value</w:t>
      </w:r>
      <w:r w:rsidR="00EC4740" w:rsidRPr="00EC4740">
        <w:t xml:space="preserve"> for non-genotoxic substances (</w:t>
      </w:r>
      <w:r w:rsidR="00C06A49">
        <w:t>0.0015 m</w:t>
      </w:r>
      <w:r w:rsidR="00EC4740" w:rsidRPr="00EC4740">
        <w:t>g/kg bw/day).</w:t>
      </w:r>
      <w:r w:rsidR="00B9522C">
        <w:t xml:space="preserve"> </w:t>
      </w:r>
      <w:r w:rsidR="002550FD" w:rsidRPr="002550FD">
        <w:t>For many of the chemicals with estimated dietary exposure</w:t>
      </w:r>
      <w:r w:rsidR="00060FCB">
        <w:t>s</w:t>
      </w:r>
      <w:r w:rsidR="002550FD" w:rsidRPr="002550FD">
        <w:t xml:space="preserve"> exceeding their respective TTC thresholds, specific toxicity data were located in various databases and the published literature that support the safety of those chemicals. For some packaging chemicals, supporting toxicity data may not be publically available, or toxicity data on structurally related substances was used for safety assessment.</w:t>
      </w:r>
    </w:p>
    <w:p w14:paraId="5262AF1E" w14:textId="77777777" w:rsidR="002550FD" w:rsidRDefault="002550FD" w:rsidP="00B9522C"/>
    <w:p w14:paraId="2CBE4497" w14:textId="77777777" w:rsidR="00F70860" w:rsidRDefault="00B9522C" w:rsidP="00B9522C">
      <w:r>
        <w:t xml:space="preserve">A conclusion of low risk resulting from the </w:t>
      </w:r>
      <w:r w:rsidR="00D53D19">
        <w:t xml:space="preserve">above </w:t>
      </w:r>
      <w:r>
        <w:t xml:space="preserve">analysis is consistent with the findings of analytical surveys investigating the presence of specific packaging chemicals in Australian foods. </w:t>
      </w:r>
      <w:r w:rsidR="00F70860">
        <w:br w:type="page"/>
      </w:r>
    </w:p>
    <w:p w14:paraId="7915AE07" w14:textId="3064F957" w:rsidR="00B9522C" w:rsidRDefault="00B9522C" w:rsidP="00B9522C">
      <w:r>
        <w:lastRenderedPageBreak/>
        <w:t xml:space="preserve">However, FSANZ has identified two chemicals for which additional food concentration data are required </w:t>
      </w:r>
      <w:r w:rsidRPr="006E2984">
        <w:t>in order to determine if dietary exposure to these chemicals poses a health risk.</w:t>
      </w:r>
      <w:r>
        <w:t xml:space="preserve"> These two chemicals, </w:t>
      </w:r>
      <w:r w:rsidR="00C06A49">
        <w:t>d</w:t>
      </w:r>
      <w:r w:rsidR="003C053E" w:rsidRPr="001E5EED">
        <w:t xml:space="preserve">iethylhexyl phthalate </w:t>
      </w:r>
      <w:r w:rsidR="003C053E">
        <w:t>(</w:t>
      </w:r>
      <w:r>
        <w:t>DEHP</w:t>
      </w:r>
      <w:r w:rsidR="003C053E">
        <w:t>)</w:t>
      </w:r>
      <w:r>
        <w:t xml:space="preserve"> and </w:t>
      </w:r>
      <w:r w:rsidR="00C06A49">
        <w:t>d</w:t>
      </w:r>
      <w:r w:rsidR="003C053E" w:rsidRPr="003C053E">
        <w:t xml:space="preserve">iisononyl phthalate </w:t>
      </w:r>
      <w:r w:rsidR="003C053E">
        <w:t>(</w:t>
      </w:r>
      <w:r>
        <w:t>DINP</w:t>
      </w:r>
      <w:r w:rsidR="003C053E">
        <w:t>)</w:t>
      </w:r>
      <w:r>
        <w:t>, belong to the phthalate family of compounds, some members of which migrate efficiently into foods.</w:t>
      </w:r>
      <w:r w:rsidRPr="006E2984">
        <w:t xml:space="preserve"> </w:t>
      </w:r>
      <w:r>
        <w:t>FSANZ is currently conducting a study to acquire data on DEHP and DINP levels in a wider range of foods.</w:t>
      </w:r>
    </w:p>
    <w:p w14:paraId="4FC22E70" w14:textId="77777777" w:rsidR="00B9522C" w:rsidRDefault="00B9522C" w:rsidP="00B9522C">
      <w:pPr>
        <w:contextualSpacing/>
      </w:pPr>
    </w:p>
    <w:p w14:paraId="6BABDD16" w14:textId="7172B74D" w:rsidR="00E75461" w:rsidRDefault="00510724" w:rsidP="00E75461">
      <w:r w:rsidRPr="00AB760F">
        <w:t>The potential risk from the migration into food of chemicals in recycled paperboard, particularly mineral oils, is not yet well characterised and research is ongoing</w:t>
      </w:r>
      <w:r>
        <w:t xml:space="preserve"> internationally. However, a recent Australian survey, carried out by FSANZ, did not find widespread migration of mineral oils into food products o</w:t>
      </w:r>
      <w:r w:rsidR="007953FB">
        <w:t>r identif</w:t>
      </w:r>
      <w:r>
        <w:t>y any specific public health and safety concerns.</w:t>
      </w:r>
      <w:r w:rsidR="00E75461">
        <w:t xml:space="preserve"> </w:t>
      </w:r>
    </w:p>
    <w:p w14:paraId="7C553E7B" w14:textId="67D50BC6" w:rsidR="00510724" w:rsidRDefault="00510724" w:rsidP="00510724"/>
    <w:p w14:paraId="09798888" w14:textId="77777777" w:rsidR="006225E4" w:rsidRDefault="006225E4" w:rsidP="00B9522C"/>
    <w:p w14:paraId="677C6E1B" w14:textId="3C2DFFE0" w:rsidR="00B9522C" w:rsidRDefault="00B9522C" w:rsidP="00B9522C"/>
    <w:p w14:paraId="76055BB8" w14:textId="77777777" w:rsidR="00095C0E" w:rsidRPr="00354CB0" w:rsidRDefault="00095C0E" w:rsidP="00690206">
      <w:pPr>
        <w:sectPr w:rsidR="00095C0E" w:rsidRPr="00354CB0" w:rsidSect="00F70860">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0B322787" w14:textId="2CAAF0C9" w:rsidR="007A474A" w:rsidRPr="007A474A" w:rsidRDefault="007A474A" w:rsidP="000A5113">
      <w:pPr>
        <w:pStyle w:val="TOCHeading"/>
        <w:jc w:val="center"/>
        <w:rPr>
          <w:b w:val="0"/>
          <w:sz w:val="32"/>
        </w:rPr>
      </w:pPr>
      <w:r w:rsidRPr="007A474A">
        <w:rPr>
          <w:b w:val="0"/>
          <w:sz w:val="32"/>
        </w:rPr>
        <w:lastRenderedPageBreak/>
        <w:t>Table of contents</w:t>
      </w:r>
    </w:p>
    <w:p w14:paraId="7308FCCB" w14:textId="77777777" w:rsidR="007A474A" w:rsidRPr="00F70860" w:rsidRDefault="007A474A">
      <w:pPr>
        <w:pStyle w:val="TOC1"/>
        <w:tabs>
          <w:tab w:val="right" w:leader="dot" w:pos="9016"/>
        </w:tabs>
        <w:rPr>
          <w:rFonts w:ascii="Arial" w:eastAsiaTheme="minorEastAsia" w:hAnsi="Arial" w:cs="Arial"/>
          <w:b w:val="0"/>
          <w:bCs w:val="0"/>
          <w:caps w:val="0"/>
          <w:noProof/>
          <w:sz w:val="22"/>
          <w:szCs w:val="22"/>
          <w:lang w:eastAsia="en-GB" w:bidi="ar-SA"/>
        </w:rPr>
      </w:pPr>
      <w:r w:rsidRPr="00F70860">
        <w:rPr>
          <w:rFonts w:ascii="Arial" w:hAnsi="Arial" w:cs="Arial"/>
        </w:rPr>
        <w:fldChar w:fldCharType="begin"/>
      </w:r>
      <w:r w:rsidRPr="00F70860">
        <w:rPr>
          <w:rFonts w:ascii="Arial" w:hAnsi="Arial" w:cs="Arial"/>
        </w:rPr>
        <w:instrText xml:space="preserve"> TOC \o "1-3" \h \z \u </w:instrText>
      </w:r>
      <w:r w:rsidRPr="00F70860">
        <w:rPr>
          <w:rFonts w:ascii="Arial" w:hAnsi="Arial" w:cs="Arial"/>
        </w:rPr>
        <w:fldChar w:fldCharType="separate"/>
      </w:r>
      <w:hyperlink w:anchor="_Toc448936152" w:history="1">
        <w:r w:rsidRPr="00F70860">
          <w:rPr>
            <w:rStyle w:val="Hyperlink"/>
            <w:rFonts w:cs="Arial"/>
            <w:noProof/>
          </w:rPr>
          <w:t>Executive summary</w:t>
        </w:r>
        <w:r w:rsidRPr="00F70860">
          <w:rPr>
            <w:rFonts w:ascii="Arial" w:hAnsi="Arial" w:cs="Arial"/>
            <w:noProof/>
            <w:webHidden/>
          </w:rPr>
          <w:tab/>
        </w:r>
        <w:r w:rsidRPr="00F70860">
          <w:rPr>
            <w:rFonts w:ascii="Arial" w:hAnsi="Arial" w:cs="Arial"/>
            <w:noProof/>
            <w:webHidden/>
          </w:rPr>
          <w:fldChar w:fldCharType="begin"/>
        </w:r>
        <w:r w:rsidRPr="00F70860">
          <w:rPr>
            <w:rFonts w:ascii="Arial" w:hAnsi="Arial" w:cs="Arial"/>
            <w:noProof/>
            <w:webHidden/>
          </w:rPr>
          <w:instrText xml:space="preserve"> PAGEREF _Toc448936152 \h </w:instrText>
        </w:r>
        <w:r w:rsidRPr="00F70860">
          <w:rPr>
            <w:rFonts w:ascii="Arial" w:hAnsi="Arial" w:cs="Arial"/>
            <w:noProof/>
            <w:webHidden/>
          </w:rPr>
        </w:r>
        <w:r w:rsidRPr="00F70860">
          <w:rPr>
            <w:rFonts w:ascii="Arial" w:hAnsi="Arial" w:cs="Arial"/>
            <w:noProof/>
            <w:webHidden/>
          </w:rPr>
          <w:fldChar w:fldCharType="separate"/>
        </w:r>
        <w:r w:rsidR="00745F88">
          <w:rPr>
            <w:rFonts w:ascii="Arial" w:hAnsi="Arial" w:cs="Arial"/>
            <w:noProof/>
            <w:webHidden/>
          </w:rPr>
          <w:t>i</w:t>
        </w:r>
        <w:r w:rsidRPr="00F70860">
          <w:rPr>
            <w:rFonts w:ascii="Arial" w:hAnsi="Arial" w:cs="Arial"/>
            <w:noProof/>
            <w:webHidden/>
          </w:rPr>
          <w:fldChar w:fldCharType="end"/>
        </w:r>
      </w:hyperlink>
    </w:p>
    <w:p w14:paraId="3AD6FAB9"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3" w:history="1">
        <w:r w:rsidR="007A474A" w:rsidRPr="00F70860">
          <w:rPr>
            <w:rStyle w:val="Hyperlink"/>
            <w:rFonts w:cs="Arial"/>
            <w:noProof/>
          </w:rPr>
          <w:t>1.</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Introduction</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_Toc448936153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2</w:t>
        </w:r>
        <w:r w:rsidR="007A474A" w:rsidRPr="00F70860">
          <w:rPr>
            <w:rFonts w:ascii="Arial" w:hAnsi="Arial" w:cs="Arial"/>
            <w:noProof/>
            <w:webHidden/>
          </w:rPr>
          <w:fldChar w:fldCharType="end"/>
        </w:r>
      </w:hyperlink>
    </w:p>
    <w:p w14:paraId="645D522A"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4" w:history="1">
        <w:r w:rsidR="007A474A" w:rsidRPr="00F70860">
          <w:rPr>
            <w:rStyle w:val="Hyperlink"/>
            <w:rFonts w:cs="Arial"/>
            <w:noProof/>
          </w:rPr>
          <w:t>2.</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Risk assessment of food packaging chemicals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_Toc448936154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2</w:t>
        </w:r>
        <w:r w:rsidR="007A474A" w:rsidRPr="00F70860">
          <w:rPr>
            <w:rFonts w:ascii="Arial" w:hAnsi="Arial" w:cs="Arial"/>
            <w:noProof/>
            <w:webHidden/>
          </w:rPr>
          <w:fldChar w:fldCharType="end"/>
        </w:r>
      </w:hyperlink>
    </w:p>
    <w:p w14:paraId="6B25EF9E"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5" w:history="1">
        <w:r w:rsidR="007A474A" w:rsidRPr="00F70860">
          <w:rPr>
            <w:rStyle w:val="Hyperlink"/>
            <w:rFonts w:cs="Arial"/>
            <w:noProof/>
          </w:rPr>
          <w:t>3.</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Hazard characteristics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_Toc448936155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2</w:t>
        </w:r>
        <w:r w:rsidR="007A474A" w:rsidRPr="00F70860">
          <w:rPr>
            <w:rFonts w:ascii="Arial" w:hAnsi="Arial" w:cs="Arial"/>
            <w:noProof/>
            <w:webHidden/>
          </w:rPr>
          <w:fldChar w:fldCharType="end"/>
        </w:r>
      </w:hyperlink>
    </w:p>
    <w:p w14:paraId="296682DA"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6" w:history="1">
        <w:r w:rsidR="007A474A" w:rsidRPr="00F70860">
          <w:rPr>
            <w:rStyle w:val="Hyperlink"/>
            <w:rFonts w:cs="Arial"/>
            <w:noProof/>
          </w:rPr>
          <w:t>4.</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Dietary exposure</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_Toc448936156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3</w:t>
        </w:r>
        <w:r w:rsidR="007A474A" w:rsidRPr="00F70860">
          <w:rPr>
            <w:rFonts w:ascii="Arial" w:hAnsi="Arial" w:cs="Arial"/>
            <w:noProof/>
            <w:webHidden/>
          </w:rPr>
          <w:fldChar w:fldCharType="end"/>
        </w:r>
      </w:hyperlink>
    </w:p>
    <w:p w14:paraId="5CB6A1D0"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7" w:history="1">
        <w:r w:rsidR="007A474A" w:rsidRPr="00F70860">
          <w:rPr>
            <w:rStyle w:val="Hyperlink"/>
            <w:rFonts w:cs="Arial"/>
            <w:noProof/>
          </w:rPr>
          <w:t>5.</w:t>
        </w:r>
        <w:r w:rsidR="007A474A" w:rsidRPr="00F70860">
          <w:rPr>
            <w:rFonts w:ascii="Arial" w:eastAsiaTheme="minorEastAsia" w:hAnsi="Arial" w:cs="Arial"/>
            <w:smallCaps w:val="0"/>
            <w:noProof/>
            <w:sz w:val="22"/>
            <w:szCs w:val="22"/>
            <w:lang w:eastAsia="en-GB" w:bidi="ar-SA"/>
          </w:rPr>
          <w:tab/>
        </w:r>
        <w:r w:rsidR="007A474A" w:rsidRPr="00F70860">
          <w:rPr>
            <w:rStyle w:val="Hyperlink"/>
            <w:rFonts w:eastAsia="Calibri" w:cs="Arial"/>
            <w:noProof/>
          </w:rPr>
          <w:t>Threshold of Toxicological Concern analysis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_Toc448936157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5</w:t>
        </w:r>
        <w:r w:rsidR="007A474A" w:rsidRPr="00F70860">
          <w:rPr>
            <w:rFonts w:ascii="Arial" w:hAnsi="Arial" w:cs="Arial"/>
            <w:noProof/>
            <w:webHidden/>
          </w:rPr>
          <w:fldChar w:fldCharType="end"/>
        </w:r>
      </w:hyperlink>
    </w:p>
    <w:p w14:paraId="656A8060" w14:textId="2906DD9D"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8" w:history="1">
        <w:r w:rsidR="007A474A" w:rsidRPr="00F70860">
          <w:rPr>
            <w:rStyle w:val="Hyperlink"/>
            <w:rFonts w:cs="Arial"/>
            <w:noProof/>
          </w:rPr>
          <w:t>6.</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Risk assessment of specific packaging chemicals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_Toc448936158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8</w:t>
        </w:r>
        <w:r w:rsidR="007A474A" w:rsidRPr="00F70860">
          <w:rPr>
            <w:rFonts w:ascii="Arial" w:hAnsi="Arial" w:cs="Arial"/>
            <w:noProof/>
            <w:webHidden/>
          </w:rPr>
          <w:fldChar w:fldCharType="end"/>
        </w:r>
      </w:hyperlink>
    </w:p>
    <w:p w14:paraId="41CBDE95"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59" w:history="1">
        <w:r w:rsidR="007A474A" w:rsidRPr="00F70860">
          <w:rPr>
            <w:rStyle w:val="Hyperlink"/>
            <w:rFonts w:cs="Arial"/>
            <w:noProof/>
          </w:rPr>
          <w:t>7.</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Food packaging made from recycled materials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_Toc448936159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13</w:t>
        </w:r>
        <w:r w:rsidR="007A474A" w:rsidRPr="00F70860">
          <w:rPr>
            <w:rFonts w:ascii="Arial" w:hAnsi="Arial" w:cs="Arial"/>
            <w:noProof/>
            <w:webHidden/>
          </w:rPr>
          <w:fldChar w:fldCharType="end"/>
        </w:r>
      </w:hyperlink>
    </w:p>
    <w:p w14:paraId="4526CFB2" w14:textId="77777777"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60" w:history="1">
        <w:r w:rsidR="007A474A" w:rsidRPr="00F70860">
          <w:rPr>
            <w:rStyle w:val="Hyperlink"/>
            <w:rFonts w:cs="Arial"/>
            <w:noProof/>
          </w:rPr>
          <w:t>8.</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Conclusions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_Toc448936160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13</w:t>
        </w:r>
        <w:r w:rsidR="007A474A" w:rsidRPr="00F70860">
          <w:rPr>
            <w:rFonts w:ascii="Arial" w:hAnsi="Arial" w:cs="Arial"/>
            <w:noProof/>
            <w:webHidden/>
          </w:rPr>
          <w:fldChar w:fldCharType="end"/>
        </w:r>
      </w:hyperlink>
    </w:p>
    <w:p w14:paraId="7CFACA22" w14:textId="0770963F" w:rsidR="007A474A" w:rsidRPr="00F70860" w:rsidRDefault="00745F88">
      <w:pPr>
        <w:pStyle w:val="TOC2"/>
        <w:tabs>
          <w:tab w:val="left" w:pos="660"/>
          <w:tab w:val="right" w:leader="dot" w:pos="9016"/>
        </w:tabs>
        <w:rPr>
          <w:rFonts w:ascii="Arial" w:eastAsiaTheme="minorEastAsia" w:hAnsi="Arial" w:cs="Arial"/>
          <w:smallCaps w:val="0"/>
          <w:noProof/>
          <w:sz w:val="22"/>
          <w:szCs w:val="22"/>
          <w:lang w:eastAsia="en-GB" w:bidi="ar-SA"/>
        </w:rPr>
      </w:pPr>
      <w:hyperlink w:anchor="_Toc448936161" w:history="1">
        <w:r w:rsidR="007A474A" w:rsidRPr="00F70860">
          <w:rPr>
            <w:rStyle w:val="Hyperlink"/>
            <w:rFonts w:cs="Arial"/>
            <w:noProof/>
          </w:rPr>
          <w:t>9.</w:t>
        </w:r>
        <w:r w:rsidR="007A474A" w:rsidRPr="00F70860">
          <w:rPr>
            <w:rFonts w:ascii="Arial" w:eastAsiaTheme="minorEastAsia" w:hAnsi="Arial" w:cs="Arial"/>
            <w:smallCaps w:val="0"/>
            <w:noProof/>
            <w:sz w:val="22"/>
            <w:szCs w:val="22"/>
            <w:lang w:eastAsia="en-GB" w:bidi="ar-SA"/>
          </w:rPr>
          <w:tab/>
        </w:r>
        <w:r w:rsidR="007A474A" w:rsidRPr="00F70860">
          <w:rPr>
            <w:rStyle w:val="Hyperlink"/>
            <w:rFonts w:cs="Arial"/>
            <w:noProof/>
          </w:rPr>
          <w:t>References</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_Toc448936161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14</w:t>
        </w:r>
        <w:r w:rsidR="007A474A" w:rsidRPr="00F70860">
          <w:rPr>
            <w:rFonts w:ascii="Arial" w:hAnsi="Arial" w:cs="Arial"/>
            <w:noProof/>
            <w:webHidden/>
          </w:rPr>
          <w:fldChar w:fldCharType="end"/>
        </w:r>
      </w:hyperlink>
    </w:p>
    <w:p w14:paraId="3C297ED3" w14:textId="0540A9EF" w:rsidR="007A474A" w:rsidRPr="00F70860" w:rsidRDefault="00745F88">
      <w:pPr>
        <w:pStyle w:val="TOC2"/>
        <w:tabs>
          <w:tab w:val="right" w:leader="dot" w:pos="9016"/>
        </w:tabs>
        <w:rPr>
          <w:rFonts w:ascii="Arial" w:eastAsiaTheme="minorEastAsia" w:hAnsi="Arial" w:cs="Arial"/>
          <w:smallCaps w:val="0"/>
          <w:noProof/>
          <w:sz w:val="22"/>
          <w:szCs w:val="22"/>
          <w:lang w:eastAsia="en-GB" w:bidi="ar-SA"/>
        </w:rPr>
      </w:pPr>
      <w:hyperlink w:anchor="_Toc448936162" w:history="1">
        <w:r w:rsidR="007A474A" w:rsidRPr="00F70860">
          <w:rPr>
            <w:rStyle w:val="Hyperlink"/>
            <w:rFonts w:cs="Arial"/>
            <w:noProof/>
          </w:rPr>
          <w:t>Attachment 1</w:t>
        </w:r>
        <w:r w:rsidR="007A474A" w:rsidRPr="00F70860">
          <w:rPr>
            <w:rFonts w:ascii="Arial" w:hAnsi="Arial" w:cs="Arial"/>
            <w:noProof/>
            <w:webHidden/>
          </w:rPr>
          <w:tab/>
        </w:r>
        <w:r w:rsidR="007A474A" w:rsidRPr="00F70860">
          <w:rPr>
            <w:rFonts w:ascii="Arial" w:hAnsi="Arial" w:cs="Arial"/>
            <w:noProof/>
            <w:webHidden/>
          </w:rPr>
          <w:fldChar w:fldCharType="begin"/>
        </w:r>
        <w:r w:rsidR="007A474A" w:rsidRPr="00F70860">
          <w:rPr>
            <w:rFonts w:ascii="Arial" w:hAnsi="Arial" w:cs="Arial"/>
            <w:noProof/>
            <w:webHidden/>
          </w:rPr>
          <w:instrText xml:space="preserve"> PAGEREF _Toc448936162 \h </w:instrText>
        </w:r>
        <w:r w:rsidR="007A474A" w:rsidRPr="00F70860">
          <w:rPr>
            <w:rFonts w:ascii="Arial" w:hAnsi="Arial" w:cs="Arial"/>
            <w:noProof/>
            <w:webHidden/>
          </w:rPr>
        </w:r>
        <w:r w:rsidR="007A474A" w:rsidRPr="00F70860">
          <w:rPr>
            <w:rFonts w:ascii="Arial" w:hAnsi="Arial" w:cs="Arial"/>
            <w:noProof/>
            <w:webHidden/>
          </w:rPr>
          <w:fldChar w:fldCharType="separate"/>
        </w:r>
        <w:r>
          <w:rPr>
            <w:rFonts w:ascii="Arial" w:hAnsi="Arial" w:cs="Arial"/>
            <w:noProof/>
            <w:webHidden/>
          </w:rPr>
          <w:t>19</w:t>
        </w:r>
        <w:r w:rsidR="007A474A" w:rsidRPr="00F70860">
          <w:rPr>
            <w:rFonts w:ascii="Arial" w:hAnsi="Arial" w:cs="Arial"/>
            <w:noProof/>
            <w:webHidden/>
          </w:rPr>
          <w:fldChar w:fldCharType="end"/>
        </w:r>
      </w:hyperlink>
    </w:p>
    <w:p w14:paraId="1E230D28" w14:textId="77777777" w:rsidR="007A474A" w:rsidRPr="007A474A" w:rsidRDefault="007A474A" w:rsidP="007A474A">
      <w:r w:rsidRPr="00F70860">
        <w:rPr>
          <w:rFonts w:cs="Arial"/>
        </w:rPr>
        <w:fldChar w:fldCharType="end"/>
      </w:r>
    </w:p>
    <w:p w14:paraId="41BC8A54" w14:textId="77777777" w:rsidR="007A474A" w:rsidRPr="007A474A" w:rsidRDefault="007A474A" w:rsidP="007A474A"/>
    <w:p w14:paraId="074CE99D" w14:textId="77777777" w:rsidR="007A474A" w:rsidRDefault="007A474A" w:rsidP="005C529F">
      <w:pPr>
        <w:pStyle w:val="Heading2"/>
      </w:pPr>
      <w:r>
        <w:br w:type="page"/>
      </w:r>
    </w:p>
    <w:p w14:paraId="200F750B" w14:textId="6580F53F" w:rsidR="00A05C69" w:rsidRPr="00B777B3" w:rsidRDefault="005C529F" w:rsidP="000A5113">
      <w:pPr>
        <w:pStyle w:val="Heading1"/>
      </w:pPr>
      <w:bookmarkStart w:id="3" w:name="_Toc448936153"/>
      <w:r>
        <w:lastRenderedPageBreak/>
        <w:t>1</w:t>
      </w:r>
      <w:r>
        <w:tab/>
      </w:r>
      <w:r w:rsidR="00C85421">
        <w:t>Introduction</w:t>
      </w:r>
      <w:bookmarkEnd w:id="3"/>
    </w:p>
    <w:p w14:paraId="5E7BA3E7" w14:textId="6D7AD886" w:rsidR="00323012" w:rsidRDefault="00B071FA" w:rsidP="00F70860">
      <w:pPr>
        <w:spacing w:after="200"/>
        <w:ind w:right="-286"/>
        <w:contextualSpacing/>
      </w:pPr>
      <w:r>
        <w:t>Food packaging is manufactured fro</w:t>
      </w:r>
      <w:r w:rsidR="00C76294">
        <w:t xml:space="preserve">m a </w:t>
      </w:r>
      <w:r>
        <w:t xml:space="preserve">range of materials including </w:t>
      </w:r>
      <w:r w:rsidR="008F6859">
        <w:t xml:space="preserve">glass, </w:t>
      </w:r>
      <w:r w:rsidR="006972BC">
        <w:t xml:space="preserve">paper/ paperboard, </w:t>
      </w:r>
      <w:r w:rsidR="008F6859">
        <w:t xml:space="preserve">a variety of plastics, and </w:t>
      </w:r>
      <w:r>
        <w:t>metals such as aluminium and steel.</w:t>
      </w:r>
      <w:r w:rsidR="00323012">
        <w:t xml:space="preserve"> </w:t>
      </w:r>
      <w:r w:rsidR="00710780">
        <w:t xml:space="preserve">The bulk packaging material is often modified due to the use of adhesives, </w:t>
      </w:r>
      <w:r w:rsidR="001B74D2">
        <w:t xml:space="preserve">protective coatings and printing inks, for example. </w:t>
      </w:r>
      <w:r w:rsidR="00E065AC">
        <w:t xml:space="preserve">Several thousand chemicals are used in the </w:t>
      </w:r>
      <w:r w:rsidR="000F0A9E">
        <w:t>manufacture</w:t>
      </w:r>
      <w:r w:rsidR="00E065AC">
        <w:t xml:space="preserve"> of </w:t>
      </w:r>
      <w:r>
        <w:t>food packaging and other materials that come into contact with food during its production</w:t>
      </w:r>
      <w:r w:rsidR="00FA41BD">
        <w:t xml:space="preserve"> and processing</w:t>
      </w:r>
      <w:r>
        <w:t xml:space="preserve">. </w:t>
      </w:r>
      <w:r w:rsidR="00EA5635">
        <w:t>For example, more than 3200 food contact substances are listed in the US Code of Federal Regulations</w:t>
      </w:r>
      <w:r w:rsidR="00EA5635">
        <w:rPr>
          <w:rStyle w:val="FootnoteReference"/>
        </w:rPr>
        <w:footnoteReference w:id="2"/>
      </w:r>
      <w:r w:rsidR="00EA5635">
        <w:t>. C</w:t>
      </w:r>
      <w:r>
        <w:t xml:space="preserve">hemicals </w:t>
      </w:r>
      <w:r w:rsidR="00EA5635">
        <w:t xml:space="preserve">used in the production of food contact materials </w:t>
      </w:r>
      <w:r>
        <w:t>include</w:t>
      </w:r>
      <w:r w:rsidR="00E065AC">
        <w:t xml:space="preserve"> solvents, monomers, cross-linking agents, catalysts, plastici</w:t>
      </w:r>
      <w:r w:rsidR="007A474A">
        <w:t>s</w:t>
      </w:r>
      <w:r w:rsidR="00E065AC">
        <w:t xml:space="preserve">ers, </w:t>
      </w:r>
      <w:r w:rsidR="00D51E02">
        <w:t xml:space="preserve">and </w:t>
      </w:r>
      <w:r w:rsidR="00E065AC">
        <w:t>antioxidants/</w:t>
      </w:r>
      <w:r w:rsidR="00D51E02">
        <w:t xml:space="preserve"> </w:t>
      </w:r>
      <w:r w:rsidR="00E065AC">
        <w:t>stabili</w:t>
      </w:r>
      <w:r w:rsidR="007A474A">
        <w:t>s</w:t>
      </w:r>
      <w:r w:rsidR="00E065AC">
        <w:t xml:space="preserve">ers. </w:t>
      </w:r>
    </w:p>
    <w:p w14:paraId="501DFC59" w14:textId="77777777" w:rsidR="000F0A9E" w:rsidRPr="000F0A9E" w:rsidRDefault="000F0A9E" w:rsidP="00E065AC">
      <w:pPr>
        <w:spacing w:after="200"/>
        <w:contextualSpacing/>
      </w:pPr>
    </w:p>
    <w:p w14:paraId="01454BAC" w14:textId="1CD17189" w:rsidR="00020EEE" w:rsidRDefault="000F0A9E" w:rsidP="00020EEE">
      <w:pPr>
        <w:spacing w:after="200"/>
        <w:contextualSpacing/>
      </w:pPr>
      <w:r w:rsidRPr="000F0A9E">
        <w:rPr>
          <w:rFonts w:cs="Arial"/>
          <w:szCs w:val="22"/>
        </w:rPr>
        <w:t xml:space="preserve">Internationally, there are extensive regulations that aim to provide assurance that </w:t>
      </w:r>
      <w:r w:rsidR="00EA5635">
        <w:rPr>
          <w:rFonts w:cs="Arial"/>
          <w:szCs w:val="22"/>
        </w:rPr>
        <w:t xml:space="preserve">the </w:t>
      </w:r>
      <w:r w:rsidR="008F6859" w:rsidRPr="000F0A9E">
        <w:rPr>
          <w:rFonts w:cs="Arial"/>
          <w:szCs w:val="22"/>
        </w:rPr>
        <w:t xml:space="preserve">migration </w:t>
      </w:r>
      <w:r w:rsidR="008F6859">
        <w:rPr>
          <w:rFonts w:cs="Arial"/>
          <w:szCs w:val="22"/>
        </w:rPr>
        <w:t>levels of</w:t>
      </w:r>
      <w:r>
        <w:rPr>
          <w:rFonts w:cs="Arial"/>
          <w:szCs w:val="22"/>
        </w:rPr>
        <w:t xml:space="preserve"> </w:t>
      </w:r>
      <w:r w:rsidR="00F07EC4">
        <w:rPr>
          <w:rFonts w:cs="Arial"/>
          <w:szCs w:val="22"/>
        </w:rPr>
        <w:t xml:space="preserve">these </w:t>
      </w:r>
      <w:r w:rsidR="00EA5635">
        <w:rPr>
          <w:rFonts w:cs="Arial"/>
          <w:szCs w:val="22"/>
        </w:rPr>
        <w:t>substances into food do</w:t>
      </w:r>
      <w:r>
        <w:rPr>
          <w:rFonts w:cs="Arial"/>
          <w:szCs w:val="22"/>
        </w:rPr>
        <w:t xml:space="preserve"> </w:t>
      </w:r>
      <w:r w:rsidRPr="000F0A9E">
        <w:rPr>
          <w:rFonts w:cs="Arial"/>
          <w:szCs w:val="22"/>
        </w:rPr>
        <w:t>not present a</w:t>
      </w:r>
      <w:r w:rsidR="008F6859">
        <w:rPr>
          <w:rFonts w:cs="Arial"/>
          <w:szCs w:val="22"/>
        </w:rPr>
        <w:t>n unacceptable</w:t>
      </w:r>
      <w:r w:rsidRPr="000F0A9E">
        <w:rPr>
          <w:rFonts w:cs="Arial"/>
          <w:szCs w:val="22"/>
        </w:rPr>
        <w:t xml:space="preserve"> </w:t>
      </w:r>
      <w:r w:rsidR="008F6859" w:rsidRPr="000F0A9E">
        <w:rPr>
          <w:rFonts w:cs="Arial"/>
          <w:szCs w:val="22"/>
        </w:rPr>
        <w:t xml:space="preserve">risk </w:t>
      </w:r>
      <w:r w:rsidR="008F6859">
        <w:rPr>
          <w:rFonts w:cs="Arial"/>
          <w:szCs w:val="22"/>
        </w:rPr>
        <w:t xml:space="preserve">to </w:t>
      </w:r>
      <w:r w:rsidRPr="000F0A9E">
        <w:rPr>
          <w:rFonts w:cs="Arial"/>
          <w:szCs w:val="22"/>
        </w:rPr>
        <w:t>human health.</w:t>
      </w:r>
      <w:r w:rsidR="00020EEE" w:rsidRPr="00020EEE">
        <w:t xml:space="preserve"> </w:t>
      </w:r>
      <w:r w:rsidR="00020EEE">
        <w:t xml:space="preserve">In order to gain an understanding of the risk posed by </w:t>
      </w:r>
      <w:r w:rsidR="00020EEE" w:rsidRPr="00FB610B">
        <w:t xml:space="preserve">chemical migration from packaging into food </w:t>
      </w:r>
      <w:r w:rsidR="00020EEE">
        <w:t>(CMPF), FSANZ</w:t>
      </w:r>
      <w:r w:rsidR="00020EEE" w:rsidRPr="00E1357B">
        <w:t xml:space="preserve"> has been investigating</w:t>
      </w:r>
      <w:r w:rsidR="00020EEE">
        <w:t xml:space="preserve"> information on the hazard characteristics of chemicals used in the production of food packaging</w:t>
      </w:r>
      <w:r w:rsidR="00C76294">
        <w:t>,</w:t>
      </w:r>
      <w:r w:rsidR="00020EEE">
        <w:t xml:space="preserve"> and estimated dietary exposure to these chemicals due to migration into food. A wide range of information sources have been used for this work, in particular </w:t>
      </w:r>
      <w:r w:rsidR="003C053E">
        <w:t>United States Food and Drug Administration (</w:t>
      </w:r>
      <w:r w:rsidR="00020EEE">
        <w:t>USFDA</w:t>
      </w:r>
      <w:r w:rsidR="003C053E">
        <w:t>)</w:t>
      </w:r>
      <w:r w:rsidR="00020EEE">
        <w:t xml:space="preserve"> and </w:t>
      </w:r>
      <w:r w:rsidR="003C053E">
        <w:t>European Food Safety Authority (</w:t>
      </w:r>
      <w:r w:rsidR="00020EEE">
        <w:t>EFSA</w:t>
      </w:r>
      <w:r w:rsidR="003C053E">
        <w:t>)</w:t>
      </w:r>
      <w:r w:rsidR="009D38A6">
        <w:t xml:space="preserve"> databases and publications</w:t>
      </w:r>
      <w:r w:rsidR="00020EEE">
        <w:t xml:space="preserve">, information in the published scientific literature, and </w:t>
      </w:r>
      <w:r w:rsidR="005A16E6">
        <w:t>information</w:t>
      </w:r>
      <w:r w:rsidR="00020EEE">
        <w:t xml:space="preserve"> from analytical surveys of foods</w:t>
      </w:r>
      <w:r w:rsidR="005A16E6">
        <w:t>, including</w:t>
      </w:r>
      <w:r w:rsidR="00C76294">
        <w:t xml:space="preserve"> Australia</w:t>
      </w:r>
      <w:r w:rsidR="001531E1">
        <w:t xml:space="preserve">n data. Information from a </w:t>
      </w:r>
      <w:r w:rsidR="00C76294">
        <w:t xml:space="preserve">New Zealand </w:t>
      </w:r>
      <w:r w:rsidR="001531E1">
        <w:t>analytical survey of packaging chemicals in food will be published later in 2016</w:t>
      </w:r>
      <w:r w:rsidR="001C19FD">
        <w:t>.</w:t>
      </w:r>
      <w:r w:rsidR="005A16E6">
        <w:t xml:space="preserve"> </w:t>
      </w:r>
    </w:p>
    <w:p w14:paraId="2A627A97" w14:textId="48DB94F0" w:rsidR="000F0A9E" w:rsidRDefault="000F0A9E" w:rsidP="00E065AC">
      <w:pPr>
        <w:spacing w:after="200"/>
        <w:contextualSpacing/>
        <w:rPr>
          <w:rFonts w:cs="Arial"/>
          <w:szCs w:val="22"/>
        </w:rPr>
      </w:pPr>
    </w:p>
    <w:p w14:paraId="58D7891F" w14:textId="1EA82A03" w:rsidR="00020EEE" w:rsidRDefault="00020EEE" w:rsidP="00020EEE">
      <w:pPr>
        <w:widowControl/>
      </w:pPr>
      <w:r w:rsidRPr="00131867">
        <w:t xml:space="preserve">Regarding migration levels and </w:t>
      </w:r>
      <w:r w:rsidR="005A16E6">
        <w:t>estimated</w:t>
      </w:r>
      <w:r w:rsidRPr="00131867">
        <w:t xml:space="preserve"> dietary exposure</w:t>
      </w:r>
      <w:r w:rsidR="005A16E6">
        <w:t xml:space="preserve"> to food packaging chemicals</w:t>
      </w:r>
      <w:r w:rsidRPr="00131867">
        <w:t xml:space="preserve">, </w:t>
      </w:r>
      <w:r>
        <w:t xml:space="preserve">this </w:t>
      </w:r>
      <w:r w:rsidR="007505BD">
        <w:t xml:space="preserve">document </w:t>
      </w:r>
      <w:r w:rsidR="00FD3B76">
        <w:t>emphasises</w:t>
      </w:r>
      <w:r>
        <w:t xml:space="preserve"> recent data because </w:t>
      </w:r>
      <w:r w:rsidR="00C76294">
        <w:t xml:space="preserve">of </w:t>
      </w:r>
      <w:r>
        <w:t>it</w:t>
      </w:r>
      <w:r w:rsidR="00C76294">
        <w:t>s</w:t>
      </w:r>
      <w:r>
        <w:t xml:space="preserve"> </w:t>
      </w:r>
      <w:r w:rsidR="00C76294">
        <w:t xml:space="preserve">greater relevance to </w:t>
      </w:r>
      <w:r w:rsidRPr="00131867">
        <w:t>current dietary exposure</w:t>
      </w:r>
      <w:r>
        <w:t>.</w:t>
      </w:r>
      <w:r w:rsidRPr="00131867">
        <w:t xml:space="preserve"> </w:t>
      </w:r>
      <w:r w:rsidR="005A16E6">
        <w:t>It is important to note that d</w:t>
      </w:r>
      <w:r>
        <w:t xml:space="preserve">ietary exposure to specific packaging chemicals </w:t>
      </w:r>
      <w:r w:rsidR="007505BD">
        <w:t>can vary markedly with time</w:t>
      </w:r>
      <w:r>
        <w:t xml:space="preserve"> as i</w:t>
      </w:r>
      <w:r w:rsidRPr="00131867">
        <w:t xml:space="preserve">ndustry </w:t>
      </w:r>
      <w:r>
        <w:t xml:space="preserve">continually seeks </w:t>
      </w:r>
      <w:r w:rsidR="005A16E6">
        <w:t xml:space="preserve">to </w:t>
      </w:r>
      <w:r w:rsidR="007505BD">
        <w:t>replace</w:t>
      </w:r>
      <w:r w:rsidR="005A16E6">
        <w:t>/reduce</w:t>
      </w:r>
      <w:r w:rsidR="007505BD">
        <w:t xml:space="preserve"> the use of </w:t>
      </w:r>
      <w:r w:rsidRPr="00131867">
        <w:t xml:space="preserve">chemicals </w:t>
      </w:r>
      <w:r>
        <w:t xml:space="preserve">of potential concern with </w:t>
      </w:r>
      <w:r w:rsidR="007505BD">
        <w:t xml:space="preserve">chemicals that have </w:t>
      </w:r>
      <w:r w:rsidRPr="00131867">
        <w:t>more favourable hazard profile</w:t>
      </w:r>
      <w:r w:rsidR="007505BD">
        <w:t>s</w:t>
      </w:r>
      <w:r w:rsidRPr="00131867">
        <w:t xml:space="preserve"> and/or ex</w:t>
      </w:r>
      <w:r>
        <w:t xml:space="preserve">hibit lower migration </w:t>
      </w:r>
      <w:r w:rsidR="007505BD">
        <w:t xml:space="preserve">levels </w:t>
      </w:r>
      <w:r>
        <w:t>in</w:t>
      </w:r>
      <w:r w:rsidR="007505BD">
        <w:t>to food</w:t>
      </w:r>
      <w:r w:rsidR="00BB3278">
        <w:t xml:space="preserve"> (C&amp;EN 2015; Rice 2015)</w:t>
      </w:r>
      <w:r w:rsidR="00C76294">
        <w:t>.</w:t>
      </w:r>
    </w:p>
    <w:p w14:paraId="581EE27D" w14:textId="77777777" w:rsidR="007A474A" w:rsidRDefault="007A474A" w:rsidP="00020EEE">
      <w:pPr>
        <w:widowControl/>
      </w:pPr>
    </w:p>
    <w:p w14:paraId="58F7F31B" w14:textId="29FD5AFB" w:rsidR="00B777B3" w:rsidRPr="001C024F" w:rsidRDefault="005C529F" w:rsidP="000A5113">
      <w:pPr>
        <w:pStyle w:val="Heading1"/>
      </w:pPr>
      <w:bookmarkStart w:id="4" w:name="_Toc448936154"/>
      <w:r>
        <w:t>2</w:t>
      </w:r>
      <w:r>
        <w:tab/>
      </w:r>
      <w:r w:rsidR="001C024F" w:rsidRPr="001C024F">
        <w:t xml:space="preserve">Risk assessment of </w:t>
      </w:r>
      <w:r w:rsidR="00AE097C">
        <w:t xml:space="preserve">food </w:t>
      </w:r>
      <w:r w:rsidR="001C024F" w:rsidRPr="001C024F">
        <w:t>packaging chemicals</w:t>
      </w:r>
      <w:bookmarkEnd w:id="4"/>
    </w:p>
    <w:p w14:paraId="394112C7" w14:textId="38DB24C8" w:rsidR="00AE097C" w:rsidRDefault="00BD1B06" w:rsidP="001D6C65">
      <w:pPr>
        <w:widowControl/>
      </w:pPr>
      <w:r>
        <w:t>T</w:t>
      </w:r>
      <w:r w:rsidR="00AE097C">
        <w:t xml:space="preserve">he scientific principles that apply to the risk assessment of other chemicals in food, such as food additives, contaminants and processing aids, also apply to food packaging chemicals. An overview of these risk assessment principles is presented in the FSANZ document </w:t>
      </w:r>
      <w:r w:rsidR="00AE097C" w:rsidRPr="00AE097C">
        <w:rPr>
          <w:i/>
        </w:rPr>
        <w:t>Risk Analysis in Food Regulation</w:t>
      </w:r>
      <w:r w:rsidR="00AE097C">
        <w:t xml:space="preserve"> (FSANZ 2013)</w:t>
      </w:r>
      <w:r w:rsidR="0083580C">
        <w:t>, while</w:t>
      </w:r>
      <w:r w:rsidR="00AE097C">
        <w:t xml:space="preserve"> detailed </w:t>
      </w:r>
      <w:r w:rsidR="0083580C">
        <w:t xml:space="preserve">information is provided in </w:t>
      </w:r>
      <w:r w:rsidR="00F06302">
        <w:t>FAO</w:t>
      </w:r>
      <w:r w:rsidR="00524F71">
        <w:t>/</w:t>
      </w:r>
      <w:r w:rsidR="00F06302">
        <w:t xml:space="preserve">WHO </w:t>
      </w:r>
      <w:r w:rsidR="0011205C">
        <w:t>(</w:t>
      </w:r>
      <w:r w:rsidR="00F06302">
        <w:t>2009</w:t>
      </w:r>
      <w:r w:rsidR="00EB79F8">
        <w:t>)</w:t>
      </w:r>
      <w:r w:rsidR="003B6C3F">
        <w:t xml:space="preserve">. </w:t>
      </w:r>
      <w:r w:rsidR="00EB79F8">
        <w:t xml:space="preserve">The </w:t>
      </w:r>
      <w:r w:rsidR="00727830">
        <w:t xml:space="preserve">core </w:t>
      </w:r>
      <w:r w:rsidR="00EB79F8">
        <w:t xml:space="preserve">principle in food chemical risk assessment is that risk is a function of </w:t>
      </w:r>
      <w:r w:rsidR="00D6314E">
        <w:t xml:space="preserve">both </w:t>
      </w:r>
      <w:r w:rsidR="008F3BC5">
        <w:t xml:space="preserve">the </w:t>
      </w:r>
      <w:r w:rsidR="00A42147">
        <w:t xml:space="preserve">intrinsic </w:t>
      </w:r>
      <w:r w:rsidR="00EB79F8">
        <w:t xml:space="preserve">hazard </w:t>
      </w:r>
      <w:r w:rsidR="00A42147">
        <w:t>characteristics</w:t>
      </w:r>
      <w:r w:rsidR="008F3BC5">
        <w:t xml:space="preserve"> of the chemical (i.e. its </w:t>
      </w:r>
      <w:r w:rsidR="003B6C3F">
        <w:t>toxicological properties</w:t>
      </w:r>
      <w:r w:rsidR="008F3BC5">
        <w:t xml:space="preserve">) </w:t>
      </w:r>
      <w:r w:rsidR="00EB79F8">
        <w:t>and dietary exposure to the chemical</w:t>
      </w:r>
      <w:r w:rsidR="00727830">
        <w:t xml:space="preserve"> from consuming food and beverages</w:t>
      </w:r>
      <w:r w:rsidR="00EB79F8">
        <w:t>.</w:t>
      </w:r>
      <w:r w:rsidR="005C697A">
        <w:t xml:space="preserve"> </w:t>
      </w:r>
    </w:p>
    <w:p w14:paraId="7AEA87F1" w14:textId="77777777" w:rsidR="007A474A" w:rsidRDefault="007A474A" w:rsidP="001D6C65">
      <w:pPr>
        <w:widowControl/>
      </w:pPr>
    </w:p>
    <w:p w14:paraId="0F7ED179" w14:textId="77980A39" w:rsidR="00B35764" w:rsidRPr="00B35764" w:rsidRDefault="005C529F" w:rsidP="000A5113">
      <w:pPr>
        <w:pStyle w:val="Heading1"/>
      </w:pPr>
      <w:bookmarkStart w:id="5" w:name="_Toc448936155"/>
      <w:r>
        <w:t>3</w:t>
      </w:r>
      <w:r>
        <w:tab/>
        <w:t>Hazard characteristics</w:t>
      </w:r>
      <w:bookmarkEnd w:id="5"/>
    </w:p>
    <w:p w14:paraId="2125587B" w14:textId="15056273" w:rsidR="00F70860" w:rsidRDefault="00142316">
      <w:pPr>
        <w:widowControl/>
      </w:pPr>
      <w:r>
        <w:t>The t</w:t>
      </w:r>
      <w:r w:rsidRPr="00142316">
        <w:t xml:space="preserve">oxicological </w:t>
      </w:r>
      <w:r w:rsidR="00B269E7">
        <w:t>properties of</w:t>
      </w:r>
      <w:r w:rsidRPr="00142316">
        <w:t xml:space="preserve"> packaging chemicals </w:t>
      </w:r>
      <w:r w:rsidR="00B269E7">
        <w:t>span a continuum ranging</w:t>
      </w:r>
      <w:r w:rsidRPr="00142316">
        <w:t xml:space="preserve"> from innocuous (“non-toxic”) to </w:t>
      </w:r>
      <w:r w:rsidR="00B269E7">
        <w:t xml:space="preserve">concerning (e.g. </w:t>
      </w:r>
      <w:r w:rsidRPr="00142316">
        <w:t>carcinogenic or toxic to reproduction/ development).</w:t>
      </w:r>
      <w:r>
        <w:t xml:space="preserve"> For example, the EU plastics regulation contains specific permissions for the use </w:t>
      </w:r>
      <w:r w:rsidR="00D24824">
        <w:t xml:space="preserve">of </w:t>
      </w:r>
      <w:r w:rsidR="009C241E">
        <w:t xml:space="preserve">water and vegetable oils in </w:t>
      </w:r>
      <w:r w:rsidR="00B269E7">
        <w:t xml:space="preserve">the production of </w:t>
      </w:r>
      <w:r w:rsidR="009C241E">
        <w:t>food contact material</w:t>
      </w:r>
      <w:r w:rsidR="00B269E7">
        <w:t>s</w:t>
      </w:r>
      <w:r w:rsidR="00AE27A1">
        <w:t>, while t</w:t>
      </w:r>
      <w:r w:rsidR="009C241E">
        <w:t xml:space="preserve">he same regulation also lists over 30 substances that may be used in food contact materials but, because of </w:t>
      </w:r>
      <w:r w:rsidR="00D24824">
        <w:t xml:space="preserve">their </w:t>
      </w:r>
      <w:r w:rsidR="009C241E">
        <w:t>adverse toxicological profiles, must not be detectable in food</w:t>
      </w:r>
      <w:r w:rsidR="00A11A91">
        <w:rPr>
          <w:rStyle w:val="FootnoteReference"/>
        </w:rPr>
        <w:footnoteReference w:id="3"/>
      </w:r>
      <w:r w:rsidR="00B269E7">
        <w:t xml:space="preserve"> (EC 2011)</w:t>
      </w:r>
      <w:r w:rsidR="009C241E">
        <w:t>.</w:t>
      </w:r>
      <w:r w:rsidR="00F70860">
        <w:br w:type="page"/>
      </w:r>
    </w:p>
    <w:p w14:paraId="205E05E0" w14:textId="58A2D540" w:rsidR="00AE27A1" w:rsidRDefault="00B269E7" w:rsidP="009C241E">
      <w:pPr>
        <w:widowControl/>
      </w:pPr>
      <w:r>
        <w:lastRenderedPageBreak/>
        <w:t>In contrast, the toxicological properties of some packaging chemicals are not well defined and published studies have cite</w:t>
      </w:r>
      <w:r w:rsidR="00AC42A3">
        <w:t>d</w:t>
      </w:r>
      <w:r>
        <w:t xml:space="preserve"> potential health concerns </w:t>
      </w:r>
      <w:r w:rsidR="00AC42A3">
        <w:t>in such cases</w:t>
      </w:r>
      <w:r>
        <w:t xml:space="preserve"> (e.g.</w:t>
      </w:r>
      <w:r w:rsidR="00AC42A3">
        <w:t xml:space="preserve"> for certain printing ink chemicals;</w:t>
      </w:r>
      <w:r>
        <w:t xml:space="preserve"> Jung </w:t>
      </w:r>
      <w:r w:rsidR="00A8458F">
        <w:t xml:space="preserve">et al. </w:t>
      </w:r>
      <w:r>
        <w:t>2013). However, if migration levels are sufficiently low, extensive toxicological characterisation of a substance is not necessarily required by agencies that conduct risk assessments for regulatory purposes, as detailed in guidelines and published risk assessments</w:t>
      </w:r>
      <w:r w:rsidR="00AE1351">
        <w:t xml:space="preserve"> (EFSA 2008; </w:t>
      </w:r>
      <w:r w:rsidR="007A474A">
        <w:t>USFDA</w:t>
      </w:r>
      <w:r w:rsidR="00AE1351">
        <w:t xml:space="preserve"> 2002)</w:t>
      </w:r>
      <w:r>
        <w:t>.</w:t>
      </w:r>
      <w:r w:rsidR="00AE1351" w:rsidRPr="00AE1351">
        <w:t xml:space="preserve"> </w:t>
      </w:r>
      <w:r w:rsidR="00891766" w:rsidRPr="00891766">
        <w:t xml:space="preserve">EFSA </w:t>
      </w:r>
      <w:r w:rsidR="00891766">
        <w:t>have recently re-affirmed that t</w:t>
      </w:r>
      <w:r w:rsidR="00891766" w:rsidRPr="00891766">
        <w:t xml:space="preserve">he amount of toxicity data needed should be related to the expected human </w:t>
      </w:r>
      <w:r w:rsidR="00891766">
        <w:t>dietary exposure and that t</w:t>
      </w:r>
      <w:r w:rsidR="00891766" w:rsidRPr="00891766">
        <w:t xml:space="preserve">his applies to all migrating substances, i.e. </w:t>
      </w:r>
      <w:r w:rsidR="00891766">
        <w:t xml:space="preserve">substances that are </w:t>
      </w:r>
      <w:r w:rsidR="00891766" w:rsidRPr="00891766">
        <w:t xml:space="preserve">both intentionally and non-intentionally </w:t>
      </w:r>
      <w:r w:rsidR="00891766">
        <w:t xml:space="preserve">used in the </w:t>
      </w:r>
      <w:r w:rsidR="004E04EF">
        <w:t xml:space="preserve">manufacture of food contact materials </w:t>
      </w:r>
      <w:r w:rsidR="00891766" w:rsidRPr="00891766">
        <w:t>(</w:t>
      </w:r>
      <w:r w:rsidR="00891766">
        <w:t>non-intentionally added substances includes impurities</w:t>
      </w:r>
      <w:r w:rsidR="00E12F37">
        <w:t xml:space="preserve">, </w:t>
      </w:r>
      <w:r w:rsidR="00891766">
        <w:t>degradation/reaction products</w:t>
      </w:r>
      <w:r w:rsidR="00E12F37">
        <w:t>,</w:t>
      </w:r>
      <w:r w:rsidR="00E12F37" w:rsidRPr="00E12F37">
        <w:t xml:space="preserve"> </w:t>
      </w:r>
      <w:r w:rsidR="00E12F37">
        <w:t xml:space="preserve">and </w:t>
      </w:r>
      <w:r w:rsidR="00E12F37" w:rsidRPr="00E12F37">
        <w:t>the low molecular weight oligomeric fraction of polymeric substances</w:t>
      </w:r>
      <w:r w:rsidR="00891766">
        <w:t xml:space="preserve">). </w:t>
      </w:r>
      <w:r w:rsidR="004E04EF">
        <w:t>Consistent</w:t>
      </w:r>
      <w:r w:rsidR="00891766">
        <w:t xml:space="preserve"> with previous </w:t>
      </w:r>
      <w:r w:rsidR="004E04EF">
        <w:t>guidance</w:t>
      </w:r>
      <w:r w:rsidR="00891766">
        <w:t>, EFSA also stated that g</w:t>
      </w:r>
      <w:r w:rsidR="00891766" w:rsidRPr="00891766">
        <w:t xml:space="preserve">enotoxicity testing for substances used in food contact materials </w:t>
      </w:r>
      <w:r w:rsidR="001076B8">
        <w:t>is always required</w:t>
      </w:r>
      <w:r w:rsidR="00891766" w:rsidRPr="00891766">
        <w:t xml:space="preserve"> even if their migration into food leads to a low ex</w:t>
      </w:r>
      <w:r w:rsidR="00891766">
        <w:t>posure (EFSA 2016).</w:t>
      </w:r>
    </w:p>
    <w:p w14:paraId="6C068AC8" w14:textId="77777777" w:rsidR="00AE27A1" w:rsidRDefault="00AE27A1" w:rsidP="009C241E">
      <w:pPr>
        <w:widowControl/>
      </w:pPr>
    </w:p>
    <w:p w14:paraId="153D04BF" w14:textId="028D3D38" w:rsidR="00AE27A1" w:rsidRDefault="00AE1351" w:rsidP="009C241E">
      <w:pPr>
        <w:widowControl/>
      </w:pPr>
      <w:r>
        <w:t>In some cases, toxicity data on a structurally related substance may have been deemed sufficient to support the safety of the proposed use of a chemical (“read-across” approach e.g. EFSA 2015</w:t>
      </w:r>
      <w:r w:rsidR="00F73F43">
        <w:t>a</w:t>
      </w:r>
      <w:r>
        <w:t xml:space="preserve">). </w:t>
      </w:r>
      <w:r w:rsidR="008C11A5">
        <w:t xml:space="preserve">Computational toxicology tools such as </w:t>
      </w:r>
      <w:r w:rsidR="008C11A5" w:rsidRPr="008C11A5">
        <w:t xml:space="preserve">quantitative structure-activity relationship (QSAR) analysis </w:t>
      </w:r>
      <w:r w:rsidR="008C11A5">
        <w:t xml:space="preserve">are also used in the </w:t>
      </w:r>
      <w:r w:rsidR="008C11A5" w:rsidRPr="008C11A5">
        <w:t xml:space="preserve">premarket </w:t>
      </w:r>
      <w:r w:rsidR="008C11A5">
        <w:t xml:space="preserve">assessment of food </w:t>
      </w:r>
      <w:r w:rsidR="008C11A5" w:rsidRPr="008C11A5">
        <w:t xml:space="preserve">contact substances </w:t>
      </w:r>
      <w:r w:rsidR="008C11A5">
        <w:t>(A</w:t>
      </w:r>
      <w:r w:rsidR="00524F71">
        <w:t xml:space="preserve">rvidson </w:t>
      </w:r>
      <w:r w:rsidR="00A8458F">
        <w:t xml:space="preserve">et al. </w:t>
      </w:r>
      <w:r w:rsidR="008C11A5">
        <w:t>2010).</w:t>
      </w:r>
      <w:r w:rsidR="00891766">
        <w:t xml:space="preserve"> Alternatively, f</w:t>
      </w:r>
      <w:r w:rsidR="00AE27A1">
        <w:t>or substances with no appropriate toxicity data, the threshold of toxicological concern (TTC) approach can be used fo</w:t>
      </w:r>
      <w:r w:rsidR="00891766">
        <w:t>r safety assessment (EFSA/WHO 2016).</w:t>
      </w:r>
      <w:r w:rsidR="004E1DDE">
        <w:t xml:space="preserve"> FSANZ has conducted a TTC analysis of a USFDA database of food contact substances, as described</w:t>
      </w:r>
      <w:r w:rsidR="00005131">
        <w:t xml:space="preserve"> in </w:t>
      </w:r>
      <w:hyperlink w:anchor="_5._Threshold_of" w:history="1">
        <w:r w:rsidR="00005131" w:rsidRPr="00727830">
          <w:rPr>
            <w:rStyle w:val="Hyperlink"/>
          </w:rPr>
          <w:t>Section 5</w:t>
        </w:r>
      </w:hyperlink>
      <w:r w:rsidR="007A474A">
        <w:t xml:space="preserve"> below.</w:t>
      </w:r>
    </w:p>
    <w:p w14:paraId="0AC3FA9D" w14:textId="77777777" w:rsidR="007A474A" w:rsidRDefault="007A474A" w:rsidP="009C241E">
      <w:pPr>
        <w:widowControl/>
      </w:pPr>
    </w:p>
    <w:p w14:paraId="7265B2F0" w14:textId="7F7241B7" w:rsidR="00B35764" w:rsidRPr="00B35764" w:rsidRDefault="005C529F" w:rsidP="000A5113">
      <w:pPr>
        <w:pStyle w:val="Heading1"/>
      </w:pPr>
      <w:bookmarkStart w:id="6" w:name="_Toc448936156"/>
      <w:r>
        <w:t>4</w:t>
      </w:r>
      <w:r>
        <w:tab/>
      </w:r>
      <w:r w:rsidR="00B35764" w:rsidRPr="00B35764">
        <w:t>Dietary exposure</w:t>
      </w:r>
      <w:bookmarkEnd w:id="6"/>
      <w:r w:rsidR="00B35764" w:rsidRPr="00B35764">
        <w:t xml:space="preserve"> </w:t>
      </w:r>
    </w:p>
    <w:p w14:paraId="4CCD9045" w14:textId="2B32FDF7" w:rsidR="00144E65" w:rsidRDefault="0074707D" w:rsidP="0059449A">
      <w:r>
        <w:t xml:space="preserve">Exposure to </w:t>
      </w:r>
      <w:r w:rsidR="008924EE">
        <w:t>chemical</w:t>
      </w:r>
      <w:r>
        <w:t>s</w:t>
      </w:r>
      <w:r w:rsidR="008924EE">
        <w:t xml:space="preserve"> present in </w:t>
      </w:r>
      <w:r>
        <w:t xml:space="preserve">the diet </w:t>
      </w:r>
      <w:r w:rsidR="008924EE" w:rsidRPr="008924EE">
        <w:t>is estimated by combining food consumption data with food chemical concentration data</w:t>
      </w:r>
      <w:r w:rsidR="008924EE">
        <w:t xml:space="preserve"> (FSANZ 2009)</w:t>
      </w:r>
      <w:r w:rsidR="008924EE" w:rsidRPr="008924EE">
        <w:t>.</w:t>
      </w:r>
      <w:r w:rsidR="008924EE">
        <w:t xml:space="preserve"> </w:t>
      </w:r>
      <w:r w:rsidR="008B67C6">
        <w:t>The complexity of m</w:t>
      </w:r>
      <w:r w:rsidR="0032158D" w:rsidRPr="0032158D">
        <w:t>ethod</w:t>
      </w:r>
      <w:r w:rsidR="008B67C6">
        <w:t xml:space="preserve">s </w:t>
      </w:r>
      <w:r w:rsidR="0032158D" w:rsidRPr="0032158D">
        <w:t>used to calculate dietary exposu</w:t>
      </w:r>
      <w:r w:rsidR="0032158D">
        <w:t xml:space="preserve">re range from simple to refined, and the method chosen </w:t>
      </w:r>
      <w:r w:rsidR="008B67C6">
        <w:t>can depend</w:t>
      </w:r>
      <w:r w:rsidR="0032158D">
        <w:t xml:space="preserve"> on the </w:t>
      </w:r>
      <w:r w:rsidR="00676699">
        <w:t xml:space="preserve">specific question(s) to be addressed and the </w:t>
      </w:r>
      <w:r w:rsidR="0032158D">
        <w:t xml:space="preserve">amount </w:t>
      </w:r>
      <w:r w:rsidR="008B67C6">
        <w:t xml:space="preserve">and type of </w:t>
      </w:r>
      <w:r w:rsidR="0032158D">
        <w:t>data available</w:t>
      </w:r>
      <w:r w:rsidR="008B67C6">
        <w:t xml:space="preserve"> on food chemical conce</w:t>
      </w:r>
      <w:r w:rsidR="00567768">
        <w:t>ntrations and food consumption.</w:t>
      </w:r>
      <w:r w:rsidR="0032158D">
        <w:t xml:space="preserve"> </w:t>
      </w:r>
      <w:r w:rsidR="000C380F">
        <w:t xml:space="preserve">In some cases, a screening approach </w:t>
      </w:r>
      <w:r w:rsidR="00BD265E">
        <w:t xml:space="preserve">based on worst-case exposure scenarios </w:t>
      </w:r>
      <w:r w:rsidR="000C380F">
        <w:t xml:space="preserve">can be </w:t>
      </w:r>
      <w:r w:rsidR="00BD265E">
        <w:t xml:space="preserve">appropriate </w:t>
      </w:r>
      <w:r w:rsidR="000C380F">
        <w:t xml:space="preserve">for risk assessment purposes. </w:t>
      </w:r>
      <w:r w:rsidR="00F71826">
        <w:t xml:space="preserve">For example, in a recent analytical survey of </w:t>
      </w:r>
      <w:r w:rsidR="00E6681F">
        <w:t xml:space="preserve">30 packaging </w:t>
      </w:r>
      <w:r w:rsidR="00F71826">
        <w:t xml:space="preserve">chemicals conducted by FSANZ, a screening approach </w:t>
      </w:r>
      <w:r w:rsidR="00BD265E">
        <w:t xml:space="preserve">based on the Budget method </w:t>
      </w:r>
      <w:r w:rsidR="00F71826">
        <w:t>was used</w:t>
      </w:r>
      <w:r w:rsidR="0059449A">
        <w:t xml:space="preserve"> to calculate </w:t>
      </w:r>
      <w:r w:rsidR="00137815">
        <w:t xml:space="preserve">the </w:t>
      </w:r>
      <w:r w:rsidR="00F71826">
        <w:t xml:space="preserve">Theoretical Maximum Daily Exposure (TMDE) </w:t>
      </w:r>
      <w:r w:rsidR="00137815">
        <w:t>for</w:t>
      </w:r>
      <w:r w:rsidR="0059449A">
        <w:t xml:space="preserve"> </w:t>
      </w:r>
      <w:r w:rsidR="00E52862">
        <w:t>each detected chemical</w:t>
      </w:r>
      <w:r w:rsidR="0059449A">
        <w:t>. The TMDE for each chemical was calculated using the maximum concentration found in the analysed food samples, assum</w:t>
      </w:r>
      <w:r w:rsidR="00E24984">
        <w:t>ing</w:t>
      </w:r>
      <w:r w:rsidR="0059449A">
        <w:t xml:space="preserve"> that 50% of foods and beverages </w:t>
      </w:r>
      <w:r w:rsidR="00E24984">
        <w:t xml:space="preserve">consumed </w:t>
      </w:r>
      <w:r w:rsidR="0059449A">
        <w:t>contained the chemical at that level</w:t>
      </w:r>
      <w:r w:rsidR="00E6681F">
        <w:t>. For all but two of the detected chemicals, the TMDE</w:t>
      </w:r>
      <w:r w:rsidR="0059449A">
        <w:t xml:space="preserve"> </w:t>
      </w:r>
      <w:r w:rsidR="00E6681F">
        <w:t>support</w:t>
      </w:r>
      <w:r w:rsidR="00BD265E">
        <w:t>ed</w:t>
      </w:r>
      <w:r w:rsidR="00E6681F">
        <w:t xml:space="preserve"> a conclusion of negligible to low health risk </w:t>
      </w:r>
      <w:r w:rsidR="0059449A">
        <w:t>(FSANZ 2016</w:t>
      </w:r>
      <w:r w:rsidR="005E5D04">
        <w:t xml:space="preserve">; </w:t>
      </w:r>
      <w:r w:rsidR="00BD265E">
        <w:t>s</w:t>
      </w:r>
      <w:r w:rsidR="005E5D04">
        <w:t xml:space="preserve">ee </w:t>
      </w:r>
      <w:hyperlink w:anchor="_6._Risk_assessment" w:history="1">
        <w:r w:rsidR="008539D6" w:rsidRPr="00BD265E">
          <w:rPr>
            <w:rStyle w:val="Hyperlink"/>
          </w:rPr>
          <w:t>Section 6</w:t>
        </w:r>
      </w:hyperlink>
      <w:r w:rsidR="005E5D04">
        <w:t xml:space="preserve"> for further details of this study</w:t>
      </w:r>
      <w:r w:rsidR="0059449A">
        <w:t>).</w:t>
      </w:r>
    </w:p>
    <w:p w14:paraId="185DC027" w14:textId="77777777" w:rsidR="00144E65" w:rsidRDefault="00144E65" w:rsidP="0059449A"/>
    <w:p w14:paraId="11580C6A" w14:textId="1D24CAE4" w:rsidR="00E1034E" w:rsidRDefault="004937D1" w:rsidP="00925F56">
      <w:r>
        <w:t xml:space="preserve">Refined estimates of dietary exposure are possible when there are data on migration levels in a wide range of foods. </w:t>
      </w:r>
      <w:r w:rsidR="00117B35">
        <w:t xml:space="preserve">For example, </w:t>
      </w:r>
      <w:r w:rsidR="00D40E69">
        <w:t xml:space="preserve">in the past 10 years extensive migration data </w:t>
      </w:r>
      <w:r>
        <w:t>have</w:t>
      </w:r>
      <w:r w:rsidR="00D40E69">
        <w:t xml:space="preserve"> become available for </w:t>
      </w:r>
      <w:r w:rsidR="00117B35">
        <w:t>b</w:t>
      </w:r>
      <w:r w:rsidR="00096DF4">
        <w:t>isphenol A (BPA)</w:t>
      </w:r>
      <w:r w:rsidR="00D40E69">
        <w:t xml:space="preserve">, allowing EFSA to calculate better estimates of dietary exposure </w:t>
      </w:r>
      <w:r w:rsidR="00456596">
        <w:t>(see</w:t>
      </w:r>
      <w:r w:rsidR="00117B35">
        <w:t xml:space="preserve"> </w:t>
      </w:r>
      <w:hyperlink w:anchor="_6._Risk_assessment" w:history="1">
        <w:r w:rsidR="00456596" w:rsidRPr="00BD265E">
          <w:rPr>
            <w:rStyle w:val="Hyperlink"/>
          </w:rPr>
          <w:t>Section 6</w:t>
        </w:r>
      </w:hyperlink>
      <w:r w:rsidR="00456596">
        <w:t xml:space="preserve"> fo</w:t>
      </w:r>
      <w:r w:rsidR="00117B35">
        <w:t>r details).</w:t>
      </w:r>
      <w:r w:rsidR="007E7BA2">
        <w:t xml:space="preserve"> </w:t>
      </w:r>
    </w:p>
    <w:p w14:paraId="58871AB3" w14:textId="302EF691" w:rsidR="00676699" w:rsidRDefault="00676699" w:rsidP="00C1566E">
      <w:pPr>
        <w:widowControl/>
      </w:pPr>
    </w:p>
    <w:p w14:paraId="1DA20089" w14:textId="77777777" w:rsidR="00F70860" w:rsidRDefault="008A13A6" w:rsidP="000D6D75">
      <w:pPr>
        <w:widowControl/>
      </w:pPr>
      <w:r w:rsidRPr="005E5D04">
        <w:t>In order to gain insight into the range of estimat</w:t>
      </w:r>
      <w:r w:rsidR="005E5D04">
        <w:t>ed dietary exposures</w:t>
      </w:r>
      <w:r w:rsidR="009F2465">
        <w:t xml:space="preserve"> for a large fraction of the total number of food contact substances in use,</w:t>
      </w:r>
      <w:r w:rsidR="005E5D04">
        <w:t xml:space="preserve"> FSANZ has analysed a </w:t>
      </w:r>
      <w:r w:rsidR="007A474A">
        <w:t>USFDA</w:t>
      </w:r>
      <w:r w:rsidR="005E5D04">
        <w:t xml:space="preserve"> database containing dietary exposure information on more than 1300 food contact substances</w:t>
      </w:r>
      <w:r w:rsidR="00963B9D">
        <w:t xml:space="preserve"> (</w:t>
      </w:r>
      <w:r w:rsidR="007A474A">
        <w:t>USFDA</w:t>
      </w:r>
      <w:r w:rsidR="00963B9D">
        <w:t xml:space="preserve"> CEDI database</w:t>
      </w:r>
      <w:r w:rsidR="009F2465">
        <w:rPr>
          <w:rStyle w:val="FootnoteReference"/>
        </w:rPr>
        <w:footnoteReference w:id="4"/>
      </w:r>
      <w:r w:rsidR="00963B9D">
        <w:t>)</w:t>
      </w:r>
      <w:r w:rsidR="005E5D04">
        <w:t>.</w:t>
      </w:r>
      <w:r w:rsidR="00A17AA0">
        <w:t xml:space="preserve"> </w:t>
      </w:r>
      <w:r w:rsidR="00F70860">
        <w:br w:type="page"/>
      </w:r>
    </w:p>
    <w:p w14:paraId="388B34F6" w14:textId="7DE6E311" w:rsidR="00323637" w:rsidRDefault="00A17AA0" w:rsidP="000D6D75">
      <w:pPr>
        <w:widowControl/>
      </w:pPr>
      <w:r>
        <w:lastRenderedPageBreak/>
        <w:t>The CEDI</w:t>
      </w:r>
      <w:r w:rsidR="005E5D04">
        <w:t xml:space="preserve"> database is particularly valuable because the same methodology is used for each chemical </w:t>
      </w:r>
      <w:r w:rsidR="004003CD">
        <w:t>to calculate</w:t>
      </w:r>
      <w:r w:rsidR="009F2465">
        <w:t xml:space="preserve"> </w:t>
      </w:r>
      <w:r w:rsidR="00BD265E">
        <w:t xml:space="preserve">estimated </w:t>
      </w:r>
      <w:r w:rsidR="005E5D04">
        <w:t>dietary exposure</w:t>
      </w:r>
      <w:r w:rsidR="00FF2CBA">
        <w:t xml:space="preserve"> </w:t>
      </w:r>
      <w:r>
        <w:t>and the</w:t>
      </w:r>
      <w:r w:rsidRPr="00A17AA0">
        <w:t xml:space="preserve"> database currently contains information on </w:t>
      </w:r>
      <w:r>
        <w:t>over 1300</w:t>
      </w:r>
      <w:r w:rsidRPr="00A17AA0">
        <w:t xml:space="preserve"> chemicals, which represents approximately 1/3rd of the total number of food contact substances regulated in the US</w:t>
      </w:r>
      <w:r>
        <w:t>.</w:t>
      </w:r>
      <w:r w:rsidR="008763B6">
        <w:rPr>
          <w:rStyle w:val="FootnoteReference"/>
        </w:rPr>
        <w:footnoteReference w:id="5"/>
      </w:r>
      <w:r w:rsidRPr="00A17AA0">
        <w:t xml:space="preserve"> Estimated dietary exposures are derived from the approved uses of the chemicals and data on migration levels into foods </w:t>
      </w:r>
      <w:r w:rsidR="00CB62B8">
        <w:t>and/</w:t>
      </w:r>
      <w:r w:rsidRPr="00A17AA0">
        <w:t>or food simulants.</w:t>
      </w:r>
      <w:r w:rsidR="008763B6">
        <w:rPr>
          <w:rStyle w:val="FootnoteReference"/>
        </w:rPr>
        <w:footnoteReference w:id="6"/>
      </w:r>
      <w:r w:rsidRPr="00A17AA0">
        <w:t xml:space="preserve"> Information on the fraction of the daily diet expected to contact specific packaging materials </w:t>
      </w:r>
      <w:r w:rsidR="000D6D75">
        <w:t xml:space="preserve">(the ‘consumption factor’; CF) </w:t>
      </w:r>
      <w:r w:rsidRPr="00A17AA0">
        <w:t xml:space="preserve">is included in the dietary exposure calculations. </w:t>
      </w:r>
      <w:r w:rsidR="000D6D75">
        <w:t>In addition, a ‘food-type distribution factor’ (f</w:t>
      </w:r>
      <w:r w:rsidR="000D6D75" w:rsidRPr="000D6D75">
        <w:rPr>
          <w:vertAlign w:val="subscript"/>
        </w:rPr>
        <w:t>T</w:t>
      </w:r>
      <w:r w:rsidR="000D6D75">
        <w:t>) is used for each packaging material to reflect the fraction of all food contacting each material that is aqueous, acidic, alcoholic or fatty.</w:t>
      </w:r>
      <w:r w:rsidR="000D6D75" w:rsidRPr="00A17AA0">
        <w:t xml:space="preserve"> </w:t>
      </w:r>
      <w:r w:rsidRPr="00A17AA0">
        <w:t xml:space="preserve">Total food intake (solids </w:t>
      </w:r>
      <w:r w:rsidR="000D6D75">
        <w:t>and liquids) is assumed to be 3 </w:t>
      </w:r>
      <w:r w:rsidRPr="00A17AA0">
        <w:t>kg per person per day. Assessment of a proposed new use for a packaging chemical takes into account dietary exposure from the new use in addition to dietary exposure resulting from all existing approved uses (</w:t>
      </w:r>
      <w:r w:rsidR="007A474A">
        <w:t>USFDA</w:t>
      </w:r>
      <w:r w:rsidRPr="00A17AA0">
        <w:t xml:space="preserve"> 2007).</w:t>
      </w:r>
      <w:r w:rsidR="004C52BD">
        <w:t xml:space="preserve"> </w:t>
      </w:r>
    </w:p>
    <w:p w14:paraId="10D78985" w14:textId="721E1C29" w:rsidR="00A17AA0" w:rsidRDefault="00A17AA0" w:rsidP="002D2694">
      <w:pPr>
        <w:widowControl/>
      </w:pPr>
    </w:p>
    <w:p w14:paraId="3752CA72" w14:textId="77A4631C" w:rsidR="0081461B" w:rsidRDefault="009A4A9F" w:rsidP="002D2694">
      <w:pPr>
        <w:widowControl/>
      </w:pPr>
      <w:r w:rsidRPr="009F6CD6">
        <w:t xml:space="preserve">The median </w:t>
      </w:r>
      <w:r>
        <w:t xml:space="preserve">estimated </w:t>
      </w:r>
      <w:r w:rsidRPr="009F6CD6">
        <w:t xml:space="preserve">dietary exposure </w:t>
      </w:r>
      <w:r>
        <w:t xml:space="preserve">in the CEDI database </w:t>
      </w:r>
      <w:r w:rsidRPr="009F6CD6">
        <w:t>is</w:t>
      </w:r>
      <w:r>
        <w:t xml:space="preserve"> 0.00035 m</w:t>
      </w:r>
      <w:r w:rsidRPr="009F6CD6">
        <w:t>g/kg bw/day</w:t>
      </w:r>
      <w:r>
        <w:t xml:space="preserve"> and 59% of the substances lie in the range 0.0001–0.001 m</w:t>
      </w:r>
      <w:r w:rsidRPr="00C01E03">
        <w:t>g/kg bw/day</w:t>
      </w:r>
      <w:r>
        <w:t xml:space="preserve">. </w:t>
      </w:r>
      <w:r w:rsidR="00E17E1D">
        <w:t>Dietary exposure to 82% of the food contact substances is less than 0.001 mg/kg bw/day and o</w:t>
      </w:r>
      <w:r>
        <w:t xml:space="preserve">nly 28 substances (2%) have </w:t>
      </w:r>
      <w:r w:rsidRPr="00C01E03">
        <w:t xml:space="preserve">estimated dietary exposures </w:t>
      </w:r>
      <w:r>
        <w:t>greater than 0.01 mg/kg bw/day</w:t>
      </w:r>
      <w:r w:rsidR="00E17E1D">
        <w:t xml:space="preserve"> </w:t>
      </w:r>
      <w:r w:rsidR="00A557D8">
        <w:t>(</w:t>
      </w:r>
      <w:r w:rsidR="00E17E1D">
        <w:t>Table </w:t>
      </w:r>
      <w:r w:rsidR="004F6CE2">
        <w:t>1</w:t>
      </w:r>
      <w:r w:rsidR="00A557D8">
        <w:t xml:space="preserve">). </w:t>
      </w:r>
      <w:r w:rsidR="006C4CA6">
        <w:t>However, t</w:t>
      </w:r>
      <w:r w:rsidR="003C5F46">
        <w:t>here are some substances which</w:t>
      </w:r>
      <w:r w:rsidR="006C6435">
        <w:t xml:space="preserve"> migrate readily into food</w:t>
      </w:r>
      <w:r w:rsidR="006C4CA6">
        <w:t xml:space="preserve"> and </w:t>
      </w:r>
      <w:r w:rsidR="003C5F46">
        <w:t>are used in a wide range of packaging materials</w:t>
      </w:r>
      <w:r w:rsidR="006C4CA6">
        <w:t>, and these factors</w:t>
      </w:r>
      <w:r w:rsidR="00567768">
        <w:t xml:space="preserve"> contribute to higher dietary exposure to such chemicals</w:t>
      </w:r>
      <w:r w:rsidR="00D32495">
        <w:t xml:space="preserve"> because they are more likely to be present at higher concentrations in a wider range of regularly consumed foods</w:t>
      </w:r>
      <w:r w:rsidR="00567768">
        <w:t xml:space="preserve">. </w:t>
      </w:r>
      <w:r w:rsidR="002B6F54">
        <w:t>For example, a</w:t>
      </w:r>
      <w:r w:rsidR="0032158D">
        <w:t xml:space="preserve"> </w:t>
      </w:r>
      <w:r w:rsidR="006C4CA6">
        <w:t>recent</w:t>
      </w:r>
      <w:r w:rsidR="002B6F54">
        <w:t xml:space="preserve"> </w:t>
      </w:r>
      <w:r w:rsidR="007A474A">
        <w:t>USFDA</w:t>
      </w:r>
      <w:r w:rsidR="002B6F54">
        <w:t xml:space="preserve"> </w:t>
      </w:r>
      <w:r w:rsidR="0032158D">
        <w:t>risk assessment included</w:t>
      </w:r>
      <w:r w:rsidR="008A25FD">
        <w:t xml:space="preserve"> </w:t>
      </w:r>
      <w:r w:rsidR="00567768">
        <w:t>an estimate of total dietary exposure resulting from</w:t>
      </w:r>
      <w:r w:rsidR="008A25FD">
        <w:t xml:space="preserve"> 24 approved uses of an antioxidant used in adhesives and a range of plastics </w:t>
      </w:r>
      <w:r w:rsidR="002B6F54">
        <w:t xml:space="preserve">commonly used in food packaging </w:t>
      </w:r>
      <w:r w:rsidR="008A25FD">
        <w:t xml:space="preserve">(Neal-Kluever </w:t>
      </w:r>
      <w:r w:rsidR="00A8458F">
        <w:t xml:space="preserve">et al. </w:t>
      </w:r>
      <w:r w:rsidR="004F6CE2">
        <w:t>2015; see also Section 6</w:t>
      </w:r>
      <w:r w:rsidR="008A25FD">
        <w:t xml:space="preserve">). Estimated dietary exposure to this </w:t>
      </w:r>
      <w:r w:rsidR="008B67C6">
        <w:t xml:space="preserve">widely used food packaging </w:t>
      </w:r>
      <w:r w:rsidR="00C06A49">
        <w:t>chemical (0.075 </w:t>
      </w:r>
      <w:r w:rsidR="008A25FD">
        <w:t>mg/kg bw/day) lies at the upper end of the range for food contact substances.</w:t>
      </w:r>
      <w:r w:rsidR="00963B9D" w:rsidRPr="00963B9D">
        <w:t xml:space="preserve"> </w:t>
      </w:r>
      <w:r w:rsidR="00963B9D">
        <w:t>For comparison, the</w:t>
      </w:r>
      <w:r w:rsidR="00A17AA0">
        <w:t xml:space="preserve"> </w:t>
      </w:r>
      <w:r w:rsidR="00963B9D">
        <w:t xml:space="preserve">CEDI </w:t>
      </w:r>
      <w:r w:rsidR="00963B9D" w:rsidRPr="00963B9D">
        <w:t>database contains only 6 substances with estimated dieta</w:t>
      </w:r>
      <w:r w:rsidR="00150B2B">
        <w:t>ry exposures greater than 0.075 </w:t>
      </w:r>
      <w:r w:rsidR="00963B9D" w:rsidRPr="00963B9D">
        <w:t>mg/kg bw/day.</w:t>
      </w:r>
    </w:p>
    <w:p w14:paraId="0B61735C" w14:textId="77777777" w:rsidR="004003CD" w:rsidRDefault="004003CD" w:rsidP="00C1566E">
      <w:pPr>
        <w:widowControl/>
      </w:pPr>
    </w:p>
    <w:p w14:paraId="654345FD" w14:textId="787B3057" w:rsidR="004003CD" w:rsidRPr="004003CD" w:rsidRDefault="004003CD" w:rsidP="00C1566E">
      <w:pPr>
        <w:widowControl/>
        <w:rPr>
          <w:b/>
        </w:rPr>
      </w:pPr>
      <w:r w:rsidRPr="004003CD">
        <w:rPr>
          <w:b/>
        </w:rPr>
        <w:t xml:space="preserve">Table 1: Dietary exposure to </w:t>
      </w:r>
      <w:r w:rsidR="00302AC3">
        <w:rPr>
          <w:b/>
        </w:rPr>
        <w:t xml:space="preserve">a subset of </w:t>
      </w:r>
      <w:r w:rsidRPr="004003CD">
        <w:rPr>
          <w:b/>
        </w:rPr>
        <w:t xml:space="preserve">food contact substances (1302 substances in </w:t>
      </w:r>
      <w:r w:rsidR="007A474A">
        <w:rPr>
          <w:b/>
        </w:rPr>
        <w:t>USFDA</w:t>
      </w:r>
      <w:r w:rsidRPr="004003CD">
        <w:rPr>
          <w:b/>
        </w:rPr>
        <w:t xml:space="preserve"> CEDI database</w:t>
      </w:r>
      <w:r w:rsidR="001B5243" w:rsidRPr="001B5243">
        <w:rPr>
          <w:b/>
          <w:vertAlign w:val="superscript"/>
        </w:rPr>
        <w:t>3</w:t>
      </w:r>
      <w:r w:rsidRPr="004003CD">
        <w:rPr>
          <w:b/>
        </w:rPr>
        <w:t>)</w:t>
      </w:r>
    </w:p>
    <w:p w14:paraId="72057F86" w14:textId="77777777" w:rsidR="004003CD" w:rsidRDefault="004003CD" w:rsidP="00C1566E">
      <w:pPr>
        <w:widowControl/>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227"/>
        <w:gridCol w:w="3118"/>
      </w:tblGrid>
      <w:tr w:rsidR="004003CD" w14:paraId="2A961DCB" w14:textId="77777777" w:rsidTr="000A5113">
        <w:trPr>
          <w:jc w:val="center"/>
        </w:trPr>
        <w:tc>
          <w:tcPr>
            <w:tcW w:w="3227" w:type="dxa"/>
            <w:tcBorders>
              <w:top w:val="single" w:sz="4" w:space="0" w:color="auto"/>
              <w:bottom w:val="single" w:sz="4" w:space="0" w:color="auto"/>
              <w:right w:val="single" w:sz="4" w:space="0" w:color="auto"/>
            </w:tcBorders>
          </w:tcPr>
          <w:p w14:paraId="0CB0D208" w14:textId="77777777" w:rsidR="004003CD" w:rsidRPr="000A5113" w:rsidRDefault="004003CD" w:rsidP="004003CD">
            <w:pPr>
              <w:widowControl/>
              <w:spacing w:before="40" w:after="40"/>
              <w:jc w:val="center"/>
              <w:rPr>
                <w:b/>
                <w:sz w:val="20"/>
              </w:rPr>
            </w:pPr>
            <w:r w:rsidRPr="000A5113">
              <w:rPr>
                <w:b/>
                <w:sz w:val="20"/>
              </w:rPr>
              <w:t>Estimated Dietary Exposure</w:t>
            </w:r>
          </w:p>
          <w:p w14:paraId="3D46A820" w14:textId="5E0FBDCF" w:rsidR="004003CD" w:rsidRPr="000A5113" w:rsidRDefault="004003CD" w:rsidP="004003CD">
            <w:pPr>
              <w:widowControl/>
              <w:spacing w:before="40" w:after="40"/>
              <w:jc w:val="center"/>
              <w:rPr>
                <w:b/>
                <w:sz w:val="20"/>
              </w:rPr>
            </w:pPr>
            <w:r w:rsidRPr="000A5113">
              <w:rPr>
                <w:b/>
                <w:sz w:val="20"/>
              </w:rPr>
              <w:t>(</w:t>
            </w:r>
            <w:r w:rsidR="00C06A49" w:rsidRPr="000A5113">
              <w:rPr>
                <w:rFonts w:cs="Arial"/>
                <w:b/>
                <w:sz w:val="20"/>
              </w:rPr>
              <w:t>m</w:t>
            </w:r>
            <w:r w:rsidRPr="000A5113">
              <w:rPr>
                <w:b/>
                <w:sz w:val="20"/>
              </w:rPr>
              <w:t>g/kg bw/day)</w:t>
            </w:r>
          </w:p>
        </w:tc>
        <w:tc>
          <w:tcPr>
            <w:tcW w:w="3118" w:type="dxa"/>
            <w:tcBorders>
              <w:top w:val="single" w:sz="4" w:space="0" w:color="auto"/>
              <w:left w:val="single" w:sz="4" w:space="0" w:color="auto"/>
              <w:bottom w:val="single" w:sz="4" w:space="0" w:color="auto"/>
            </w:tcBorders>
          </w:tcPr>
          <w:p w14:paraId="7C9FDB65" w14:textId="06821938" w:rsidR="004003CD" w:rsidRPr="000A5113" w:rsidRDefault="004003CD" w:rsidP="004003CD">
            <w:pPr>
              <w:widowControl/>
              <w:spacing w:before="40" w:after="40"/>
              <w:jc w:val="center"/>
              <w:rPr>
                <w:b/>
                <w:sz w:val="20"/>
              </w:rPr>
            </w:pPr>
            <w:r w:rsidRPr="000A5113">
              <w:rPr>
                <w:b/>
                <w:sz w:val="20"/>
              </w:rPr>
              <w:t>Number of substances</w:t>
            </w:r>
          </w:p>
          <w:p w14:paraId="5AACAF30" w14:textId="1BB0B8DD" w:rsidR="004003CD" w:rsidRPr="000A5113" w:rsidRDefault="004003CD" w:rsidP="004003CD">
            <w:pPr>
              <w:widowControl/>
              <w:spacing w:before="40" w:after="40"/>
              <w:jc w:val="center"/>
              <w:rPr>
                <w:b/>
                <w:sz w:val="20"/>
              </w:rPr>
            </w:pPr>
            <w:r w:rsidRPr="000A5113">
              <w:rPr>
                <w:b/>
                <w:sz w:val="20"/>
              </w:rPr>
              <w:t>(percentage of total)</w:t>
            </w:r>
          </w:p>
        </w:tc>
      </w:tr>
      <w:tr w:rsidR="004003CD" w14:paraId="0B6364CA" w14:textId="77777777" w:rsidTr="000A5113">
        <w:trPr>
          <w:jc w:val="center"/>
        </w:trPr>
        <w:tc>
          <w:tcPr>
            <w:tcW w:w="3227" w:type="dxa"/>
            <w:tcBorders>
              <w:top w:val="single" w:sz="4" w:space="0" w:color="auto"/>
              <w:right w:val="single" w:sz="4" w:space="0" w:color="auto"/>
            </w:tcBorders>
          </w:tcPr>
          <w:p w14:paraId="1C8AAA67" w14:textId="65139D7A" w:rsidR="004003CD" w:rsidRPr="000A5113" w:rsidRDefault="00C06A49" w:rsidP="004003CD">
            <w:pPr>
              <w:widowControl/>
              <w:spacing w:before="40" w:after="40"/>
              <w:jc w:val="center"/>
              <w:rPr>
                <w:sz w:val="20"/>
              </w:rPr>
            </w:pPr>
            <w:r w:rsidRPr="000A5113">
              <w:rPr>
                <w:sz w:val="20"/>
              </w:rPr>
              <w:t>&lt; 0.00001</w:t>
            </w:r>
          </w:p>
        </w:tc>
        <w:tc>
          <w:tcPr>
            <w:tcW w:w="3118" w:type="dxa"/>
            <w:tcBorders>
              <w:top w:val="single" w:sz="4" w:space="0" w:color="auto"/>
              <w:left w:val="single" w:sz="4" w:space="0" w:color="auto"/>
            </w:tcBorders>
          </w:tcPr>
          <w:p w14:paraId="0EB7E99E" w14:textId="0962437F" w:rsidR="004003CD" w:rsidRPr="000A5113" w:rsidRDefault="00302AC3" w:rsidP="004003CD">
            <w:pPr>
              <w:widowControl/>
              <w:spacing w:before="40" w:after="40"/>
              <w:jc w:val="center"/>
              <w:rPr>
                <w:sz w:val="20"/>
              </w:rPr>
            </w:pPr>
            <w:r w:rsidRPr="000A5113">
              <w:rPr>
                <w:sz w:val="20"/>
              </w:rPr>
              <w:t>116 (9%)</w:t>
            </w:r>
          </w:p>
        </w:tc>
      </w:tr>
      <w:tr w:rsidR="004003CD" w14:paraId="36D6BC57" w14:textId="77777777" w:rsidTr="000A5113">
        <w:trPr>
          <w:jc w:val="center"/>
        </w:trPr>
        <w:tc>
          <w:tcPr>
            <w:tcW w:w="3227" w:type="dxa"/>
            <w:tcBorders>
              <w:right w:val="single" w:sz="4" w:space="0" w:color="auto"/>
            </w:tcBorders>
          </w:tcPr>
          <w:p w14:paraId="7F1E58D8" w14:textId="7A5BC39B" w:rsidR="004003CD" w:rsidRPr="000A5113" w:rsidRDefault="00C06A49" w:rsidP="004003CD">
            <w:pPr>
              <w:widowControl/>
              <w:spacing w:before="40" w:after="40"/>
              <w:jc w:val="center"/>
              <w:rPr>
                <w:sz w:val="20"/>
              </w:rPr>
            </w:pPr>
            <w:r w:rsidRPr="000A5113">
              <w:rPr>
                <w:sz w:val="20"/>
              </w:rPr>
              <w:t>&lt; 0.0001</w:t>
            </w:r>
          </w:p>
        </w:tc>
        <w:tc>
          <w:tcPr>
            <w:tcW w:w="3118" w:type="dxa"/>
            <w:tcBorders>
              <w:left w:val="single" w:sz="4" w:space="0" w:color="auto"/>
            </w:tcBorders>
          </w:tcPr>
          <w:p w14:paraId="4A4350E7" w14:textId="3A5299DF" w:rsidR="004003CD" w:rsidRPr="000A5113" w:rsidRDefault="000B399F" w:rsidP="004003CD">
            <w:pPr>
              <w:widowControl/>
              <w:spacing w:before="40" w:after="40"/>
              <w:jc w:val="center"/>
              <w:rPr>
                <w:sz w:val="20"/>
              </w:rPr>
            </w:pPr>
            <w:r w:rsidRPr="000A5113">
              <w:rPr>
                <w:sz w:val="20"/>
              </w:rPr>
              <w:t>304 (23%)</w:t>
            </w:r>
          </w:p>
        </w:tc>
      </w:tr>
      <w:tr w:rsidR="004003CD" w14:paraId="34F07326" w14:textId="77777777" w:rsidTr="000A5113">
        <w:trPr>
          <w:jc w:val="center"/>
        </w:trPr>
        <w:tc>
          <w:tcPr>
            <w:tcW w:w="3227" w:type="dxa"/>
            <w:tcBorders>
              <w:right w:val="single" w:sz="4" w:space="0" w:color="auto"/>
            </w:tcBorders>
          </w:tcPr>
          <w:p w14:paraId="67042D58" w14:textId="2F41316C" w:rsidR="004003CD" w:rsidRPr="000A5113" w:rsidRDefault="00C06A49" w:rsidP="004003CD">
            <w:pPr>
              <w:widowControl/>
              <w:spacing w:before="40" w:after="40"/>
              <w:jc w:val="center"/>
              <w:rPr>
                <w:sz w:val="20"/>
              </w:rPr>
            </w:pPr>
            <w:r w:rsidRPr="000A5113">
              <w:rPr>
                <w:sz w:val="20"/>
              </w:rPr>
              <w:t>&lt; 0.001</w:t>
            </w:r>
          </w:p>
        </w:tc>
        <w:tc>
          <w:tcPr>
            <w:tcW w:w="3118" w:type="dxa"/>
            <w:tcBorders>
              <w:left w:val="single" w:sz="4" w:space="0" w:color="auto"/>
            </w:tcBorders>
          </w:tcPr>
          <w:p w14:paraId="264C7DB5" w14:textId="7EDE2F6B" w:rsidR="004003CD" w:rsidRPr="000A5113" w:rsidRDefault="000B399F" w:rsidP="004003CD">
            <w:pPr>
              <w:widowControl/>
              <w:spacing w:before="40" w:after="40"/>
              <w:jc w:val="center"/>
              <w:rPr>
                <w:sz w:val="20"/>
              </w:rPr>
            </w:pPr>
            <w:r w:rsidRPr="000A5113">
              <w:rPr>
                <w:sz w:val="20"/>
              </w:rPr>
              <w:t>1069 (82%)</w:t>
            </w:r>
          </w:p>
        </w:tc>
      </w:tr>
      <w:tr w:rsidR="004003CD" w14:paraId="5D3555E9" w14:textId="77777777" w:rsidTr="000A5113">
        <w:trPr>
          <w:jc w:val="center"/>
        </w:trPr>
        <w:tc>
          <w:tcPr>
            <w:tcW w:w="3227" w:type="dxa"/>
            <w:tcBorders>
              <w:bottom w:val="single" w:sz="4" w:space="0" w:color="auto"/>
              <w:right w:val="single" w:sz="4" w:space="0" w:color="auto"/>
            </w:tcBorders>
          </w:tcPr>
          <w:p w14:paraId="077E5A71" w14:textId="55BF890F" w:rsidR="004003CD" w:rsidRPr="000A5113" w:rsidRDefault="004003CD" w:rsidP="004003CD">
            <w:pPr>
              <w:widowControl/>
              <w:spacing w:before="40" w:after="40"/>
              <w:jc w:val="center"/>
              <w:rPr>
                <w:sz w:val="20"/>
              </w:rPr>
            </w:pPr>
            <w:r w:rsidRPr="000A5113">
              <w:rPr>
                <w:sz w:val="20"/>
              </w:rPr>
              <w:t>&lt;</w:t>
            </w:r>
            <w:r w:rsidR="00C06A49" w:rsidRPr="000A5113">
              <w:rPr>
                <w:sz w:val="20"/>
              </w:rPr>
              <w:t xml:space="preserve"> 0.01</w:t>
            </w:r>
          </w:p>
        </w:tc>
        <w:tc>
          <w:tcPr>
            <w:tcW w:w="3118" w:type="dxa"/>
            <w:tcBorders>
              <w:left w:val="single" w:sz="4" w:space="0" w:color="auto"/>
            </w:tcBorders>
          </w:tcPr>
          <w:p w14:paraId="1560482B" w14:textId="7D18041B" w:rsidR="004003CD" w:rsidRPr="000A5113" w:rsidRDefault="00302AC3" w:rsidP="004003CD">
            <w:pPr>
              <w:widowControl/>
              <w:spacing w:before="40" w:after="40"/>
              <w:jc w:val="center"/>
              <w:rPr>
                <w:sz w:val="20"/>
              </w:rPr>
            </w:pPr>
            <w:r w:rsidRPr="000A5113">
              <w:rPr>
                <w:sz w:val="20"/>
              </w:rPr>
              <w:t>1272 (98%)</w:t>
            </w:r>
          </w:p>
        </w:tc>
      </w:tr>
    </w:tbl>
    <w:p w14:paraId="2CE4D370" w14:textId="77777777" w:rsidR="00B22E01" w:rsidRDefault="00B22E01" w:rsidP="008600B2">
      <w:pPr>
        <w:widowControl/>
      </w:pPr>
    </w:p>
    <w:p w14:paraId="7DA15F5E" w14:textId="77777777" w:rsidR="00F70860" w:rsidRDefault="00470958" w:rsidP="002C52BC">
      <w:pPr>
        <w:widowControl/>
      </w:pPr>
      <w:r>
        <w:t>There is</w:t>
      </w:r>
      <w:r w:rsidR="004F0FFA">
        <w:t xml:space="preserve"> </w:t>
      </w:r>
      <w:r>
        <w:t xml:space="preserve">evidence to </w:t>
      </w:r>
      <w:r w:rsidR="004F0FFA">
        <w:t xml:space="preserve">indicate </w:t>
      </w:r>
      <w:r>
        <w:t xml:space="preserve">that the overall low estimated dietary exposure to food </w:t>
      </w:r>
      <w:r w:rsidR="009A3C86">
        <w:t>packaging chemicals,</w:t>
      </w:r>
      <w:r>
        <w:t xml:space="preserve"> </w:t>
      </w:r>
      <w:r w:rsidR="00FA1E08">
        <w:t>as shown</w:t>
      </w:r>
      <w:r w:rsidR="00F926A7">
        <w:t xml:space="preserve"> in the </w:t>
      </w:r>
      <w:r w:rsidR="007A474A">
        <w:t>USFDA</w:t>
      </w:r>
      <w:r w:rsidR="00F926A7">
        <w:t xml:space="preserve"> CEDI database</w:t>
      </w:r>
      <w:r w:rsidR="009A3C86">
        <w:t>,</w:t>
      </w:r>
      <w:r w:rsidR="00F926A7">
        <w:t xml:space="preserve"> would be </w:t>
      </w:r>
      <w:r w:rsidR="000772B4">
        <w:t xml:space="preserve">similarly low for </w:t>
      </w:r>
      <w:r w:rsidR="00F926A7">
        <w:t>Australia/New Zealand populations.</w:t>
      </w:r>
      <w:r w:rsidR="00673831">
        <w:t xml:space="preserve"> </w:t>
      </w:r>
      <w:r w:rsidR="002F2957">
        <w:t xml:space="preserve">First, </w:t>
      </w:r>
      <w:r w:rsidR="0037040F">
        <w:t>r</w:t>
      </w:r>
      <w:r w:rsidR="004F0FFA">
        <w:t>esults from</w:t>
      </w:r>
      <w:r w:rsidR="0037040F">
        <w:t xml:space="preserve"> </w:t>
      </w:r>
      <w:r w:rsidR="002F2957">
        <w:t xml:space="preserve">FSANZ analytical surveys of packaging chemicals in foods are consistent with the low </w:t>
      </w:r>
      <w:r w:rsidR="0019388B">
        <w:t xml:space="preserve">migration levels contained </w:t>
      </w:r>
      <w:r w:rsidR="002F2957">
        <w:t>in the CEDI database</w:t>
      </w:r>
      <w:r w:rsidR="00673831">
        <w:t xml:space="preserve">. </w:t>
      </w:r>
      <w:r w:rsidR="00F70860">
        <w:br w:type="page"/>
      </w:r>
    </w:p>
    <w:p w14:paraId="29349800" w14:textId="51532438" w:rsidR="00F926A7" w:rsidRDefault="00673831" w:rsidP="002C52BC">
      <w:pPr>
        <w:widowControl/>
      </w:pPr>
      <w:r>
        <w:lastRenderedPageBreak/>
        <w:t xml:space="preserve">For example, </w:t>
      </w:r>
      <w:r w:rsidR="006F2976">
        <w:t>in a 2011</w:t>
      </w:r>
      <w:r>
        <w:t xml:space="preserve"> survey, levels</w:t>
      </w:r>
      <w:r w:rsidRPr="00673831">
        <w:t xml:space="preserve"> of phthalates, </w:t>
      </w:r>
      <w:r>
        <w:t>perfluorinated chemicals</w:t>
      </w:r>
      <w:r w:rsidRPr="00673831">
        <w:t xml:space="preserve">, semicarbazide, acrylonitrile and vinyl chloride </w:t>
      </w:r>
      <w:r>
        <w:t>were below the limit of quantification</w:t>
      </w:r>
      <w:r w:rsidR="0037040F">
        <w:t xml:space="preserve"> (LOQ)</w:t>
      </w:r>
      <w:r>
        <w:t xml:space="preserve"> </w:t>
      </w:r>
      <w:r w:rsidR="00E724D1">
        <w:t>for</w:t>
      </w:r>
      <w:r w:rsidRPr="00673831">
        <w:t xml:space="preserve"> </w:t>
      </w:r>
      <w:r>
        <w:t>the 65 packaged foods and beverages analysed (FSANZ 2</w:t>
      </w:r>
      <w:r w:rsidR="006F2976">
        <w:t>011</w:t>
      </w:r>
      <w:r>
        <w:t>)</w:t>
      </w:r>
      <w:r w:rsidR="00667D7B">
        <w:rPr>
          <w:rStyle w:val="FootnoteReference"/>
        </w:rPr>
        <w:footnoteReference w:id="7"/>
      </w:r>
      <w:r w:rsidR="00927D41">
        <w:t>.</w:t>
      </w:r>
      <w:r w:rsidR="0037040F" w:rsidRPr="0037040F">
        <w:t xml:space="preserve"> </w:t>
      </w:r>
    </w:p>
    <w:p w14:paraId="293E8EDC" w14:textId="77777777" w:rsidR="007A474A" w:rsidRDefault="007A474A" w:rsidP="002C52BC">
      <w:pPr>
        <w:widowControl/>
      </w:pPr>
    </w:p>
    <w:p w14:paraId="6311DE37" w14:textId="4ABDE936" w:rsidR="00FA1E08" w:rsidRDefault="00FA1E08" w:rsidP="002C52BC">
      <w:pPr>
        <w:widowControl/>
      </w:pPr>
      <w:r>
        <w:t xml:space="preserve">Similarly, in a recent FSANZ study, 81 typically consumed foods and beverages were tested for 30 packaging chemicals. Most foods contained no detectable levels of the chemicals analysed. However, low levels (parts per million or parts per billion) of several chemicals were detected in a small </w:t>
      </w:r>
      <w:r w:rsidR="00A86FD5">
        <w:t>proportion of</w:t>
      </w:r>
      <w:r>
        <w:t xml:space="preserve"> foods. Concentrations of these chemicals were generally comparable </w:t>
      </w:r>
      <w:proofErr w:type="gramStart"/>
      <w:r>
        <w:t>to,</w:t>
      </w:r>
      <w:proofErr w:type="gramEnd"/>
      <w:r>
        <w:t xml:space="preserve"> or lower than, those reported in previous Australian </w:t>
      </w:r>
      <w:r w:rsidR="00A6768F">
        <w:t>and international studies (FSANZ 2016).</w:t>
      </w:r>
    </w:p>
    <w:p w14:paraId="677E6F0B" w14:textId="77777777" w:rsidR="00FA1E08" w:rsidRDefault="00FA1E08" w:rsidP="002C52BC">
      <w:pPr>
        <w:widowControl/>
      </w:pPr>
    </w:p>
    <w:p w14:paraId="11C931A1" w14:textId="3CC92780" w:rsidR="000F37DD" w:rsidRDefault="00412D6C" w:rsidP="002C52BC">
      <w:pPr>
        <w:widowControl/>
      </w:pPr>
      <w:r>
        <w:t>A</w:t>
      </w:r>
      <w:r w:rsidR="003C4AFF">
        <w:t>nother</w:t>
      </w:r>
      <w:r w:rsidR="00A733F3">
        <w:t xml:space="preserve"> factor contributing to </w:t>
      </w:r>
      <w:r>
        <w:t>variability</w:t>
      </w:r>
      <w:r w:rsidR="00A733F3">
        <w:t xml:space="preserve"> in dietary exposure to packaging chemicals </w:t>
      </w:r>
      <w:r w:rsidR="003C4AFF">
        <w:t>relates to differences</w:t>
      </w:r>
      <w:r w:rsidR="00A733F3">
        <w:t xml:space="preserve"> in </w:t>
      </w:r>
      <w:r w:rsidR="003C4AFF">
        <w:t xml:space="preserve">the </w:t>
      </w:r>
      <w:r w:rsidR="00A733F3">
        <w:t>use of specific</w:t>
      </w:r>
      <w:r w:rsidR="00A733F3" w:rsidRPr="00A733F3">
        <w:t xml:space="preserve"> food packaging materials</w:t>
      </w:r>
      <w:r w:rsidR="003C4AFF">
        <w:t xml:space="preserve"> in various</w:t>
      </w:r>
      <w:r>
        <w:t xml:space="preserve"> countries. </w:t>
      </w:r>
      <w:r w:rsidR="005D2432">
        <w:t>However, a</w:t>
      </w:r>
      <w:r w:rsidR="00E72985" w:rsidRPr="00E72985">
        <w:t>ny differenc</w:t>
      </w:r>
      <w:r w:rsidR="005D2432">
        <w:t>es between the US</w:t>
      </w:r>
      <w:r w:rsidR="007A474A">
        <w:t>A</w:t>
      </w:r>
      <w:r w:rsidR="005D2432">
        <w:t xml:space="preserve"> and Australia</w:t>
      </w:r>
      <w:r w:rsidR="00E72985" w:rsidRPr="00E72985">
        <w:t>/New Zealand in the use of various food packaging materials would no</w:t>
      </w:r>
      <w:r w:rsidR="00E72985">
        <w:t>t be expected to markedly alter</w:t>
      </w:r>
      <w:r w:rsidR="00E72985" w:rsidRPr="00E72985">
        <w:t xml:space="preserve"> dietary exposure to</w:t>
      </w:r>
      <w:r w:rsidR="00E72985">
        <w:t xml:space="preserve"> the majority of</w:t>
      </w:r>
      <w:r w:rsidR="00E72985" w:rsidRPr="00E72985">
        <w:t xml:space="preserve"> food packaging chemicals. </w:t>
      </w:r>
      <w:r w:rsidR="00E72985" w:rsidRPr="00412D6C">
        <w:t xml:space="preserve">To support this, results of a published study indicate that the </w:t>
      </w:r>
      <w:r w:rsidR="00E72985">
        <w:t xml:space="preserve">relative </w:t>
      </w:r>
      <w:r w:rsidR="00E72985" w:rsidRPr="00412D6C">
        <w:t xml:space="preserve">use of </w:t>
      </w:r>
      <w:r w:rsidR="00E72985">
        <w:t xml:space="preserve">major </w:t>
      </w:r>
      <w:r w:rsidR="00E72985" w:rsidRPr="00412D6C">
        <w:t>food packaging materials</w:t>
      </w:r>
      <w:r w:rsidR="00E72985">
        <w:t xml:space="preserve"> </w:t>
      </w:r>
      <w:r w:rsidR="00E72985" w:rsidRPr="00412D6C">
        <w:t>is broadly similar in the US and in an EU</w:t>
      </w:r>
      <w:r w:rsidR="00E72985">
        <w:t xml:space="preserve"> country, the Republic of Ireland</w:t>
      </w:r>
      <w:r w:rsidR="005D2432" w:rsidRPr="005D2432">
        <w:t xml:space="preserve"> </w:t>
      </w:r>
      <w:r w:rsidR="005D2432">
        <w:t>(</w:t>
      </w:r>
      <w:r w:rsidR="005D2432" w:rsidRPr="00E72985">
        <w:t>Duffy et al</w:t>
      </w:r>
      <w:r w:rsidR="005D2432">
        <w:t xml:space="preserve">. </w:t>
      </w:r>
      <w:r w:rsidR="005D2432" w:rsidRPr="00E72985">
        <w:t>2007)</w:t>
      </w:r>
      <w:r w:rsidR="005D2432">
        <w:t>. This study found, for example,</w:t>
      </w:r>
      <w:r w:rsidR="005D2432" w:rsidRPr="005D2432">
        <w:t xml:space="preserve"> that</w:t>
      </w:r>
      <w:r w:rsidR="00A660C0">
        <w:t xml:space="preserve"> in an Irish population</w:t>
      </w:r>
      <w:r w:rsidR="005D2432" w:rsidRPr="005D2432">
        <w:t xml:space="preserve"> 'total plastics' had the highest consumption factor</w:t>
      </w:r>
      <w:r w:rsidR="00A660C0">
        <w:rPr>
          <w:rStyle w:val="FootnoteReference"/>
        </w:rPr>
        <w:footnoteReference w:id="8"/>
      </w:r>
      <w:r w:rsidR="005D2432" w:rsidRPr="005D2432">
        <w:t xml:space="preserve"> (0.83) which is similar</w:t>
      </w:r>
      <w:r w:rsidR="00A660C0">
        <w:t xml:space="preserve"> to the value of 0.79 used by the </w:t>
      </w:r>
      <w:r w:rsidR="007A474A">
        <w:t>USFDA</w:t>
      </w:r>
      <w:r w:rsidR="00A660C0">
        <w:t xml:space="preserve"> in dietary exposure calculations. </w:t>
      </w:r>
      <w:r w:rsidR="008B12CC">
        <w:t xml:space="preserve">There are also data </w:t>
      </w:r>
      <w:r w:rsidR="00FA7D01">
        <w:t>supporting</w:t>
      </w:r>
      <w:r w:rsidR="008B12CC">
        <w:t xml:space="preserve"> </w:t>
      </w:r>
      <w:r w:rsidR="00114C49">
        <w:t>the</w:t>
      </w:r>
      <w:r w:rsidR="008B12CC">
        <w:t xml:space="preserve"> </w:t>
      </w:r>
      <w:r w:rsidR="00A660C0">
        <w:t xml:space="preserve">concept that </w:t>
      </w:r>
      <w:r w:rsidR="008B12CC">
        <w:t>t</w:t>
      </w:r>
      <w:r w:rsidR="00E72985">
        <w:t xml:space="preserve">he relative use </w:t>
      </w:r>
      <w:r w:rsidR="008B12CC">
        <w:t xml:space="preserve">of major packaging materials may have changed </w:t>
      </w:r>
      <w:r w:rsidR="005D2432">
        <w:t xml:space="preserve">to only a small degree </w:t>
      </w:r>
      <w:r w:rsidR="008B12CC">
        <w:t xml:space="preserve">in </w:t>
      </w:r>
      <w:r w:rsidR="000F37DD">
        <w:t>the US in the past 3</w:t>
      </w:r>
      <w:r w:rsidR="008B12CC">
        <w:t>0 years.</w:t>
      </w:r>
      <w:r w:rsidR="008B12CC" w:rsidRPr="008B12CC">
        <w:t xml:space="preserve"> </w:t>
      </w:r>
      <w:r w:rsidR="000F37DD">
        <w:t xml:space="preserve">For example, it was reported that the </w:t>
      </w:r>
      <w:r w:rsidR="000F37DD" w:rsidRPr="000F37DD">
        <w:t xml:space="preserve">consumption factor for polystyrene </w:t>
      </w:r>
      <w:r w:rsidR="00927D41">
        <w:t>(</w:t>
      </w:r>
      <w:r w:rsidR="000F37DD" w:rsidRPr="000F37DD">
        <w:t xml:space="preserve">based on </w:t>
      </w:r>
      <w:r w:rsidR="000F37DD">
        <w:t xml:space="preserve">US </w:t>
      </w:r>
      <w:r w:rsidR="000F37DD" w:rsidRPr="000F37DD">
        <w:t>market data collected around 1980</w:t>
      </w:r>
      <w:r w:rsidR="00927D41">
        <w:t>)</w:t>
      </w:r>
      <w:r w:rsidR="000F37DD">
        <w:t xml:space="preserve"> was 0.1, whereas data collected 25 years later led to </w:t>
      </w:r>
      <w:r w:rsidR="00927D41">
        <w:t xml:space="preserve">the </w:t>
      </w:r>
      <w:r w:rsidR="000F37DD">
        <w:t xml:space="preserve">calculation of </w:t>
      </w:r>
      <w:r w:rsidR="000F37DD" w:rsidRPr="000F37DD">
        <w:t xml:space="preserve">a new consumption </w:t>
      </w:r>
      <w:r w:rsidR="000F37DD">
        <w:t>factor of 0.14 (</w:t>
      </w:r>
      <w:r w:rsidR="000F37DD" w:rsidRPr="008B12CC">
        <w:t>Cassidy and Elyashiv-Barad 2007)</w:t>
      </w:r>
      <w:r w:rsidR="000F37DD">
        <w:t>.</w:t>
      </w:r>
    </w:p>
    <w:p w14:paraId="7F566666" w14:textId="77777777" w:rsidR="000F37DD" w:rsidRDefault="000F37DD" w:rsidP="002C52BC">
      <w:pPr>
        <w:widowControl/>
      </w:pPr>
    </w:p>
    <w:p w14:paraId="7BC05680" w14:textId="6C031719" w:rsidR="004C52BD" w:rsidRDefault="002B6B8F" w:rsidP="008600B2">
      <w:pPr>
        <w:widowControl/>
      </w:pPr>
      <w:r>
        <w:t xml:space="preserve">It is concluded that </w:t>
      </w:r>
      <w:r w:rsidR="0019388B">
        <w:t>the overall low estimates of</w:t>
      </w:r>
      <w:r>
        <w:t xml:space="preserve"> dietary exposure to food contact </w:t>
      </w:r>
      <w:r w:rsidR="002C52BC">
        <w:t>substances present in</w:t>
      </w:r>
      <w:r>
        <w:t xml:space="preserve"> the </w:t>
      </w:r>
      <w:r w:rsidR="007A474A">
        <w:t>USFDA</w:t>
      </w:r>
      <w:r>
        <w:t xml:space="preserve"> CEDI database</w:t>
      </w:r>
      <w:r w:rsidR="00114C49">
        <w:t xml:space="preserve"> (e.g.</w:t>
      </w:r>
      <w:r>
        <w:t xml:space="preserve"> 98% of substances with estimated dietary exposures below 0.01 mg/kg bw/day</w:t>
      </w:r>
      <w:r w:rsidR="00E26C98">
        <w:t>; Table 1</w:t>
      </w:r>
      <w:r w:rsidR="002C52BC">
        <w:t>)</w:t>
      </w:r>
      <w:r>
        <w:t xml:space="preserve"> </w:t>
      </w:r>
      <w:r w:rsidR="0019388B">
        <w:t>are</w:t>
      </w:r>
      <w:r>
        <w:t xml:space="preserve"> reasonably anticipated to be similar for</w:t>
      </w:r>
      <w:r w:rsidR="0019388B">
        <w:t xml:space="preserve"> </w:t>
      </w:r>
      <w:r>
        <w:t>Australia/New Zealand.</w:t>
      </w:r>
      <w:r w:rsidR="000F37DD">
        <w:t xml:space="preserve"> </w:t>
      </w:r>
    </w:p>
    <w:p w14:paraId="05CC846C" w14:textId="77777777" w:rsidR="007A474A" w:rsidRDefault="007A474A" w:rsidP="008600B2">
      <w:pPr>
        <w:widowControl/>
      </w:pPr>
    </w:p>
    <w:p w14:paraId="5D370762" w14:textId="09CAB759" w:rsidR="005C529F" w:rsidRDefault="005C529F" w:rsidP="000A5113">
      <w:pPr>
        <w:pStyle w:val="Heading1"/>
        <w:rPr>
          <w:rFonts w:eastAsia="Calibri"/>
        </w:rPr>
      </w:pPr>
      <w:bookmarkStart w:id="7" w:name="_5._Threshold_of"/>
      <w:bookmarkStart w:id="8" w:name="_Toc448936157"/>
      <w:bookmarkEnd w:id="7"/>
      <w:r w:rsidRPr="00005131">
        <w:t>5.</w:t>
      </w:r>
      <w:r w:rsidRPr="00005131">
        <w:tab/>
      </w:r>
      <w:r w:rsidRPr="00005131">
        <w:rPr>
          <w:rFonts w:eastAsia="Calibri"/>
        </w:rPr>
        <w:t>Threshold</w:t>
      </w:r>
      <w:r>
        <w:rPr>
          <w:rFonts w:eastAsia="Calibri"/>
        </w:rPr>
        <w:t xml:space="preserve"> of Toxicological Concern analysis</w:t>
      </w:r>
      <w:bookmarkEnd w:id="8"/>
    </w:p>
    <w:p w14:paraId="23231AE3" w14:textId="48DD4E6C" w:rsidR="005C529F" w:rsidRDefault="005C529F" w:rsidP="007273BD">
      <w:pPr>
        <w:pStyle w:val="Default"/>
        <w:keepLines/>
        <w:rPr>
          <w:sz w:val="22"/>
          <w:szCs w:val="22"/>
        </w:rPr>
      </w:pPr>
      <w:r w:rsidRPr="00793C0A">
        <w:rPr>
          <w:sz w:val="22"/>
          <w:szCs w:val="22"/>
        </w:rPr>
        <w:t xml:space="preserve">The </w:t>
      </w:r>
      <w:r w:rsidRPr="00962733">
        <w:rPr>
          <w:sz w:val="22"/>
          <w:szCs w:val="22"/>
        </w:rPr>
        <w:t xml:space="preserve">Threshold of Toxicological Concern </w:t>
      </w:r>
      <w:r>
        <w:rPr>
          <w:sz w:val="22"/>
          <w:szCs w:val="22"/>
        </w:rPr>
        <w:t>(</w:t>
      </w:r>
      <w:r w:rsidRPr="00793C0A">
        <w:rPr>
          <w:sz w:val="22"/>
          <w:szCs w:val="22"/>
        </w:rPr>
        <w:t>TTC</w:t>
      </w:r>
      <w:r>
        <w:rPr>
          <w:sz w:val="22"/>
          <w:szCs w:val="22"/>
        </w:rPr>
        <w:t>)</w:t>
      </w:r>
      <w:r w:rsidRPr="00793C0A">
        <w:rPr>
          <w:sz w:val="22"/>
          <w:szCs w:val="22"/>
        </w:rPr>
        <w:t xml:space="preserve"> </w:t>
      </w:r>
      <w:r>
        <w:rPr>
          <w:sz w:val="22"/>
          <w:szCs w:val="22"/>
        </w:rPr>
        <w:t xml:space="preserve">concept </w:t>
      </w:r>
      <w:r w:rsidRPr="00793C0A">
        <w:rPr>
          <w:sz w:val="22"/>
          <w:szCs w:val="22"/>
        </w:rPr>
        <w:t xml:space="preserve">is a screening </w:t>
      </w:r>
      <w:r w:rsidR="00D32495" w:rsidRPr="00793C0A">
        <w:rPr>
          <w:sz w:val="22"/>
          <w:szCs w:val="22"/>
        </w:rPr>
        <w:t>tool</w:t>
      </w:r>
      <w:r w:rsidRPr="00793C0A">
        <w:rPr>
          <w:sz w:val="22"/>
          <w:szCs w:val="22"/>
        </w:rPr>
        <w:t xml:space="preserve"> based on risk assessment principles</w:t>
      </w:r>
      <w:r w:rsidR="00D32495">
        <w:rPr>
          <w:sz w:val="22"/>
          <w:szCs w:val="22"/>
        </w:rPr>
        <w:t xml:space="preserve">. The TTC </w:t>
      </w:r>
      <w:r w:rsidR="006C6435">
        <w:rPr>
          <w:sz w:val="22"/>
          <w:szCs w:val="22"/>
        </w:rPr>
        <w:t xml:space="preserve">concept </w:t>
      </w:r>
      <w:r w:rsidR="00D32495">
        <w:rPr>
          <w:sz w:val="22"/>
          <w:szCs w:val="22"/>
        </w:rPr>
        <w:t>is used</w:t>
      </w:r>
      <w:r w:rsidR="00D32495" w:rsidRPr="00793C0A">
        <w:rPr>
          <w:sz w:val="22"/>
          <w:szCs w:val="22"/>
        </w:rPr>
        <w:t xml:space="preserve"> to</w:t>
      </w:r>
      <w:r w:rsidRPr="00793C0A">
        <w:rPr>
          <w:sz w:val="22"/>
          <w:szCs w:val="22"/>
        </w:rPr>
        <w:t xml:space="preserve"> assess low </w:t>
      </w:r>
      <w:r>
        <w:rPr>
          <w:sz w:val="22"/>
          <w:szCs w:val="22"/>
        </w:rPr>
        <w:t>level</w:t>
      </w:r>
      <w:r w:rsidRPr="00793C0A">
        <w:rPr>
          <w:sz w:val="22"/>
          <w:szCs w:val="22"/>
        </w:rPr>
        <w:t xml:space="preserve"> chemical exposures and to distinguish those </w:t>
      </w:r>
      <w:r>
        <w:rPr>
          <w:sz w:val="22"/>
          <w:szCs w:val="22"/>
        </w:rPr>
        <w:t xml:space="preserve">chemicals </w:t>
      </w:r>
      <w:r w:rsidRPr="00793C0A">
        <w:rPr>
          <w:sz w:val="22"/>
          <w:szCs w:val="22"/>
        </w:rPr>
        <w:t>with no appreciable</w:t>
      </w:r>
      <w:r>
        <w:rPr>
          <w:sz w:val="22"/>
          <w:szCs w:val="22"/>
        </w:rPr>
        <w:t xml:space="preserve"> human health</w:t>
      </w:r>
      <w:r w:rsidRPr="00793C0A">
        <w:rPr>
          <w:sz w:val="22"/>
          <w:szCs w:val="22"/>
        </w:rPr>
        <w:t xml:space="preserve"> risk</w:t>
      </w:r>
      <w:r>
        <w:rPr>
          <w:sz w:val="22"/>
          <w:szCs w:val="22"/>
        </w:rPr>
        <w:t xml:space="preserve"> </w:t>
      </w:r>
      <w:r w:rsidRPr="00793C0A">
        <w:rPr>
          <w:sz w:val="22"/>
          <w:szCs w:val="22"/>
        </w:rPr>
        <w:t xml:space="preserve">from those for which further data are required </w:t>
      </w:r>
      <w:r>
        <w:rPr>
          <w:sz w:val="22"/>
          <w:szCs w:val="22"/>
        </w:rPr>
        <w:t xml:space="preserve">for </w:t>
      </w:r>
      <w:r w:rsidRPr="00793C0A">
        <w:rPr>
          <w:sz w:val="22"/>
          <w:szCs w:val="22"/>
        </w:rPr>
        <w:t xml:space="preserve">risk </w:t>
      </w:r>
      <w:r>
        <w:rPr>
          <w:sz w:val="22"/>
          <w:szCs w:val="22"/>
        </w:rPr>
        <w:t xml:space="preserve">assessment (Kroes </w:t>
      </w:r>
      <w:r w:rsidR="00A8458F">
        <w:rPr>
          <w:sz w:val="22"/>
          <w:szCs w:val="22"/>
        </w:rPr>
        <w:t xml:space="preserve">et al. </w:t>
      </w:r>
      <w:r>
        <w:rPr>
          <w:sz w:val="22"/>
          <w:szCs w:val="22"/>
        </w:rPr>
        <w:t>2000;</w:t>
      </w:r>
      <w:r w:rsidRPr="00F20D36">
        <w:rPr>
          <w:sz w:val="22"/>
          <w:szCs w:val="22"/>
        </w:rPr>
        <w:t xml:space="preserve"> </w:t>
      </w:r>
      <w:r>
        <w:rPr>
          <w:sz w:val="22"/>
          <w:szCs w:val="22"/>
        </w:rPr>
        <w:t>EFSA/WHO 2016)</w:t>
      </w:r>
      <w:r w:rsidRPr="00793C0A">
        <w:rPr>
          <w:sz w:val="22"/>
          <w:szCs w:val="22"/>
        </w:rPr>
        <w:t>.</w:t>
      </w:r>
    </w:p>
    <w:p w14:paraId="14CB399B" w14:textId="77777777" w:rsidR="005C529F" w:rsidRDefault="005C529F" w:rsidP="005C529F">
      <w:pPr>
        <w:pStyle w:val="Default"/>
        <w:rPr>
          <w:sz w:val="22"/>
          <w:szCs w:val="22"/>
        </w:rPr>
      </w:pPr>
    </w:p>
    <w:p w14:paraId="536D9931" w14:textId="6E1BBF8E" w:rsidR="005C529F" w:rsidRDefault="005C529F" w:rsidP="005C529F">
      <w:pPr>
        <w:pStyle w:val="Default"/>
        <w:rPr>
          <w:sz w:val="22"/>
          <w:szCs w:val="22"/>
        </w:rPr>
      </w:pPr>
      <w:r>
        <w:rPr>
          <w:sz w:val="22"/>
          <w:szCs w:val="22"/>
        </w:rPr>
        <w:t>The TTC concept</w:t>
      </w:r>
      <w:r w:rsidRPr="00CB2699">
        <w:t xml:space="preserve"> </w:t>
      </w:r>
      <w:r>
        <w:rPr>
          <w:sz w:val="22"/>
          <w:szCs w:val="22"/>
        </w:rPr>
        <w:t xml:space="preserve">categorises chemicals into various levels of safe exposure depending on chemical structure (Cramer </w:t>
      </w:r>
      <w:r w:rsidR="00A8458F">
        <w:rPr>
          <w:sz w:val="22"/>
          <w:szCs w:val="22"/>
        </w:rPr>
        <w:t xml:space="preserve">et al. </w:t>
      </w:r>
      <w:r>
        <w:rPr>
          <w:sz w:val="22"/>
          <w:szCs w:val="22"/>
        </w:rPr>
        <w:t xml:space="preserve">1978). The thresholds were originally derived from toxicity data on over 600 chemicals with </w:t>
      </w:r>
      <w:r w:rsidRPr="00B43954">
        <w:rPr>
          <w:sz w:val="22"/>
          <w:szCs w:val="22"/>
        </w:rPr>
        <w:t>conservatism built into the approach to establish protective TTC values</w:t>
      </w:r>
      <w:r>
        <w:rPr>
          <w:sz w:val="22"/>
          <w:szCs w:val="22"/>
        </w:rPr>
        <w:t xml:space="preserve"> (Munro </w:t>
      </w:r>
      <w:r w:rsidR="00A8458F">
        <w:rPr>
          <w:sz w:val="22"/>
          <w:szCs w:val="22"/>
        </w:rPr>
        <w:t xml:space="preserve">et al. </w:t>
      </w:r>
      <w:r>
        <w:rPr>
          <w:sz w:val="22"/>
          <w:szCs w:val="22"/>
        </w:rPr>
        <w:t xml:space="preserve">1996). A recent review of the TTC approach has confirmed its conservatism and that the threshold values derived by Munro </w:t>
      </w:r>
      <w:r w:rsidR="00A8458F">
        <w:rPr>
          <w:sz w:val="22"/>
          <w:szCs w:val="22"/>
        </w:rPr>
        <w:t xml:space="preserve">et al. </w:t>
      </w:r>
      <w:r>
        <w:rPr>
          <w:sz w:val="22"/>
          <w:szCs w:val="22"/>
        </w:rPr>
        <w:t>(1996) remain appropriate (</w:t>
      </w:r>
      <w:r w:rsidRPr="00B43954">
        <w:rPr>
          <w:sz w:val="22"/>
          <w:szCs w:val="22"/>
        </w:rPr>
        <w:t>EFSA/WHO 2016</w:t>
      </w:r>
      <w:r>
        <w:rPr>
          <w:sz w:val="22"/>
          <w:szCs w:val="22"/>
        </w:rPr>
        <w:t>).</w:t>
      </w:r>
    </w:p>
    <w:p w14:paraId="2E9ADB3F" w14:textId="77777777" w:rsidR="005C529F" w:rsidRDefault="005C529F" w:rsidP="005C529F">
      <w:pPr>
        <w:pStyle w:val="Default"/>
        <w:rPr>
          <w:sz w:val="22"/>
          <w:szCs w:val="22"/>
        </w:rPr>
      </w:pPr>
    </w:p>
    <w:p w14:paraId="354F8E0D" w14:textId="77777777" w:rsidR="00F70860" w:rsidRDefault="005C529F" w:rsidP="005C529F">
      <w:pPr>
        <w:widowControl/>
        <w:rPr>
          <w:szCs w:val="22"/>
        </w:rPr>
      </w:pPr>
      <w:r>
        <w:rPr>
          <w:szCs w:val="22"/>
        </w:rPr>
        <w:t>C</w:t>
      </w:r>
      <w:r w:rsidRPr="00E702A2">
        <w:rPr>
          <w:szCs w:val="22"/>
        </w:rPr>
        <w:t xml:space="preserve">hemicals </w:t>
      </w:r>
      <w:r>
        <w:rPr>
          <w:szCs w:val="22"/>
        </w:rPr>
        <w:t xml:space="preserve">categorised as structural class I, II or III are assigned </w:t>
      </w:r>
      <w:r w:rsidRPr="00E702A2">
        <w:rPr>
          <w:szCs w:val="22"/>
        </w:rPr>
        <w:t xml:space="preserve">respective </w:t>
      </w:r>
      <w:r>
        <w:rPr>
          <w:szCs w:val="22"/>
        </w:rPr>
        <w:t xml:space="preserve">TTC values </w:t>
      </w:r>
      <w:r w:rsidRPr="00E702A2">
        <w:rPr>
          <w:szCs w:val="22"/>
        </w:rPr>
        <w:t xml:space="preserve">of </w:t>
      </w:r>
      <w:r w:rsidR="00D55085">
        <w:rPr>
          <w:szCs w:val="22"/>
        </w:rPr>
        <w:t>0.03, 0.009 and 0.0015 m</w:t>
      </w:r>
      <w:r w:rsidRPr="00E702A2">
        <w:rPr>
          <w:szCs w:val="22"/>
        </w:rPr>
        <w:t>g/kg bw/day.</w:t>
      </w:r>
      <w:r>
        <w:rPr>
          <w:szCs w:val="22"/>
        </w:rPr>
        <w:t xml:space="preserve"> The TTC threshold applicable to a specific chemical is compared to its estimated dietary exposure. </w:t>
      </w:r>
      <w:r w:rsidR="00F70860">
        <w:rPr>
          <w:szCs w:val="22"/>
        </w:rPr>
        <w:br w:type="page"/>
      </w:r>
    </w:p>
    <w:p w14:paraId="05D9CFB0" w14:textId="6D0D6102" w:rsidR="005C529F" w:rsidRDefault="005C529F" w:rsidP="005C529F">
      <w:pPr>
        <w:widowControl/>
      </w:pPr>
      <w:r>
        <w:rPr>
          <w:szCs w:val="22"/>
        </w:rPr>
        <w:lastRenderedPageBreak/>
        <w:t>Estimated dietary exposure that is below the TTC threshold indicates no safety</w:t>
      </w:r>
      <w:r w:rsidR="00046DBE">
        <w:rPr>
          <w:szCs w:val="22"/>
        </w:rPr>
        <w:t xml:space="preserve"> concern, while exposure above the</w:t>
      </w:r>
      <w:r>
        <w:rPr>
          <w:szCs w:val="22"/>
        </w:rPr>
        <w:t xml:space="preserve"> threshold indicates that appropriate toxicity data on the chemical, or a close structural relative, is required to perform a safety assessment.</w:t>
      </w:r>
      <w:r w:rsidRPr="00303BBF">
        <w:t xml:space="preserve"> </w:t>
      </w:r>
      <w:r>
        <w:t xml:space="preserve">The </w:t>
      </w:r>
      <w:r w:rsidRPr="00063510">
        <w:t xml:space="preserve">TTC approach </w:t>
      </w:r>
      <w:r>
        <w:t xml:space="preserve">should not be used for certain substances including </w:t>
      </w:r>
      <w:r w:rsidRPr="00063510">
        <w:t>high potency carcinogens</w:t>
      </w:r>
      <w:r>
        <w:t>, inorganic chemicals, metals and organometallics, steroids,</w:t>
      </w:r>
      <w:r w:rsidRPr="00063510">
        <w:t xml:space="preserve"> </w:t>
      </w:r>
      <w:r>
        <w:t xml:space="preserve">and </w:t>
      </w:r>
      <w:r w:rsidRPr="00063510">
        <w:t>chemicals that are known or predicted to bioaccumulate</w:t>
      </w:r>
      <w:r>
        <w:t xml:space="preserve"> (EFSA 2012)</w:t>
      </w:r>
      <w:r w:rsidRPr="00063510">
        <w:t>.</w:t>
      </w:r>
      <w:r>
        <w:t xml:space="preserve"> In those cases, toxicity data on the substance, or a closely related substance, are required for safety assessment.</w:t>
      </w:r>
    </w:p>
    <w:p w14:paraId="10015793" w14:textId="77777777" w:rsidR="005C529F" w:rsidRDefault="005C529F" w:rsidP="005C529F">
      <w:pPr>
        <w:pStyle w:val="Default"/>
        <w:rPr>
          <w:sz w:val="22"/>
          <w:szCs w:val="22"/>
        </w:rPr>
      </w:pPr>
    </w:p>
    <w:p w14:paraId="1E896491" w14:textId="77777777" w:rsidR="005C529F" w:rsidRDefault="005C529F" w:rsidP="005C529F">
      <w:pPr>
        <w:pStyle w:val="Default"/>
        <w:rPr>
          <w:sz w:val="22"/>
          <w:szCs w:val="22"/>
        </w:rPr>
      </w:pPr>
      <w:r>
        <w:rPr>
          <w:sz w:val="22"/>
          <w:szCs w:val="22"/>
        </w:rPr>
        <w:t>The most notable current use of the TTC concept is by JECFA, EFSA and FEMA</w:t>
      </w:r>
      <w:r>
        <w:rPr>
          <w:rStyle w:val="FootnoteReference"/>
          <w:sz w:val="22"/>
          <w:szCs w:val="22"/>
        </w:rPr>
        <w:footnoteReference w:id="9"/>
      </w:r>
      <w:r>
        <w:rPr>
          <w:sz w:val="22"/>
          <w:szCs w:val="22"/>
        </w:rPr>
        <w:t xml:space="preserve"> for the safety evaluation of the large number of flavouring agents that are used by the food industry.</w:t>
      </w:r>
    </w:p>
    <w:p w14:paraId="17E3D111" w14:textId="7CDB25CD" w:rsidR="005C529F" w:rsidRDefault="005C529F" w:rsidP="005C529F">
      <w:pPr>
        <w:widowControl/>
      </w:pPr>
      <w:r>
        <w:t>The TTC concept is also embodied in the US Threshold of Regulation (TOR) exemptions</w:t>
      </w:r>
      <w:r w:rsidRPr="008F5AD5">
        <w:t xml:space="preserve"> </w:t>
      </w:r>
      <w:r>
        <w:t>for food contact substances.</w:t>
      </w:r>
      <w:r w:rsidRPr="00DF18A2">
        <w:t xml:space="preserve"> </w:t>
      </w:r>
      <w:r>
        <w:t>To be eligible for a TOR exemption, a substance used in a food-contact article will be exempted from regulation if t</w:t>
      </w:r>
      <w:r w:rsidRPr="00DF18A2">
        <w:t>he use in question has been</w:t>
      </w:r>
      <w:r>
        <w:t xml:space="preserve"> </w:t>
      </w:r>
      <w:r w:rsidRPr="00DF18A2">
        <w:t>shown to result in</w:t>
      </w:r>
      <w:r>
        <w:t>,</w:t>
      </w:r>
      <w:r w:rsidRPr="00DF18A2">
        <w:t xml:space="preserve"> or may be expected</w:t>
      </w:r>
      <w:r>
        <w:t xml:space="preserve"> </w:t>
      </w:r>
      <w:r w:rsidRPr="00DF18A2">
        <w:t>to result in</w:t>
      </w:r>
      <w:r>
        <w:t>,</w:t>
      </w:r>
      <w:r w:rsidRPr="00DF18A2">
        <w:t xml:space="preserve"> dietary concentrations at</w:t>
      </w:r>
      <w:r>
        <w:t xml:space="preserve"> </w:t>
      </w:r>
      <w:r w:rsidRPr="00DF18A2">
        <w:t>or below</w:t>
      </w:r>
      <w:r w:rsidR="00ED0F37">
        <w:t xml:space="preserve"> 0.0005 mg/kg</w:t>
      </w:r>
      <w:r w:rsidRPr="00DF18A2">
        <w:t>, corresponding</w:t>
      </w:r>
      <w:r>
        <w:t xml:space="preserve"> </w:t>
      </w:r>
      <w:r w:rsidRPr="00DF18A2">
        <w:t>to dietary exposure levels</w:t>
      </w:r>
      <w:r>
        <w:t xml:space="preserve"> at or below </w:t>
      </w:r>
      <w:r w:rsidR="00ED0F37">
        <w:t xml:space="preserve">0.0015 mg/person/day </w:t>
      </w:r>
      <w:r>
        <w:t xml:space="preserve">(based on a diet of 3 kg food/beverages </w:t>
      </w:r>
      <w:r w:rsidRPr="00DF18A2">
        <w:t>per day</w:t>
      </w:r>
      <w:r>
        <w:t xml:space="preserve">). </w:t>
      </w:r>
      <w:r w:rsidRPr="00227FC5">
        <w:t xml:space="preserve">Carcinogens or </w:t>
      </w:r>
      <w:r>
        <w:t>suspected</w:t>
      </w:r>
      <w:r w:rsidRPr="00227FC5">
        <w:t xml:space="preserve"> carcinogens ar</w:t>
      </w:r>
      <w:r>
        <w:t>e excluded from this regulation (Begley 1997);</w:t>
      </w:r>
      <w:r w:rsidRPr="00BA1BF4">
        <w:t xml:space="preserve"> </w:t>
      </w:r>
      <w:r>
        <w:t xml:space="preserve">however, the value of </w:t>
      </w:r>
      <w:r w:rsidR="00ED0F37">
        <w:t>0.0015 mg</w:t>
      </w:r>
      <w:r w:rsidRPr="009E73E0">
        <w:t xml:space="preserve">/person/day </w:t>
      </w:r>
      <w:r w:rsidRPr="00BA1BF4">
        <w:t xml:space="preserve">was </w:t>
      </w:r>
      <w:r>
        <w:t>derived from</w:t>
      </w:r>
      <w:r w:rsidRPr="00BA1BF4">
        <w:t xml:space="preserve"> a large database of carcinogenic potenci</w:t>
      </w:r>
      <w:r>
        <w:t xml:space="preserve">es, and was determined to </w:t>
      </w:r>
      <w:r w:rsidRPr="00BA1BF4">
        <w:t>b</w:t>
      </w:r>
      <w:r>
        <w:t>e low enough to ensure that public health is protected</w:t>
      </w:r>
      <w:r w:rsidRPr="00BA1BF4">
        <w:t xml:space="preserve"> even in the event that a substance exempted fro</w:t>
      </w:r>
      <w:r>
        <w:t xml:space="preserve">m regulation </w:t>
      </w:r>
      <w:r w:rsidRPr="00BA1BF4">
        <w:t xml:space="preserve">is </w:t>
      </w:r>
      <w:r>
        <w:t xml:space="preserve">later found to be a carcinogen (Munro </w:t>
      </w:r>
      <w:r w:rsidR="00A8458F">
        <w:t xml:space="preserve">et al. </w:t>
      </w:r>
      <w:r>
        <w:t>2002).</w:t>
      </w:r>
    </w:p>
    <w:p w14:paraId="19D82A1B" w14:textId="77777777" w:rsidR="005C529F" w:rsidRDefault="005C529F" w:rsidP="005C529F">
      <w:pPr>
        <w:spacing w:after="200"/>
        <w:contextualSpacing/>
      </w:pPr>
    </w:p>
    <w:p w14:paraId="6BCAEBF7" w14:textId="4D9A1497" w:rsidR="005C529F" w:rsidRDefault="005C529F" w:rsidP="008763B6">
      <w:pPr>
        <w:contextualSpacing/>
      </w:pPr>
      <w:r>
        <w:t>FSANZ has compared TTC values t</w:t>
      </w:r>
      <w:r w:rsidR="00517ADE">
        <w:t>o estimated dietary exposures for</w:t>
      </w:r>
      <w:r>
        <w:t xml:space="preserve"> food contact subs</w:t>
      </w:r>
      <w:r w:rsidR="00A17AA0">
        <w:t>tances that are contained in the</w:t>
      </w:r>
      <w:r>
        <w:t xml:space="preserve"> </w:t>
      </w:r>
      <w:r w:rsidR="007A474A">
        <w:t>USFDA</w:t>
      </w:r>
      <w:r>
        <w:t xml:space="preserve"> </w:t>
      </w:r>
      <w:r w:rsidR="00A17AA0">
        <w:t xml:space="preserve">CEDI </w:t>
      </w:r>
      <w:r>
        <w:t xml:space="preserve">database. Estimated </w:t>
      </w:r>
      <w:r w:rsidRPr="00CB010F">
        <w:t>dietary exposure</w:t>
      </w:r>
      <w:r>
        <w:t>s for 86% of the substances (1119/1302) are</w:t>
      </w:r>
      <w:r w:rsidRPr="00CB010F">
        <w:t xml:space="preserve"> below </w:t>
      </w:r>
      <w:r>
        <w:t>the lowest</w:t>
      </w:r>
      <w:r w:rsidRPr="00F11A60">
        <w:t xml:space="preserve"> TTC value for non-genotoxic substances (structura</w:t>
      </w:r>
      <w:r>
        <w:t xml:space="preserve">l class III: </w:t>
      </w:r>
      <w:r w:rsidR="00E32055">
        <w:t>0.0015 m</w:t>
      </w:r>
      <w:r>
        <w:t>g/kg bw/day)</w:t>
      </w:r>
      <w:r w:rsidRPr="00BB6925">
        <w:t xml:space="preserve"> </w:t>
      </w:r>
      <w:r>
        <w:t xml:space="preserve">(Figure 1). Based on a recent re-evaluation of the Munro </w:t>
      </w:r>
      <w:r w:rsidR="00A8458F">
        <w:t xml:space="preserve">et al. </w:t>
      </w:r>
      <w:r>
        <w:t xml:space="preserve">(1996) TTC database, a higher threshold of </w:t>
      </w:r>
      <w:r w:rsidR="00C801BD">
        <w:t>0.004 </w:t>
      </w:r>
      <w:r w:rsidR="00E32055">
        <w:t>m</w:t>
      </w:r>
      <w:r w:rsidR="00C801BD">
        <w:t>g/kg </w:t>
      </w:r>
      <w:r w:rsidRPr="00B02EFC">
        <w:t xml:space="preserve">bw/day </w:t>
      </w:r>
      <w:r>
        <w:t xml:space="preserve">was derived for structural class III substances when </w:t>
      </w:r>
      <w:r w:rsidRPr="00B02EFC">
        <w:t xml:space="preserve">organophosphates </w:t>
      </w:r>
      <w:r>
        <w:t>and</w:t>
      </w:r>
      <w:r w:rsidRPr="00B02EFC">
        <w:t xml:space="preserve"> organohalogens</w:t>
      </w:r>
      <w:r>
        <w:t xml:space="preserve"> were excluded from the analysis</w:t>
      </w:r>
      <w:r w:rsidR="008F4B1D">
        <w:t xml:space="preserve"> (Leeman </w:t>
      </w:r>
      <w:r w:rsidR="00A8458F">
        <w:t xml:space="preserve">et al. </w:t>
      </w:r>
      <w:r w:rsidR="008F4B1D">
        <w:t>2014)</w:t>
      </w:r>
      <w:r>
        <w:t xml:space="preserve">. </w:t>
      </w:r>
      <w:r w:rsidRPr="00B02EFC">
        <w:t>Es</w:t>
      </w:r>
      <w:r>
        <w:t>timated dietary exposures for 97</w:t>
      </w:r>
      <w:r w:rsidRPr="00B02EFC">
        <w:t xml:space="preserve">% of the </w:t>
      </w:r>
      <w:r>
        <w:t>CEDI substances (1260</w:t>
      </w:r>
      <w:r w:rsidRPr="00B02EFC">
        <w:t>/1302) are below</w:t>
      </w:r>
      <w:r>
        <w:t xml:space="preserve"> </w:t>
      </w:r>
      <w:r w:rsidR="00E32055">
        <w:t>0.004 mg/kg </w:t>
      </w:r>
      <w:r w:rsidRPr="00B02EFC">
        <w:t>bw/day</w:t>
      </w:r>
      <w:r>
        <w:t>.</w:t>
      </w:r>
    </w:p>
    <w:p w14:paraId="62CB597D" w14:textId="5D5F6736" w:rsidR="00F70860" w:rsidRDefault="00F70860" w:rsidP="005C529F">
      <w:pPr>
        <w:contextualSpacing/>
      </w:pPr>
      <w:r>
        <w:br w:type="page"/>
      </w:r>
    </w:p>
    <w:p w14:paraId="2E350CDE" w14:textId="77777777" w:rsidR="005C529F" w:rsidRDefault="005C529F" w:rsidP="00F70860">
      <w:pPr>
        <w:contextualSpacing/>
        <w:jc w:val="center"/>
      </w:pPr>
      <w:r>
        <w:rPr>
          <w:noProof/>
          <w:lang w:eastAsia="en-GB" w:bidi="ar-SA"/>
        </w:rPr>
        <w:lastRenderedPageBreak/>
        <mc:AlternateContent>
          <mc:Choice Requires="wps">
            <w:drawing>
              <wp:anchor distT="0" distB="0" distL="114300" distR="114300" simplePos="0" relativeHeight="251658241" behindDoc="0" locked="0" layoutInCell="1" allowOverlap="1" wp14:anchorId="68007B3B" wp14:editId="7584794C">
                <wp:simplePos x="0" y="0"/>
                <wp:positionH relativeFrom="column">
                  <wp:posOffset>1316990</wp:posOffset>
                </wp:positionH>
                <wp:positionV relativeFrom="paragraph">
                  <wp:posOffset>81584</wp:posOffset>
                </wp:positionV>
                <wp:extent cx="34480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3448050" cy="304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03.7pt;margin-top:6.4pt;width:271.5pt;height:2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" fillcolor="window" stroked="f" strokeweight="2pt"/>
            </w:pict>
          </mc:Fallback>
        </mc:AlternateContent>
      </w:r>
      <w:r>
        <w:rPr>
          <w:noProof/>
          <w:lang w:eastAsia="en-GB" w:bidi="ar-SA"/>
        </w:rPr>
        <w:drawing>
          <wp:inline distT="0" distB="0" distL="0" distR="0" wp14:anchorId="762E43E7" wp14:editId="03D3E400">
            <wp:extent cx="5836777" cy="3581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7787" cy="3588156"/>
                    </a:xfrm>
                    <a:prstGeom prst="rect">
                      <a:avLst/>
                    </a:prstGeom>
                    <a:noFill/>
                  </pic:spPr>
                </pic:pic>
              </a:graphicData>
            </a:graphic>
          </wp:inline>
        </w:drawing>
      </w:r>
    </w:p>
    <w:p w14:paraId="1AB08C88" w14:textId="59B6B084" w:rsidR="005C529F" w:rsidRDefault="005C529F" w:rsidP="00F70860">
      <w:pPr>
        <w:spacing w:after="200"/>
        <w:ind w:right="-286"/>
        <w:jc w:val="center"/>
      </w:pPr>
      <w:r w:rsidRPr="000A5113">
        <w:rPr>
          <w:i/>
          <w:szCs w:val="20"/>
        </w:rPr>
        <w:t xml:space="preserve">Figure 1:  Histogram of estimated dietary exposure to food contact substances. Data were sourced from a </w:t>
      </w:r>
      <w:r w:rsidR="007A474A" w:rsidRPr="000A5113">
        <w:rPr>
          <w:i/>
          <w:szCs w:val="20"/>
        </w:rPr>
        <w:t>USFDA</w:t>
      </w:r>
      <w:r w:rsidRPr="000A5113">
        <w:rPr>
          <w:i/>
          <w:szCs w:val="20"/>
        </w:rPr>
        <w:t xml:space="preserve"> database that currently contains information on 1302 substances. Estimated dietary exposures for 59% of the substances are in the range 0.1–1 µg/kg bw/day. The three TTC thresholds for non-genotoxic substances are indicated. 86% of the substances have estimated dietary exposures below the lowest threshold (class III: 1.5 µg/kg bw/day).</w:t>
      </w:r>
    </w:p>
    <w:p w14:paraId="020BF96E" w14:textId="4D9E4664" w:rsidR="005C529F" w:rsidRDefault="005C529F" w:rsidP="005C529F">
      <w:pPr>
        <w:contextualSpacing/>
      </w:pPr>
      <w:r>
        <w:t>For many of the chemicals with estimated dietary exposure exceeding their respective TTC thresholds, specific toxicity data were located in various databases and the published literature that support the safety of those chemica</w:t>
      </w:r>
      <w:r w:rsidR="00816484">
        <w:t>ls (</w:t>
      </w:r>
      <w:r w:rsidR="0093242D" w:rsidRPr="00816484">
        <w:t>Attachment 1</w:t>
      </w:r>
      <w:r w:rsidR="002E0FDF">
        <w:t xml:space="preserve"> provides examples</w:t>
      </w:r>
      <w:r w:rsidR="00816484">
        <w:t>)</w:t>
      </w:r>
      <w:r w:rsidRPr="00426B47">
        <w:t>.</w:t>
      </w:r>
      <w:r w:rsidRPr="00F35D0F">
        <w:t xml:space="preserve"> </w:t>
      </w:r>
      <w:r>
        <w:t xml:space="preserve">For a substantial fraction of chemicals in the CEDI database it is expected that the supporting toxicity data are unpublished, while for some chemicals the </w:t>
      </w:r>
      <w:r w:rsidR="007A474A">
        <w:t>USFDA</w:t>
      </w:r>
      <w:r>
        <w:t xml:space="preserve"> would have </w:t>
      </w:r>
      <w:r w:rsidRPr="00F35D0F">
        <w:t xml:space="preserve">used read-across and/or QSAR approaches for safety assessment (Bailey </w:t>
      </w:r>
      <w:r w:rsidR="00A8458F">
        <w:t xml:space="preserve">et al. </w:t>
      </w:r>
      <w:r w:rsidRPr="00F35D0F">
        <w:t xml:space="preserve">2005; Arvidson </w:t>
      </w:r>
      <w:r w:rsidR="00A8458F">
        <w:t xml:space="preserve">et al. </w:t>
      </w:r>
      <w:r w:rsidRPr="00F35D0F">
        <w:t>2010).</w:t>
      </w:r>
    </w:p>
    <w:p w14:paraId="206C9108" w14:textId="77777777" w:rsidR="005C529F" w:rsidRDefault="005C529F" w:rsidP="005C529F">
      <w:pPr>
        <w:contextualSpacing/>
      </w:pPr>
    </w:p>
    <w:p w14:paraId="0004AFDC" w14:textId="12C0E529" w:rsidR="005C529F" w:rsidRDefault="005C529F" w:rsidP="005C529F">
      <w:r>
        <w:t>As indicated above, the CEDI database currently represents a substantial subset (approximately 1/3</w:t>
      </w:r>
      <w:r w:rsidRPr="00051CBB">
        <w:rPr>
          <w:vertAlign w:val="superscript"/>
        </w:rPr>
        <w:t>rd</w:t>
      </w:r>
      <w:r>
        <w:t xml:space="preserve">) of the total number of chemicals that are covered by US </w:t>
      </w:r>
      <w:r w:rsidRPr="004B15CD">
        <w:rPr>
          <w:rFonts w:cs="Arial"/>
          <w:lang w:val="en-AU"/>
        </w:rPr>
        <w:t xml:space="preserve">food contact </w:t>
      </w:r>
      <w:r>
        <w:t xml:space="preserve">regulations (~4000 substances). It is not expected that the distribution of estimated dietary exposures for the remaining food contact substances would differ substantially from the distribution in the current CEDI database, which has a large peak corresponding to an exposure range of </w:t>
      </w:r>
      <w:r w:rsidR="00EC3CB3">
        <w:t xml:space="preserve">0.0001–0.001 </w:t>
      </w:r>
      <w:r w:rsidR="00EC3CB3" w:rsidRPr="00EC3CB3">
        <w:t>m</w:t>
      </w:r>
      <w:r w:rsidRPr="00EC3CB3">
        <w:t>g/kg</w:t>
      </w:r>
      <w:r>
        <w:t xml:space="preserve"> bw/day and only a small fraction (2%) with estimated dietary exposures above 0.01 </w:t>
      </w:r>
      <w:r w:rsidRPr="00EC3CB3">
        <w:t>mg/kg</w:t>
      </w:r>
      <w:r>
        <w:t xml:space="preserve"> bw/day. </w:t>
      </w:r>
    </w:p>
    <w:p w14:paraId="4EDB4E22" w14:textId="77777777" w:rsidR="005C529F" w:rsidRDefault="005C529F" w:rsidP="005C529F">
      <w:pPr>
        <w:spacing w:after="200"/>
        <w:contextualSpacing/>
      </w:pPr>
    </w:p>
    <w:p w14:paraId="524BF7FC" w14:textId="77777777" w:rsidR="007A474A" w:rsidRDefault="005C529F" w:rsidP="005C529F">
      <w:pPr>
        <w:widowControl/>
      </w:pPr>
      <w:r w:rsidRPr="006C0F2F">
        <w:t xml:space="preserve">It </w:t>
      </w:r>
      <w:r>
        <w:t>is</w:t>
      </w:r>
      <w:r w:rsidRPr="006C0F2F">
        <w:t xml:space="preserve"> concluded from this</w:t>
      </w:r>
      <w:r>
        <w:t xml:space="preserve"> </w:t>
      </w:r>
      <w:r w:rsidRPr="006C0F2F">
        <w:t xml:space="preserve">analysis that </w:t>
      </w:r>
      <w:r>
        <w:t xml:space="preserve">estimated dietary exposures to </w:t>
      </w:r>
      <w:r w:rsidRPr="006C0F2F">
        <w:t xml:space="preserve">the majority of food </w:t>
      </w:r>
      <w:r>
        <w:t>contact substances</w:t>
      </w:r>
      <w:r w:rsidRPr="006C0F2F">
        <w:t xml:space="preserve">, when used </w:t>
      </w:r>
      <w:r>
        <w:t>in accordance with</w:t>
      </w:r>
      <w:r w:rsidRPr="006C0F2F">
        <w:t xml:space="preserve"> US regulations, </w:t>
      </w:r>
      <w:r>
        <w:t xml:space="preserve">are below the lowest threshold of toxicological concern for non-genotoxic substances. This implies that repeat-dose toxicity data would not be required for the majority of substances in order to support a conclusion of negligible risk for the </w:t>
      </w:r>
      <w:r w:rsidR="00FB3E12">
        <w:t>specific</w:t>
      </w:r>
      <w:r>
        <w:t xml:space="preserve"> food contact use(s).</w:t>
      </w:r>
    </w:p>
    <w:p w14:paraId="4E514592" w14:textId="08AE87B7" w:rsidR="005C529F" w:rsidRDefault="005C529F" w:rsidP="005C529F">
      <w:pPr>
        <w:widowControl/>
      </w:pPr>
    </w:p>
    <w:p w14:paraId="556C3565" w14:textId="77777777" w:rsidR="00F70860" w:rsidRDefault="00F70860" w:rsidP="000A5113">
      <w:pPr>
        <w:pStyle w:val="Heading1"/>
      </w:pPr>
      <w:bookmarkStart w:id="9" w:name="_6._Risk_assessment"/>
      <w:bookmarkStart w:id="10" w:name="_Toc448936158"/>
      <w:bookmarkEnd w:id="9"/>
      <w:r>
        <w:br w:type="page"/>
      </w:r>
    </w:p>
    <w:p w14:paraId="47D77D36" w14:textId="3A7FD71D" w:rsidR="00B35764" w:rsidRPr="00B35764" w:rsidRDefault="00005131" w:rsidP="000A5113">
      <w:pPr>
        <w:pStyle w:val="Heading1"/>
      </w:pPr>
      <w:r>
        <w:lastRenderedPageBreak/>
        <w:t>6</w:t>
      </w:r>
      <w:r>
        <w:tab/>
      </w:r>
      <w:r w:rsidR="00B35764" w:rsidRPr="00B35764">
        <w:t xml:space="preserve">Risk </w:t>
      </w:r>
      <w:r w:rsidR="005D39B0">
        <w:t>assessment of s</w:t>
      </w:r>
      <w:r w:rsidR="005D39B0" w:rsidRPr="00B777B3">
        <w:t>pecific packaging chemicals</w:t>
      </w:r>
      <w:bookmarkEnd w:id="10"/>
    </w:p>
    <w:p w14:paraId="42E50522" w14:textId="5C1D4FDD" w:rsidR="007D0D39" w:rsidRDefault="00823EF6" w:rsidP="007D0D39">
      <w:pPr>
        <w:rPr>
          <w:lang w:bidi="ar-SA"/>
        </w:rPr>
      </w:pPr>
      <w:r>
        <w:rPr>
          <w:lang w:bidi="ar-SA"/>
        </w:rPr>
        <w:t>Included below are e</w:t>
      </w:r>
      <w:r w:rsidR="00005131">
        <w:rPr>
          <w:lang w:bidi="ar-SA"/>
        </w:rPr>
        <w:t>xamples of recent risk assessments that</w:t>
      </w:r>
      <w:r w:rsidR="00517ADE">
        <w:rPr>
          <w:lang w:bidi="ar-SA"/>
        </w:rPr>
        <w:t xml:space="preserve"> have been conducted on several </w:t>
      </w:r>
      <w:r w:rsidR="00005131">
        <w:rPr>
          <w:lang w:bidi="ar-SA"/>
        </w:rPr>
        <w:t xml:space="preserve">chemicals/chemical classes used in the production of food packaging. </w:t>
      </w:r>
      <w:r w:rsidR="007D0D39">
        <w:rPr>
          <w:lang w:bidi="ar-SA"/>
        </w:rPr>
        <w:t>Also included is risk assessment information on the three food packaging chemicals for which maximum levels (MLs) are included in the Australia New Zealand Food Standards Code, namely acrylonitrile, tin and vinyl chloride.</w:t>
      </w:r>
    </w:p>
    <w:p w14:paraId="72FE51F6" w14:textId="77777777" w:rsidR="007D0D39" w:rsidRDefault="007D0D39" w:rsidP="00CE03C7">
      <w:pPr>
        <w:rPr>
          <w:lang w:bidi="ar-SA"/>
        </w:rPr>
      </w:pPr>
    </w:p>
    <w:p w14:paraId="1A9971E4" w14:textId="49EDCBDC" w:rsidR="007D0D39" w:rsidRDefault="007D0D39" w:rsidP="007D0D39">
      <w:r>
        <w:t>FSANZ has recently published phase 2 of the 24</w:t>
      </w:r>
      <w:r w:rsidRPr="00A44C9F">
        <w:rPr>
          <w:vertAlign w:val="superscript"/>
        </w:rPr>
        <w:t>th</w:t>
      </w:r>
      <w:r>
        <w:t xml:space="preserve"> Australian Total Diet Study (ATDS) which investigated the presen</w:t>
      </w:r>
      <w:r w:rsidR="00A86FD5">
        <w:t>ce of 30 packaging chemicals in</w:t>
      </w:r>
      <w:r w:rsidR="007E5BCA">
        <w:t xml:space="preserve"> </w:t>
      </w:r>
      <w:r w:rsidR="00975275">
        <w:t xml:space="preserve">a total of 81 </w:t>
      </w:r>
      <w:r w:rsidR="00A86FD5" w:rsidRPr="00A86FD5">
        <w:t xml:space="preserve">typically consumed foods and beverages </w:t>
      </w:r>
      <w:r w:rsidR="007E5BCA">
        <w:t>(FSANZ 2016).</w:t>
      </w:r>
      <w:r w:rsidR="00A86FD5">
        <w:t xml:space="preserve"> Findings and conclusions from this study are summarised below for bisphenol A (BPA), several </w:t>
      </w:r>
      <w:r w:rsidR="00975275">
        <w:t xml:space="preserve">phthalates, </w:t>
      </w:r>
      <w:r w:rsidR="00A86FD5">
        <w:t>printing ink chemicals</w:t>
      </w:r>
      <w:r w:rsidR="00975275">
        <w:t xml:space="preserve"> and perfluorinated chemicals</w:t>
      </w:r>
      <w:r w:rsidR="00A86FD5">
        <w:t xml:space="preserve">. Results of a similar study conducted by </w:t>
      </w:r>
      <w:r w:rsidR="00472ED4">
        <w:t>NZ</w:t>
      </w:r>
      <w:r w:rsidR="00A86FD5">
        <w:t xml:space="preserve"> M</w:t>
      </w:r>
      <w:r w:rsidR="00472ED4">
        <w:t>PI</w:t>
      </w:r>
      <w:r w:rsidR="00A86FD5">
        <w:t xml:space="preserve"> will be available later in 2016.</w:t>
      </w:r>
    </w:p>
    <w:p w14:paraId="245B8A1D" w14:textId="77777777" w:rsidR="00A86FD5" w:rsidRDefault="00A86FD5" w:rsidP="00CE03C7">
      <w:pPr>
        <w:rPr>
          <w:lang w:bidi="ar-SA"/>
        </w:rPr>
      </w:pPr>
    </w:p>
    <w:p w14:paraId="4F38352A" w14:textId="602171F0" w:rsidR="00CE03C7" w:rsidRDefault="001F42B3" w:rsidP="00CE03C7">
      <w:pPr>
        <w:rPr>
          <w:lang w:bidi="ar-SA"/>
        </w:rPr>
      </w:pPr>
      <w:r>
        <w:rPr>
          <w:lang w:bidi="ar-SA"/>
        </w:rPr>
        <w:t>In June 2015, it was reported that t</w:t>
      </w:r>
      <w:r w:rsidR="00CE03C7">
        <w:rPr>
          <w:lang w:bidi="ar-SA"/>
        </w:rPr>
        <w:t xml:space="preserve">he </w:t>
      </w:r>
      <w:r w:rsidR="007A474A">
        <w:rPr>
          <w:lang w:bidi="ar-SA"/>
        </w:rPr>
        <w:t>USFDA</w:t>
      </w:r>
      <w:r w:rsidR="00CE03C7">
        <w:rPr>
          <w:lang w:bidi="ar-SA"/>
        </w:rPr>
        <w:t xml:space="preserve"> </w:t>
      </w:r>
      <w:r>
        <w:rPr>
          <w:lang w:bidi="ar-SA"/>
        </w:rPr>
        <w:t>is considering post-market evaluation</w:t>
      </w:r>
      <w:r w:rsidR="00641500">
        <w:rPr>
          <w:lang w:bidi="ar-SA"/>
        </w:rPr>
        <w:t>s of a range of food contact su</w:t>
      </w:r>
      <w:r>
        <w:rPr>
          <w:lang w:bidi="ar-SA"/>
        </w:rPr>
        <w:t xml:space="preserve">bstances, including phthalates and </w:t>
      </w:r>
      <w:r w:rsidR="00CE03C7">
        <w:rPr>
          <w:lang w:bidi="ar-SA"/>
        </w:rPr>
        <w:t>phthalate alternat</w:t>
      </w:r>
      <w:r>
        <w:rPr>
          <w:lang w:bidi="ar-SA"/>
        </w:rPr>
        <w:t>ives; Irganox 1076; Irgafos 168,</w:t>
      </w:r>
      <w:r w:rsidR="00CE03C7">
        <w:rPr>
          <w:lang w:bidi="ar-SA"/>
        </w:rPr>
        <w:t xml:space="preserve"> polyo</w:t>
      </w:r>
      <w:r>
        <w:rPr>
          <w:lang w:bidi="ar-SA"/>
        </w:rPr>
        <w:t xml:space="preserve">lefins, metallocenes, </w:t>
      </w:r>
      <w:r w:rsidR="00CE03C7">
        <w:rPr>
          <w:lang w:bidi="ar-SA"/>
        </w:rPr>
        <w:t>and alky</w:t>
      </w:r>
      <w:r>
        <w:rPr>
          <w:lang w:bidi="ar-SA"/>
        </w:rPr>
        <w:t>l tins (FoodChemNews 2015).</w:t>
      </w:r>
      <w:r w:rsidR="001B30CF">
        <w:rPr>
          <w:lang w:bidi="ar-SA"/>
        </w:rPr>
        <w:t xml:space="preserve"> As described below, the </w:t>
      </w:r>
      <w:r w:rsidR="007A474A">
        <w:rPr>
          <w:lang w:bidi="ar-SA"/>
        </w:rPr>
        <w:t>USFDA</w:t>
      </w:r>
      <w:r w:rsidR="001B30CF">
        <w:rPr>
          <w:lang w:bidi="ar-SA"/>
        </w:rPr>
        <w:t xml:space="preserve"> has recently published a re-eval</w:t>
      </w:r>
      <w:r w:rsidR="00F750CD">
        <w:rPr>
          <w:lang w:bidi="ar-SA"/>
        </w:rPr>
        <w:t>u</w:t>
      </w:r>
      <w:r w:rsidR="001B30CF">
        <w:rPr>
          <w:lang w:bidi="ar-SA"/>
        </w:rPr>
        <w:t xml:space="preserve">ation of Irganox 1076 which is widely used </w:t>
      </w:r>
      <w:r w:rsidR="007E5BCA">
        <w:rPr>
          <w:lang w:bidi="ar-SA"/>
        </w:rPr>
        <w:t>as an antioxidant in plastic food packaging</w:t>
      </w:r>
      <w:r w:rsidR="00F750CD">
        <w:rPr>
          <w:lang w:bidi="ar-SA"/>
        </w:rPr>
        <w:t>.</w:t>
      </w:r>
    </w:p>
    <w:p w14:paraId="504D153C" w14:textId="37815959" w:rsidR="00005131" w:rsidRPr="003D100A" w:rsidRDefault="007A474A" w:rsidP="000A5113">
      <w:pPr>
        <w:pStyle w:val="Heading2"/>
      </w:pPr>
      <w:r>
        <w:t>6.1</w:t>
      </w:r>
      <w:r>
        <w:tab/>
      </w:r>
      <w:r w:rsidR="00975275">
        <w:t>Bisphenol A</w:t>
      </w:r>
    </w:p>
    <w:p w14:paraId="38348FDD" w14:textId="27CFF188" w:rsidR="00005131" w:rsidRDefault="00005131" w:rsidP="00005131">
      <w:r>
        <w:t xml:space="preserve">Background information on BPA, including information on a risk assessment published by EFSA in 2014, was provided in the Consultation Paper for the present Proposal (FSANZ 2014a). Subsequent relevant information on BPA is provided </w:t>
      </w:r>
      <w:r w:rsidR="007E5BCA">
        <w:t>here</w:t>
      </w:r>
      <w:r>
        <w:t>.</w:t>
      </w:r>
    </w:p>
    <w:p w14:paraId="537FEECB" w14:textId="77777777" w:rsidR="00005131" w:rsidRDefault="00005131" w:rsidP="00005131"/>
    <w:p w14:paraId="0AE525AC" w14:textId="641AB0A7" w:rsidR="004937D1" w:rsidRDefault="00005131" w:rsidP="00005131">
      <w:r>
        <w:t xml:space="preserve">In January 2015, EFSA published an updated risk assessment on BPA and lowered the Tolerable Daily Intake (TDI) from </w:t>
      </w:r>
      <w:r w:rsidR="00AF22F3">
        <w:t>0.05 m</w:t>
      </w:r>
      <w:r>
        <w:t xml:space="preserve">g/kg </w:t>
      </w:r>
      <w:proofErr w:type="gramStart"/>
      <w:r>
        <w:t>bw</w:t>
      </w:r>
      <w:proofErr w:type="gramEnd"/>
      <w:r w:rsidRPr="003A6717">
        <w:t xml:space="preserve"> </w:t>
      </w:r>
      <w:r>
        <w:t xml:space="preserve">to </w:t>
      </w:r>
      <w:r w:rsidR="00AF22F3">
        <w:t>0.004 m</w:t>
      </w:r>
      <w:r>
        <w:t>g/kg bw (EFSA 2015</w:t>
      </w:r>
      <w:r w:rsidR="008F4B1D">
        <w:t>b</w:t>
      </w:r>
      <w:r>
        <w:t xml:space="preserve">). The lower TDI, which was derived using </w:t>
      </w:r>
      <w:r w:rsidRPr="003D7085">
        <w:t xml:space="preserve">new data and </w:t>
      </w:r>
      <w:r w:rsidR="0061063B">
        <w:t>i</w:t>
      </w:r>
      <w:r w:rsidR="0061063B" w:rsidRPr="0061063B">
        <w:t>nter-species extrapolation of BPA dos</w:t>
      </w:r>
      <w:r w:rsidR="00621522">
        <w:t xml:space="preserve">e </w:t>
      </w:r>
      <w:r w:rsidR="0061063B" w:rsidRPr="0061063B">
        <w:t>metrics</w:t>
      </w:r>
      <w:r>
        <w:t xml:space="preserve">, is temporary pending the outcome of a long-term study in rats currently being undertaken in the US (Heindel </w:t>
      </w:r>
      <w:r w:rsidR="00A8458F">
        <w:t xml:space="preserve">et al. </w:t>
      </w:r>
      <w:r>
        <w:t xml:space="preserve">2015). The study is designed to address some uncertainties regarding the potential effects of BPA. </w:t>
      </w:r>
    </w:p>
    <w:p w14:paraId="28A949B5" w14:textId="77777777" w:rsidR="004937D1" w:rsidRDefault="004937D1" w:rsidP="00005131"/>
    <w:p w14:paraId="6DF8D5F5" w14:textId="35938B0D" w:rsidR="00005131" w:rsidRDefault="004937D1" w:rsidP="00005131">
      <w:r>
        <w:t>EFSA also updated its dietary exposure assessment</w:t>
      </w:r>
      <w:r w:rsidR="00AF7E80">
        <w:t xml:space="preserve"> in 2015</w:t>
      </w:r>
      <w:r>
        <w:t xml:space="preserve">. In 2006, </w:t>
      </w:r>
      <w:r w:rsidR="00AF7E80">
        <w:t xml:space="preserve">EFSA estimated </w:t>
      </w:r>
      <w:r>
        <w:t xml:space="preserve">adult dietary exposure to BPA </w:t>
      </w:r>
      <w:r w:rsidR="00AF7E80">
        <w:t xml:space="preserve">as </w:t>
      </w:r>
      <w:r w:rsidR="00DC3022">
        <w:t>0.0015 m</w:t>
      </w:r>
      <w:r>
        <w:t>g/kg bw/day for high consumers (95</w:t>
      </w:r>
      <w:r w:rsidRPr="00724D37">
        <w:rPr>
          <w:vertAlign w:val="superscript"/>
        </w:rPr>
        <w:t>th</w:t>
      </w:r>
      <w:r>
        <w:t xml:space="preserve"> percentile), however it was noted that urine biomonitoring studies indicated an upper level of total exposure (dietary and non-dietary) of </w:t>
      </w:r>
      <w:r w:rsidR="00DC3022">
        <w:t>0.00016 m</w:t>
      </w:r>
      <w:r>
        <w:rPr>
          <w:rFonts w:cs="Arial"/>
        </w:rPr>
        <w:t>g</w:t>
      </w:r>
      <w:r>
        <w:t>/kg </w:t>
      </w:r>
      <w:r w:rsidRPr="009E22C6">
        <w:t>bw/day</w:t>
      </w:r>
      <w:r>
        <w:t xml:space="preserve">. EFSA noted that the discrepancy between these values was likely to be due to the conservative assumptions made in the dietary exposure assessment (EFSA 2006). </w:t>
      </w:r>
      <w:r w:rsidR="00AF7E80">
        <w:t xml:space="preserve">The 2015 estimate, which required fewer assumptions, </w:t>
      </w:r>
      <w:r>
        <w:t xml:space="preserve">indicated that dietary exposure to BPA for </w:t>
      </w:r>
      <w:r w:rsidRPr="00E24984">
        <w:t>adolescents, adults (including women of childbearing age) and elderl</w:t>
      </w:r>
      <w:r>
        <w:t xml:space="preserve">y/very elderly ranged from </w:t>
      </w:r>
      <w:r w:rsidR="00DC3022">
        <w:t>0.00012 to 0.00016 mg/kg </w:t>
      </w:r>
      <w:r>
        <w:t>bw/</w:t>
      </w:r>
      <w:r w:rsidRPr="00E24984">
        <w:t xml:space="preserve">day </w:t>
      </w:r>
      <w:r>
        <w:t xml:space="preserve">(mean) and from </w:t>
      </w:r>
      <w:r w:rsidR="00DC3022">
        <w:t>0.00034 to 0.00039 m</w:t>
      </w:r>
      <w:r>
        <w:t xml:space="preserve">g/kg bw/day for </w:t>
      </w:r>
      <w:r w:rsidRPr="00E24984">
        <w:t>high exposure</w:t>
      </w:r>
      <w:r>
        <w:t xml:space="preserve"> (95</w:t>
      </w:r>
      <w:r w:rsidRPr="00051946">
        <w:rPr>
          <w:vertAlign w:val="superscript"/>
        </w:rPr>
        <w:t>th</w:t>
      </w:r>
      <w:r>
        <w:t xml:space="preserve"> percent</w:t>
      </w:r>
      <w:r w:rsidR="00AF7E80">
        <w:t>ile). T</w:t>
      </w:r>
      <w:r w:rsidR="00005131">
        <w:t xml:space="preserve">he highest estimated dietary exposure, </w:t>
      </w:r>
      <w:r w:rsidR="00DC3022">
        <w:t>0.00086 m</w:t>
      </w:r>
      <w:r w:rsidR="00005131" w:rsidRPr="00D70AD6">
        <w:t>g/kg bw</w:t>
      </w:r>
      <w:r w:rsidR="00005131">
        <w:t>/day</w:t>
      </w:r>
      <w:r w:rsidR="00AF7E80">
        <w:t xml:space="preserve"> (for toddlers)</w:t>
      </w:r>
      <w:r w:rsidR="00005131">
        <w:t xml:space="preserve">, was only 21% of the temporary TDI. EFSA concluded that </w:t>
      </w:r>
      <w:r w:rsidR="00005131" w:rsidRPr="003B2478">
        <w:t>there is no health concern for any age group from dietary exposure</w:t>
      </w:r>
      <w:r w:rsidR="00AF7E80">
        <w:t xml:space="preserve"> to BPA (EFSA 2015b). </w:t>
      </w:r>
      <w:r w:rsidR="00005131">
        <w:t xml:space="preserve">In a Chinese </w:t>
      </w:r>
      <w:r w:rsidR="00005131" w:rsidRPr="008A3C2F">
        <w:t>total diet study</w:t>
      </w:r>
      <w:r w:rsidR="00005131">
        <w:t>, mean dietary exposure</w:t>
      </w:r>
      <w:r w:rsidR="00005131" w:rsidRPr="008A3C2F">
        <w:t xml:space="preserve"> </w:t>
      </w:r>
      <w:r w:rsidR="00005131">
        <w:t xml:space="preserve">of adults </w:t>
      </w:r>
      <w:r w:rsidR="00005131" w:rsidRPr="008A3C2F">
        <w:t xml:space="preserve">to BPA </w:t>
      </w:r>
      <w:r w:rsidR="00005131">
        <w:t>was estimated to be only 1.1%</w:t>
      </w:r>
      <w:r w:rsidR="00005131" w:rsidRPr="008A3C2F">
        <w:t xml:space="preserve"> </w:t>
      </w:r>
      <w:r w:rsidR="00005131">
        <w:t xml:space="preserve">of </w:t>
      </w:r>
      <w:r w:rsidR="00005131" w:rsidRPr="008A3C2F">
        <w:t>th</w:t>
      </w:r>
      <w:r w:rsidR="00005131">
        <w:t xml:space="preserve">e EFSA temporary TDI (Niu </w:t>
      </w:r>
      <w:r w:rsidR="00A8458F">
        <w:t xml:space="preserve">et al. </w:t>
      </w:r>
      <w:r w:rsidR="00005131">
        <w:t>2015).</w:t>
      </w:r>
    </w:p>
    <w:p w14:paraId="7E350DA3" w14:textId="77777777" w:rsidR="00005131" w:rsidRDefault="00005131" w:rsidP="00005131"/>
    <w:p w14:paraId="041AFEF7" w14:textId="77777777" w:rsidR="00F70860" w:rsidRDefault="00F70860" w:rsidP="00005131">
      <w:r>
        <w:br w:type="page"/>
      </w:r>
    </w:p>
    <w:p w14:paraId="54592D29" w14:textId="5B346531" w:rsidR="00005131" w:rsidRDefault="00005131" w:rsidP="00005131">
      <w:r>
        <w:lastRenderedPageBreak/>
        <w:t>In phase 2 of the 24</w:t>
      </w:r>
      <w:r w:rsidRPr="00A44C9F">
        <w:rPr>
          <w:vertAlign w:val="superscript"/>
        </w:rPr>
        <w:t>th</w:t>
      </w:r>
      <w:r w:rsidR="007D0D39">
        <w:t xml:space="preserve"> ATDS</w:t>
      </w:r>
      <w:r>
        <w:t>, BPA was detected in 8 of the 17 composite foods tested. The maximum observed concentration of 0.074 mg/kg was well below the EU specific migration limit (SML) of 0.6 mg/kg. Assuming that 50% of foods and beverages consumed contained BPA at the maximum detected level, the theoretical maximum daily exposure (TMDE) to BPA was calculated to be 5% o</w:t>
      </w:r>
      <w:r w:rsidR="007D0D39">
        <w:t>f the EFSA temporary TDI. FSANZ</w:t>
      </w:r>
      <w:r>
        <w:t xml:space="preserve"> concluded that the public health and safety risk from BPA migration into food is very low (FSANZ 2016).</w:t>
      </w:r>
    </w:p>
    <w:p w14:paraId="7C265CFA" w14:textId="77777777" w:rsidR="00005131" w:rsidRDefault="00005131" w:rsidP="00005131"/>
    <w:p w14:paraId="66C9CFEA" w14:textId="56331A1F" w:rsidR="00005131" w:rsidRDefault="00005131" w:rsidP="00005131">
      <w:r>
        <w:t>U</w:t>
      </w:r>
      <w:r w:rsidRPr="00716A75">
        <w:t xml:space="preserve">rine biomonitoring studies </w:t>
      </w:r>
      <w:r>
        <w:t>on BPA provide information on total exposure, noting that</w:t>
      </w:r>
      <w:r w:rsidRPr="00716A75">
        <w:t xml:space="preserve"> </w:t>
      </w:r>
      <w:r>
        <w:t>estimated e</w:t>
      </w:r>
      <w:r w:rsidRPr="00716A75">
        <w:t xml:space="preserve">xposure </w:t>
      </w:r>
      <w:r>
        <w:t xml:space="preserve">to BPA from non-dietary sources </w:t>
      </w:r>
      <w:r w:rsidRPr="00716A75">
        <w:t xml:space="preserve">is minor </w:t>
      </w:r>
      <w:r>
        <w:t>compared</w:t>
      </w:r>
      <w:r w:rsidRPr="00716A75">
        <w:t xml:space="preserve"> to dietary exposure</w:t>
      </w:r>
      <w:r>
        <w:t xml:space="preserve"> (EFSA 2015</w:t>
      </w:r>
      <w:r w:rsidR="00AC5E42">
        <w:t>b</w:t>
      </w:r>
      <w:r>
        <w:t xml:space="preserve">). Recent urine biomonitoring studies provide evidence that total exposure to BPA is low relative to </w:t>
      </w:r>
      <w:r w:rsidR="00101488">
        <w:t xml:space="preserve">the </w:t>
      </w:r>
      <w:r>
        <w:t>EFSA temporary TDI. A study in Australian children aged 0–</w:t>
      </w:r>
      <w:r w:rsidRPr="008C4AAA">
        <w:t>15 years</w:t>
      </w:r>
      <w:r>
        <w:t xml:space="preserve"> reported mean BPA exposure of </w:t>
      </w:r>
      <w:r w:rsidRPr="008C4AAA">
        <w:t>70</w:t>
      </w:r>
      <w:r>
        <w:t> n</w:t>
      </w:r>
      <w:r w:rsidR="00DC3022">
        <w:t>anograms</w:t>
      </w:r>
      <w:r w:rsidRPr="008C4AAA">
        <w:t>/k</w:t>
      </w:r>
      <w:r>
        <w:t>g </w:t>
      </w:r>
      <w:r w:rsidRPr="008C4AAA">
        <w:t xml:space="preserve">bw/day which is </w:t>
      </w:r>
      <w:r>
        <w:t>1.8% of the EFSA temporary TDI (</w:t>
      </w:r>
      <w:r w:rsidRPr="008C4AAA">
        <w:t>Heffern</w:t>
      </w:r>
      <w:r w:rsidRPr="00D3161A">
        <w:t xml:space="preserve">an </w:t>
      </w:r>
      <w:r w:rsidR="00A8458F">
        <w:t xml:space="preserve">et al. </w:t>
      </w:r>
      <w:r w:rsidRPr="00D3161A">
        <w:t>2</w:t>
      </w:r>
      <w:r w:rsidRPr="008C4AAA">
        <w:t>014</w:t>
      </w:r>
      <w:r>
        <w:t>)</w:t>
      </w:r>
      <w:r w:rsidRPr="008C4AAA">
        <w:t xml:space="preserve">. </w:t>
      </w:r>
      <w:r>
        <w:t xml:space="preserve">A urine biomonitoring study in the US reported </w:t>
      </w:r>
      <w:r w:rsidRPr="00033D79">
        <w:t xml:space="preserve">median </w:t>
      </w:r>
      <w:r>
        <w:t xml:space="preserve">exposure to BPA for the </w:t>
      </w:r>
      <w:r w:rsidRPr="00033D79">
        <w:t xml:space="preserve">population </w:t>
      </w:r>
      <w:r>
        <w:t xml:space="preserve">of </w:t>
      </w:r>
      <w:r w:rsidRPr="00033D79">
        <w:t>25</w:t>
      </w:r>
      <w:r>
        <w:t> </w:t>
      </w:r>
      <w:r w:rsidRPr="00033D79">
        <w:t>n</w:t>
      </w:r>
      <w:r w:rsidR="00DC3022">
        <w:t>anograms</w:t>
      </w:r>
      <w:r w:rsidRPr="00033D79">
        <w:t xml:space="preserve">/kg </w:t>
      </w:r>
      <w:r>
        <w:t>bw/</w:t>
      </w:r>
      <w:r w:rsidRPr="00033D79">
        <w:t>da</w:t>
      </w:r>
      <w:r>
        <w:t xml:space="preserve">y, or 0.6% of the temporary TDI (LaKind &amp; Naiman </w:t>
      </w:r>
      <w:r w:rsidRPr="00033D79">
        <w:t>2015</w:t>
      </w:r>
      <w:r>
        <w:t xml:space="preserve">). </w:t>
      </w:r>
    </w:p>
    <w:p w14:paraId="673A2FD4" w14:textId="766058F0" w:rsidR="00005131" w:rsidRPr="00F70860" w:rsidRDefault="007A474A" w:rsidP="00F70860">
      <w:pPr>
        <w:pStyle w:val="Heading2"/>
      </w:pPr>
      <w:r w:rsidRPr="00F70860">
        <w:t>6.2</w:t>
      </w:r>
      <w:r w:rsidRPr="00F70860">
        <w:tab/>
      </w:r>
      <w:r w:rsidR="00005131" w:rsidRPr="00F70860">
        <w:t>Diethylhexyl phthalate (DEHP)</w:t>
      </w:r>
    </w:p>
    <w:p w14:paraId="3E49C077" w14:textId="4CD1D76F" w:rsidR="00005131" w:rsidRDefault="00005131" w:rsidP="00005131">
      <w:r>
        <w:t xml:space="preserve">DEHP is widely used as a plasticiser, most notably to improve the </w:t>
      </w:r>
      <w:r w:rsidRPr="0067561F">
        <w:t>flexibility and durability</w:t>
      </w:r>
      <w:r>
        <w:t xml:space="preserve"> of materials made from polyvinyl chloride (PVC). </w:t>
      </w:r>
      <w:r w:rsidRPr="004F12AA">
        <w:t xml:space="preserve">Some phthalates have been the subject of concern in regard to </w:t>
      </w:r>
      <w:r>
        <w:t xml:space="preserve">their </w:t>
      </w:r>
      <w:r w:rsidRPr="004F12AA">
        <w:t xml:space="preserve">potential for </w:t>
      </w:r>
      <w:r>
        <w:t xml:space="preserve">adverse </w:t>
      </w:r>
      <w:r w:rsidRPr="004F12AA">
        <w:t>reproductive and developmental effects</w:t>
      </w:r>
      <w:r>
        <w:t>, as shown in laboratory animal studies</w:t>
      </w:r>
      <w:r w:rsidRPr="004F12AA">
        <w:t xml:space="preserve">. </w:t>
      </w:r>
      <w:r w:rsidRPr="009644CE">
        <w:t xml:space="preserve">Based on </w:t>
      </w:r>
      <w:r>
        <w:t>laboratory animal studies showing adverse effects on the testes</w:t>
      </w:r>
      <w:r w:rsidRPr="009644CE">
        <w:t xml:space="preserve">, </w:t>
      </w:r>
      <w:r>
        <w:t xml:space="preserve">EFSA established a </w:t>
      </w:r>
      <w:r w:rsidRPr="009644CE">
        <w:t xml:space="preserve">TDI </w:t>
      </w:r>
      <w:r>
        <w:t xml:space="preserve">for DEHP </w:t>
      </w:r>
      <w:r w:rsidRPr="009644CE">
        <w:t xml:space="preserve">of 0.05 mg/kg </w:t>
      </w:r>
      <w:proofErr w:type="gramStart"/>
      <w:r w:rsidRPr="009644CE">
        <w:t>bw</w:t>
      </w:r>
      <w:proofErr w:type="gramEnd"/>
      <w:r w:rsidRPr="009644CE">
        <w:t xml:space="preserve">, </w:t>
      </w:r>
      <w:r>
        <w:t xml:space="preserve">derived from a </w:t>
      </w:r>
      <w:r w:rsidR="00096DF4">
        <w:t>no observed adverse effect level (</w:t>
      </w:r>
      <w:r>
        <w:t>NOAEL</w:t>
      </w:r>
      <w:r w:rsidR="00096DF4">
        <w:t>)</w:t>
      </w:r>
      <w:r>
        <w:t xml:space="preserve"> of 5 mg/kg bw/day</w:t>
      </w:r>
      <w:r w:rsidRPr="009644CE">
        <w:t xml:space="preserve"> and </w:t>
      </w:r>
      <w:r>
        <w:t xml:space="preserve">application </w:t>
      </w:r>
      <w:r w:rsidRPr="009644CE">
        <w:t>of an uncertainty factor of 100</w:t>
      </w:r>
      <w:r>
        <w:t xml:space="preserve"> (EFSA 2005a)</w:t>
      </w:r>
      <w:r w:rsidRPr="009644CE">
        <w:t>.</w:t>
      </w:r>
      <w:r>
        <w:t xml:space="preserve"> EFSA used European </w:t>
      </w:r>
      <w:r w:rsidRPr="008D27C3">
        <w:t>data on DEHP concentration</w:t>
      </w:r>
      <w:r>
        <w:t>s</w:t>
      </w:r>
      <w:r w:rsidRPr="008D27C3">
        <w:t xml:space="preserve"> in foods</w:t>
      </w:r>
      <w:r>
        <w:t xml:space="preserve"> to provide estimates</w:t>
      </w:r>
      <w:r w:rsidRPr="008D27C3">
        <w:t xml:space="preserve"> of dietary exposure</w:t>
      </w:r>
      <w:r>
        <w:t xml:space="preserve"> in various population groups</w:t>
      </w:r>
      <w:r w:rsidRPr="008D27C3">
        <w:t>.</w:t>
      </w:r>
      <w:r>
        <w:t xml:space="preserve"> The highest derived dietary exposure estimate of </w:t>
      </w:r>
      <w:r w:rsidR="00E04867">
        <w:t>0.026 m</w:t>
      </w:r>
      <w:r w:rsidRPr="006429AD">
        <w:t xml:space="preserve">g/kg bw/day </w:t>
      </w:r>
      <w:r>
        <w:t>(in children aged 1–</w:t>
      </w:r>
      <w:r w:rsidRPr="006429AD">
        <w:t>6 years</w:t>
      </w:r>
      <w:r>
        <w:t>) corresponded to 52% of the TDI. An SML for DEHP of 1.5 mg/kg was subsequently established by the European Commission in order to reduce the risk of exceedance of the TDI</w:t>
      </w:r>
      <w:r w:rsidRPr="00BD3C97">
        <w:t xml:space="preserve"> </w:t>
      </w:r>
      <w:r>
        <w:t xml:space="preserve">(Petersen and Jensen </w:t>
      </w:r>
      <w:r w:rsidRPr="00BD3C97">
        <w:t>2010)</w:t>
      </w:r>
      <w:r>
        <w:t xml:space="preserve">. </w:t>
      </w:r>
    </w:p>
    <w:p w14:paraId="2E697703" w14:textId="77777777" w:rsidR="00005131" w:rsidRDefault="00005131" w:rsidP="00005131"/>
    <w:p w14:paraId="1F078981" w14:textId="3CB28961" w:rsidR="00005131" w:rsidRDefault="00005131" w:rsidP="00005131">
      <w:r>
        <w:t xml:space="preserve">Recent European studies have reported a large range of estimated dietary exposures to DEHP. For example, studies in Norway, Belgium, Germany and Ireland gave highest dietary exposure estimates that are 1%, 6%, 57% and 3% of the TDI, respectively (Sakhi </w:t>
      </w:r>
      <w:r w:rsidR="00A8458F">
        <w:t xml:space="preserve">et al. </w:t>
      </w:r>
      <w:r>
        <w:t xml:space="preserve">2014; Fierens </w:t>
      </w:r>
      <w:r w:rsidR="00A8458F">
        <w:t xml:space="preserve">et al. </w:t>
      </w:r>
      <w:r>
        <w:t xml:space="preserve">2014; </w:t>
      </w:r>
      <w:r w:rsidRPr="00235581">
        <w:t>Heinemeyer</w:t>
      </w:r>
      <w:r>
        <w:t xml:space="preserve"> </w:t>
      </w:r>
      <w:r w:rsidR="00A8458F">
        <w:t xml:space="preserve">et al. </w:t>
      </w:r>
      <w:r>
        <w:t>2013; FSAI 2016</w:t>
      </w:r>
      <w:r w:rsidRPr="008D1226">
        <w:t>)</w:t>
      </w:r>
      <w:r>
        <w:t xml:space="preserve">. A US study has reported that </w:t>
      </w:r>
      <w:r w:rsidRPr="00BE72DB">
        <w:t xml:space="preserve">DEHP </w:t>
      </w:r>
      <w:r>
        <w:t xml:space="preserve">dietary </w:t>
      </w:r>
      <w:r w:rsidRPr="00BE72DB">
        <w:t xml:space="preserve">exposure estimates </w:t>
      </w:r>
      <w:r>
        <w:t xml:space="preserve">were below the TDI for adolescents and women of reproductive age, however estimated dietary exposure was 180% of the TDI for infants aged 1–2 years consuming diets high in </w:t>
      </w:r>
      <w:r w:rsidRPr="00BE72DB">
        <w:t>meat and dairy</w:t>
      </w:r>
      <w:r>
        <w:t xml:space="preserve"> (</w:t>
      </w:r>
      <w:r w:rsidRPr="00066D96">
        <w:t xml:space="preserve">Serrano </w:t>
      </w:r>
      <w:r w:rsidR="00A8458F">
        <w:t xml:space="preserve">et al. </w:t>
      </w:r>
      <w:r w:rsidRPr="00066D96">
        <w:t>2014</w:t>
      </w:r>
      <w:r>
        <w:t xml:space="preserve">). </w:t>
      </w:r>
    </w:p>
    <w:p w14:paraId="7F32E46A" w14:textId="77777777" w:rsidR="00005131" w:rsidRDefault="00005131" w:rsidP="00005131"/>
    <w:p w14:paraId="5E71AC72" w14:textId="1B755412" w:rsidR="00F70860" w:rsidRDefault="00005131" w:rsidP="00005131">
      <w:pPr>
        <w:rPr>
          <w:lang w:eastAsia="en-AU"/>
        </w:rPr>
      </w:pPr>
      <w:r>
        <w:rPr>
          <w:lang w:eastAsia="en-AU"/>
        </w:rPr>
        <w:t>For phase 2 of the 24</w:t>
      </w:r>
      <w:r w:rsidRPr="0013792B">
        <w:rPr>
          <w:vertAlign w:val="superscript"/>
          <w:lang w:eastAsia="en-AU"/>
        </w:rPr>
        <w:t>th</w:t>
      </w:r>
      <w:r>
        <w:rPr>
          <w:lang w:eastAsia="en-AU"/>
        </w:rPr>
        <w:t xml:space="preserve"> ATDS, 15 of 48 composite foods contained detectable levels of DEHP (FSANZ 2016). The European SML </w:t>
      </w:r>
      <w:r w:rsidRPr="0013792B">
        <w:rPr>
          <w:lang w:eastAsia="en-AU"/>
        </w:rPr>
        <w:t>for DEHP</w:t>
      </w:r>
      <w:r>
        <w:rPr>
          <w:lang w:eastAsia="en-AU"/>
        </w:rPr>
        <w:t xml:space="preserve"> of 1.5 mg/kg </w:t>
      </w:r>
      <w:r w:rsidRPr="0013792B">
        <w:rPr>
          <w:lang w:eastAsia="en-AU"/>
        </w:rPr>
        <w:t xml:space="preserve">was exceeded in </w:t>
      </w:r>
      <w:r>
        <w:rPr>
          <w:lang w:eastAsia="en-AU"/>
        </w:rPr>
        <w:t>savoury breads (6.7 mg/kg) and takeaway hamburgers (4.2 mg/kg), and the TMDE</w:t>
      </w:r>
      <w:r>
        <w:rPr>
          <w:rStyle w:val="FootnoteReference"/>
          <w:lang w:eastAsia="en-AU"/>
        </w:rPr>
        <w:footnoteReference w:id="10"/>
      </w:r>
      <w:r w:rsidRPr="0013792B">
        <w:rPr>
          <w:lang w:eastAsia="en-AU"/>
        </w:rPr>
        <w:t xml:space="preserve"> </w:t>
      </w:r>
      <w:r w:rsidR="003D100A">
        <w:rPr>
          <w:lang w:eastAsia="en-AU"/>
        </w:rPr>
        <w:t xml:space="preserve">calculated for screening purposes </w:t>
      </w:r>
      <w:r w:rsidRPr="0013792B">
        <w:rPr>
          <w:lang w:eastAsia="en-AU"/>
        </w:rPr>
        <w:t xml:space="preserve">exceeded the </w:t>
      </w:r>
      <w:r>
        <w:rPr>
          <w:lang w:eastAsia="en-AU"/>
        </w:rPr>
        <w:t xml:space="preserve">EFSA TDI by </w:t>
      </w:r>
      <w:r w:rsidR="00C16AA0">
        <w:rPr>
          <w:lang w:eastAsia="en-AU"/>
        </w:rPr>
        <w:t>a factor of 4</w:t>
      </w:r>
      <w:r>
        <w:rPr>
          <w:lang w:eastAsia="en-AU"/>
        </w:rPr>
        <w:t xml:space="preserve">. </w:t>
      </w:r>
      <w:r w:rsidR="003D100A">
        <w:rPr>
          <w:lang w:eastAsia="en-AU"/>
        </w:rPr>
        <w:t xml:space="preserve">In response to the outcome of the screen, </w:t>
      </w:r>
      <w:r w:rsidRPr="0013792B">
        <w:rPr>
          <w:lang w:eastAsia="en-AU"/>
        </w:rPr>
        <w:t xml:space="preserve">FSANZ is currently </w:t>
      </w:r>
      <w:r>
        <w:rPr>
          <w:lang w:eastAsia="en-AU"/>
        </w:rPr>
        <w:t>conducting a follow-</w:t>
      </w:r>
      <w:r w:rsidRPr="0013792B">
        <w:rPr>
          <w:lang w:eastAsia="en-AU"/>
        </w:rPr>
        <w:t xml:space="preserve">up analytical survey </w:t>
      </w:r>
      <w:r>
        <w:rPr>
          <w:lang w:eastAsia="en-AU"/>
        </w:rPr>
        <w:t xml:space="preserve">of a wider range of foods </w:t>
      </w:r>
      <w:r w:rsidR="004F0FFA">
        <w:rPr>
          <w:lang w:eastAsia="en-AU"/>
        </w:rPr>
        <w:t xml:space="preserve">in order </w:t>
      </w:r>
      <w:r w:rsidRPr="0013792B">
        <w:rPr>
          <w:lang w:eastAsia="en-AU"/>
        </w:rPr>
        <w:t>to allow a</w:t>
      </w:r>
      <w:r w:rsidR="006226D9">
        <w:rPr>
          <w:lang w:eastAsia="en-AU"/>
        </w:rPr>
        <w:t>n</w:t>
      </w:r>
      <w:r w:rsidRPr="0013792B">
        <w:rPr>
          <w:lang w:eastAsia="en-AU"/>
        </w:rPr>
        <w:t xml:space="preserve"> estimate of dietary e</w:t>
      </w:r>
      <w:r>
        <w:rPr>
          <w:lang w:eastAsia="en-AU"/>
        </w:rPr>
        <w:t>xposure to DEHP</w:t>
      </w:r>
      <w:r w:rsidR="004F0FFA">
        <w:rPr>
          <w:lang w:eastAsia="en-AU"/>
        </w:rPr>
        <w:t xml:space="preserve"> that can be used for risk characterisation.</w:t>
      </w:r>
      <w:r w:rsidR="00F70860">
        <w:rPr>
          <w:lang w:eastAsia="en-AU"/>
        </w:rPr>
        <w:br w:type="page"/>
      </w:r>
    </w:p>
    <w:p w14:paraId="4D1CB4C0" w14:textId="294F01C3" w:rsidR="00005131" w:rsidRPr="001E5EED" w:rsidRDefault="007A474A" w:rsidP="000A5113">
      <w:pPr>
        <w:pStyle w:val="Heading2"/>
        <w:rPr>
          <w:lang w:eastAsia="en-AU"/>
        </w:rPr>
      </w:pPr>
      <w:r>
        <w:rPr>
          <w:lang w:eastAsia="en-AU"/>
        </w:rPr>
        <w:lastRenderedPageBreak/>
        <w:t>6.3</w:t>
      </w:r>
      <w:r>
        <w:rPr>
          <w:lang w:eastAsia="en-AU"/>
        </w:rPr>
        <w:tab/>
      </w:r>
      <w:r w:rsidR="00005131">
        <w:rPr>
          <w:lang w:eastAsia="en-AU"/>
        </w:rPr>
        <w:t>Diisononyl phthalate (</w:t>
      </w:r>
      <w:r w:rsidR="00005131" w:rsidRPr="001E5EED">
        <w:rPr>
          <w:lang w:eastAsia="en-AU"/>
        </w:rPr>
        <w:t>DINP</w:t>
      </w:r>
      <w:r w:rsidR="00005131">
        <w:rPr>
          <w:lang w:eastAsia="en-AU"/>
        </w:rPr>
        <w:t>)</w:t>
      </w:r>
    </w:p>
    <w:p w14:paraId="315A71BC" w14:textId="124BE8B8" w:rsidR="00005131" w:rsidRDefault="00005131" w:rsidP="00005131">
      <w:pPr>
        <w:widowControl/>
        <w:rPr>
          <w:lang w:eastAsia="en-AU"/>
        </w:rPr>
      </w:pPr>
      <w:r>
        <w:rPr>
          <w:lang w:eastAsia="en-AU"/>
        </w:rPr>
        <w:t xml:space="preserve">DINP </w:t>
      </w:r>
      <w:r w:rsidR="003D100A">
        <w:rPr>
          <w:lang w:eastAsia="en-AU"/>
        </w:rPr>
        <w:t xml:space="preserve">may be </w:t>
      </w:r>
      <w:r>
        <w:rPr>
          <w:lang w:eastAsia="en-AU"/>
        </w:rPr>
        <w:t xml:space="preserve">used as a replacement for DEHP and other lower molecular weight phthalates (ECHA 2010). DINP has a more favourable hazard profile than DEHP and the TDI for DINP established by EFSA (0.15 mg/kg </w:t>
      </w:r>
      <w:proofErr w:type="gramStart"/>
      <w:r>
        <w:rPr>
          <w:lang w:eastAsia="en-AU"/>
        </w:rPr>
        <w:t>bw</w:t>
      </w:r>
      <w:proofErr w:type="gramEnd"/>
      <w:r>
        <w:rPr>
          <w:lang w:eastAsia="en-AU"/>
        </w:rPr>
        <w:t>) is 3-times the DEHP TDI.</w:t>
      </w:r>
      <w:r w:rsidRPr="004E6CFA">
        <w:rPr>
          <w:lang w:eastAsia="en-AU"/>
        </w:rPr>
        <w:t xml:space="preserve"> </w:t>
      </w:r>
      <w:r>
        <w:rPr>
          <w:lang w:eastAsia="en-AU"/>
        </w:rPr>
        <w:t xml:space="preserve">The DINP TDI was </w:t>
      </w:r>
      <w:r w:rsidRPr="004E6CFA">
        <w:rPr>
          <w:lang w:eastAsia="en-AU"/>
        </w:rPr>
        <w:t xml:space="preserve">derived from a NOAEL of </w:t>
      </w:r>
      <w:r>
        <w:rPr>
          <w:lang w:eastAsia="en-AU"/>
        </w:rPr>
        <w:t>1</w:t>
      </w:r>
      <w:r w:rsidRPr="004E6CFA">
        <w:rPr>
          <w:lang w:eastAsia="en-AU"/>
        </w:rPr>
        <w:t xml:space="preserve">5 mg/kg bw/day </w:t>
      </w:r>
      <w:r>
        <w:rPr>
          <w:lang w:eastAsia="en-AU"/>
        </w:rPr>
        <w:t xml:space="preserve">in a two-year rat study </w:t>
      </w:r>
      <w:r w:rsidRPr="004E6CFA">
        <w:rPr>
          <w:lang w:eastAsia="en-AU"/>
        </w:rPr>
        <w:t>and application of an uncer</w:t>
      </w:r>
      <w:r>
        <w:rPr>
          <w:lang w:eastAsia="en-AU"/>
        </w:rPr>
        <w:t>tainty factor of 100 (EFSA 2005b</w:t>
      </w:r>
      <w:r w:rsidRPr="004E6CFA">
        <w:rPr>
          <w:lang w:eastAsia="en-AU"/>
        </w:rPr>
        <w:t>).</w:t>
      </w:r>
      <w:r>
        <w:rPr>
          <w:lang w:eastAsia="en-AU"/>
        </w:rPr>
        <w:t xml:space="preserve"> Adverse liver and kidney effects were observed at the next higher dose (152 mg/kg bw/day). </w:t>
      </w:r>
    </w:p>
    <w:p w14:paraId="75C9F550" w14:textId="77777777" w:rsidR="00005131" w:rsidRDefault="00005131" w:rsidP="00005131">
      <w:pPr>
        <w:widowControl/>
        <w:rPr>
          <w:lang w:eastAsia="en-AU"/>
        </w:rPr>
      </w:pPr>
    </w:p>
    <w:p w14:paraId="5FD4EADB" w14:textId="518B4734" w:rsidR="00005131" w:rsidRDefault="00005131" w:rsidP="00005131">
      <w:pPr>
        <w:widowControl/>
        <w:rPr>
          <w:lang w:eastAsia="en-AU"/>
        </w:rPr>
      </w:pPr>
      <w:r>
        <w:rPr>
          <w:lang w:eastAsia="en-AU"/>
        </w:rPr>
        <w:t>In phase 2 of the 24</w:t>
      </w:r>
      <w:r w:rsidRPr="00C87A17">
        <w:rPr>
          <w:vertAlign w:val="superscript"/>
          <w:lang w:eastAsia="en-AU"/>
        </w:rPr>
        <w:t>th</w:t>
      </w:r>
      <w:r>
        <w:rPr>
          <w:lang w:eastAsia="en-AU"/>
        </w:rPr>
        <w:t xml:space="preserve"> ATDS, DINP was detected in the same number of composite foods as DEHP (15 out of 48; FSANZ 2016). The TMDE</w:t>
      </w:r>
      <w:r w:rsidRPr="0013792B">
        <w:rPr>
          <w:lang w:eastAsia="en-AU"/>
        </w:rPr>
        <w:t xml:space="preserve"> that was estimated exceeded the </w:t>
      </w:r>
      <w:r>
        <w:rPr>
          <w:lang w:eastAsia="en-AU"/>
        </w:rPr>
        <w:t>EFSA TDI by</w:t>
      </w:r>
      <w:r w:rsidR="006226D9">
        <w:rPr>
          <w:lang w:eastAsia="en-AU"/>
        </w:rPr>
        <w:t xml:space="preserve"> 9-fold. However, as for DEHP,</w:t>
      </w:r>
      <w:r>
        <w:rPr>
          <w:lang w:eastAsia="en-AU"/>
        </w:rPr>
        <w:t xml:space="preserve"> </w:t>
      </w:r>
      <w:r w:rsidRPr="0013792B">
        <w:rPr>
          <w:lang w:eastAsia="en-AU"/>
        </w:rPr>
        <w:t xml:space="preserve">FSANZ is </w:t>
      </w:r>
      <w:r>
        <w:rPr>
          <w:lang w:eastAsia="en-AU"/>
        </w:rPr>
        <w:t>conducting a follow-</w:t>
      </w:r>
      <w:r w:rsidRPr="0013792B">
        <w:rPr>
          <w:lang w:eastAsia="en-AU"/>
        </w:rPr>
        <w:t xml:space="preserve">up analytical survey </w:t>
      </w:r>
      <w:r>
        <w:rPr>
          <w:lang w:eastAsia="en-AU"/>
        </w:rPr>
        <w:t xml:space="preserve">of a wider range of foods to allow a </w:t>
      </w:r>
      <w:r w:rsidRPr="0013792B">
        <w:rPr>
          <w:lang w:eastAsia="en-AU"/>
        </w:rPr>
        <w:t>better estimate of dietary e</w:t>
      </w:r>
      <w:r>
        <w:rPr>
          <w:lang w:eastAsia="en-AU"/>
        </w:rPr>
        <w:t xml:space="preserve">xposure to DINP. </w:t>
      </w:r>
    </w:p>
    <w:p w14:paraId="4B474295" w14:textId="4BD605A1" w:rsidR="00005131" w:rsidRPr="001E5EED" w:rsidRDefault="007A474A" w:rsidP="000A5113">
      <w:pPr>
        <w:pStyle w:val="Heading2"/>
        <w:rPr>
          <w:rFonts w:eastAsia="Calibri"/>
        </w:rPr>
      </w:pPr>
      <w:r>
        <w:rPr>
          <w:rFonts w:eastAsia="Calibri"/>
        </w:rPr>
        <w:t>6.4</w:t>
      </w:r>
      <w:r>
        <w:rPr>
          <w:rFonts w:eastAsia="Calibri"/>
        </w:rPr>
        <w:tab/>
      </w:r>
      <w:r w:rsidR="00005131" w:rsidRPr="001E5EED">
        <w:rPr>
          <w:rFonts w:eastAsia="Calibri"/>
        </w:rPr>
        <w:t>Other phthalates</w:t>
      </w:r>
    </w:p>
    <w:p w14:paraId="2FABF465" w14:textId="57942B70" w:rsidR="000C1016" w:rsidRDefault="00005131" w:rsidP="000C1016">
      <w:r>
        <w:rPr>
          <w:rFonts w:eastAsia="Calibri"/>
          <w:lang w:bidi="ar-SA"/>
        </w:rPr>
        <w:t>The 24</w:t>
      </w:r>
      <w:r w:rsidRPr="00355FA8">
        <w:rPr>
          <w:rFonts w:eastAsia="Calibri"/>
          <w:vertAlign w:val="superscript"/>
          <w:lang w:bidi="ar-SA"/>
        </w:rPr>
        <w:t>th</w:t>
      </w:r>
      <w:r>
        <w:rPr>
          <w:rFonts w:eastAsia="Calibri"/>
          <w:lang w:bidi="ar-SA"/>
        </w:rPr>
        <w:t xml:space="preserve"> ATDS included the analysis of 12 additional phthalates in the same 48 composite foods that were analysed for DEHP and DINP. Based on the low levels of detection in only a small number of foods, no public health and safety concerns were identified for these phthalates. H</w:t>
      </w:r>
      <w:r w:rsidR="00830D6D">
        <w:rPr>
          <w:rFonts w:eastAsia="Calibri"/>
          <w:lang w:bidi="ar-SA"/>
        </w:rPr>
        <w:t xml:space="preserve">owever, it was noted that three </w:t>
      </w:r>
      <w:r>
        <w:rPr>
          <w:rFonts w:eastAsia="Calibri"/>
          <w:lang w:bidi="ar-SA"/>
        </w:rPr>
        <w:t xml:space="preserve">of the detected phthalates are not on </w:t>
      </w:r>
      <w:r w:rsidRPr="00DB5D89">
        <w:rPr>
          <w:rFonts w:eastAsia="Calibri"/>
          <w:lang w:bidi="ar-SA"/>
        </w:rPr>
        <w:t>EU</w:t>
      </w:r>
      <w:r>
        <w:rPr>
          <w:rFonts w:eastAsia="Calibri"/>
          <w:lang w:bidi="ar-SA"/>
        </w:rPr>
        <w:t xml:space="preserve"> or US lists of approved food contact substances (FSANZ 2016). </w:t>
      </w:r>
      <w:r w:rsidR="0056498A">
        <w:rPr>
          <w:rFonts w:eastAsia="Calibri"/>
          <w:lang w:bidi="ar-SA"/>
        </w:rPr>
        <w:t xml:space="preserve"> </w:t>
      </w:r>
      <w:r w:rsidR="000C1016">
        <w:t xml:space="preserve">Based on the low levels of detection, the risk was assessed to be negligible (using conservative dietary modelling). </w:t>
      </w:r>
      <w:r w:rsidR="00274D21">
        <w:rPr>
          <w:rFonts w:eastAsia="Calibri"/>
          <w:lang w:bidi="ar-SA"/>
        </w:rPr>
        <w:t>These phthalates may have been intentionally used in the food packaging</w:t>
      </w:r>
      <w:r w:rsidR="0056498A">
        <w:rPr>
          <w:rFonts w:eastAsia="Calibri"/>
          <w:lang w:bidi="ar-SA"/>
        </w:rPr>
        <w:t>, or in other food contact applications,</w:t>
      </w:r>
      <w:r w:rsidR="00596816">
        <w:rPr>
          <w:rFonts w:eastAsia="Calibri"/>
          <w:lang w:bidi="ar-SA"/>
        </w:rPr>
        <w:t xml:space="preserve"> as replacements for</w:t>
      </w:r>
      <w:r w:rsidR="00274D21">
        <w:rPr>
          <w:rFonts w:eastAsia="Calibri"/>
          <w:lang w:bidi="ar-SA"/>
        </w:rPr>
        <w:t xml:space="preserve"> phthalates</w:t>
      </w:r>
      <w:r w:rsidR="0056498A">
        <w:rPr>
          <w:rFonts w:eastAsia="Calibri"/>
          <w:lang w:bidi="ar-SA"/>
        </w:rPr>
        <w:t xml:space="preserve"> </w:t>
      </w:r>
      <w:r w:rsidR="00274D21">
        <w:rPr>
          <w:rFonts w:eastAsia="Calibri"/>
          <w:lang w:bidi="ar-SA"/>
        </w:rPr>
        <w:t>of potential conce</w:t>
      </w:r>
      <w:r w:rsidR="0056498A">
        <w:rPr>
          <w:rFonts w:eastAsia="Calibri"/>
          <w:lang w:bidi="ar-SA"/>
        </w:rPr>
        <w:t>r</w:t>
      </w:r>
      <w:r w:rsidR="00274D21">
        <w:rPr>
          <w:rFonts w:eastAsia="Calibri"/>
          <w:lang w:bidi="ar-SA"/>
        </w:rPr>
        <w:t>n, such as DEHP and DINP</w:t>
      </w:r>
      <w:r w:rsidR="0056498A">
        <w:rPr>
          <w:rFonts w:eastAsia="Calibri"/>
          <w:lang w:bidi="ar-SA"/>
        </w:rPr>
        <w:t xml:space="preserve"> (</w:t>
      </w:r>
      <w:r w:rsidR="0056498A" w:rsidRPr="00274D21">
        <w:rPr>
          <w:rFonts w:eastAsia="Calibri"/>
          <w:lang w:bidi="ar-SA"/>
        </w:rPr>
        <w:t>C&amp;EN 2015</w:t>
      </w:r>
      <w:r w:rsidR="0056498A">
        <w:rPr>
          <w:rFonts w:eastAsia="Calibri"/>
          <w:lang w:bidi="ar-SA"/>
        </w:rPr>
        <w:t>).</w:t>
      </w:r>
      <w:r w:rsidR="007A4622">
        <w:rPr>
          <w:rFonts w:eastAsia="Calibri"/>
          <w:lang w:bidi="ar-SA"/>
        </w:rPr>
        <w:t xml:space="preserve"> </w:t>
      </w:r>
    </w:p>
    <w:p w14:paraId="598CB4E1" w14:textId="6D4949B6" w:rsidR="00005131" w:rsidRPr="001E5EED" w:rsidRDefault="007A474A" w:rsidP="000A5113">
      <w:pPr>
        <w:pStyle w:val="Heading2"/>
        <w:rPr>
          <w:rFonts w:eastAsia="Calibri"/>
        </w:rPr>
      </w:pPr>
      <w:r>
        <w:rPr>
          <w:rFonts w:eastAsia="Calibri"/>
        </w:rPr>
        <w:t>6.5</w:t>
      </w:r>
      <w:r>
        <w:rPr>
          <w:rFonts w:eastAsia="Calibri"/>
        </w:rPr>
        <w:tab/>
      </w:r>
      <w:r w:rsidR="00005131" w:rsidRPr="001E5EED">
        <w:rPr>
          <w:rFonts w:eastAsia="Calibri"/>
        </w:rPr>
        <w:t>Printing ink chemicals</w:t>
      </w:r>
    </w:p>
    <w:p w14:paraId="652F8F8D" w14:textId="3357D551" w:rsidR="00005131" w:rsidRDefault="00005131" w:rsidP="00005131">
      <w:pPr>
        <w:rPr>
          <w:rFonts w:eastAsia="Calibri"/>
          <w:lang w:bidi="ar-SA"/>
        </w:rPr>
      </w:pPr>
      <w:r w:rsidRPr="0084502B">
        <w:rPr>
          <w:rFonts w:eastAsia="Calibri"/>
          <w:lang w:bidi="ar-SA"/>
        </w:rPr>
        <w:t xml:space="preserve">Printing inks </w:t>
      </w:r>
      <w:r>
        <w:rPr>
          <w:rFonts w:eastAsia="Calibri"/>
          <w:lang w:bidi="ar-SA"/>
        </w:rPr>
        <w:t xml:space="preserve">typically </w:t>
      </w:r>
      <w:r w:rsidRPr="0084502B">
        <w:rPr>
          <w:rFonts w:eastAsia="Calibri"/>
          <w:lang w:bidi="ar-SA"/>
        </w:rPr>
        <w:t xml:space="preserve">contain a number of components such as pigments, </w:t>
      </w:r>
      <w:r>
        <w:rPr>
          <w:rFonts w:eastAsia="Calibri"/>
          <w:lang w:bidi="ar-SA"/>
        </w:rPr>
        <w:t xml:space="preserve">solvents, binding agents, </w:t>
      </w:r>
      <w:r w:rsidRPr="0084502B">
        <w:rPr>
          <w:rFonts w:eastAsia="Calibri"/>
          <w:lang w:bidi="ar-SA"/>
        </w:rPr>
        <w:t>plasticisers</w:t>
      </w:r>
      <w:r>
        <w:rPr>
          <w:rFonts w:eastAsia="Calibri"/>
          <w:lang w:bidi="ar-SA"/>
        </w:rPr>
        <w:t xml:space="preserve"> </w:t>
      </w:r>
      <w:r w:rsidRPr="0084502B">
        <w:rPr>
          <w:rFonts w:eastAsia="Calibri"/>
          <w:lang w:bidi="ar-SA"/>
        </w:rPr>
        <w:t xml:space="preserve">and photoinitiators (chemicals </w:t>
      </w:r>
      <w:r>
        <w:rPr>
          <w:rFonts w:eastAsia="Calibri"/>
          <w:lang w:bidi="ar-SA"/>
        </w:rPr>
        <w:t>that facilitate UV curing of inks</w:t>
      </w:r>
      <w:r w:rsidRPr="0084502B">
        <w:rPr>
          <w:rFonts w:eastAsia="Calibri"/>
          <w:lang w:bidi="ar-SA"/>
        </w:rPr>
        <w:t>).</w:t>
      </w:r>
      <w:r w:rsidRPr="001C1AC4">
        <w:rPr>
          <w:rFonts w:eastAsia="Calibri"/>
          <w:lang w:bidi="ar-SA"/>
        </w:rPr>
        <w:t xml:space="preserve"> </w:t>
      </w:r>
      <w:r>
        <w:rPr>
          <w:rFonts w:eastAsia="Calibri"/>
          <w:lang w:bidi="ar-SA"/>
        </w:rPr>
        <w:t xml:space="preserve">It was recently reported that </w:t>
      </w:r>
      <w:r w:rsidRPr="001275C9">
        <w:rPr>
          <w:rFonts w:eastAsia="Calibri"/>
          <w:lang w:bidi="ar-SA"/>
        </w:rPr>
        <w:t>more than 100 incidents of contamination of pa</w:t>
      </w:r>
      <w:r>
        <w:rPr>
          <w:rFonts w:eastAsia="Calibri"/>
          <w:lang w:bidi="ar-SA"/>
        </w:rPr>
        <w:t>ckaged food with photoinitiator chemicals have been notified by the EU</w:t>
      </w:r>
      <w:r w:rsidRPr="001275C9">
        <w:rPr>
          <w:rFonts w:eastAsia="Calibri"/>
          <w:lang w:bidi="ar-SA"/>
        </w:rPr>
        <w:t xml:space="preserve"> Rapid Alert S</w:t>
      </w:r>
      <w:r>
        <w:rPr>
          <w:rFonts w:eastAsia="Calibri"/>
          <w:lang w:bidi="ar-SA"/>
        </w:rPr>
        <w:t>ystem for Food and Feed (RASFF) (</w:t>
      </w:r>
      <w:r w:rsidRPr="00250B17">
        <w:rPr>
          <w:rFonts w:eastAsia="Calibri"/>
          <w:lang w:bidi="ar-SA"/>
        </w:rPr>
        <w:t xml:space="preserve">Lago </w:t>
      </w:r>
      <w:r w:rsidR="00A8458F">
        <w:rPr>
          <w:rFonts w:eastAsia="Calibri"/>
          <w:lang w:bidi="ar-SA"/>
        </w:rPr>
        <w:t xml:space="preserve">et al. </w:t>
      </w:r>
      <w:r w:rsidRPr="00250B17">
        <w:rPr>
          <w:rFonts w:eastAsia="Calibri"/>
          <w:lang w:bidi="ar-SA"/>
        </w:rPr>
        <w:t>2015</w:t>
      </w:r>
      <w:r>
        <w:rPr>
          <w:rFonts w:eastAsia="Calibri"/>
          <w:lang w:bidi="ar-SA"/>
        </w:rPr>
        <w:t>). The potential migration into food of printing ink chemicals has been investigated in several recent analytical surveys, including phase 2 of the 24</w:t>
      </w:r>
      <w:r w:rsidRPr="002318E7">
        <w:rPr>
          <w:rFonts w:eastAsia="Calibri"/>
          <w:vertAlign w:val="superscript"/>
          <w:lang w:bidi="ar-SA"/>
        </w:rPr>
        <w:t>th</w:t>
      </w:r>
      <w:r>
        <w:rPr>
          <w:rFonts w:eastAsia="Calibri"/>
          <w:lang w:bidi="ar-SA"/>
        </w:rPr>
        <w:t xml:space="preserve"> ATDS.</w:t>
      </w:r>
    </w:p>
    <w:p w14:paraId="6CA2FCBF" w14:textId="77777777" w:rsidR="00005131" w:rsidRDefault="00005131" w:rsidP="00005131">
      <w:pPr>
        <w:rPr>
          <w:rFonts w:eastAsia="Calibri"/>
          <w:lang w:bidi="ar-SA"/>
        </w:rPr>
      </w:pPr>
      <w:r w:rsidRPr="0084502B">
        <w:t xml:space="preserve"> </w:t>
      </w:r>
    </w:p>
    <w:p w14:paraId="43C71423" w14:textId="3BD369AB" w:rsidR="00005131" w:rsidRDefault="00005131" w:rsidP="00005131">
      <w:pPr>
        <w:rPr>
          <w:rFonts w:eastAsia="Calibri"/>
          <w:lang w:bidi="ar-SA"/>
        </w:rPr>
      </w:pPr>
      <w:r>
        <w:rPr>
          <w:rFonts w:eastAsia="Calibri"/>
          <w:lang w:bidi="ar-SA"/>
        </w:rPr>
        <w:t>A 2011 study by the UK Food Standards Agency (UK FSA) investigated the presence of 20 printing ink chemicals in 350 foods packaged in printed paper</w:t>
      </w:r>
      <w:r w:rsidRPr="00413732">
        <w:rPr>
          <w:rFonts w:eastAsia="Calibri"/>
          <w:lang w:bidi="ar-SA"/>
        </w:rPr>
        <w:t>board</w:t>
      </w:r>
      <w:r>
        <w:rPr>
          <w:rFonts w:eastAsia="Calibri"/>
          <w:lang w:bidi="ar-SA"/>
        </w:rPr>
        <w:t xml:space="preserve">. </w:t>
      </w:r>
      <w:r w:rsidRPr="00A92BC2">
        <w:rPr>
          <w:rFonts w:eastAsia="Calibri"/>
          <w:lang w:bidi="ar-SA"/>
        </w:rPr>
        <w:t>All samples were</w:t>
      </w:r>
      <w:r>
        <w:rPr>
          <w:rFonts w:eastAsia="Calibri"/>
          <w:lang w:bidi="ar-SA"/>
        </w:rPr>
        <w:t xml:space="preserve"> stated to be heavily printed. The analysed chemicals were </w:t>
      </w:r>
      <w:r w:rsidRPr="00A92BC2">
        <w:rPr>
          <w:rFonts w:eastAsia="Calibri"/>
          <w:lang w:bidi="ar-SA"/>
        </w:rPr>
        <w:t>selected on the basis of previous knowledge of their potential to migrate from packaging into food.</w:t>
      </w:r>
      <w:r>
        <w:rPr>
          <w:rFonts w:eastAsia="Calibri"/>
          <w:lang w:bidi="ar-SA"/>
        </w:rPr>
        <w:t xml:space="preserve"> </w:t>
      </w:r>
      <w:r w:rsidRPr="00A92BC2">
        <w:rPr>
          <w:rFonts w:eastAsia="Calibri"/>
          <w:lang w:bidi="ar-SA"/>
        </w:rPr>
        <w:t xml:space="preserve">The majority of the selected substances </w:t>
      </w:r>
      <w:r>
        <w:rPr>
          <w:rFonts w:eastAsia="Calibri"/>
          <w:lang w:bidi="ar-SA"/>
        </w:rPr>
        <w:t>were</w:t>
      </w:r>
      <w:r w:rsidRPr="00A92BC2">
        <w:rPr>
          <w:rFonts w:eastAsia="Calibri"/>
          <w:lang w:bidi="ar-SA"/>
        </w:rPr>
        <w:t xml:space="preserve"> photoinitiators but some </w:t>
      </w:r>
      <w:r>
        <w:rPr>
          <w:rFonts w:eastAsia="Calibri"/>
          <w:lang w:bidi="ar-SA"/>
        </w:rPr>
        <w:t xml:space="preserve">were </w:t>
      </w:r>
      <w:r w:rsidRPr="00A92BC2">
        <w:rPr>
          <w:rFonts w:eastAsia="Calibri"/>
          <w:lang w:bidi="ar-SA"/>
        </w:rPr>
        <w:t>plasticisers and binders.</w:t>
      </w:r>
      <w:r>
        <w:rPr>
          <w:rFonts w:eastAsia="Calibri"/>
          <w:lang w:bidi="ar-SA"/>
        </w:rPr>
        <w:t xml:space="preserve"> The report noted that t</w:t>
      </w:r>
      <w:r w:rsidRPr="00EF46CA">
        <w:rPr>
          <w:rFonts w:eastAsia="Calibri"/>
          <w:lang w:bidi="ar-SA"/>
        </w:rPr>
        <w:t>here is limited toxicological data available for many of the subs</w:t>
      </w:r>
      <w:r>
        <w:rPr>
          <w:rFonts w:eastAsia="Calibri"/>
          <w:lang w:bidi="ar-SA"/>
        </w:rPr>
        <w:t>tances included in the survey. Toxicological d</w:t>
      </w:r>
      <w:r w:rsidRPr="00EF46CA">
        <w:rPr>
          <w:rFonts w:eastAsia="Calibri"/>
          <w:lang w:bidi="ar-SA"/>
        </w:rPr>
        <w:t xml:space="preserve">ata </w:t>
      </w:r>
      <w:r>
        <w:rPr>
          <w:rFonts w:eastAsia="Calibri"/>
          <w:lang w:bidi="ar-SA"/>
        </w:rPr>
        <w:t xml:space="preserve">on </w:t>
      </w:r>
      <w:r w:rsidRPr="00EF46CA">
        <w:rPr>
          <w:rFonts w:eastAsia="Calibri"/>
          <w:lang w:bidi="ar-SA"/>
        </w:rPr>
        <w:t>related substanc</w:t>
      </w:r>
      <w:r>
        <w:rPr>
          <w:rFonts w:eastAsia="Calibri"/>
          <w:lang w:bidi="ar-SA"/>
        </w:rPr>
        <w:t>es were</w:t>
      </w:r>
      <w:r w:rsidRPr="00EF46CA">
        <w:rPr>
          <w:rFonts w:eastAsia="Calibri"/>
          <w:lang w:bidi="ar-SA"/>
        </w:rPr>
        <w:t xml:space="preserve"> used in the absence of data on specific substances.</w:t>
      </w:r>
      <w:r>
        <w:rPr>
          <w:rFonts w:eastAsia="Calibri"/>
          <w:lang w:bidi="ar-SA"/>
        </w:rPr>
        <w:t xml:space="preserve"> Eighty four</w:t>
      </w:r>
      <w:r w:rsidRPr="00EF46CA">
        <w:rPr>
          <w:rFonts w:eastAsia="Calibri"/>
          <w:lang w:bidi="ar-SA"/>
        </w:rPr>
        <w:t xml:space="preserve"> of the 350 </w:t>
      </w:r>
      <w:r>
        <w:rPr>
          <w:rFonts w:eastAsia="Calibri"/>
          <w:lang w:bidi="ar-SA"/>
        </w:rPr>
        <w:t xml:space="preserve">food </w:t>
      </w:r>
      <w:r w:rsidRPr="00EF46CA">
        <w:rPr>
          <w:rFonts w:eastAsia="Calibri"/>
          <w:lang w:bidi="ar-SA"/>
        </w:rPr>
        <w:t xml:space="preserve">samples tested contained </w:t>
      </w:r>
      <w:r>
        <w:rPr>
          <w:rFonts w:eastAsia="Calibri"/>
          <w:lang w:bidi="ar-SA"/>
        </w:rPr>
        <w:t xml:space="preserve">detectable levels of one or more of the </w:t>
      </w:r>
      <w:r w:rsidRPr="00EF46CA">
        <w:rPr>
          <w:rFonts w:eastAsia="Calibri"/>
          <w:lang w:bidi="ar-SA"/>
        </w:rPr>
        <w:t xml:space="preserve">ink </w:t>
      </w:r>
      <w:r>
        <w:rPr>
          <w:rFonts w:eastAsia="Calibri"/>
          <w:lang w:bidi="ar-SA"/>
        </w:rPr>
        <w:t>chemicals</w:t>
      </w:r>
      <w:r w:rsidRPr="00EF46CA">
        <w:rPr>
          <w:rFonts w:eastAsia="Calibri"/>
          <w:lang w:bidi="ar-SA"/>
        </w:rPr>
        <w:t>.</w:t>
      </w:r>
      <w:r>
        <w:rPr>
          <w:rFonts w:eastAsia="Calibri"/>
          <w:lang w:bidi="ar-SA"/>
        </w:rPr>
        <w:t xml:space="preserve"> Based on a risk assessment, the UK FSA concluded that the </w:t>
      </w:r>
      <w:r w:rsidRPr="002318E7">
        <w:rPr>
          <w:rFonts w:eastAsia="Calibri"/>
          <w:lang w:bidi="ar-SA"/>
        </w:rPr>
        <w:t xml:space="preserve">findings did not </w:t>
      </w:r>
      <w:r>
        <w:rPr>
          <w:rFonts w:eastAsia="Calibri"/>
          <w:lang w:bidi="ar-SA"/>
        </w:rPr>
        <w:t>indicate</w:t>
      </w:r>
      <w:r w:rsidRPr="002318E7">
        <w:rPr>
          <w:rFonts w:eastAsia="Calibri"/>
          <w:lang w:bidi="ar-SA"/>
        </w:rPr>
        <w:t xml:space="preserve"> an</w:t>
      </w:r>
      <w:r>
        <w:rPr>
          <w:rFonts w:eastAsia="Calibri"/>
          <w:lang w:bidi="ar-SA"/>
        </w:rPr>
        <w:t>y safety concerns (UK FSA 2011;</w:t>
      </w:r>
      <w:r w:rsidRPr="002B7CA8">
        <w:rPr>
          <w:rFonts w:eastAsia="Calibri"/>
          <w:lang w:bidi="ar-SA"/>
        </w:rPr>
        <w:t xml:space="preserve"> </w:t>
      </w:r>
      <w:r>
        <w:rPr>
          <w:rFonts w:eastAsia="Calibri"/>
          <w:lang w:bidi="ar-SA"/>
        </w:rPr>
        <w:t xml:space="preserve">Bradley </w:t>
      </w:r>
      <w:r w:rsidR="00A8458F">
        <w:rPr>
          <w:rFonts w:eastAsia="Calibri"/>
          <w:lang w:bidi="ar-SA"/>
        </w:rPr>
        <w:t xml:space="preserve">et al. </w:t>
      </w:r>
      <w:r>
        <w:rPr>
          <w:rFonts w:eastAsia="Calibri"/>
          <w:lang w:bidi="ar-SA"/>
        </w:rPr>
        <w:t xml:space="preserve">2013). </w:t>
      </w:r>
    </w:p>
    <w:p w14:paraId="475C5A02" w14:textId="77777777" w:rsidR="00005131" w:rsidRDefault="00005131" w:rsidP="00005131">
      <w:pPr>
        <w:rPr>
          <w:rFonts w:eastAsia="Calibri"/>
          <w:lang w:bidi="ar-SA"/>
        </w:rPr>
      </w:pPr>
    </w:p>
    <w:p w14:paraId="3CF5C9A8" w14:textId="130010E7" w:rsidR="00005131" w:rsidRDefault="00005131" w:rsidP="00005131">
      <w:pPr>
        <w:rPr>
          <w:rFonts w:eastAsia="Calibri"/>
          <w:lang w:bidi="ar-SA"/>
        </w:rPr>
      </w:pPr>
      <w:r>
        <w:rPr>
          <w:rFonts w:eastAsia="Calibri"/>
          <w:lang w:bidi="ar-SA"/>
        </w:rPr>
        <w:t>In a German study, 99 foods predominately packaged in paper</w:t>
      </w:r>
      <w:r w:rsidRPr="00B05631">
        <w:rPr>
          <w:rFonts w:eastAsia="Calibri"/>
          <w:lang w:bidi="ar-SA"/>
        </w:rPr>
        <w:t>board</w:t>
      </w:r>
      <w:r>
        <w:rPr>
          <w:rFonts w:eastAsia="Calibri"/>
          <w:lang w:bidi="ar-SA"/>
        </w:rPr>
        <w:t xml:space="preserve"> were analysed for 11 printing ink chemicals. One or more ink chemicals were detected in 33 </w:t>
      </w:r>
      <w:proofErr w:type="gramStart"/>
      <w:r>
        <w:rPr>
          <w:rFonts w:eastAsia="Calibri"/>
          <w:lang w:bidi="ar-SA"/>
        </w:rPr>
        <w:t>foods,</w:t>
      </w:r>
      <w:proofErr w:type="gramEnd"/>
      <w:r>
        <w:rPr>
          <w:rFonts w:eastAsia="Calibri"/>
          <w:lang w:bidi="ar-SA"/>
        </w:rPr>
        <w:t xml:space="preserve"> however the potential risk due to the levels of these substances was not addressed in the paper (Jung </w:t>
      </w:r>
      <w:r w:rsidR="00A8458F">
        <w:rPr>
          <w:rFonts w:eastAsia="Calibri"/>
          <w:lang w:bidi="ar-SA"/>
        </w:rPr>
        <w:t xml:space="preserve">et al. </w:t>
      </w:r>
      <w:r>
        <w:rPr>
          <w:rFonts w:eastAsia="Calibri"/>
          <w:lang w:bidi="ar-SA"/>
        </w:rPr>
        <w:t>2013).</w:t>
      </w:r>
    </w:p>
    <w:p w14:paraId="3C45FE16" w14:textId="77777777" w:rsidR="00005131" w:rsidRDefault="00005131" w:rsidP="00005131">
      <w:pPr>
        <w:rPr>
          <w:rFonts w:eastAsia="Calibri"/>
          <w:lang w:bidi="ar-SA"/>
        </w:rPr>
      </w:pPr>
    </w:p>
    <w:p w14:paraId="535C6615" w14:textId="570507D0" w:rsidR="00F70860" w:rsidRDefault="00005131" w:rsidP="00005131">
      <w:pPr>
        <w:rPr>
          <w:rFonts w:eastAsia="Calibri"/>
          <w:lang w:bidi="ar-SA"/>
        </w:rPr>
      </w:pPr>
      <w:r w:rsidRPr="00520D16">
        <w:rPr>
          <w:rFonts w:eastAsia="Calibri"/>
          <w:lang w:bidi="ar-SA"/>
        </w:rPr>
        <w:t>The 24</w:t>
      </w:r>
      <w:r w:rsidRPr="004625D8">
        <w:rPr>
          <w:rFonts w:eastAsia="Calibri"/>
          <w:vertAlign w:val="superscript"/>
          <w:lang w:bidi="ar-SA"/>
        </w:rPr>
        <w:t>th</w:t>
      </w:r>
      <w:r>
        <w:rPr>
          <w:rFonts w:eastAsia="Calibri"/>
          <w:lang w:bidi="ar-SA"/>
        </w:rPr>
        <w:t xml:space="preserve"> ATDS included the analysis of 11</w:t>
      </w:r>
      <w:r w:rsidRPr="00520D16">
        <w:rPr>
          <w:rFonts w:eastAsia="Calibri"/>
          <w:lang w:bidi="ar-SA"/>
        </w:rPr>
        <w:t xml:space="preserve"> </w:t>
      </w:r>
      <w:r>
        <w:rPr>
          <w:rFonts w:eastAsia="Calibri"/>
          <w:lang w:bidi="ar-SA"/>
        </w:rPr>
        <w:t>printing ink chemicals</w:t>
      </w:r>
      <w:r w:rsidRPr="00520D16">
        <w:rPr>
          <w:rFonts w:eastAsia="Calibri"/>
          <w:lang w:bidi="ar-SA"/>
        </w:rPr>
        <w:t xml:space="preserve"> in </w:t>
      </w:r>
      <w:r>
        <w:rPr>
          <w:rFonts w:eastAsia="Calibri"/>
          <w:lang w:bidi="ar-SA"/>
        </w:rPr>
        <w:t>60</w:t>
      </w:r>
      <w:r w:rsidRPr="00520D16">
        <w:rPr>
          <w:rFonts w:eastAsia="Calibri"/>
          <w:lang w:bidi="ar-SA"/>
        </w:rPr>
        <w:t xml:space="preserve"> composite</w:t>
      </w:r>
      <w:r>
        <w:rPr>
          <w:rFonts w:eastAsia="Calibri"/>
          <w:lang w:bidi="ar-SA"/>
        </w:rPr>
        <w:t xml:space="preserve"> food samples. </w:t>
      </w:r>
      <w:r w:rsidRPr="00143FBC">
        <w:rPr>
          <w:rFonts w:eastAsia="Calibri"/>
          <w:lang w:bidi="ar-SA"/>
        </w:rPr>
        <w:t xml:space="preserve">Based on the low levels of detection in only a small number of foods, </w:t>
      </w:r>
      <w:r w:rsidR="005E215E">
        <w:rPr>
          <w:rFonts w:eastAsia="Calibri"/>
          <w:lang w:bidi="ar-SA"/>
        </w:rPr>
        <w:t xml:space="preserve">the screening method identified </w:t>
      </w:r>
      <w:r w:rsidRPr="00143FBC">
        <w:rPr>
          <w:rFonts w:eastAsia="Calibri"/>
          <w:lang w:bidi="ar-SA"/>
        </w:rPr>
        <w:t xml:space="preserve">no public health and safety concerns for these </w:t>
      </w:r>
      <w:r>
        <w:rPr>
          <w:rFonts w:eastAsia="Calibri"/>
          <w:lang w:bidi="ar-SA"/>
        </w:rPr>
        <w:t>chemicals</w:t>
      </w:r>
      <w:r w:rsidRPr="00143FBC">
        <w:rPr>
          <w:rFonts w:eastAsia="Calibri"/>
          <w:lang w:bidi="ar-SA"/>
        </w:rPr>
        <w:t xml:space="preserve"> (FSANZ 2016).</w:t>
      </w:r>
      <w:r w:rsidR="00F70860">
        <w:rPr>
          <w:rFonts w:eastAsia="Calibri"/>
          <w:lang w:bidi="ar-SA"/>
        </w:rPr>
        <w:br w:type="page"/>
      </w:r>
    </w:p>
    <w:p w14:paraId="1AC509A6" w14:textId="6F203819" w:rsidR="00005131" w:rsidRPr="00921578" w:rsidRDefault="007A474A" w:rsidP="000A5113">
      <w:pPr>
        <w:pStyle w:val="Heading2"/>
        <w:rPr>
          <w:rFonts w:eastAsia="Calibri"/>
        </w:rPr>
      </w:pPr>
      <w:r>
        <w:rPr>
          <w:rFonts w:eastAsia="Calibri"/>
        </w:rPr>
        <w:lastRenderedPageBreak/>
        <w:t>6.6</w:t>
      </w:r>
      <w:r>
        <w:rPr>
          <w:rFonts w:eastAsia="Calibri"/>
        </w:rPr>
        <w:tab/>
      </w:r>
      <w:r w:rsidR="00005131">
        <w:rPr>
          <w:rFonts w:eastAsia="Calibri"/>
        </w:rPr>
        <w:t>Antioxidants used in packaging</w:t>
      </w:r>
    </w:p>
    <w:p w14:paraId="41FE9FAB" w14:textId="0CA67663" w:rsidR="00005131" w:rsidRDefault="00005131" w:rsidP="00005131">
      <w:pPr>
        <w:rPr>
          <w:rFonts w:eastAsia="Calibri"/>
          <w:lang w:bidi="ar-SA"/>
        </w:rPr>
      </w:pPr>
      <w:r>
        <w:rPr>
          <w:rFonts w:eastAsia="Calibri"/>
          <w:lang w:bidi="ar-SA"/>
        </w:rPr>
        <w:t xml:space="preserve">Antioxidants are widely used to enhance the stability of food contact materials (e.g. to delay the degradation of plastics). The </w:t>
      </w:r>
      <w:r w:rsidR="007A474A">
        <w:rPr>
          <w:rFonts w:eastAsia="Calibri"/>
          <w:lang w:bidi="ar-SA"/>
        </w:rPr>
        <w:t>USFDA</w:t>
      </w:r>
      <w:r>
        <w:rPr>
          <w:rFonts w:eastAsia="Calibri"/>
          <w:lang w:bidi="ar-SA"/>
        </w:rPr>
        <w:t xml:space="preserve"> recently published a post-market re-evaluation of an </w:t>
      </w:r>
      <w:r w:rsidRPr="00921578">
        <w:rPr>
          <w:rFonts w:eastAsia="Calibri"/>
          <w:lang w:bidi="ar-SA"/>
        </w:rPr>
        <w:t xml:space="preserve">antioxidant </w:t>
      </w:r>
      <w:r>
        <w:rPr>
          <w:rFonts w:eastAsia="Calibri"/>
          <w:lang w:bidi="ar-SA"/>
        </w:rPr>
        <w:t xml:space="preserve">compound </w:t>
      </w:r>
      <w:r w:rsidRPr="00921578">
        <w:rPr>
          <w:rFonts w:eastAsia="Calibri"/>
          <w:lang w:bidi="ar-SA"/>
        </w:rPr>
        <w:t xml:space="preserve">with 24 approved food contact uses </w:t>
      </w:r>
      <w:r>
        <w:rPr>
          <w:rFonts w:eastAsia="Calibri"/>
          <w:lang w:bidi="ar-SA"/>
        </w:rPr>
        <w:t xml:space="preserve">in the US </w:t>
      </w:r>
      <w:r>
        <w:t>(</w:t>
      </w:r>
      <w:r w:rsidRPr="00921578">
        <w:rPr>
          <w:rFonts w:eastAsia="Calibri"/>
          <w:lang w:bidi="ar-SA"/>
        </w:rPr>
        <w:t xml:space="preserve">Neal-Kluever </w:t>
      </w:r>
      <w:r w:rsidR="00A8458F">
        <w:rPr>
          <w:rFonts w:eastAsia="Calibri"/>
          <w:lang w:bidi="ar-SA"/>
        </w:rPr>
        <w:t xml:space="preserve">et al. </w:t>
      </w:r>
      <w:r w:rsidR="00A50F7E">
        <w:rPr>
          <w:rFonts w:eastAsia="Calibri"/>
          <w:lang w:bidi="ar-SA"/>
        </w:rPr>
        <w:t>2015</w:t>
      </w:r>
      <w:r w:rsidRPr="00921578">
        <w:rPr>
          <w:rFonts w:eastAsia="Calibri"/>
          <w:lang w:bidi="ar-SA"/>
        </w:rPr>
        <w:t>)</w:t>
      </w:r>
      <w:r>
        <w:rPr>
          <w:rFonts w:eastAsia="Calibri"/>
          <w:lang w:bidi="ar-SA"/>
        </w:rPr>
        <w:t>.</w:t>
      </w:r>
      <w:r w:rsidRPr="00873D05">
        <w:rPr>
          <w:rFonts w:eastAsia="Calibri"/>
          <w:lang w:bidi="ar-SA"/>
        </w:rPr>
        <w:t xml:space="preserve"> </w:t>
      </w:r>
      <w:r>
        <w:rPr>
          <w:rFonts w:eastAsia="Calibri"/>
          <w:lang w:bidi="ar-SA"/>
        </w:rPr>
        <w:t>The compound, commonly known as Irganox 1076, is approved for use in adhesives and in a range of plastics widely used in food packaging including polyethylene, polypropylene and polystyrene. The re-evaluation was conducted t</w:t>
      </w:r>
      <w:r w:rsidRPr="00921578">
        <w:rPr>
          <w:rFonts w:eastAsia="Calibri"/>
          <w:lang w:bidi="ar-SA"/>
        </w:rPr>
        <w:t>o ensure that current dietar</w:t>
      </w:r>
      <w:r>
        <w:rPr>
          <w:rFonts w:eastAsia="Calibri"/>
          <w:lang w:bidi="ar-SA"/>
        </w:rPr>
        <w:t>y exposures from the use of Irganox 1076</w:t>
      </w:r>
      <w:r w:rsidRPr="00921578">
        <w:rPr>
          <w:rFonts w:eastAsia="Calibri"/>
          <w:lang w:bidi="ar-SA"/>
        </w:rPr>
        <w:t xml:space="preserve"> in food contact articles</w:t>
      </w:r>
      <w:r>
        <w:rPr>
          <w:rFonts w:eastAsia="Calibri"/>
          <w:lang w:bidi="ar-SA"/>
        </w:rPr>
        <w:t xml:space="preserve"> are accurately captured and that all relevant toxicological information </w:t>
      </w:r>
      <w:r w:rsidRPr="00CF772A">
        <w:rPr>
          <w:rFonts w:eastAsia="Calibri"/>
          <w:lang w:bidi="ar-SA"/>
        </w:rPr>
        <w:t>available since the time of premarket approval</w:t>
      </w:r>
      <w:r>
        <w:rPr>
          <w:rFonts w:eastAsia="Calibri"/>
          <w:lang w:bidi="ar-SA"/>
        </w:rPr>
        <w:t xml:space="preserve"> was considered.</w:t>
      </w:r>
    </w:p>
    <w:p w14:paraId="6040449A" w14:textId="77777777" w:rsidR="00005131" w:rsidRDefault="00005131" w:rsidP="00005131">
      <w:pPr>
        <w:rPr>
          <w:rFonts w:eastAsia="Calibri"/>
          <w:lang w:bidi="ar-SA"/>
        </w:rPr>
      </w:pPr>
    </w:p>
    <w:p w14:paraId="1C94ADDA" w14:textId="67E3701E" w:rsidR="00005131" w:rsidRDefault="00005131" w:rsidP="00005131">
      <w:pPr>
        <w:rPr>
          <w:rFonts w:eastAsia="Calibri"/>
          <w:lang w:bidi="ar-SA"/>
        </w:rPr>
      </w:pPr>
      <w:r>
        <w:rPr>
          <w:rFonts w:eastAsia="Calibri"/>
          <w:lang w:bidi="ar-SA"/>
        </w:rPr>
        <w:t>Estimated dietary exposure to Irganox 1076, taking into account all approved uses, was calculated to be</w:t>
      </w:r>
      <w:r w:rsidRPr="008334DA">
        <w:rPr>
          <w:rFonts w:eastAsia="Calibri"/>
          <w:lang w:bidi="ar-SA"/>
        </w:rPr>
        <w:t xml:space="preserve"> </w:t>
      </w:r>
      <w:r>
        <w:rPr>
          <w:rFonts w:eastAsia="Calibri"/>
          <w:lang w:bidi="ar-SA"/>
        </w:rPr>
        <w:t>0.075 mg/kg bw/day</w:t>
      </w:r>
      <w:r>
        <w:rPr>
          <w:rStyle w:val="FootnoteReference"/>
          <w:rFonts w:eastAsia="Calibri"/>
          <w:lang w:bidi="ar-SA"/>
        </w:rPr>
        <w:footnoteReference w:id="11"/>
      </w:r>
      <w:r>
        <w:rPr>
          <w:rFonts w:eastAsia="Calibri"/>
          <w:lang w:bidi="ar-SA"/>
        </w:rPr>
        <w:t xml:space="preserve">. The toxicological database included repeat-dose studies </w:t>
      </w:r>
      <w:r w:rsidRPr="004C5F46">
        <w:rPr>
          <w:rFonts w:eastAsia="Calibri"/>
          <w:lang w:bidi="ar-SA"/>
        </w:rPr>
        <w:t>of v</w:t>
      </w:r>
      <w:r>
        <w:rPr>
          <w:rFonts w:eastAsia="Calibri"/>
          <w:lang w:bidi="ar-SA"/>
        </w:rPr>
        <w:t>arious durations in</w:t>
      </w:r>
      <w:r w:rsidRPr="004C5F46">
        <w:rPr>
          <w:rFonts w:eastAsia="Calibri"/>
          <w:lang w:bidi="ar-SA"/>
        </w:rPr>
        <w:t xml:space="preserve"> </w:t>
      </w:r>
      <w:r>
        <w:rPr>
          <w:rFonts w:eastAsia="Calibri"/>
          <w:lang w:bidi="ar-SA"/>
        </w:rPr>
        <w:t xml:space="preserve">three </w:t>
      </w:r>
      <w:r w:rsidRPr="004C5F46">
        <w:rPr>
          <w:rFonts w:eastAsia="Calibri"/>
          <w:lang w:bidi="ar-SA"/>
        </w:rPr>
        <w:t>animal</w:t>
      </w:r>
      <w:r>
        <w:rPr>
          <w:rFonts w:eastAsia="Calibri"/>
          <w:lang w:bidi="ar-SA"/>
        </w:rPr>
        <w:t xml:space="preserve"> </w:t>
      </w:r>
      <w:r w:rsidRPr="004C5F46">
        <w:rPr>
          <w:rFonts w:eastAsia="Calibri"/>
          <w:lang w:bidi="ar-SA"/>
        </w:rPr>
        <w:t>species</w:t>
      </w:r>
      <w:r>
        <w:rPr>
          <w:rFonts w:eastAsia="Calibri"/>
          <w:lang w:bidi="ar-SA"/>
        </w:rPr>
        <w:t xml:space="preserve">. A NOAEL of 64 mg/kg </w:t>
      </w:r>
      <w:r w:rsidRPr="008334DA">
        <w:rPr>
          <w:rFonts w:eastAsia="Calibri"/>
          <w:lang w:bidi="ar-SA"/>
        </w:rPr>
        <w:t>bw/d</w:t>
      </w:r>
      <w:r>
        <w:rPr>
          <w:rFonts w:eastAsia="Calibri"/>
          <w:lang w:bidi="ar-SA"/>
        </w:rPr>
        <w:t>ay</w:t>
      </w:r>
      <w:r w:rsidRPr="008334DA">
        <w:rPr>
          <w:rFonts w:eastAsia="Calibri"/>
          <w:lang w:bidi="ar-SA"/>
        </w:rPr>
        <w:t xml:space="preserve"> from a chronic rat study</w:t>
      </w:r>
      <w:r>
        <w:rPr>
          <w:rFonts w:eastAsia="Calibri"/>
          <w:lang w:bidi="ar-SA"/>
        </w:rPr>
        <w:t xml:space="preserve"> was considered to be appropriate for use in risk characterisation. This NOAEL is ~850</w:t>
      </w:r>
      <w:r w:rsidR="007D3117">
        <w:rPr>
          <w:rFonts w:eastAsia="Calibri"/>
          <w:lang w:bidi="ar-SA"/>
        </w:rPr>
        <w:t xml:space="preserve"> </w:t>
      </w:r>
      <w:r>
        <w:rPr>
          <w:rFonts w:eastAsia="Calibri"/>
          <w:lang w:bidi="ar-SA"/>
        </w:rPr>
        <w:t xml:space="preserve">times the estimated dietary exposure (i.e. the </w:t>
      </w:r>
      <w:r w:rsidRPr="008334DA">
        <w:rPr>
          <w:rFonts w:eastAsia="Calibri"/>
          <w:lang w:bidi="ar-SA"/>
        </w:rPr>
        <w:t>margin of</w:t>
      </w:r>
      <w:r>
        <w:rPr>
          <w:rFonts w:eastAsia="Calibri"/>
          <w:lang w:bidi="ar-SA"/>
        </w:rPr>
        <w:t xml:space="preserve"> </w:t>
      </w:r>
      <w:r w:rsidRPr="008334DA">
        <w:rPr>
          <w:rFonts w:eastAsia="Calibri"/>
          <w:lang w:bidi="ar-SA"/>
        </w:rPr>
        <w:t xml:space="preserve">exposure (MOE) </w:t>
      </w:r>
      <w:r>
        <w:rPr>
          <w:rFonts w:eastAsia="Calibri"/>
          <w:lang w:bidi="ar-SA"/>
        </w:rPr>
        <w:t xml:space="preserve">is 8.5-times the conventional 100-fold safety factor), leading the </w:t>
      </w:r>
      <w:r w:rsidR="007A474A">
        <w:rPr>
          <w:rFonts w:eastAsia="Calibri"/>
          <w:lang w:bidi="ar-SA"/>
        </w:rPr>
        <w:t>USFDA</w:t>
      </w:r>
      <w:r>
        <w:rPr>
          <w:rFonts w:eastAsia="Calibri"/>
          <w:lang w:bidi="ar-SA"/>
        </w:rPr>
        <w:t xml:space="preserve"> to conclude</w:t>
      </w:r>
      <w:r w:rsidRPr="008334DA">
        <w:rPr>
          <w:rFonts w:eastAsia="Calibri"/>
          <w:lang w:bidi="ar-SA"/>
        </w:rPr>
        <w:t xml:space="preserve"> that current </w:t>
      </w:r>
      <w:r>
        <w:rPr>
          <w:rFonts w:eastAsia="Calibri"/>
          <w:lang w:bidi="ar-SA"/>
        </w:rPr>
        <w:t xml:space="preserve">dietary </w:t>
      </w:r>
      <w:r w:rsidRPr="008334DA">
        <w:rPr>
          <w:rFonts w:eastAsia="Calibri"/>
          <w:lang w:bidi="ar-SA"/>
        </w:rPr>
        <w:t xml:space="preserve">exposure </w:t>
      </w:r>
      <w:r>
        <w:rPr>
          <w:rFonts w:eastAsia="Calibri"/>
          <w:lang w:bidi="ar-SA"/>
        </w:rPr>
        <w:t>to Irganox 1076 does not present a human health concern.</w:t>
      </w:r>
    </w:p>
    <w:p w14:paraId="7E389115" w14:textId="620E99FB" w:rsidR="00005131" w:rsidRPr="00A06044" w:rsidRDefault="007A474A" w:rsidP="000A5113">
      <w:pPr>
        <w:pStyle w:val="Heading2"/>
        <w:rPr>
          <w:rFonts w:eastAsia="Calibri"/>
        </w:rPr>
      </w:pPr>
      <w:r>
        <w:rPr>
          <w:rFonts w:eastAsia="Calibri"/>
        </w:rPr>
        <w:t>6.7</w:t>
      </w:r>
      <w:r>
        <w:rPr>
          <w:rFonts w:eastAsia="Calibri"/>
        </w:rPr>
        <w:tab/>
      </w:r>
      <w:r w:rsidR="00005131">
        <w:rPr>
          <w:rFonts w:eastAsia="Calibri"/>
        </w:rPr>
        <w:t>Perfluorinated chemicals</w:t>
      </w:r>
    </w:p>
    <w:p w14:paraId="638BB547" w14:textId="7723D1CC" w:rsidR="00005131" w:rsidRDefault="00005131" w:rsidP="00005131">
      <w:pPr>
        <w:rPr>
          <w:rFonts w:eastAsia="Calibri"/>
          <w:lang w:bidi="ar-SA"/>
        </w:rPr>
      </w:pPr>
      <w:r>
        <w:rPr>
          <w:rFonts w:eastAsia="Calibri"/>
          <w:lang w:bidi="ar-SA"/>
        </w:rPr>
        <w:t>Since the 1960s, various p</w:t>
      </w:r>
      <w:r w:rsidRPr="00F57C6D">
        <w:rPr>
          <w:rFonts w:eastAsia="Calibri"/>
          <w:lang w:bidi="ar-SA"/>
        </w:rPr>
        <w:t xml:space="preserve">erfluorinated </w:t>
      </w:r>
      <w:r>
        <w:rPr>
          <w:rFonts w:eastAsia="Calibri"/>
          <w:lang w:bidi="ar-SA"/>
        </w:rPr>
        <w:t>chemicals (PFCs) have been approved in the US for use in grease-proof</w:t>
      </w:r>
      <w:r w:rsidRPr="00F57C6D">
        <w:rPr>
          <w:rFonts w:eastAsia="Calibri"/>
          <w:lang w:bidi="ar-SA"/>
        </w:rPr>
        <w:t xml:space="preserve"> </w:t>
      </w:r>
      <w:r>
        <w:rPr>
          <w:rFonts w:eastAsia="Calibri"/>
          <w:lang w:bidi="ar-SA"/>
        </w:rPr>
        <w:t>coatings on</w:t>
      </w:r>
      <w:r w:rsidRPr="00F57C6D">
        <w:rPr>
          <w:rFonts w:eastAsia="Calibri"/>
          <w:lang w:bidi="ar-SA"/>
        </w:rPr>
        <w:t xml:space="preserve"> </w:t>
      </w:r>
      <w:r>
        <w:rPr>
          <w:rFonts w:eastAsia="Calibri"/>
          <w:lang w:bidi="ar-SA"/>
        </w:rPr>
        <w:t xml:space="preserve">food packaging including </w:t>
      </w:r>
      <w:r w:rsidRPr="00F57C6D">
        <w:rPr>
          <w:rFonts w:eastAsia="Calibri"/>
          <w:lang w:bidi="ar-SA"/>
        </w:rPr>
        <w:t xml:space="preserve">paper wrappers and </w:t>
      </w:r>
      <w:r>
        <w:rPr>
          <w:rFonts w:eastAsia="Calibri"/>
          <w:lang w:bidi="ar-SA"/>
        </w:rPr>
        <w:t xml:space="preserve">paperboard </w:t>
      </w:r>
      <w:r w:rsidRPr="00F57C6D">
        <w:rPr>
          <w:rFonts w:eastAsia="Calibri"/>
          <w:lang w:bidi="ar-SA"/>
        </w:rPr>
        <w:t>containers</w:t>
      </w:r>
      <w:r>
        <w:rPr>
          <w:rFonts w:eastAsia="Calibri"/>
          <w:lang w:bidi="ar-SA"/>
        </w:rPr>
        <w:t xml:space="preserve"> (</w:t>
      </w:r>
      <w:r w:rsidR="007A474A">
        <w:rPr>
          <w:rFonts w:eastAsia="Calibri"/>
          <w:lang w:bidi="ar-SA"/>
        </w:rPr>
        <w:t>USFDA</w:t>
      </w:r>
      <w:r>
        <w:rPr>
          <w:rFonts w:eastAsia="Calibri"/>
          <w:lang w:bidi="ar-SA"/>
        </w:rPr>
        <w:t xml:space="preserve"> 2015)</w:t>
      </w:r>
      <w:r w:rsidRPr="00F57C6D">
        <w:rPr>
          <w:rFonts w:eastAsia="Calibri"/>
          <w:lang w:bidi="ar-SA"/>
        </w:rPr>
        <w:t xml:space="preserve">. </w:t>
      </w:r>
      <w:r>
        <w:rPr>
          <w:rFonts w:eastAsia="Calibri"/>
          <w:lang w:bidi="ar-SA"/>
        </w:rPr>
        <w:t xml:space="preserve">Some perfluorinated compounds have been shown to bioaccumulate in animals and in humans and to also exhibit adverse effects in laboratory animal studies, including reproductive and developmental toxicity. In general, substances with </w:t>
      </w:r>
      <w:r w:rsidRPr="00AD2901">
        <w:rPr>
          <w:rFonts w:eastAsia="Calibri"/>
          <w:lang w:bidi="ar-SA"/>
        </w:rPr>
        <w:t>perfluorinated alkyl chains greater than</w:t>
      </w:r>
      <w:r>
        <w:rPr>
          <w:rFonts w:eastAsia="Calibri"/>
          <w:lang w:bidi="ar-SA"/>
        </w:rPr>
        <w:t xml:space="preserve"> </w:t>
      </w:r>
      <w:r w:rsidRPr="00AD2901">
        <w:rPr>
          <w:rFonts w:eastAsia="Calibri"/>
          <w:lang w:bidi="ar-SA"/>
        </w:rPr>
        <w:t>or equal to eight carbons in length</w:t>
      </w:r>
      <w:r>
        <w:rPr>
          <w:rFonts w:eastAsia="Calibri"/>
          <w:lang w:bidi="ar-SA"/>
        </w:rPr>
        <w:t xml:space="preserve"> (C8 PFCs) bioaccumulate</w:t>
      </w:r>
      <w:r w:rsidRPr="00AD2901">
        <w:rPr>
          <w:rFonts w:eastAsia="Calibri"/>
          <w:lang w:bidi="ar-SA"/>
        </w:rPr>
        <w:t>, while those less than eight carbons in length do not</w:t>
      </w:r>
      <w:r>
        <w:rPr>
          <w:rFonts w:eastAsia="Calibri"/>
          <w:lang w:bidi="ar-SA"/>
        </w:rPr>
        <w:t xml:space="preserve"> (Rice 2015). Following a review of C8 PFCs, the </w:t>
      </w:r>
      <w:r w:rsidR="007A474A">
        <w:rPr>
          <w:rFonts w:eastAsia="Calibri"/>
          <w:lang w:bidi="ar-SA"/>
        </w:rPr>
        <w:t>USFDA</w:t>
      </w:r>
      <w:r>
        <w:rPr>
          <w:rFonts w:eastAsia="Calibri"/>
          <w:lang w:bidi="ar-SA"/>
        </w:rPr>
        <w:t xml:space="preserve"> worked with several manufacturers to remove </w:t>
      </w:r>
      <w:r w:rsidRPr="005A3E3F">
        <w:rPr>
          <w:rFonts w:eastAsia="Calibri"/>
          <w:lang w:bidi="ar-SA"/>
        </w:rPr>
        <w:t xml:space="preserve">grease-proofing agents containing C8 </w:t>
      </w:r>
      <w:r>
        <w:rPr>
          <w:rFonts w:eastAsia="Calibri"/>
          <w:lang w:bidi="ar-SA"/>
        </w:rPr>
        <w:t>PFCs</w:t>
      </w:r>
      <w:r w:rsidRPr="005A3E3F">
        <w:rPr>
          <w:rFonts w:eastAsia="Calibri"/>
          <w:lang w:bidi="ar-SA"/>
        </w:rPr>
        <w:t xml:space="preserve"> from the marketplace.</w:t>
      </w:r>
      <w:r w:rsidRPr="005A3E3F">
        <w:t xml:space="preserve"> </w:t>
      </w:r>
      <w:r w:rsidRPr="005A3E3F">
        <w:rPr>
          <w:rFonts w:eastAsia="Calibri"/>
          <w:lang w:bidi="ar-SA"/>
        </w:rPr>
        <w:t xml:space="preserve">As a result of </w:t>
      </w:r>
      <w:r>
        <w:rPr>
          <w:rFonts w:eastAsia="Calibri"/>
          <w:lang w:bidi="ar-SA"/>
        </w:rPr>
        <w:t xml:space="preserve">this initiative, </w:t>
      </w:r>
      <w:r w:rsidRPr="00E22E34">
        <w:rPr>
          <w:rFonts w:eastAsia="Calibri"/>
          <w:lang w:bidi="ar-SA"/>
        </w:rPr>
        <w:t>in 2011</w:t>
      </w:r>
      <w:r>
        <w:rPr>
          <w:rFonts w:eastAsia="Calibri"/>
          <w:lang w:bidi="ar-SA"/>
        </w:rPr>
        <w:t xml:space="preserve"> these </w:t>
      </w:r>
      <w:r w:rsidRPr="005A3E3F">
        <w:rPr>
          <w:rFonts w:eastAsia="Calibri"/>
          <w:lang w:bidi="ar-SA"/>
        </w:rPr>
        <w:t xml:space="preserve">manufacturers volunteered to stop distributing </w:t>
      </w:r>
      <w:r>
        <w:rPr>
          <w:rFonts w:eastAsia="Calibri"/>
          <w:lang w:bidi="ar-SA"/>
        </w:rPr>
        <w:t>products containing C8 PFCs</w:t>
      </w:r>
      <w:r w:rsidRPr="005A3E3F">
        <w:rPr>
          <w:rFonts w:eastAsia="Calibri"/>
          <w:lang w:bidi="ar-SA"/>
        </w:rPr>
        <w:t xml:space="preserve"> for food-contact purposes </w:t>
      </w:r>
      <w:r>
        <w:rPr>
          <w:rFonts w:eastAsia="Calibri"/>
          <w:lang w:bidi="ar-SA"/>
        </w:rPr>
        <w:t>(</w:t>
      </w:r>
      <w:r w:rsidR="007A474A">
        <w:rPr>
          <w:rFonts w:eastAsia="Calibri"/>
          <w:lang w:bidi="ar-SA"/>
        </w:rPr>
        <w:t>USFDA</w:t>
      </w:r>
      <w:r>
        <w:rPr>
          <w:rFonts w:eastAsia="Calibri"/>
          <w:lang w:bidi="ar-SA"/>
        </w:rPr>
        <w:t xml:space="preserve"> 2015)</w:t>
      </w:r>
      <w:r w:rsidRPr="005A3E3F">
        <w:rPr>
          <w:rFonts w:eastAsia="Calibri"/>
          <w:lang w:bidi="ar-SA"/>
        </w:rPr>
        <w:t>.</w:t>
      </w:r>
    </w:p>
    <w:p w14:paraId="01B64BE6" w14:textId="77777777" w:rsidR="00005131" w:rsidRDefault="00005131" w:rsidP="00005131">
      <w:pPr>
        <w:rPr>
          <w:rFonts w:eastAsia="Calibri"/>
          <w:lang w:bidi="ar-SA"/>
        </w:rPr>
      </w:pPr>
    </w:p>
    <w:p w14:paraId="0E8FE81E" w14:textId="34346D08" w:rsidR="00770ECD" w:rsidRDefault="00005131" w:rsidP="00005131">
      <w:r>
        <w:rPr>
          <w:rFonts w:eastAsia="Calibri"/>
          <w:lang w:bidi="ar-SA"/>
        </w:rPr>
        <w:t xml:space="preserve">In January 2016, the </w:t>
      </w:r>
      <w:r w:rsidR="007A474A">
        <w:rPr>
          <w:rFonts w:eastAsia="Calibri"/>
          <w:lang w:bidi="ar-SA"/>
        </w:rPr>
        <w:t>USFDA</w:t>
      </w:r>
      <w:r>
        <w:rPr>
          <w:rFonts w:eastAsia="Calibri"/>
          <w:lang w:bidi="ar-SA"/>
        </w:rPr>
        <w:t xml:space="preserve"> withdrew the authorisation of three C8 PFCs</w:t>
      </w:r>
      <w:r w:rsidRPr="00E320D8">
        <w:t xml:space="preserve"> </w:t>
      </w:r>
      <w:r>
        <w:t xml:space="preserve">used as </w:t>
      </w:r>
      <w:r w:rsidRPr="00E320D8">
        <w:rPr>
          <w:rFonts w:eastAsia="Calibri"/>
          <w:lang w:bidi="ar-SA"/>
        </w:rPr>
        <w:t xml:space="preserve">oil and water </w:t>
      </w:r>
      <w:r>
        <w:rPr>
          <w:rFonts w:eastAsia="Calibri"/>
          <w:lang w:bidi="ar-SA"/>
        </w:rPr>
        <w:t>repellent coatings on</w:t>
      </w:r>
      <w:r w:rsidRPr="00E320D8">
        <w:rPr>
          <w:rFonts w:eastAsia="Calibri"/>
          <w:lang w:bidi="ar-SA"/>
        </w:rPr>
        <w:t xml:space="preserve"> paper and</w:t>
      </w:r>
      <w:r>
        <w:rPr>
          <w:rFonts w:eastAsia="Calibri"/>
          <w:lang w:bidi="ar-SA"/>
        </w:rPr>
        <w:t xml:space="preserve"> </w:t>
      </w:r>
      <w:r w:rsidRPr="00E320D8">
        <w:rPr>
          <w:rFonts w:eastAsia="Calibri"/>
          <w:lang w:bidi="ar-SA"/>
        </w:rPr>
        <w:t>paperboard in contact with</w:t>
      </w:r>
      <w:r>
        <w:rPr>
          <w:rFonts w:eastAsia="Calibri"/>
          <w:lang w:bidi="ar-SA"/>
        </w:rPr>
        <w:t xml:space="preserve"> food.</w:t>
      </w:r>
      <w:r w:rsidRPr="002E233E">
        <w:t xml:space="preserve"> </w:t>
      </w:r>
    </w:p>
    <w:p w14:paraId="59A7E19F" w14:textId="0D86EFA9" w:rsidR="00770ECD" w:rsidRDefault="00770ECD" w:rsidP="00770ECD">
      <w:r>
        <w:t>The three PFCs are as follows:</w:t>
      </w:r>
    </w:p>
    <w:p w14:paraId="65FF8465" w14:textId="77777777" w:rsidR="005E215E" w:rsidRDefault="005E215E" w:rsidP="00770ECD"/>
    <w:p w14:paraId="72F3616B" w14:textId="5BB0EBC6" w:rsidR="00770ECD" w:rsidRDefault="00770ECD" w:rsidP="007D3117">
      <w:pPr>
        <w:pStyle w:val="ListParagraph"/>
        <w:numPr>
          <w:ilvl w:val="0"/>
          <w:numId w:val="7"/>
        </w:numPr>
        <w:ind w:left="567" w:hanging="567"/>
      </w:pPr>
      <w:r>
        <w:t>Diethanolamine salts of mono- and bis (1</w:t>
      </w:r>
      <w:r w:rsidRPr="005E215E">
        <w:rPr>
          <w:i/>
        </w:rPr>
        <w:t>H</w:t>
      </w:r>
      <w:r>
        <w:t>,1</w:t>
      </w:r>
      <w:r w:rsidRPr="005E215E">
        <w:rPr>
          <w:i/>
        </w:rPr>
        <w:t>H</w:t>
      </w:r>
      <w:r>
        <w:t>,2</w:t>
      </w:r>
      <w:r w:rsidRPr="005E215E">
        <w:rPr>
          <w:i/>
        </w:rPr>
        <w:t>H</w:t>
      </w:r>
      <w:r>
        <w:t>,2</w:t>
      </w:r>
      <w:r w:rsidRPr="005E215E">
        <w:rPr>
          <w:i/>
        </w:rPr>
        <w:t>H</w:t>
      </w:r>
      <w:r>
        <w:t xml:space="preserve"> perfluoroalkyl) phosphates where the alkyl group is even-numbered in the r</w:t>
      </w:r>
      <w:r w:rsidR="002D6C81">
        <w:t>ange C8–C18</w:t>
      </w:r>
      <w:r>
        <w:t xml:space="preserve">; </w:t>
      </w:r>
    </w:p>
    <w:p w14:paraId="4EFCE40F" w14:textId="126E9829" w:rsidR="00770ECD" w:rsidRDefault="00770ECD" w:rsidP="007D3117">
      <w:pPr>
        <w:pStyle w:val="ListParagraph"/>
        <w:numPr>
          <w:ilvl w:val="0"/>
          <w:numId w:val="7"/>
        </w:numPr>
        <w:ind w:left="567" w:hanging="567"/>
      </w:pPr>
      <w:r>
        <w:t>Pentanoic acid, 4,4-bis [(</w:t>
      </w:r>
      <w:r w:rsidRPr="005E215E">
        <w:rPr>
          <w:i/>
        </w:rPr>
        <w:t>gamma</w:t>
      </w:r>
      <w:r>
        <w:t>-</w:t>
      </w:r>
      <w:r w:rsidRPr="005E215E">
        <w:rPr>
          <w:i/>
        </w:rPr>
        <w:t>omega</w:t>
      </w:r>
      <w:r>
        <w:t>-perfluoro-C8-20-alkyl)thio] derivatives, compounds with diethanolamine; and</w:t>
      </w:r>
    </w:p>
    <w:p w14:paraId="13CE5698" w14:textId="2D2DB0FB" w:rsidR="00770ECD" w:rsidRDefault="00770ECD" w:rsidP="007D3117">
      <w:pPr>
        <w:pStyle w:val="ListParagraph"/>
        <w:numPr>
          <w:ilvl w:val="0"/>
          <w:numId w:val="7"/>
        </w:numPr>
        <w:ind w:left="567" w:hanging="567"/>
      </w:pPr>
      <w:r>
        <w:t>Perfluoroalkyl substituted phosphate ester acids, ammonium salts formed by the reaction of 2</w:t>
      </w:r>
      <w:proofErr w:type="gramStart"/>
      <w:r>
        <w:t>,2</w:t>
      </w:r>
      <w:proofErr w:type="gramEnd"/>
      <w:r>
        <w:t>-bis[([</w:t>
      </w:r>
      <w:r w:rsidRPr="005E215E">
        <w:rPr>
          <w:i/>
        </w:rPr>
        <w:t>gamma</w:t>
      </w:r>
      <w:r>
        <w:t>], [</w:t>
      </w:r>
      <w:r w:rsidRPr="005E215E">
        <w:rPr>
          <w:i/>
        </w:rPr>
        <w:t>omega</w:t>
      </w:r>
      <w:r>
        <w:t>]-perfluoro C4-20 alkylthio) methyl]-1,3-propanediol, polyphosphoric acid and ammonium hydroxide.</w:t>
      </w:r>
    </w:p>
    <w:p w14:paraId="6DDCBF23" w14:textId="77777777" w:rsidR="00770ECD" w:rsidRDefault="00770ECD" w:rsidP="00005131"/>
    <w:p w14:paraId="498A67A2" w14:textId="046465C4" w:rsidR="00F70860" w:rsidRDefault="00005131" w:rsidP="00F70860">
      <w:pPr>
        <w:ind w:right="-428"/>
        <w:rPr>
          <w:rFonts w:eastAsia="Calibri"/>
          <w:lang w:bidi="ar-SA"/>
        </w:rPr>
      </w:pPr>
      <w:r>
        <w:t xml:space="preserve">It was noted that there </w:t>
      </w:r>
      <w:r>
        <w:rPr>
          <w:rFonts w:eastAsia="Calibri"/>
          <w:lang w:bidi="ar-SA"/>
        </w:rPr>
        <w:t xml:space="preserve">were </w:t>
      </w:r>
      <w:r w:rsidRPr="002E233E">
        <w:rPr>
          <w:rFonts w:eastAsia="Calibri"/>
          <w:lang w:bidi="ar-SA"/>
        </w:rPr>
        <w:t xml:space="preserve">deficiencies in the available information used to determine migration </w:t>
      </w:r>
      <w:r>
        <w:rPr>
          <w:rFonts w:eastAsia="Calibri"/>
          <w:lang w:bidi="ar-SA"/>
        </w:rPr>
        <w:t xml:space="preserve">levels </w:t>
      </w:r>
      <w:r w:rsidRPr="002E233E">
        <w:rPr>
          <w:rFonts w:eastAsia="Calibri"/>
          <w:lang w:bidi="ar-SA"/>
        </w:rPr>
        <w:t>of the</w:t>
      </w:r>
      <w:r>
        <w:rPr>
          <w:rFonts w:eastAsia="Calibri"/>
          <w:lang w:bidi="ar-SA"/>
        </w:rPr>
        <w:t>se substances</w:t>
      </w:r>
      <w:r w:rsidRPr="002E233E">
        <w:rPr>
          <w:rFonts w:eastAsia="Calibri"/>
          <w:lang w:bidi="ar-SA"/>
        </w:rPr>
        <w:t xml:space="preserve"> into food</w:t>
      </w:r>
      <w:r>
        <w:rPr>
          <w:rFonts w:eastAsia="Calibri"/>
          <w:lang w:bidi="ar-SA"/>
        </w:rPr>
        <w:t>, and f</w:t>
      </w:r>
      <w:r w:rsidRPr="002E233E">
        <w:rPr>
          <w:rFonts w:eastAsia="Calibri"/>
          <w:lang w:bidi="ar-SA"/>
        </w:rPr>
        <w:t xml:space="preserve">or this reason </w:t>
      </w:r>
      <w:r>
        <w:rPr>
          <w:rFonts w:eastAsia="Calibri"/>
          <w:lang w:bidi="ar-SA"/>
        </w:rPr>
        <w:t xml:space="preserve">a reliable estimate of dietary exposure </w:t>
      </w:r>
      <w:r w:rsidRPr="002E233E">
        <w:rPr>
          <w:rFonts w:eastAsia="Calibri"/>
          <w:lang w:bidi="ar-SA"/>
        </w:rPr>
        <w:t xml:space="preserve">to the </w:t>
      </w:r>
      <w:r>
        <w:rPr>
          <w:rFonts w:eastAsia="Calibri"/>
          <w:lang w:bidi="ar-SA"/>
        </w:rPr>
        <w:t>substances could not be calculated.</w:t>
      </w:r>
      <w:r w:rsidRPr="0037155A">
        <w:t xml:space="preserve"> </w:t>
      </w:r>
      <w:r>
        <w:t xml:space="preserve">The </w:t>
      </w:r>
      <w:r w:rsidR="007A474A">
        <w:t>USFDA</w:t>
      </w:r>
      <w:r>
        <w:t xml:space="preserve"> concluded </w:t>
      </w:r>
      <w:r w:rsidRPr="0037155A">
        <w:rPr>
          <w:rFonts w:eastAsia="Calibri"/>
          <w:lang w:bidi="ar-SA"/>
        </w:rPr>
        <w:t>there is no longer a rea</w:t>
      </w:r>
      <w:r>
        <w:rPr>
          <w:rFonts w:eastAsia="Calibri"/>
          <w:lang w:bidi="ar-SA"/>
        </w:rPr>
        <w:t xml:space="preserve">sonable certainty of no harm from </w:t>
      </w:r>
      <w:r w:rsidRPr="0037155A">
        <w:rPr>
          <w:rFonts w:eastAsia="Calibri"/>
          <w:lang w:bidi="ar-SA"/>
        </w:rPr>
        <w:t>food contact use of the three</w:t>
      </w:r>
      <w:r>
        <w:rPr>
          <w:rFonts w:eastAsia="Calibri"/>
          <w:lang w:bidi="ar-SA"/>
        </w:rPr>
        <w:t xml:space="preserve"> substances (US</w:t>
      </w:r>
      <w:r w:rsidR="00A50F7E">
        <w:rPr>
          <w:rFonts w:eastAsia="Calibri"/>
          <w:lang w:bidi="ar-SA"/>
        </w:rPr>
        <w:t xml:space="preserve"> </w:t>
      </w:r>
      <w:r>
        <w:rPr>
          <w:rFonts w:eastAsia="Calibri"/>
          <w:lang w:bidi="ar-SA"/>
        </w:rPr>
        <w:t>FR 2016).</w:t>
      </w:r>
      <w:r w:rsidR="00F70860">
        <w:rPr>
          <w:rFonts w:eastAsia="Calibri"/>
          <w:lang w:bidi="ar-SA"/>
        </w:rPr>
        <w:br w:type="page"/>
      </w:r>
    </w:p>
    <w:p w14:paraId="2355BA80" w14:textId="1EE93187" w:rsidR="006B6E75" w:rsidRDefault="006B6E75" w:rsidP="00005131">
      <w:pPr>
        <w:rPr>
          <w:rFonts w:eastAsia="Calibri"/>
          <w:lang w:bidi="ar-SA"/>
        </w:rPr>
      </w:pPr>
      <w:r w:rsidRPr="006B6E75">
        <w:rPr>
          <w:rFonts w:eastAsia="Calibri"/>
          <w:lang w:bidi="ar-SA"/>
        </w:rPr>
        <w:lastRenderedPageBreak/>
        <w:t>The 24</w:t>
      </w:r>
      <w:r w:rsidRPr="006B6E75">
        <w:rPr>
          <w:rFonts w:eastAsia="Calibri"/>
          <w:vertAlign w:val="superscript"/>
          <w:lang w:bidi="ar-SA"/>
        </w:rPr>
        <w:t>th</w:t>
      </w:r>
      <w:r w:rsidRPr="006B6E75">
        <w:rPr>
          <w:rFonts w:eastAsia="Calibri"/>
          <w:lang w:bidi="ar-SA"/>
        </w:rPr>
        <w:t xml:space="preserve"> ATDS included the analysis of </w:t>
      </w:r>
      <w:r>
        <w:rPr>
          <w:rFonts w:eastAsia="Calibri"/>
          <w:lang w:bidi="ar-SA"/>
        </w:rPr>
        <w:t xml:space="preserve">two </w:t>
      </w:r>
      <w:r w:rsidR="00BA517A">
        <w:rPr>
          <w:rFonts w:eastAsia="Calibri"/>
          <w:lang w:bidi="ar-SA"/>
        </w:rPr>
        <w:t xml:space="preserve">other C8 </w:t>
      </w:r>
      <w:r>
        <w:rPr>
          <w:rFonts w:eastAsia="Calibri"/>
          <w:lang w:bidi="ar-SA"/>
        </w:rPr>
        <w:t>PFCs in 5</w:t>
      </w:r>
      <w:r w:rsidRPr="006B6E75">
        <w:rPr>
          <w:rFonts w:eastAsia="Calibri"/>
          <w:lang w:bidi="ar-SA"/>
        </w:rPr>
        <w:t>0 composite food samples. PFOS was detected at low levels (</w:t>
      </w:r>
      <w:r w:rsidR="00727E80">
        <w:rPr>
          <w:rFonts w:eastAsia="Calibri"/>
          <w:lang w:bidi="ar-SA"/>
        </w:rPr>
        <w:t>0.001</w:t>
      </w:r>
      <w:r w:rsidR="007E6478">
        <w:rPr>
          <w:rFonts w:eastAsia="Calibri"/>
          <w:lang w:bidi="ar-SA"/>
        </w:rPr>
        <w:t xml:space="preserve"> </w:t>
      </w:r>
      <w:r w:rsidR="00727E80">
        <w:rPr>
          <w:rFonts w:eastAsia="Calibri" w:cs="Arial"/>
          <w:lang w:bidi="ar-SA"/>
        </w:rPr>
        <w:t>m</w:t>
      </w:r>
      <w:r w:rsidR="007E6478">
        <w:rPr>
          <w:rFonts w:eastAsia="Calibri"/>
          <w:lang w:bidi="ar-SA"/>
        </w:rPr>
        <w:t>g/kg</w:t>
      </w:r>
      <w:r w:rsidRPr="006B6E75">
        <w:rPr>
          <w:rFonts w:eastAsia="Calibri"/>
          <w:lang w:bidi="ar-SA"/>
        </w:rPr>
        <w:t xml:space="preserve">) in two out of </w:t>
      </w:r>
      <w:r>
        <w:rPr>
          <w:rFonts w:eastAsia="Calibri"/>
          <w:lang w:bidi="ar-SA"/>
        </w:rPr>
        <w:t xml:space="preserve">the </w:t>
      </w:r>
      <w:r w:rsidRPr="006B6E75">
        <w:rPr>
          <w:rFonts w:eastAsia="Calibri"/>
          <w:lang w:bidi="ar-SA"/>
        </w:rPr>
        <w:t xml:space="preserve">50 </w:t>
      </w:r>
      <w:r w:rsidR="005E215E" w:rsidRPr="006B6E75">
        <w:rPr>
          <w:rFonts w:eastAsia="Calibri"/>
          <w:lang w:bidi="ar-SA"/>
        </w:rPr>
        <w:t>foods</w:t>
      </w:r>
      <w:r w:rsidR="005E215E">
        <w:rPr>
          <w:rFonts w:eastAsia="Calibri"/>
          <w:lang w:bidi="ar-SA"/>
        </w:rPr>
        <w:t>;</w:t>
      </w:r>
      <w:r w:rsidR="00024A4A">
        <w:rPr>
          <w:rFonts w:eastAsia="Calibri"/>
          <w:lang w:bidi="ar-SA"/>
        </w:rPr>
        <w:t xml:space="preserve"> however t</w:t>
      </w:r>
      <w:r w:rsidR="00024A4A" w:rsidRPr="00024A4A">
        <w:rPr>
          <w:rFonts w:eastAsia="Calibri"/>
          <w:lang w:bidi="ar-SA"/>
        </w:rPr>
        <w:t xml:space="preserve">he TMDE was low in comparison to the TDI </w:t>
      </w:r>
      <w:r w:rsidR="00024A4A">
        <w:rPr>
          <w:rFonts w:eastAsia="Calibri"/>
          <w:lang w:bidi="ar-SA"/>
        </w:rPr>
        <w:t>indicating</w:t>
      </w:r>
      <w:r w:rsidR="00024A4A" w:rsidRPr="00024A4A">
        <w:rPr>
          <w:rFonts w:eastAsia="Calibri"/>
          <w:lang w:bidi="ar-SA"/>
        </w:rPr>
        <w:t xml:space="preserve"> a negligible public</w:t>
      </w:r>
      <w:r w:rsidR="00024A4A">
        <w:rPr>
          <w:rFonts w:eastAsia="Calibri"/>
          <w:lang w:bidi="ar-SA"/>
        </w:rPr>
        <w:t xml:space="preserve"> </w:t>
      </w:r>
      <w:r w:rsidR="00024A4A" w:rsidRPr="00024A4A">
        <w:rPr>
          <w:rFonts w:eastAsia="Calibri"/>
          <w:lang w:bidi="ar-SA"/>
        </w:rPr>
        <w:t>health and safety risk.</w:t>
      </w:r>
      <w:r w:rsidR="00024A4A">
        <w:rPr>
          <w:rFonts w:eastAsia="Calibri"/>
          <w:lang w:bidi="ar-SA"/>
        </w:rPr>
        <w:t xml:space="preserve"> </w:t>
      </w:r>
      <w:r w:rsidRPr="006B6E75">
        <w:rPr>
          <w:rFonts w:eastAsia="Calibri"/>
          <w:lang w:bidi="ar-SA"/>
        </w:rPr>
        <w:t>PFOA was not detected in any foods (FSANZ 2016).</w:t>
      </w:r>
    </w:p>
    <w:p w14:paraId="2974A521" w14:textId="69692152" w:rsidR="007A6A3D" w:rsidRPr="007A6A3D" w:rsidRDefault="007D3117" w:rsidP="000A5113">
      <w:pPr>
        <w:pStyle w:val="Heading2"/>
        <w:rPr>
          <w:rFonts w:eastAsia="Calibri"/>
        </w:rPr>
      </w:pPr>
      <w:r>
        <w:rPr>
          <w:rFonts w:eastAsia="Calibri"/>
        </w:rPr>
        <w:t>6.8</w:t>
      </w:r>
      <w:r>
        <w:rPr>
          <w:rFonts w:eastAsia="Calibri"/>
        </w:rPr>
        <w:tab/>
      </w:r>
      <w:r w:rsidR="007A6A3D" w:rsidRPr="007A6A3D">
        <w:rPr>
          <w:rFonts w:eastAsia="Calibri"/>
        </w:rPr>
        <w:t xml:space="preserve">Food packaging chemicals in the </w:t>
      </w:r>
      <w:r w:rsidR="007A6A3D" w:rsidRPr="000A5113">
        <w:rPr>
          <w:rFonts w:eastAsia="Calibri"/>
          <w:i/>
        </w:rPr>
        <w:t>Australia New Zealand Food Standards Code</w:t>
      </w:r>
    </w:p>
    <w:p w14:paraId="06C216A2" w14:textId="25AAA7B6" w:rsidR="00BD0F46" w:rsidRPr="00BD0F46" w:rsidRDefault="007D3117" w:rsidP="000A5113">
      <w:pPr>
        <w:pStyle w:val="Heading3"/>
        <w:rPr>
          <w:rFonts w:eastAsia="Calibri"/>
        </w:rPr>
      </w:pPr>
      <w:r>
        <w:rPr>
          <w:rFonts w:eastAsia="Calibri"/>
        </w:rPr>
        <w:t>6.8.1</w:t>
      </w:r>
      <w:r>
        <w:rPr>
          <w:rFonts w:eastAsia="Calibri"/>
        </w:rPr>
        <w:tab/>
      </w:r>
      <w:r w:rsidR="00BD0F46" w:rsidRPr="00BD0F46">
        <w:rPr>
          <w:rFonts w:eastAsia="Calibri"/>
        </w:rPr>
        <w:t>Acrylonitrile</w:t>
      </w:r>
    </w:p>
    <w:p w14:paraId="3C04E6EA" w14:textId="77777777" w:rsidR="007D3117" w:rsidRDefault="00BD0F46" w:rsidP="000A5113">
      <w:pPr>
        <w:rPr>
          <w:rFonts w:eastAsia="Calibri"/>
          <w:lang w:bidi="ar-SA"/>
        </w:rPr>
      </w:pPr>
      <w:r w:rsidRPr="00BD0F46">
        <w:rPr>
          <w:rFonts w:eastAsia="Calibri"/>
          <w:lang w:bidi="ar-SA"/>
        </w:rPr>
        <w:t>Acrylonitrile is a starting substance for the production of certain resins and plastics. Substances derived from acrylonitrile may contain residual amounts of the monomer which can potentially migrate into food.</w:t>
      </w:r>
      <w:r>
        <w:rPr>
          <w:rFonts w:eastAsia="Calibri"/>
          <w:lang w:bidi="ar-SA"/>
        </w:rPr>
        <w:t xml:space="preserve"> </w:t>
      </w:r>
      <w:r w:rsidRPr="00BD0F46">
        <w:rPr>
          <w:rFonts w:eastAsia="Calibri"/>
          <w:lang w:bidi="ar-SA"/>
        </w:rPr>
        <w:t xml:space="preserve">An assessment by the </w:t>
      </w:r>
      <w:r w:rsidR="007D3117">
        <w:rPr>
          <w:rFonts w:eastAsia="Calibri"/>
          <w:lang w:bidi="ar-SA"/>
        </w:rPr>
        <w:t xml:space="preserve">then </w:t>
      </w:r>
      <w:r w:rsidRPr="00BD0F46">
        <w:rPr>
          <w:rFonts w:eastAsia="Calibri"/>
          <w:lang w:bidi="ar-SA"/>
        </w:rPr>
        <w:t>Australia New Zealand Food Authority (ANZFA) concluded that acrylonitrile is carcinogenic in rats when administered</w:t>
      </w:r>
      <w:r w:rsidR="00AD72D0">
        <w:rPr>
          <w:rFonts w:eastAsia="Calibri"/>
          <w:lang w:bidi="ar-SA"/>
        </w:rPr>
        <w:t xml:space="preserve"> via the oral route (ANZFA 1999a</w:t>
      </w:r>
      <w:r w:rsidRPr="00BD0F46">
        <w:rPr>
          <w:rFonts w:eastAsia="Calibri"/>
          <w:lang w:bidi="ar-SA"/>
        </w:rPr>
        <w:t xml:space="preserve">), consistent with an earlier JECFA evaluation (WHO 1984). ANZFA further concluded that there was no evidence of adverse health effects resulting from low level exposure via food, however the potential for carcinogenicity requires that exposure should be kept as low as possible. It was therefore proposed to retain the existing ML for all food which was set at the limit of detection </w:t>
      </w:r>
      <w:r w:rsidR="00AD72D0">
        <w:rPr>
          <w:rFonts w:eastAsia="Calibri"/>
          <w:lang w:bidi="ar-SA"/>
        </w:rPr>
        <w:t>(LOD) of 0.02 mg/kg (ANZFA 1999a</w:t>
      </w:r>
      <w:r w:rsidRPr="00BD0F46">
        <w:rPr>
          <w:rFonts w:eastAsia="Calibri"/>
          <w:lang w:bidi="ar-SA"/>
        </w:rPr>
        <w:t>).</w:t>
      </w:r>
      <w:r>
        <w:rPr>
          <w:rFonts w:eastAsia="Calibri"/>
          <w:lang w:bidi="ar-SA"/>
        </w:rPr>
        <w:t xml:space="preserve"> </w:t>
      </w:r>
    </w:p>
    <w:p w14:paraId="02525637" w14:textId="77777777" w:rsidR="007D3117" w:rsidRDefault="007D3117" w:rsidP="000A5113">
      <w:pPr>
        <w:rPr>
          <w:rFonts w:eastAsia="Calibri"/>
          <w:lang w:bidi="ar-SA"/>
        </w:rPr>
      </w:pPr>
    </w:p>
    <w:p w14:paraId="6BC88DEE" w14:textId="231B6033" w:rsidR="00BD0F46" w:rsidRDefault="00BD0F46" w:rsidP="000A5113">
      <w:pPr>
        <w:rPr>
          <w:rFonts w:eastAsia="Calibri"/>
          <w:lang w:bidi="ar-SA"/>
        </w:rPr>
      </w:pPr>
      <w:r w:rsidRPr="00BD0F46">
        <w:rPr>
          <w:rFonts w:eastAsia="Calibri"/>
          <w:lang w:bidi="ar-SA"/>
        </w:rPr>
        <w:t>In a FSANZ analytical survey, a range of foods packaged in plastic were tested for acrylonitrile. The foods tested included full fat milk, minced beef, yogurt, tomato sauce, pre-prepared meals, orange juice and still water. The analytical method had a limit of quantification (LOQ) ranging from 0.001 to 0.01 mg/kg depending on the food matrix. There were no detections of acrylo</w:t>
      </w:r>
      <w:r w:rsidR="00AD72D0">
        <w:rPr>
          <w:rFonts w:eastAsia="Calibri"/>
          <w:lang w:bidi="ar-SA"/>
        </w:rPr>
        <w:t>nitrile in any food (FSANZ 2011</w:t>
      </w:r>
      <w:r w:rsidRPr="00BD0F46">
        <w:rPr>
          <w:rFonts w:eastAsia="Calibri"/>
          <w:lang w:bidi="ar-SA"/>
        </w:rPr>
        <w:t>).</w:t>
      </w:r>
      <w:r>
        <w:rPr>
          <w:rFonts w:eastAsia="Calibri"/>
          <w:lang w:bidi="ar-SA"/>
        </w:rPr>
        <w:t xml:space="preserve"> </w:t>
      </w:r>
      <w:r w:rsidRPr="00BD0F46">
        <w:rPr>
          <w:rFonts w:eastAsia="Calibri"/>
          <w:lang w:bidi="ar-SA"/>
        </w:rPr>
        <w:t>Reports from the 1980s indicated parts-per-billion (ppb = μg/kg) levels of acrylonitrile in some foods. An absence of detectable acrylonitrile in foods analysed in the above FSANZ study is consistent with the reported large improvements in the formulation and production of food packaging materials</w:t>
      </w:r>
      <w:r w:rsidR="007646D2">
        <w:rPr>
          <w:rFonts w:eastAsia="Calibri"/>
          <w:lang w:bidi="ar-SA"/>
        </w:rPr>
        <w:t xml:space="preserve"> that use acrylonitrile</w:t>
      </w:r>
      <w:r w:rsidRPr="00BD0F46">
        <w:rPr>
          <w:rFonts w:eastAsia="Calibri"/>
          <w:lang w:bidi="ar-SA"/>
        </w:rPr>
        <w:t xml:space="preserve"> </w:t>
      </w:r>
      <w:r w:rsidR="007646D2">
        <w:rPr>
          <w:rFonts w:eastAsia="Calibri"/>
          <w:lang w:bidi="ar-SA"/>
        </w:rPr>
        <w:t xml:space="preserve">as a starting substance </w:t>
      </w:r>
      <w:r w:rsidRPr="00BD0F46">
        <w:rPr>
          <w:rFonts w:eastAsia="Calibri"/>
          <w:lang w:bidi="ar-SA"/>
        </w:rPr>
        <w:t>(ATSDR 1990; NICNAS 2000).</w:t>
      </w:r>
    </w:p>
    <w:p w14:paraId="305594BD" w14:textId="27E6BD49" w:rsidR="00BD0F46" w:rsidRPr="00BD0F46" w:rsidRDefault="007D3117" w:rsidP="000A5113">
      <w:pPr>
        <w:pStyle w:val="Heading3"/>
        <w:rPr>
          <w:rFonts w:eastAsia="Calibri"/>
        </w:rPr>
      </w:pPr>
      <w:r>
        <w:rPr>
          <w:rFonts w:eastAsia="Calibri"/>
        </w:rPr>
        <w:t>6.8.2</w:t>
      </w:r>
      <w:r>
        <w:rPr>
          <w:rFonts w:eastAsia="Calibri"/>
        </w:rPr>
        <w:tab/>
      </w:r>
      <w:r w:rsidR="00BD0F46" w:rsidRPr="00BD0F46">
        <w:rPr>
          <w:rFonts w:eastAsia="Calibri"/>
        </w:rPr>
        <w:t>Tin</w:t>
      </w:r>
    </w:p>
    <w:p w14:paraId="5E37EB1A" w14:textId="64207B90" w:rsidR="00BD0F46" w:rsidRPr="00BD0F46" w:rsidRDefault="00BD0F46" w:rsidP="00BD0F46">
      <w:pPr>
        <w:rPr>
          <w:rFonts w:eastAsia="Calibri"/>
          <w:lang w:bidi="ar-SA"/>
        </w:rPr>
      </w:pPr>
      <w:r w:rsidRPr="00BD0F46">
        <w:rPr>
          <w:rFonts w:eastAsia="Calibri"/>
          <w:lang w:bidi="ar-SA"/>
        </w:rPr>
        <w:t xml:space="preserve">The main source of dietary exposure to tin is via ingestion of inorganic tin from canned foods. Inorganic tin is found in food in </w:t>
      </w:r>
      <w:r w:rsidR="005E215E">
        <w:rPr>
          <w:rFonts w:eastAsia="Calibri"/>
          <w:lang w:bidi="ar-SA"/>
        </w:rPr>
        <w:t xml:space="preserve">both </w:t>
      </w:r>
      <w:r w:rsidRPr="00BD0F46">
        <w:rPr>
          <w:rFonts w:eastAsia="Calibri"/>
          <w:lang w:bidi="ar-SA"/>
        </w:rPr>
        <w:t>the +2 and +4 oxidation states; it may occur in cationic form (stannous and stannic compounds) or as anions (stannites and stannic compounds) (WHO 2006). Steel cans used in the food industry are coated in a thin layer of tin and/or a lacquer. The tin and lacquer acts to prevent corrosion of the steel. Although tin is corrosion resistant, acidic food like fruits and vegetables can cause corrosion of the tin layer of unlacquered cans resulting in transfer of inorganic tin into the food. Dietary exposure to inorganic tin is greatly reduced when cans are lacquered</w:t>
      </w:r>
      <w:r w:rsidR="005E215E">
        <w:rPr>
          <w:rFonts w:eastAsia="Calibri"/>
          <w:lang w:bidi="ar-SA"/>
        </w:rPr>
        <w:t xml:space="preserve"> (</w:t>
      </w:r>
      <w:r w:rsidR="00117D58" w:rsidRPr="00117D58">
        <w:rPr>
          <w:rFonts w:eastAsia="Calibri"/>
          <w:lang w:bidi="ar-SA"/>
        </w:rPr>
        <w:t>Biégo</w:t>
      </w:r>
      <w:r w:rsidR="00117D58">
        <w:rPr>
          <w:rFonts w:eastAsia="Calibri"/>
          <w:lang w:bidi="ar-SA"/>
        </w:rPr>
        <w:t xml:space="preserve"> et al. 1999</w:t>
      </w:r>
      <w:r w:rsidR="005E215E">
        <w:rPr>
          <w:rFonts w:eastAsia="Calibri"/>
          <w:lang w:bidi="ar-SA"/>
        </w:rPr>
        <w:t>)</w:t>
      </w:r>
      <w:r w:rsidRPr="00BD0F46">
        <w:rPr>
          <w:rFonts w:eastAsia="Calibri"/>
          <w:lang w:bidi="ar-SA"/>
        </w:rPr>
        <w:t>.</w:t>
      </w:r>
    </w:p>
    <w:p w14:paraId="2243397C" w14:textId="43157F2F" w:rsidR="00BD0F46" w:rsidRPr="00BD0F46" w:rsidRDefault="00BD0F46" w:rsidP="00BD0F46">
      <w:pPr>
        <w:rPr>
          <w:rFonts w:eastAsia="Calibri"/>
          <w:lang w:bidi="ar-SA"/>
        </w:rPr>
      </w:pPr>
    </w:p>
    <w:p w14:paraId="59A51AF3" w14:textId="3FF6B5D6" w:rsidR="00BD0F46" w:rsidRDefault="00BD0F46" w:rsidP="00F70860">
      <w:pPr>
        <w:ind w:right="-286"/>
        <w:rPr>
          <w:rFonts w:eastAsia="Calibri"/>
          <w:lang w:bidi="ar-SA"/>
        </w:rPr>
      </w:pPr>
      <w:r w:rsidRPr="00BD0F46">
        <w:rPr>
          <w:rFonts w:eastAsia="Calibri"/>
          <w:lang w:bidi="ar-SA"/>
        </w:rPr>
        <w:t xml:space="preserve">In 1989, JECFA established a PTWI for inorganic tin of 14 mg/kg </w:t>
      </w:r>
      <w:proofErr w:type="gramStart"/>
      <w:r w:rsidRPr="00BD0F46">
        <w:rPr>
          <w:rFonts w:eastAsia="Calibri"/>
          <w:lang w:bidi="ar-SA"/>
        </w:rPr>
        <w:t>bw</w:t>
      </w:r>
      <w:proofErr w:type="gramEnd"/>
      <w:r w:rsidRPr="00BD0F46">
        <w:rPr>
          <w:rFonts w:eastAsia="Calibri"/>
          <w:lang w:bidi="ar-SA"/>
        </w:rPr>
        <w:t xml:space="preserve"> (WHO 1989). The most recent JECFA evaluation of inorganic tin stated that the basis for the previously established PTWI was unclear and may have been derived from intakes associated with acute effects (WHO 2006). In assessment published in 1999 by ANZFA considered the various MLs for tin</w:t>
      </w:r>
      <w:r w:rsidR="00E724D1">
        <w:rPr>
          <w:rFonts w:eastAsia="Calibri"/>
          <w:lang w:bidi="ar-SA"/>
        </w:rPr>
        <w:t xml:space="preserve"> </w:t>
      </w:r>
      <w:r w:rsidRPr="00BD0F46">
        <w:rPr>
          <w:rFonts w:eastAsia="Calibri"/>
          <w:lang w:bidi="ar-SA"/>
        </w:rPr>
        <w:t>in force at the time and concluded that there are limited concerns to public health and safety other than acute gastric disturbances when levels of tin in fo</w:t>
      </w:r>
      <w:r w:rsidR="00AD72D0">
        <w:rPr>
          <w:rFonts w:eastAsia="Calibri"/>
          <w:lang w:bidi="ar-SA"/>
        </w:rPr>
        <w:t>od exceed 250 mg/kg (ANZFA 1999b</w:t>
      </w:r>
      <w:r w:rsidRPr="00BD0F46">
        <w:rPr>
          <w:rFonts w:eastAsia="Calibri"/>
          <w:lang w:bidi="ar-SA"/>
        </w:rPr>
        <w:t>).</w:t>
      </w:r>
    </w:p>
    <w:p w14:paraId="0DC8A542" w14:textId="7B399720" w:rsidR="00BD0F46" w:rsidRPr="00B02C9D" w:rsidRDefault="007D3117" w:rsidP="000A5113">
      <w:pPr>
        <w:pStyle w:val="Heading3"/>
        <w:rPr>
          <w:rFonts w:eastAsia="Calibri"/>
        </w:rPr>
      </w:pPr>
      <w:r>
        <w:rPr>
          <w:rFonts w:eastAsia="Calibri"/>
        </w:rPr>
        <w:t>6.8.3</w:t>
      </w:r>
      <w:r>
        <w:rPr>
          <w:rFonts w:eastAsia="Calibri"/>
        </w:rPr>
        <w:tab/>
      </w:r>
      <w:r w:rsidR="00BD0F46" w:rsidRPr="00B02C9D">
        <w:rPr>
          <w:rFonts w:eastAsia="Calibri"/>
        </w:rPr>
        <w:t>Vinyl chloride</w:t>
      </w:r>
    </w:p>
    <w:p w14:paraId="635A0809" w14:textId="77777777" w:rsidR="00F70860" w:rsidRDefault="00B02C9D" w:rsidP="00B02C9D">
      <w:pPr>
        <w:rPr>
          <w:rFonts w:eastAsia="Calibri"/>
          <w:lang w:bidi="ar-SA"/>
        </w:rPr>
      </w:pPr>
      <w:r w:rsidRPr="00B02C9D">
        <w:rPr>
          <w:rFonts w:eastAsia="Calibri"/>
          <w:lang w:bidi="ar-SA"/>
        </w:rPr>
        <w:t>Vinyl chloride is a starting substance for the production of polyvinylchloride (PVC) plastics used in the manufacture of food packaging materials, and small amounts may remain in such materials.</w:t>
      </w:r>
      <w:r>
        <w:rPr>
          <w:rFonts w:eastAsia="Calibri"/>
          <w:lang w:bidi="ar-SA"/>
        </w:rPr>
        <w:t xml:space="preserve"> </w:t>
      </w:r>
      <w:r w:rsidRPr="00B02C9D">
        <w:rPr>
          <w:rFonts w:eastAsia="Calibri"/>
          <w:lang w:bidi="ar-SA"/>
        </w:rPr>
        <w:t>An assessment by ANZFA concluded that vinyl chloride is carcinogenic in rats when administered</w:t>
      </w:r>
      <w:r w:rsidR="00AD72D0">
        <w:rPr>
          <w:rFonts w:eastAsia="Calibri"/>
          <w:lang w:bidi="ar-SA"/>
        </w:rPr>
        <w:t xml:space="preserve"> via the oral route (ANZFA 1999a</w:t>
      </w:r>
      <w:r w:rsidRPr="00B02C9D">
        <w:rPr>
          <w:rFonts w:eastAsia="Calibri"/>
          <w:lang w:bidi="ar-SA"/>
        </w:rPr>
        <w:t xml:space="preserve">), consistent with an earlier JECFA evaluation (WHO 1984). </w:t>
      </w:r>
      <w:r w:rsidR="00F70860">
        <w:rPr>
          <w:rFonts w:eastAsia="Calibri"/>
          <w:lang w:bidi="ar-SA"/>
        </w:rPr>
        <w:br w:type="page"/>
      </w:r>
    </w:p>
    <w:p w14:paraId="403F2AAE" w14:textId="2A8C4C5B" w:rsidR="00B02C9D" w:rsidRPr="00B02C9D" w:rsidRDefault="00B02C9D" w:rsidP="00B02C9D">
      <w:pPr>
        <w:rPr>
          <w:rFonts w:eastAsia="Calibri"/>
          <w:lang w:bidi="ar-SA"/>
        </w:rPr>
      </w:pPr>
      <w:r w:rsidRPr="00B02C9D">
        <w:rPr>
          <w:rFonts w:eastAsia="Calibri"/>
          <w:lang w:bidi="ar-SA"/>
        </w:rPr>
        <w:lastRenderedPageBreak/>
        <w:t>ANZFA further concluded that there was no evidence of adverse health effects resulting from the low level of exposure to vinyl chloride via food, however the potential for carcinogenicity requires that exposure should be kept as low as possible. An ML of 0.01 mg/kg (set at the LOD) applicable to all f</w:t>
      </w:r>
      <w:r w:rsidR="00AD72D0">
        <w:rPr>
          <w:rFonts w:eastAsia="Calibri"/>
          <w:lang w:bidi="ar-SA"/>
        </w:rPr>
        <w:t xml:space="preserve">ood was established </w:t>
      </w:r>
      <w:r w:rsidR="00CA1F57">
        <w:rPr>
          <w:rFonts w:eastAsia="Calibri"/>
          <w:lang w:bidi="ar-SA"/>
        </w:rPr>
        <w:t>in 1999 (ANZFA 1999a</w:t>
      </w:r>
      <w:r w:rsidR="00CA1F57" w:rsidRPr="00B02C9D">
        <w:rPr>
          <w:rFonts w:eastAsia="Calibri"/>
          <w:lang w:bidi="ar-SA"/>
        </w:rPr>
        <w:t>)</w:t>
      </w:r>
      <w:r w:rsidR="00CA1F57">
        <w:rPr>
          <w:rFonts w:eastAsia="Calibri"/>
          <w:lang w:bidi="ar-SA"/>
        </w:rPr>
        <w:t xml:space="preserve"> but was amended in 2013 to reflect achievability of detection in packaged water</w:t>
      </w:r>
      <w:r w:rsidR="006D798C">
        <w:rPr>
          <w:rFonts w:eastAsia="Calibri"/>
          <w:lang w:bidi="ar-SA"/>
        </w:rPr>
        <w:t xml:space="preserve"> (FSANZ 2012)</w:t>
      </w:r>
      <w:r w:rsidR="00CA1F57">
        <w:rPr>
          <w:rFonts w:eastAsia="Calibri"/>
          <w:lang w:bidi="ar-SA"/>
        </w:rPr>
        <w:t xml:space="preserve">. </w:t>
      </w:r>
      <w:r w:rsidRPr="00B02C9D">
        <w:rPr>
          <w:rFonts w:eastAsia="Calibri"/>
          <w:lang w:bidi="ar-SA"/>
        </w:rPr>
        <w:t>Vinyl chloride is considered by the International Agency for Research on Cancer to be a human carcinogen based on epidemiological data from occupational exposure (IARC 2008).</w:t>
      </w:r>
    </w:p>
    <w:p w14:paraId="5255338C" w14:textId="15F988B5" w:rsidR="00B02C9D" w:rsidRPr="00B02C9D" w:rsidRDefault="00B02C9D" w:rsidP="00B02C9D">
      <w:pPr>
        <w:rPr>
          <w:rFonts w:eastAsia="Calibri"/>
          <w:lang w:bidi="ar-SA"/>
        </w:rPr>
      </w:pPr>
    </w:p>
    <w:p w14:paraId="29A75B1A" w14:textId="03DD4F6B" w:rsidR="00B02C9D" w:rsidRPr="00B02C9D" w:rsidRDefault="00B02C9D" w:rsidP="00B02C9D">
      <w:pPr>
        <w:rPr>
          <w:rFonts w:eastAsia="Calibri"/>
          <w:lang w:bidi="ar-SA"/>
        </w:rPr>
      </w:pPr>
      <w:r w:rsidRPr="00B02C9D">
        <w:rPr>
          <w:rFonts w:eastAsia="Calibri"/>
          <w:lang w:bidi="ar-SA"/>
        </w:rPr>
        <w:t xml:space="preserve">No studies have been located reporting the analysis of infant formula for vinyl chloride and there are limited data on vinyl chloride levels in other foods. In a FSANZ analytical survey, a range of foods packaged in plastic were tested for vinyl chloride. The foods tested included full fat milk, minced beef, yogurt, tomato sauce, pre-prepared meals, orange juice and still water. The analytical method had a limit of quantification (LOQ) </w:t>
      </w:r>
      <w:r w:rsidR="00E04867">
        <w:rPr>
          <w:rFonts w:eastAsia="Calibri"/>
          <w:lang w:bidi="ar-SA"/>
        </w:rPr>
        <w:t>ranging from 0.001 to 0.01 </w:t>
      </w:r>
      <w:r w:rsidRPr="00B02C9D">
        <w:rPr>
          <w:rFonts w:eastAsia="Calibri"/>
          <w:lang w:bidi="ar-SA"/>
        </w:rPr>
        <w:t>mg/kg depending on the food matrix. There were no detections of vinyl c</w:t>
      </w:r>
      <w:r w:rsidR="007A2C29">
        <w:rPr>
          <w:rFonts w:eastAsia="Calibri"/>
          <w:lang w:bidi="ar-SA"/>
        </w:rPr>
        <w:t>hloride in any food (FSANZ 2011</w:t>
      </w:r>
      <w:r w:rsidRPr="00B02C9D">
        <w:rPr>
          <w:rFonts w:eastAsia="Calibri"/>
          <w:lang w:bidi="ar-SA"/>
        </w:rPr>
        <w:t>).</w:t>
      </w:r>
    </w:p>
    <w:p w14:paraId="20FE499E" w14:textId="77777777" w:rsidR="00B02C9D" w:rsidRDefault="00B02C9D" w:rsidP="00B02C9D">
      <w:pPr>
        <w:rPr>
          <w:rFonts w:eastAsia="Calibri"/>
          <w:lang w:bidi="ar-SA"/>
        </w:rPr>
      </w:pPr>
    </w:p>
    <w:p w14:paraId="774D107A" w14:textId="443C5C79" w:rsidR="00BD0F46" w:rsidRDefault="00B02C9D" w:rsidP="00B02C9D">
      <w:pPr>
        <w:rPr>
          <w:rFonts w:eastAsia="Calibri"/>
          <w:lang w:bidi="ar-SA"/>
        </w:rPr>
      </w:pPr>
      <w:r w:rsidRPr="00B02C9D">
        <w:rPr>
          <w:rFonts w:eastAsia="Calibri"/>
          <w:lang w:bidi="ar-SA"/>
        </w:rPr>
        <w:t>Reports from the 1970s indicated parts-per-million levels of vinyl chloride in some foods (e.g. up to 98 mg/L in vinegar, 1.8 mg/L in edible oils, and 8.4 mg/L in alcoholic beverages) when these foods were packaged and stored in PVC containers (ATSDR 2006). An absence of detectable vinyl chloride in foods analysed in the above FSANZ study is consistent with the reported large improvements in the formulation and production of PVC packaging materials (ATSDR 2006).</w:t>
      </w:r>
    </w:p>
    <w:p w14:paraId="2CCF9B6E" w14:textId="77777777" w:rsidR="007D3117" w:rsidRDefault="007D3117" w:rsidP="00B02C9D">
      <w:pPr>
        <w:rPr>
          <w:rFonts w:eastAsia="Calibri"/>
          <w:lang w:bidi="ar-SA"/>
        </w:rPr>
      </w:pPr>
    </w:p>
    <w:p w14:paraId="42865EEB" w14:textId="06A0853D" w:rsidR="00C85421" w:rsidRPr="00C85421" w:rsidRDefault="00005131" w:rsidP="000A5113">
      <w:pPr>
        <w:pStyle w:val="Heading1"/>
      </w:pPr>
      <w:bookmarkStart w:id="11" w:name="_Toc448936159"/>
      <w:r>
        <w:t>7</w:t>
      </w:r>
      <w:r>
        <w:tab/>
      </w:r>
      <w:r w:rsidR="00A05C69">
        <w:t>F</w:t>
      </w:r>
      <w:r w:rsidR="00C85421" w:rsidRPr="00C85421">
        <w:t>ood packaging</w:t>
      </w:r>
      <w:r w:rsidR="00A05C69">
        <w:t xml:space="preserve"> made from r</w:t>
      </w:r>
      <w:r w:rsidR="00A05C69" w:rsidRPr="00C85421">
        <w:t>ecycled</w:t>
      </w:r>
      <w:r w:rsidR="00A05C69">
        <w:t xml:space="preserve"> materials</w:t>
      </w:r>
      <w:bookmarkEnd w:id="11"/>
    </w:p>
    <w:p w14:paraId="5D26A015" w14:textId="1CFDA444" w:rsidR="005D39B0" w:rsidRDefault="00F97E67" w:rsidP="005D39B0">
      <w:r>
        <w:t>Concerns</w:t>
      </w:r>
      <w:r w:rsidRPr="00332D25">
        <w:t xml:space="preserve"> </w:t>
      </w:r>
      <w:r w:rsidR="005D39B0">
        <w:t xml:space="preserve">have been raised </w:t>
      </w:r>
      <w:r>
        <w:t>about</w:t>
      </w:r>
      <w:r w:rsidRPr="00332D25">
        <w:t xml:space="preserve"> </w:t>
      </w:r>
      <w:r w:rsidR="005D39B0" w:rsidRPr="00332D25">
        <w:t xml:space="preserve">the </w:t>
      </w:r>
      <w:r w:rsidR="005D39B0">
        <w:t xml:space="preserve">potential </w:t>
      </w:r>
      <w:r w:rsidR="005D39B0" w:rsidRPr="00332D25">
        <w:t xml:space="preserve">public health and safety risks from the use of recycled materials </w:t>
      </w:r>
      <w:r w:rsidR="005D39B0">
        <w:t>in the production of</w:t>
      </w:r>
      <w:r w:rsidR="005D39B0" w:rsidRPr="00332D25">
        <w:t xml:space="preserve"> food packaging. There have been </w:t>
      </w:r>
      <w:r w:rsidR="005D39B0">
        <w:t xml:space="preserve">particular </w:t>
      </w:r>
      <w:r w:rsidR="005D39B0" w:rsidRPr="00332D25">
        <w:t>concerns regard</w:t>
      </w:r>
      <w:r w:rsidR="005D39B0">
        <w:t xml:space="preserve">ing the migration of </w:t>
      </w:r>
      <w:r w:rsidR="005D39B0" w:rsidRPr="00332D25">
        <w:t>uncharacterised substances from packaging into food, for example from packaging manufactured using recycled materials which may not be adequately controlled with respect to chemical contamination, or for which the recycling process results in the formation of novel chemical species</w:t>
      </w:r>
      <w:r w:rsidR="005D39B0">
        <w:t xml:space="preserve"> (Nerin </w:t>
      </w:r>
      <w:r w:rsidR="00A8458F">
        <w:t xml:space="preserve">et al. </w:t>
      </w:r>
      <w:r w:rsidR="005D39B0">
        <w:t>2013).</w:t>
      </w:r>
      <w:r w:rsidR="005D39B0" w:rsidRPr="00332D25">
        <w:t xml:space="preserve"> </w:t>
      </w:r>
      <w:r w:rsidR="005D39B0">
        <w:t xml:space="preserve">There is </w:t>
      </w:r>
      <w:r w:rsidR="005D39B0" w:rsidRPr="00AD1543">
        <w:t xml:space="preserve">potentially more uncertainty around the identity and levels of “non-packaging” chemicals in recycled packaging (i.e. chemicals that are not used to </w:t>
      </w:r>
      <w:r w:rsidR="005D39B0">
        <w:t>produce the original packaging) –</w:t>
      </w:r>
      <w:r w:rsidR="005D39B0" w:rsidRPr="00AD1543">
        <w:t xml:space="preserve"> and this </w:t>
      </w:r>
      <w:r w:rsidR="005D39B0">
        <w:t>is taken into consideration in EFSA</w:t>
      </w:r>
      <w:r w:rsidR="005D39B0" w:rsidRPr="00AD1543">
        <w:t xml:space="preserve"> and </w:t>
      </w:r>
      <w:r w:rsidR="007A474A">
        <w:t>USFDA</w:t>
      </w:r>
      <w:r w:rsidR="005D39B0" w:rsidRPr="00AD1543">
        <w:t xml:space="preserve"> pre-market assess</w:t>
      </w:r>
      <w:r w:rsidR="005D39B0">
        <w:t>ments of</w:t>
      </w:r>
      <w:r w:rsidR="005D39B0" w:rsidRPr="00AD1543">
        <w:t xml:space="preserve"> specific recycling processes</w:t>
      </w:r>
      <w:r w:rsidR="005D39B0">
        <w:t>. These processes almost exclusively relate to the use of post-consumer plastics to produce packaging materials.</w:t>
      </w:r>
    </w:p>
    <w:p w14:paraId="2DD828E9" w14:textId="77777777" w:rsidR="005D39B0" w:rsidRDefault="005D39B0" w:rsidP="005D39B0"/>
    <w:p w14:paraId="388AD11C" w14:textId="3693C12F" w:rsidR="003E4075" w:rsidRDefault="005D39B0" w:rsidP="005D39B0">
      <w:r>
        <w:t>The potential risk from t</w:t>
      </w:r>
      <w:r w:rsidRPr="00264608">
        <w:t xml:space="preserve">he </w:t>
      </w:r>
      <w:r>
        <w:t>migration into food of chemicals in recycled paperboard, particularly</w:t>
      </w:r>
      <w:r w:rsidRPr="00264608">
        <w:t xml:space="preserve"> mine</w:t>
      </w:r>
      <w:r>
        <w:t xml:space="preserve">ral oils, </w:t>
      </w:r>
      <w:r w:rsidRPr="00264608">
        <w:t xml:space="preserve">is not yet well characterised and </w:t>
      </w:r>
      <w:r>
        <w:t>research is ongoing</w:t>
      </w:r>
      <w:r w:rsidR="003E4075">
        <w:t xml:space="preserve"> internationally</w:t>
      </w:r>
      <w:r w:rsidR="00C1621E">
        <w:t xml:space="preserve">. FSANZ </w:t>
      </w:r>
      <w:r w:rsidR="006F145C">
        <w:t>has</w:t>
      </w:r>
      <w:r w:rsidR="00C1621E">
        <w:t xml:space="preserve"> recently conducted </w:t>
      </w:r>
      <w:r w:rsidR="00510724">
        <w:t>an analytical survey</w:t>
      </w:r>
      <w:r>
        <w:t xml:space="preserve"> of </w:t>
      </w:r>
      <w:r w:rsidR="00C1621E">
        <w:t xml:space="preserve">mineral oils in </w:t>
      </w:r>
      <w:r>
        <w:t>packaging materials and packaged food</w:t>
      </w:r>
      <w:r w:rsidR="00C1621E">
        <w:t xml:space="preserve"> purchased in Australia</w:t>
      </w:r>
      <w:r w:rsidR="000B54CF">
        <w:t>.</w:t>
      </w:r>
      <w:r w:rsidR="003E4075">
        <w:t xml:space="preserve"> </w:t>
      </w:r>
      <w:r w:rsidR="000B54CF">
        <w:t>T</w:t>
      </w:r>
      <w:r w:rsidR="006F145C">
        <w:t xml:space="preserve">he survey did not find widespread migration of mineral oils into food products </w:t>
      </w:r>
      <w:r w:rsidR="007953FB">
        <w:t>or identif</w:t>
      </w:r>
      <w:r w:rsidR="006F145C">
        <w:t>y any specific public health and safety concerns.</w:t>
      </w:r>
    </w:p>
    <w:p w14:paraId="4588D9D6" w14:textId="77777777" w:rsidR="003E4075" w:rsidRDefault="003E4075" w:rsidP="005D39B0"/>
    <w:p w14:paraId="58A63FF8" w14:textId="13CEFBFE" w:rsidR="005D39B0" w:rsidRDefault="005D39B0" w:rsidP="005D39B0">
      <w:r w:rsidRPr="00264608">
        <w:t>I</w:t>
      </w:r>
      <w:r>
        <w:t>t does not appear that EFSA</w:t>
      </w:r>
      <w:r w:rsidRPr="00264608">
        <w:t xml:space="preserve"> or </w:t>
      </w:r>
      <w:r>
        <w:t xml:space="preserve">the </w:t>
      </w:r>
      <w:r w:rsidR="007A474A">
        <w:t>USFDA</w:t>
      </w:r>
      <w:r w:rsidRPr="00264608">
        <w:t xml:space="preserve"> have assessed any specific processes to </w:t>
      </w:r>
      <w:r>
        <w:t>mitigate the levels of</w:t>
      </w:r>
      <w:r w:rsidRPr="00264608">
        <w:t xml:space="preserve"> </w:t>
      </w:r>
      <w:r>
        <w:t>mineral oils in</w:t>
      </w:r>
      <w:r w:rsidRPr="00293C1E">
        <w:t xml:space="preserve"> recycled paperboard</w:t>
      </w:r>
      <w:r w:rsidRPr="00264608">
        <w:t xml:space="preserve">. </w:t>
      </w:r>
      <w:r>
        <w:t>Use of an appropriate barrier material (e.g. an internal plastic lining or coating) has been proposed to reduce migration of mineral oils (</w:t>
      </w:r>
      <w:r w:rsidRPr="00332D25">
        <w:t>Biedermann and Grob 2013).</w:t>
      </w:r>
    </w:p>
    <w:p w14:paraId="7007BE54" w14:textId="77777777" w:rsidR="007D3117" w:rsidRDefault="007D3117" w:rsidP="005D39B0"/>
    <w:p w14:paraId="25729634" w14:textId="06A6008A" w:rsidR="00720067" w:rsidRPr="00720067" w:rsidRDefault="00005131" w:rsidP="000A5113">
      <w:pPr>
        <w:pStyle w:val="Heading1"/>
      </w:pPr>
      <w:bookmarkStart w:id="12" w:name="_Toc448936160"/>
      <w:r>
        <w:t>8</w:t>
      </w:r>
      <w:r>
        <w:tab/>
      </w:r>
      <w:r w:rsidR="00720067" w:rsidRPr="00720067">
        <w:t>Conclusions</w:t>
      </w:r>
      <w:bookmarkEnd w:id="12"/>
    </w:p>
    <w:p w14:paraId="328132FD" w14:textId="77777777" w:rsidR="00F70860" w:rsidRDefault="00F97E67" w:rsidP="00F56AB5">
      <w:pPr>
        <w:contextualSpacing/>
      </w:pPr>
      <w:r>
        <w:t>Based on the available data, t</w:t>
      </w:r>
      <w:r w:rsidR="00F56AB5">
        <w:t xml:space="preserve">he overall human health risk posed by chemical migration from packaging into food is considered to be low. This is predominantly due to the low dietary exposure expected for the majority of chemicals used in the production of food packaging. </w:t>
      </w:r>
      <w:r w:rsidR="00F70860">
        <w:br w:type="page"/>
      </w:r>
    </w:p>
    <w:p w14:paraId="1BA1C505" w14:textId="4949E273" w:rsidR="00F56AB5" w:rsidRDefault="00F56AB5" w:rsidP="00F56AB5">
      <w:pPr>
        <w:contextualSpacing/>
      </w:pPr>
      <w:r>
        <w:lastRenderedPageBreak/>
        <w:t xml:space="preserve">For example, estimated dietary exposure for 98% of food contact substances in a </w:t>
      </w:r>
      <w:r w:rsidR="007A474A">
        <w:t>USFDA</w:t>
      </w:r>
      <w:r w:rsidR="00727E80">
        <w:t xml:space="preserve"> database is less than 0.01 mg/kg bw/day</w:t>
      </w:r>
      <w:r>
        <w:t xml:space="preserve">, while for </w:t>
      </w:r>
      <w:r w:rsidRPr="001A362C">
        <w:t xml:space="preserve">86% of the substances </w:t>
      </w:r>
      <w:r>
        <w:t xml:space="preserve">estimated dietary exposure is less than </w:t>
      </w:r>
      <w:r w:rsidRPr="001A362C">
        <w:t xml:space="preserve">the lowest </w:t>
      </w:r>
      <w:r>
        <w:t xml:space="preserve">threshold of toxicological concern </w:t>
      </w:r>
      <w:r w:rsidRPr="001A362C">
        <w:t>for non-genotoxic substances</w:t>
      </w:r>
      <w:r>
        <w:t xml:space="preserve"> (</w:t>
      </w:r>
      <w:r w:rsidR="00727E80">
        <w:t>0.0015 mg/kg </w:t>
      </w:r>
      <w:r w:rsidRPr="001A362C">
        <w:t>bw/day</w:t>
      </w:r>
      <w:r>
        <w:t>).</w:t>
      </w:r>
      <w:r w:rsidRPr="00C21200">
        <w:t xml:space="preserve"> </w:t>
      </w:r>
    </w:p>
    <w:p w14:paraId="2810014C" w14:textId="77777777" w:rsidR="00F56AB5" w:rsidRDefault="00F56AB5" w:rsidP="00F56AB5">
      <w:pPr>
        <w:contextualSpacing/>
      </w:pPr>
    </w:p>
    <w:p w14:paraId="090E8818" w14:textId="4DAABF1A" w:rsidR="00F56AB5" w:rsidRDefault="00F97E67" w:rsidP="00F56AB5">
      <w:pPr>
        <w:contextualSpacing/>
      </w:pPr>
      <w:r>
        <w:t xml:space="preserve">This </w:t>
      </w:r>
      <w:r w:rsidR="00F56AB5">
        <w:t xml:space="preserve">general conclusion </w:t>
      </w:r>
      <w:r w:rsidR="00A4007A">
        <w:t xml:space="preserve">of low risk </w:t>
      </w:r>
      <w:r w:rsidR="00891B4B">
        <w:t>based on</w:t>
      </w:r>
      <w:r w:rsidR="008C2859">
        <w:t xml:space="preserve"> TTC </w:t>
      </w:r>
      <w:r w:rsidR="006E4283">
        <w:t xml:space="preserve">considerations </w:t>
      </w:r>
      <w:r w:rsidR="00F56AB5">
        <w:t xml:space="preserve">is consistent with the findings of analytical surveys investigating the presence of specific packaging chemicals in Australian foods. However, </w:t>
      </w:r>
      <w:r>
        <w:t xml:space="preserve">using the screening methodology of the ATDS, </w:t>
      </w:r>
      <w:r w:rsidR="00F56AB5">
        <w:t xml:space="preserve">FSANZ has identified two chemicals for which additional </w:t>
      </w:r>
      <w:r>
        <w:t xml:space="preserve">chemical </w:t>
      </w:r>
      <w:r w:rsidR="00F56AB5">
        <w:t xml:space="preserve">concentration data </w:t>
      </w:r>
      <w:r>
        <w:t xml:space="preserve">for a targeted number of foods </w:t>
      </w:r>
      <w:r w:rsidR="00F56AB5">
        <w:t xml:space="preserve">are required </w:t>
      </w:r>
      <w:r w:rsidR="00F56AB5" w:rsidRPr="006E2984">
        <w:t xml:space="preserve">in order to determine if dietary exposure to these chemicals </w:t>
      </w:r>
      <w:r>
        <w:t xml:space="preserve">may </w:t>
      </w:r>
      <w:r w:rsidR="00F56AB5" w:rsidRPr="006E2984">
        <w:t>pose a health risk.</w:t>
      </w:r>
      <w:r w:rsidR="00F56AB5">
        <w:t xml:space="preserve"> These two chemicals, DEHP and DINP, belong to the phthalate family of compounds, some members of which migrate efficiently into foods</w:t>
      </w:r>
      <w:r>
        <w:t>, in particular those with a high fat content</w:t>
      </w:r>
      <w:r w:rsidR="00F56AB5">
        <w:t>.</w:t>
      </w:r>
      <w:r w:rsidR="00F56AB5" w:rsidRPr="006E2984">
        <w:t xml:space="preserve"> </w:t>
      </w:r>
      <w:r w:rsidR="00F56AB5">
        <w:t xml:space="preserve">FSANZ is currently conducting a study to acquire data on DEHP and DINP levels in a </w:t>
      </w:r>
      <w:r>
        <w:t xml:space="preserve">targeted </w:t>
      </w:r>
      <w:r w:rsidR="00F56AB5">
        <w:t>range of foods.</w:t>
      </w:r>
    </w:p>
    <w:p w14:paraId="0D87BF23" w14:textId="77777777" w:rsidR="00F56AB5" w:rsidRDefault="00F56AB5" w:rsidP="00F56AB5">
      <w:pPr>
        <w:contextualSpacing/>
      </w:pPr>
    </w:p>
    <w:p w14:paraId="55B8857A" w14:textId="785D52B6" w:rsidR="00510724" w:rsidRDefault="00510724" w:rsidP="00510724">
      <w:r w:rsidRPr="00AB760F">
        <w:t>The potential risk from the migration into food of chemicals in recycled paperboard, particularly mineral oils, is not yet well characterised and research is ongoing</w:t>
      </w:r>
      <w:r>
        <w:t xml:space="preserve"> internationally. However, a recent Australian survey, carried out by FSANZ, did not find widespread migration of mineral oi</w:t>
      </w:r>
      <w:r w:rsidR="007953FB">
        <w:t>ls into food products or identif</w:t>
      </w:r>
      <w:r>
        <w:t>y any specific public health and safety concerns.</w:t>
      </w:r>
    </w:p>
    <w:p w14:paraId="22E58080" w14:textId="77777777" w:rsidR="00510724" w:rsidRDefault="00510724" w:rsidP="00510724">
      <w:pPr>
        <w:rPr>
          <w:lang w:bidi="ar-SA"/>
        </w:rPr>
      </w:pPr>
    </w:p>
    <w:p w14:paraId="3976BE65" w14:textId="32340182" w:rsidR="00502471" w:rsidRPr="00502471" w:rsidRDefault="00005131" w:rsidP="000A5113">
      <w:pPr>
        <w:pStyle w:val="Heading1"/>
      </w:pPr>
      <w:bookmarkStart w:id="13" w:name="_Toc448936161"/>
      <w:r>
        <w:t>9</w:t>
      </w:r>
      <w:r>
        <w:tab/>
      </w:r>
      <w:r w:rsidR="00502471" w:rsidRPr="00502471">
        <w:t>References</w:t>
      </w:r>
      <w:bookmarkEnd w:id="13"/>
    </w:p>
    <w:p w14:paraId="216F62C3" w14:textId="1584834C" w:rsidR="00353D64" w:rsidRPr="000A5113" w:rsidRDefault="00AD72D0" w:rsidP="001076B8">
      <w:pPr>
        <w:widowControl/>
        <w:rPr>
          <w:rFonts w:eastAsia="Calibri"/>
          <w:sz w:val="20"/>
          <w:szCs w:val="20"/>
          <w:lang w:bidi="ar-SA"/>
        </w:rPr>
      </w:pPr>
      <w:r w:rsidRPr="000A5113">
        <w:rPr>
          <w:rFonts w:eastAsia="Calibri"/>
          <w:sz w:val="20"/>
          <w:szCs w:val="20"/>
          <w:lang w:bidi="ar-SA"/>
        </w:rPr>
        <w:t xml:space="preserve">ANZFA (1999a) Proposal P158 – Review of the maximum permitted concentrations of non-metals in food. </w:t>
      </w:r>
      <w:proofErr w:type="gramStart"/>
      <w:r w:rsidRPr="000A5113">
        <w:rPr>
          <w:rFonts w:eastAsia="Calibri"/>
          <w:sz w:val="20"/>
          <w:szCs w:val="20"/>
          <w:lang w:bidi="ar-SA"/>
        </w:rPr>
        <w:t>Australia New Zealand Food Authority.</w:t>
      </w:r>
      <w:proofErr w:type="gramEnd"/>
    </w:p>
    <w:p w14:paraId="627E160C" w14:textId="77777777" w:rsidR="00BD0F46" w:rsidRPr="000A5113" w:rsidRDefault="00BD0F46" w:rsidP="001076B8">
      <w:pPr>
        <w:widowControl/>
        <w:rPr>
          <w:rFonts w:eastAsia="Calibri"/>
          <w:sz w:val="20"/>
          <w:szCs w:val="20"/>
          <w:lang w:bidi="ar-SA"/>
        </w:rPr>
      </w:pPr>
    </w:p>
    <w:p w14:paraId="17ADB07C" w14:textId="5D7EB41E" w:rsidR="00AD72D0" w:rsidRPr="000A5113" w:rsidRDefault="00AD72D0" w:rsidP="001076B8">
      <w:pPr>
        <w:widowControl/>
        <w:rPr>
          <w:rFonts w:eastAsia="Calibri"/>
          <w:sz w:val="20"/>
          <w:szCs w:val="20"/>
          <w:lang w:bidi="ar-SA"/>
        </w:rPr>
      </w:pPr>
      <w:r w:rsidRPr="000A5113">
        <w:rPr>
          <w:rFonts w:eastAsia="Calibri"/>
          <w:sz w:val="20"/>
          <w:szCs w:val="20"/>
          <w:lang w:bidi="ar-SA"/>
        </w:rPr>
        <w:t xml:space="preserve">ANZFA (1999b) Proposal P157 – Metal contaminants in foods. </w:t>
      </w:r>
      <w:proofErr w:type="gramStart"/>
      <w:r w:rsidRPr="000A5113">
        <w:rPr>
          <w:rFonts w:eastAsia="Calibri"/>
          <w:sz w:val="20"/>
          <w:szCs w:val="20"/>
          <w:lang w:bidi="ar-SA"/>
        </w:rPr>
        <w:t>Australia New Zealand Food Authority.</w:t>
      </w:r>
      <w:proofErr w:type="gramEnd"/>
    </w:p>
    <w:p w14:paraId="57680F86" w14:textId="77777777" w:rsidR="00BD0F46" w:rsidRPr="000A5113" w:rsidRDefault="00BD0F46" w:rsidP="001076B8">
      <w:pPr>
        <w:widowControl/>
        <w:rPr>
          <w:rFonts w:eastAsia="Calibri"/>
          <w:sz w:val="20"/>
          <w:szCs w:val="20"/>
          <w:lang w:bidi="ar-SA"/>
        </w:rPr>
      </w:pPr>
    </w:p>
    <w:p w14:paraId="33FCB53D" w14:textId="3895C84E" w:rsidR="001076B8" w:rsidRPr="000A5113" w:rsidRDefault="001076B8" w:rsidP="001076B8">
      <w:pPr>
        <w:widowControl/>
        <w:rPr>
          <w:sz w:val="20"/>
          <w:szCs w:val="20"/>
        </w:rPr>
      </w:pPr>
      <w:r w:rsidRPr="000A5113">
        <w:rPr>
          <w:rFonts w:eastAsia="Calibri"/>
          <w:sz w:val="20"/>
          <w:szCs w:val="20"/>
          <w:lang w:bidi="ar-SA"/>
        </w:rPr>
        <w:t xml:space="preserve">Arvidson KB, Chanderbhan R, Muldoon-Jacobs K, Mayer J, Ogungbesan A (2010) Regulatory use of computational toxicology tools and databases at the United States Food and Drug Administration's Office of Food Additive Safety. </w:t>
      </w:r>
      <w:proofErr w:type="gramStart"/>
      <w:r w:rsidRPr="000A5113">
        <w:rPr>
          <w:rFonts w:eastAsia="Calibri"/>
          <w:sz w:val="20"/>
          <w:szCs w:val="20"/>
          <w:lang w:bidi="ar-SA"/>
        </w:rPr>
        <w:t xml:space="preserve">Expert Opin Drug </w:t>
      </w:r>
      <w:proofErr w:type="spellStart"/>
      <w:r w:rsidRPr="000A5113">
        <w:rPr>
          <w:rFonts w:eastAsia="Calibri"/>
          <w:sz w:val="20"/>
          <w:szCs w:val="20"/>
          <w:lang w:bidi="ar-SA"/>
        </w:rPr>
        <w:t>Metab</w:t>
      </w:r>
      <w:bookmarkStart w:id="14" w:name="_GoBack"/>
      <w:bookmarkEnd w:id="14"/>
      <w:proofErr w:type="spellEnd"/>
      <w:r w:rsidRPr="000A5113">
        <w:rPr>
          <w:rFonts w:eastAsia="Calibri"/>
          <w:sz w:val="20"/>
          <w:szCs w:val="20"/>
          <w:lang w:bidi="ar-SA"/>
        </w:rPr>
        <w:t xml:space="preserve"> </w:t>
      </w:r>
      <w:proofErr w:type="spellStart"/>
      <w:r w:rsidRPr="000A5113">
        <w:rPr>
          <w:rFonts w:eastAsia="Calibri"/>
          <w:sz w:val="20"/>
          <w:szCs w:val="20"/>
          <w:lang w:bidi="ar-SA"/>
        </w:rPr>
        <w:t>Toxicol</w:t>
      </w:r>
      <w:proofErr w:type="spellEnd"/>
      <w:r w:rsidRPr="000A5113">
        <w:rPr>
          <w:rFonts w:eastAsia="Calibri"/>
          <w:sz w:val="20"/>
          <w:szCs w:val="20"/>
          <w:lang w:bidi="ar-SA"/>
        </w:rPr>
        <w:t>.</w:t>
      </w:r>
      <w:proofErr w:type="gramEnd"/>
      <w:r w:rsidRPr="000A5113">
        <w:rPr>
          <w:rFonts w:eastAsia="Calibri"/>
          <w:sz w:val="20"/>
          <w:szCs w:val="20"/>
          <w:lang w:bidi="ar-SA"/>
        </w:rPr>
        <w:t xml:space="preserve"> 6(7):793-6.</w:t>
      </w:r>
    </w:p>
    <w:p w14:paraId="1A63AEED" w14:textId="77777777" w:rsidR="001076B8" w:rsidRPr="000A5113" w:rsidRDefault="001076B8" w:rsidP="003C1886">
      <w:pPr>
        <w:widowControl/>
        <w:rPr>
          <w:sz w:val="20"/>
          <w:szCs w:val="20"/>
        </w:rPr>
      </w:pPr>
    </w:p>
    <w:p w14:paraId="08DFBC14" w14:textId="192C8F8F" w:rsidR="00AD72D0" w:rsidRPr="000A5113" w:rsidRDefault="00AD72D0" w:rsidP="008F4B1D">
      <w:pPr>
        <w:widowControl/>
        <w:rPr>
          <w:rFonts w:eastAsia="Calibri"/>
          <w:sz w:val="20"/>
          <w:szCs w:val="20"/>
          <w:lang w:bidi="ar-SA"/>
        </w:rPr>
      </w:pPr>
      <w:proofErr w:type="gramStart"/>
      <w:r w:rsidRPr="000A5113">
        <w:rPr>
          <w:rFonts w:eastAsia="Calibri"/>
          <w:sz w:val="20"/>
          <w:szCs w:val="20"/>
          <w:lang w:bidi="ar-SA"/>
        </w:rPr>
        <w:t>ATSDR (1990) Toxicological Profile for Acrylonitrile.</w:t>
      </w:r>
      <w:proofErr w:type="gramEnd"/>
      <w:r w:rsidRPr="000A5113">
        <w:rPr>
          <w:rFonts w:eastAsia="Calibri"/>
          <w:sz w:val="20"/>
          <w:szCs w:val="20"/>
          <w:lang w:bidi="ar-SA"/>
        </w:rPr>
        <w:t xml:space="preserve"> </w:t>
      </w:r>
      <w:proofErr w:type="gramStart"/>
      <w:r w:rsidR="007A2C29" w:rsidRPr="000A5113">
        <w:rPr>
          <w:rFonts w:eastAsia="Calibri"/>
          <w:sz w:val="20"/>
          <w:szCs w:val="20"/>
          <w:lang w:bidi="ar-SA"/>
        </w:rPr>
        <w:t xml:space="preserve">U.S. Department of Health and Human Services, Public Health Service, </w:t>
      </w:r>
      <w:r w:rsidRPr="000A5113">
        <w:rPr>
          <w:rFonts w:eastAsia="Calibri"/>
          <w:sz w:val="20"/>
          <w:szCs w:val="20"/>
          <w:lang w:bidi="ar-SA"/>
        </w:rPr>
        <w:t>Agency for Toxic Substances and Disease Registry.</w:t>
      </w:r>
      <w:proofErr w:type="gramEnd"/>
      <w:r w:rsidRPr="000A5113">
        <w:rPr>
          <w:rFonts w:eastAsia="Calibri"/>
          <w:sz w:val="20"/>
          <w:szCs w:val="20"/>
          <w:lang w:bidi="ar-SA"/>
        </w:rPr>
        <w:t xml:space="preserve"> </w:t>
      </w:r>
      <w:proofErr w:type="gramStart"/>
      <w:r w:rsidR="007A2C29" w:rsidRPr="000A5113">
        <w:rPr>
          <w:rFonts w:eastAsia="Calibri"/>
          <w:sz w:val="20"/>
          <w:szCs w:val="20"/>
          <w:lang w:bidi="ar-SA"/>
        </w:rPr>
        <w:t>Atlanta, Georgia, USA.</w:t>
      </w:r>
      <w:proofErr w:type="gramEnd"/>
      <w:r w:rsidR="007A2C29" w:rsidRPr="000A5113">
        <w:rPr>
          <w:rFonts w:eastAsia="Calibri"/>
          <w:sz w:val="20"/>
          <w:szCs w:val="20"/>
          <w:lang w:bidi="ar-SA"/>
        </w:rPr>
        <w:t xml:space="preserve"> </w:t>
      </w:r>
      <w:hyperlink r:id="rId19" w:history="1">
        <w:r w:rsidRPr="000A5113">
          <w:rPr>
            <w:rStyle w:val="Hyperlink"/>
            <w:rFonts w:eastAsia="Calibri"/>
            <w:sz w:val="20"/>
            <w:szCs w:val="20"/>
            <w:lang w:bidi="ar-SA"/>
          </w:rPr>
          <w:t>http://www.atsdr.cdc.gov/toxprofiles/tp125.pdf</w:t>
        </w:r>
      </w:hyperlink>
    </w:p>
    <w:p w14:paraId="40EA6FAD" w14:textId="77777777" w:rsidR="00AD72D0" w:rsidRPr="000A5113" w:rsidRDefault="00AD72D0" w:rsidP="008F4B1D">
      <w:pPr>
        <w:widowControl/>
        <w:rPr>
          <w:rFonts w:eastAsia="Calibri"/>
          <w:sz w:val="20"/>
          <w:szCs w:val="20"/>
          <w:lang w:bidi="ar-SA"/>
        </w:rPr>
      </w:pPr>
    </w:p>
    <w:p w14:paraId="4F8912D8" w14:textId="2326BCE3" w:rsidR="007A2C29" w:rsidRPr="000A5113" w:rsidRDefault="007A2C29" w:rsidP="008F4B1D">
      <w:pPr>
        <w:widowControl/>
        <w:rPr>
          <w:rFonts w:eastAsia="Calibri"/>
          <w:sz w:val="20"/>
          <w:szCs w:val="20"/>
          <w:lang w:bidi="ar-SA"/>
        </w:rPr>
      </w:pPr>
      <w:proofErr w:type="gramStart"/>
      <w:r w:rsidRPr="000A5113">
        <w:rPr>
          <w:rFonts w:eastAsia="Calibri"/>
          <w:sz w:val="20"/>
          <w:szCs w:val="20"/>
          <w:lang w:bidi="ar-SA"/>
        </w:rPr>
        <w:t>ATSDR (2006) Toxicological Profile for Vinyl Chloride.</w:t>
      </w:r>
      <w:proofErr w:type="gramEnd"/>
      <w:r w:rsidRPr="000A5113">
        <w:rPr>
          <w:rFonts w:eastAsia="Calibri"/>
          <w:sz w:val="20"/>
          <w:szCs w:val="20"/>
          <w:lang w:bidi="ar-SA"/>
        </w:rPr>
        <w:t xml:space="preserve"> U.S. Department of Health and Human Services, Public Health Service, Agency for Toxic Substances and Disease Registry, Atlanta, Georgia, USA. </w:t>
      </w:r>
      <w:hyperlink r:id="rId20" w:history="1">
        <w:r w:rsidRPr="000A5113">
          <w:rPr>
            <w:rStyle w:val="Hyperlink"/>
            <w:rFonts w:eastAsia="Calibri"/>
            <w:sz w:val="20"/>
            <w:szCs w:val="20"/>
            <w:lang w:bidi="ar-SA"/>
          </w:rPr>
          <w:t>www.atsdr.cdc.gov/toxprofiles/tp20.pdf</w:t>
        </w:r>
      </w:hyperlink>
    </w:p>
    <w:p w14:paraId="7D030F52" w14:textId="77777777" w:rsidR="007A2C29" w:rsidRPr="000A5113" w:rsidRDefault="007A2C29" w:rsidP="008F4B1D">
      <w:pPr>
        <w:widowControl/>
        <w:rPr>
          <w:rFonts w:eastAsia="Calibri"/>
          <w:sz w:val="20"/>
          <w:szCs w:val="20"/>
          <w:lang w:bidi="ar-SA"/>
        </w:rPr>
      </w:pPr>
    </w:p>
    <w:p w14:paraId="08904901" w14:textId="58BD8B41" w:rsidR="008F4B1D" w:rsidRPr="000A5113" w:rsidRDefault="008F4B1D" w:rsidP="008F4B1D">
      <w:pPr>
        <w:widowControl/>
        <w:rPr>
          <w:rFonts w:eastAsia="Calibri"/>
          <w:sz w:val="20"/>
          <w:szCs w:val="20"/>
          <w:lang w:bidi="ar-SA"/>
        </w:rPr>
      </w:pPr>
      <w:r w:rsidRPr="000A5113">
        <w:rPr>
          <w:rFonts w:eastAsia="Calibri"/>
          <w:sz w:val="20"/>
          <w:szCs w:val="20"/>
          <w:lang w:bidi="ar-SA"/>
        </w:rPr>
        <w:t>Bailey AB, Chanderbhan R, Collazo-</w:t>
      </w:r>
      <w:proofErr w:type="spellStart"/>
      <w:r w:rsidRPr="000A5113">
        <w:rPr>
          <w:rFonts w:eastAsia="Calibri"/>
          <w:sz w:val="20"/>
          <w:szCs w:val="20"/>
          <w:lang w:bidi="ar-SA"/>
        </w:rPr>
        <w:t>Braier</w:t>
      </w:r>
      <w:proofErr w:type="spellEnd"/>
      <w:r w:rsidRPr="000A5113">
        <w:rPr>
          <w:rFonts w:eastAsia="Calibri"/>
          <w:sz w:val="20"/>
          <w:szCs w:val="20"/>
          <w:lang w:bidi="ar-SA"/>
        </w:rPr>
        <w:t xml:space="preserve"> N, Cheeseman MA, </w:t>
      </w:r>
      <w:proofErr w:type="spellStart"/>
      <w:r w:rsidRPr="000A5113">
        <w:rPr>
          <w:rFonts w:eastAsia="Calibri"/>
          <w:sz w:val="20"/>
          <w:szCs w:val="20"/>
          <w:lang w:bidi="ar-SA"/>
        </w:rPr>
        <w:t>Twaroski</w:t>
      </w:r>
      <w:proofErr w:type="spellEnd"/>
      <w:r w:rsidRPr="000A5113">
        <w:rPr>
          <w:rFonts w:eastAsia="Calibri"/>
          <w:sz w:val="20"/>
          <w:szCs w:val="20"/>
          <w:lang w:bidi="ar-SA"/>
        </w:rPr>
        <w:t xml:space="preserve"> ML (2005) The use of structure-activity relationship analysis in the food contact notification program. </w:t>
      </w:r>
      <w:proofErr w:type="spellStart"/>
      <w:r w:rsidRPr="000A5113">
        <w:rPr>
          <w:rFonts w:eastAsia="Calibri"/>
          <w:sz w:val="20"/>
          <w:szCs w:val="20"/>
          <w:lang w:bidi="ar-SA"/>
        </w:rPr>
        <w:t>Regul</w:t>
      </w:r>
      <w:proofErr w:type="spellEnd"/>
      <w:r w:rsidRPr="000A5113">
        <w:rPr>
          <w:rFonts w:eastAsia="Calibri"/>
          <w:sz w:val="20"/>
          <w:szCs w:val="20"/>
          <w:lang w:bidi="ar-SA"/>
        </w:rPr>
        <w:t xml:space="preserve"> </w:t>
      </w:r>
      <w:proofErr w:type="spellStart"/>
      <w:r w:rsidRPr="000A5113">
        <w:rPr>
          <w:rFonts w:eastAsia="Calibri"/>
          <w:sz w:val="20"/>
          <w:szCs w:val="20"/>
          <w:lang w:bidi="ar-SA"/>
        </w:rPr>
        <w:t>Toxicol</w:t>
      </w:r>
      <w:proofErr w:type="spellEnd"/>
      <w:r w:rsidRPr="000A5113">
        <w:rPr>
          <w:rFonts w:eastAsia="Calibri"/>
          <w:sz w:val="20"/>
          <w:szCs w:val="20"/>
          <w:lang w:bidi="ar-SA"/>
        </w:rPr>
        <w:t xml:space="preserve"> </w:t>
      </w:r>
      <w:proofErr w:type="spellStart"/>
      <w:r w:rsidRPr="000A5113">
        <w:rPr>
          <w:rFonts w:eastAsia="Calibri"/>
          <w:sz w:val="20"/>
          <w:szCs w:val="20"/>
          <w:lang w:bidi="ar-SA"/>
        </w:rPr>
        <w:t>Pharmacol</w:t>
      </w:r>
      <w:proofErr w:type="spellEnd"/>
      <w:r w:rsidRPr="000A5113">
        <w:rPr>
          <w:rFonts w:eastAsia="Calibri"/>
          <w:sz w:val="20"/>
          <w:szCs w:val="20"/>
          <w:lang w:bidi="ar-SA"/>
        </w:rPr>
        <w:t>. 42(2):225-35.</w:t>
      </w:r>
    </w:p>
    <w:p w14:paraId="08BE40B8" w14:textId="77777777" w:rsidR="008F4B1D" w:rsidRPr="000A5113" w:rsidRDefault="008F4B1D" w:rsidP="008F4B1D">
      <w:pPr>
        <w:widowControl/>
        <w:rPr>
          <w:sz w:val="20"/>
          <w:szCs w:val="20"/>
        </w:rPr>
      </w:pPr>
    </w:p>
    <w:p w14:paraId="1645C875" w14:textId="1E71A471" w:rsidR="008F4B1D" w:rsidRPr="000A5113" w:rsidRDefault="008F4B1D" w:rsidP="008F4B1D">
      <w:pPr>
        <w:widowControl/>
        <w:rPr>
          <w:rFonts w:eastAsia="Calibri"/>
          <w:sz w:val="20"/>
          <w:szCs w:val="20"/>
          <w:lang w:bidi="ar-SA"/>
        </w:rPr>
      </w:pPr>
      <w:r w:rsidRPr="000A5113">
        <w:rPr>
          <w:rFonts w:eastAsia="Calibri"/>
          <w:sz w:val="20"/>
          <w:szCs w:val="20"/>
          <w:lang w:bidi="ar-SA"/>
        </w:rPr>
        <w:t xml:space="preserve">Begley TH (1997) Methods and approaches used by FDA to evaluate the safety of food packaging materials. </w:t>
      </w:r>
      <w:proofErr w:type="gramStart"/>
      <w:r w:rsidRPr="000A5113">
        <w:rPr>
          <w:rFonts w:eastAsia="Calibri"/>
          <w:sz w:val="20"/>
          <w:szCs w:val="20"/>
          <w:lang w:bidi="ar-SA"/>
        </w:rPr>
        <w:t xml:space="preserve">Food </w:t>
      </w:r>
      <w:proofErr w:type="spellStart"/>
      <w:r w:rsidRPr="000A5113">
        <w:rPr>
          <w:rFonts w:eastAsia="Calibri"/>
          <w:sz w:val="20"/>
          <w:szCs w:val="20"/>
          <w:lang w:bidi="ar-SA"/>
        </w:rPr>
        <w:t>Addit</w:t>
      </w:r>
      <w:proofErr w:type="spellEnd"/>
      <w:r w:rsidRPr="000A5113">
        <w:rPr>
          <w:rFonts w:eastAsia="Calibri"/>
          <w:sz w:val="20"/>
          <w:szCs w:val="20"/>
          <w:lang w:bidi="ar-SA"/>
        </w:rPr>
        <w:t xml:space="preserve"> </w:t>
      </w:r>
      <w:proofErr w:type="spellStart"/>
      <w:r w:rsidRPr="000A5113">
        <w:rPr>
          <w:rFonts w:eastAsia="Calibri"/>
          <w:sz w:val="20"/>
          <w:szCs w:val="20"/>
          <w:lang w:bidi="ar-SA"/>
        </w:rPr>
        <w:t>Contam</w:t>
      </w:r>
      <w:proofErr w:type="spellEnd"/>
      <w:r w:rsidRPr="000A5113">
        <w:rPr>
          <w:rFonts w:eastAsia="Calibri"/>
          <w:sz w:val="20"/>
          <w:szCs w:val="20"/>
          <w:lang w:bidi="ar-SA"/>
        </w:rPr>
        <w:t>.</w:t>
      </w:r>
      <w:proofErr w:type="gramEnd"/>
      <w:r w:rsidRPr="000A5113">
        <w:rPr>
          <w:rFonts w:eastAsia="Calibri"/>
          <w:sz w:val="20"/>
          <w:szCs w:val="20"/>
          <w:lang w:bidi="ar-SA"/>
        </w:rPr>
        <w:t xml:space="preserve"> 14(6-7):545-53.</w:t>
      </w:r>
    </w:p>
    <w:p w14:paraId="04D71ADD" w14:textId="77777777" w:rsidR="008F4B1D" w:rsidRPr="000A5113" w:rsidRDefault="008F4B1D" w:rsidP="003C1886">
      <w:pPr>
        <w:widowControl/>
        <w:rPr>
          <w:sz w:val="20"/>
          <w:szCs w:val="20"/>
        </w:rPr>
      </w:pPr>
    </w:p>
    <w:p w14:paraId="21FD7946" w14:textId="77777777" w:rsidR="003A6EE0" w:rsidRPr="000A5113" w:rsidRDefault="003A6EE0" w:rsidP="003A6EE0">
      <w:pPr>
        <w:widowControl/>
        <w:rPr>
          <w:rFonts w:eastAsia="Calibri"/>
          <w:sz w:val="20"/>
          <w:szCs w:val="20"/>
          <w:lang w:bidi="ar-SA"/>
        </w:rPr>
      </w:pPr>
      <w:r w:rsidRPr="000A5113">
        <w:rPr>
          <w:rFonts w:eastAsia="Calibri"/>
          <w:sz w:val="20"/>
          <w:szCs w:val="20"/>
          <w:lang w:bidi="ar-SA"/>
        </w:rPr>
        <w:t xml:space="preserve">Biedermann M, Grob K (2013) Assurance of safety of recycled paperboard for food packaging through comprehensive analysis of potential migrants is unrealistic. J </w:t>
      </w:r>
      <w:proofErr w:type="spellStart"/>
      <w:r w:rsidRPr="000A5113">
        <w:rPr>
          <w:rFonts w:eastAsia="Calibri"/>
          <w:sz w:val="20"/>
          <w:szCs w:val="20"/>
          <w:lang w:bidi="ar-SA"/>
        </w:rPr>
        <w:t>Chromatogr</w:t>
      </w:r>
      <w:proofErr w:type="spellEnd"/>
      <w:r w:rsidRPr="000A5113">
        <w:rPr>
          <w:rFonts w:eastAsia="Calibri"/>
          <w:sz w:val="20"/>
          <w:szCs w:val="20"/>
          <w:lang w:bidi="ar-SA"/>
        </w:rPr>
        <w:t xml:space="preserve"> A. 1293:107-19.</w:t>
      </w:r>
    </w:p>
    <w:p w14:paraId="1B2287B3" w14:textId="77777777" w:rsidR="003A6EE0" w:rsidRPr="000A5113" w:rsidRDefault="003A6EE0" w:rsidP="00A50F7E">
      <w:pPr>
        <w:widowControl/>
        <w:rPr>
          <w:rFonts w:eastAsia="Calibri"/>
          <w:sz w:val="20"/>
          <w:szCs w:val="20"/>
          <w:lang w:bidi="ar-SA"/>
        </w:rPr>
      </w:pPr>
    </w:p>
    <w:p w14:paraId="53CA9309" w14:textId="581E0454" w:rsidR="00117D58" w:rsidRPr="000A5113" w:rsidRDefault="00117D58" w:rsidP="00117D58">
      <w:pPr>
        <w:widowControl/>
        <w:rPr>
          <w:rFonts w:eastAsia="Calibri"/>
          <w:sz w:val="20"/>
          <w:szCs w:val="20"/>
          <w:lang w:bidi="ar-SA"/>
        </w:rPr>
      </w:pPr>
      <w:r w:rsidRPr="000A5113">
        <w:rPr>
          <w:rFonts w:eastAsia="Calibri"/>
          <w:sz w:val="20"/>
          <w:szCs w:val="20"/>
          <w:lang w:bidi="ar-SA"/>
        </w:rPr>
        <w:t xml:space="preserve">Biégo GH, </w:t>
      </w:r>
      <w:proofErr w:type="spellStart"/>
      <w:r w:rsidRPr="000A5113">
        <w:rPr>
          <w:rFonts w:eastAsia="Calibri"/>
          <w:sz w:val="20"/>
          <w:szCs w:val="20"/>
          <w:lang w:bidi="ar-SA"/>
        </w:rPr>
        <w:t>Joyeux</w:t>
      </w:r>
      <w:proofErr w:type="spellEnd"/>
      <w:r w:rsidRPr="000A5113">
        <w:rPr>
          <w:rFonts w:eastAsia="Calibri"/>
          <w:sz w:val="20"/>
          <w:szCs w:val="20"/>
          <w:lang w:bidi="ar-SA"/>
        </w:rPr>
        <w:t xml:space="preserve"> M, </w:t>
      </w:r>
      <w:proofErr w:type="spellStart"/>
      <w:r w:rsidRPr="000A5113">
        <w:rPr>
          <w:rFonts w:eastAsia="Calibri"/>
          <w:sz w:val="20"/>
          <w:szCs w:val="20"/>
          <w:lang w:bidi="ar-SA"/>
        </w:rPr>
        <w:t>Hartemann</w:t>
      </w:r>
      <w:proofErr w:type="spellEnd"/>
      <w:r w:rsidRPr="000A5113">
        <w:rPr>
          <w:rFonts w:eastAsia="Calibri"/>
          <w:sz w:val="20"/>
          <w:szCs w:val="20"/>
          <w:lang w:bidi="ar-SA"/>
        </w:rPr>
        <w:t xml:space="preserve"> P, Debry G (1999) Determination of dietary tin intake in an adult French citizen. Arch Environ </w:t>
      </w:r>
      <w:proofErr w:type="spellStart"/>
      <w:r w:rsidRPr="000A5113">
        <w:rPr>
          <w:rFonts w:eastAsia="Calibri"/>
          <w:sz w:val="20"/>
          <w:szCs w:val="20"/>
          <w:lang w:bidi="ar-SA"/>
        </w:rPr>
        <w:t>Contam</w:t>
      </w:r>
      <w:proofErr w:type="spellEnd"/>
      <w:r w:rsidRPr="000A5113">
        <w:rPr>
          <w:rFonts w:eastAsia="Calibri"/>
          <w:sz w:val="20"/>
          <w:szCs w:val="20"/>
          <w:lang w:bidi="ar-SA"/>
        </w:rPr>
        <w:t xml:space="preserve"> </w:t>
      </w:r>
      <w:proofErr w:type="spellStart"/>
      <w:r w:rsidRPr="000A5113">
        <w:rPr>
          <w:rFonts w:eastAsia="Calibri"/>
          <w:sz w:val="20"/>
          <w:szCs w:val="20"/>
          <w:lang w:bidi="ar-SA"/>
        </w:rPr>
        <w:t>Toxicol</w:t>
      </w:r>
      <w:proofErr w:type="spellEnd"/>
      <w:r w:rsidRPr="000A5113">
        <w:rPr>
          <w:rFonts w:eastAsia="Calibri"/>
          <w:sz w:val="20"/>
          <w:szCs w:val="20"/>
          <w:lang w:bidi="ar-SA"/>
        </w:rPr>
        <w:t>. 36(2):227-32.</w:t>
      </w:r>
    </w:p>
    <w:p w14:paraId="1D779D08" w14:textId="77777777" w:rsidR="00117D58" w:rsidRPr="000A5113" w:rsidRDefault="00117D58" w:rsidP="00117D58">
      <w:pPr>
        <w:widowControl/>
        <w:rPr>
          <w:rFonts w:eastAsia="Calibri"/>
          <w:sz w:val="20"/>
          <w:szCs w:val="20"/>
          <w:lang w:bidi="ar-SA"/>
        </w:rPr>
      </w:pPr>
    </w:p>
    <w:p w14:paraId="7781CDE3" w14:textId="77777777" w:rsidR="00A50F7E" w:rsidRPr="000A5113" w:rsidRDefault="00A50F7E" w:rsidP="00A50F7E">
      <w:pPr>
        <w:widowControl/>
        <w:rPr>
          <w:rFonts w:eastAsia="Calibri"/>
          <w:sz w:val="20"/>
          <w:szCs w:val="20"/>
          <w:lang w:bidi="ar-SA"/>
        </w:rPr>
      </w:pPr>
      <w:r w:rsidRPr="000A5113">
        <w:rPr>
          <w:rFonts w:eastAsia="Calibri"/>
          <w:sz w:val="20"/>
          <w:szCs w:val="20"/>
          <w:lang w:bidi="ar-SA"/>
        </w:rPr>
        <w:t xml:space="preserve">Bradley EL, Stratton JS, Leak J, Lister L, Castle L (2013) Printing ink compounds in foods: UK survey results. </w:t>
      </w:r>
      <w:proofErr w:type="gramStart"/>
      <w:r w:rsidRPr="000A5113">
        <w:rPr>
          <w:rFonts w:eastAsia="Calibri"/>
          <w:sz w:val="20"/>
          <w:szCs w:val="20"/>
          <w:lang w:bidi="ar-SA"/>
        </w:rPr>
        <w:t xml:space="preserve">Food </w:t>
      </w:r>
      <w:proofErr w:type="spellStart"/>
      <w:r w:rsidRPr="000A5113">
        <w:rPr>
          <w:rFonts w:eastAsia="Calibri"/>
          <w:sz w:val="20"/>
          <w:szCs w:val="20"/>
          <w:lang w:bidi="ar-SA"/>
        </w:rPr>
        <w:t>Addit</w:t>
      </w:r>
      <w:proofErr w:type="spellEnd"/>
      <w:r w:rsidRPr="000A5113">
        <w:rPr>
          <w:rFonts w:eastAsia="Calibri"/>
          <w:sz w:val="20"/>
          <w:szCs w:val="20"/>
          <w:lang w:bidi="ar-SA"/>
        </w:rPr>
        <w:t xml:space="preserve"> </w:t>
      </w:r>
      <w:proofErr w:type="spellStart"/>
      <w:r w:rsidRPr="000A5113">
        <w:rPr>
          <w:rFonts w:eastAsia="Calibri"/>
          <w:sz w:val="20"/>
          <w:szCs w:val="20"/>
          <w:lang w:bidi="ar-SA"/>
        </w:rPr>
        <w:t>Contam</w:t>
      </w:r>
      <w:proofErr w:type="spellEnd"/>
      <w:r w:rsidRPr="000A5113">
        <w:rPr>
          <w:rFonts w:eastAsia="Calibri"/>
          <w:sz w:val="20"/>
          <w:szCs w:val="20"/>
          <w:lang w:bidi="ar-SA"/>
        </w:rPr>
        <w:t xml:space="preserve"> Part B </w:t>
      </w:r>
      <w:proofErr w:type="spellStart"/>
      <w:r w:rsidRPr="000A5113">
        <w:rPr>
          <w:rFonts w:eastAsia="Calibri"/>
          <w:sz w:val="20"/>
          <w:szCs w:val="20"/>
          <w:lang w:bidi="ar-SA"/>
        </w:rPr>
        <w:t>Surveill</w:t>
      </w:r>
      <w:proofErr w:type="spellEnd"/>
      <w:r w:rsidRPr="000A5113">
        <w:rPr>
          <w:rFonts w:eastAsia="Calibri"/>
          <w:sz w:val="20"/>
          <w:szCs w:val="20"/>
          <w:lang w:bidi="ar-SA"/>
        </w:rPr>
        <w:t>.</w:t>
      </w:r>
      <w:proofErr w:type="gramEnd"/>
      <w:r w:rsidRPr="000A5113">
        <w:rPr>
          <w:rFonts w:eastAsia="Calibri"/>
          <w:sz w:val="20"/>
          <w:szCs w:val="20"/>
          <w:lang w:bidi="ar-SA"/>
        </w:rPr>
        <w:t xml:space="preserve"> 6(2):73-83. </w:t>
      </w:r>
    </w:p>
    <w:p w14:paraId="58C64177" w14:textId="77777777" w:rsidR="006130E6" w:rsidRPr="000A5113" w:rsidRDefault="006130E6" w:rsidP="003C1886">
      <w:pPr>
        <w:widowControl/>
        <w:rPr>
          <w:sz w:val="20"/>
          <w:szCs w:val="20"/>
        </w:rPr>
      </w:pPr>
    </w:p>
    <w:p w14:paraId="61630A7C" w14:textId="102A9EAA" w:rsidR="00A949A6" w:rsidRPr="000A5113" w:rsidRDefault="00A949A6" w:rsidP="00A949A6">
      <w:pPr>
        <w:widowControl/>
        <w:rPr>
          <w:sz w:val="20"/>
          <w:szCs w:val="20"/>
        </w:rPr>
      </w:pPr>
      <w:r w:rsidRPr="000A5113">
        <w:rPr>
          <w:sz w:val="20"/>
          <w:szCs w:val="20"/>
        </w:rPr>
        <w:lastRenderedPageBreak/>
        <w:t xml:space="preserve">Cassidy K, Elyashiv-Barad S (2007) </w:t>
      </w:r>
      <w:r w:rsidR="007A474A" w:rsidRPr="000A5113">
        <w:rPr>
          <w:sz w:val="20"/>
          <w:szCs w:val="20"/>
        </w:rPr>
        <w:t>USFDA</w:t>
      </w:r>
      <w:r w:rsidRPr="000A5113">
        <w:rPr>
          <w:sz w:val="20"/>
          <w:szCs w:val="20"/>
        </w:rPr>
        <w:t xml:space="preserve">'s revised consumption factor for polystyrene used in food-contact applications. </w:t>
      </w:r>
      <w:proofErr w:type="gramStart"/>
      <w:r w:rsidRPr="000A5113">
        <w:rPr>
          <w:sz w:val="20"/>
          <w:szCs w:val="20"/>
        </w:rPr>
        <w:t xml:space="preserve">Food </w:t>
      </w:r>
      <w:proofErr w:type="spellStart"/>
      <w:r w:rsidRPr="000A5113">
        <w:rPr>
          <w:sz w:val="20"/>
          <w:szCs w:val="20"/>
        </w:rPr>
        <w:t>Addit</w:t>
      </w:r>
      <w:proofErr w:type="spellEnd"/>
      <w:r w:rsidRPr="000A5113">
        <w:rPr>
          <w:sz w:val="20"/>
          <w:szCs w:val="20"/>
        </w:rPr>
        <w:t xml:space="preserve"> </w:t>
      </w:r>
      <w:proofErr w:type="spellStart"/>
      <w:r w:rsidRPr="000A5113">
        <w:rPr>
          <w:sz w:val="20"/>
          <w:szCs w:val="20"/>
        </w:rPr>
        <w:t>Contam</w:t>
      </w:r>
      <w:proofErr w:type="spellEnd"/>
      <w:r w:rsidRPr="000A5113">
        <w:rPr>
          <w:sz w:val="20"/>
          <w:szCs w:val="20"/>
        </w:rPr>
        <w:t>.</w:t>
      </w:r>
      <w:proofErr w:type="gramEnd"/>
      <w:r w:rsidRPr="000A5113">
        <w:rPr>
          <w:sz w:val="20"/>
          <w:szCs w:val="20"/>
        </w:rPr>
        <w:t xml:space="preserve"> 24(9):1026-1031.</w:t>
      </w:r>
    </w:p>
    <w:p w14:paraId="2A7D31D2" w14:textId="77777777" w:rsidR="00A949A6" w:rsidRPr="000A5113" w:rsidRDefault="00A949A6" w:rsidP="003C1886">
      <w:pPr>
        <w:widowControl/>
        <w:rPr>
          <w:sz w:val="20"/>
          <w:szCs w:val="20"/>
        </w:rPr>
      </w:pPr>
    </w:p>
    <w:p w14:paraId="75114C0A" w14:textId="4D5A7816" w:rsidR="00353D24" w:rsidRPr="000A5113" w:rsidRDefault="003C1886" w:rsidP="003C1886">
      <w:pPr>
        <w:widowControl/>
        <w:rPr>
          <w:sz w:val="20"/>
          <w:szCs w:val="20"/>
        </w:rPr>
      </w:pPr>
      <w:proofErr w:type="gramStart"/>
      <w:r w:rsidRPr="000A5113">
        <w:rPr>
          <w:sz w:val="20"/>
          <w:szCs w:val="20"/>
        </w:rPr>
        <w:t>C&amp;EN (2015) A reckoning for phthalates.</w:t>
      </w:r>
      <w:proofErr w:type="gramEnd"/>
      <w:r w:rsidRPr="000A5113">
        <w:rPr>
          <w:sz w:val="20"/>
          <w:szCs w:val="20"/>
        </w:rPr>
        <w:t xml:space="preserve"> Chemical and Engineering News, 93</w:t>
      </w:r>
      <w:r w:rsidR="00353D24" w:rsidRPr="000A5113">
        <w:rPr>
          <w:sz w:val="20"/>
          <w:szCs w:val="20"/>
        </w:rPr>
        <w:t>(25)</w:t>
      </w:r>
      <w:r w:rsidRPr="000A5113">
        <w:rPr>
          <w:sz w:val="20"/>
          <w:szCs w:val="20"/>
        </w:rPr>
        <w:t>:10-20.</w:t>
      </w:r>
    </w:p>
    <w:p w14:paraId="7707B46C" w14:textId="77777777" w:rsidR="00353D24" w:rsidRPr="000A5113" w:rsidRDefault="00353D24" w:rsidP="003C1886">
      <w:pPr>
        <w:widowControl/>
        <w:rPr>
          <w:sz w:val="20"/>
          <w:szCs w:val="20"/>
        </w:rPr>
      </w:pPr>
    </w:p>
    <w:p w14:paraId="5D39A180" w14:textId="77777777" w:rsidR="005D1688" w:rsidRPr="000A5113" w:rsidRDefault="005D1688" w:rsidP="005D1688">
      <w:pPr>
        <w:widowControl/>
        <w:rPr>
          <w:rFonts w:eastAsia="Calibri"/>
          <w:bCs/>
          <w:iCs/>
          <w:sz w:val="20"/>
          <w:szCs w:val="20"/>
          <w:lang w:bidi="ar-SA"/>
        </w:rPr>
      </w:pPr>
      <w:proofErr w:type="gramStart"/>
      <w:r w:rsidRPr="000A5113">
        <w:rPr>
          <w:rFonts w:eastAsia="Calibri"/>
          <w:bCs/>
          <w:iCs/>
          <w:sz w:val="20"/>
          <w:szCs w:val="20"/>
          <w:lang w:bidi="ar-SA"/>
        </w:rPr>
        <w:t>Cramer GM, Ford RA, Hall RL (1978) Estimation of toxic hazard – a decision tree approach.</w:t>
      </w:r>
      <w:proofErr w:type="gramEnd"/>
    </w:p>
    <w:p w14:paraId="06F58D6F" w14:textId="77777777" w:rsidR="005D1688" w:rsidRPr="000A5113" w:rsidRDefault="005D1688" w:rsidP="005D1688">
      <w:pPr>
        <w:widowControl/>
        <w:rPr>
          <w:rFonts w:eastAsia="Calibri"/>
          <w:bCs/>
          <w:iCs/>
          <w:sz w:val="20"/>
          <w:szCs w:val="20"/>
          <w:lang w:bidi="ar-SA"/>
        </w:rPr>
      </w:pPr>
      <w:proofErr w:type="gramStart"/>
      <w:r w:rsidRPr="000A5113">
        <w:rPr>
          <w:rFonts w:eastAsia="Calibri"/>
          <w:bCs/>
          <w:iCs/>
          <w:sz w:val="20"/>
          <w:szCs w:val="20"/>
          <w:lang w:bidi="ar-SA"/>
        </w:rPr>
        <w:t xml:space="preserve">Food </w:t>
      </w:r>
      <w:proofErr w:type="spellStart"/>
      <w:r w:rsidRPr="000A5113">
        <w:rPr>
          <w:rFonts w:eastAsia="Calibri"/>
          <w:bCs/>
          <w:iCs/>
          <w:sz w:val="20"/>
          <w:szCs w:val="20"/>
          <w:lang w:bidi="ar-SA"/>
        </w:rPr>
        <w:t>Cosmet</w:t>
      </w:r>
      <w:proofErr w:type="spellEnd"/>
      <w:r w:rsidRPr="000A5113">
        <w:rPr>
          <w:rFonts w:eastAsia="Calibri"/>
          <w:bCs/>
          <w:iCs/>
          <w:sz w:val="20"/>
          <w:szCs w:val="20"/>
          <w:lang w:bidi="ar-SA"/>
        </w:rPr>
        <w:t xml:space="preserve"> </w:t>
      </w:r>
      <w:proofErr w:type="spellStart"/>
      <w:r w:rsidRPr="000A5113">
        <w:rPr>
          <w:rFonts w:eastAsia="Calibri"/>
          <w:bCs/>
          <w:iCs/>
          <w:sz w:val="20"/>
          <w:szCs w:val="20"/>
          <w:lang w:bidi="ar-SA"/>
        </w:rPr>
        <w:t>Toxicol</w:t>
      </w:r>
      <w:proofErr w:type="spellEnd"/>
      <w:r w:rsidRPr="000A5113">
        <w:rPr>
          <w:rFonts w:eastAsia="Calibri"/>
          <w:bCs/>
          <w:iCs/>
          <w:sz w:val="20"/>
          <w:szCs w:val="20"/>
          <w:lang w:bidi="ar-SA"/>
        </w:rPr>
        <w:t>.</w:t>
      </w:r>
      <w:proofErr w:type="gramEnd"/>
      <w:r w:rsidRPr="000A5113">
        <w:rPr>
          <w:rFonts w:eastAsia="Calibri"/>
          <w:bCs/>
          <w:iCs/>
          <w:sz w:val="20"/>
          <w:szCs w:val="20"/>
          <w:lang w:bidi="ar-SA"/>
        </w:rPr>
        <w:t xml:space="preserve"> 16(3):255-76.</w:t>
      </w:r>
    </w:p>
    <w:p w14:paraId="2F5C089C" w14:textId="77777777" w:rsidR="005D1688" w:rsidRPr="000A5113" w:rsidRDefault="005D1688" w:rsidP="00353D24">
      <w:pPr>
        <w:widowControl/>
        <w:rPr>
          <w:rFonts w:eastAsia="Calibri"/>
          <w:bCs/>
          <w:iCs/>
          <w:sz w:val="20"/>
          <w:szCs w:val="20"/>
          <w:lang w:bidi="ar-SA"/>
        </w:rPr>
      </w:pPr>
    </w:p>
    <w:p w14:paraId="27862A06" w14:textId="17EA3305" w:rsidR="003054E0" w:rsidRPr="000A5113" w:rsidRDefault="003054E0" w:rsidP="003054E0">
      <w:pPr>
        <w:widowControl/>
        <w:rPr>
          <w:rFonts w:eastAsia="Calibri"/>
          <w:bCs/>
          <w:iCs/>
          <w:sz w:val="20"/>
          <w:szCs w:val="20"/>
          <w:lang w:bidi="ar-SA"/>
        </w:rPr>
      </w:pPr>
      <w:r w:rsidRPr="000A5113">
        <w:rPr>
          <w:rFonts w:eastAsia="Calibri"/>
          <w:bCs/>
          <w:iCs/>
          <w:sz w:val="20"/>
          <w:szCs w:val="20"/>
          <w:lang w:bidi="ar-SA"/>
        </w:rPr>
        <w:t xml:space="preserve">Duffy E, Hearty AP, McCarthy S, </w:t>
      </w:r>
      <w:proofErr w:type="spellStart"/>
      <w:r w:rsidRPr="000A5113">
        <w:rPr>
          <w:rFonts w:eastAsia="Calibri"/>
          <w:bCs/>
          <w:iCs/>
          <w:sz w:val="20"/>
          <w:szCs w:val="20"/>
          <w:lang w:bidi="ar-SA"/>
        </w:rPr>
        <w:t>Gibney</w:t>
      </w:r>
      <w:proofErr w:type="spellEnd"/>
      <w:r w:rsidRPr="000A5113">
        <w:rPr>
          <w:rFonts w:eastAsia="Calibri"/>
          <w:bCs/>
          <w:iCs/>
          <w:sz w:val="20"/>
          <w:szCs w:val="20"/>
          <w:lang w:bidi="ar-SA"/>
        </w:rPr>
        <w:t xml:space="preserve"> MJ (2007) Estimation of exposure to food packaging materials. 3: Development of consumption factors and food-type distribution factors from data collected on Irish children. </w:t>
      </w:r>
      <w:proofErr w:type="gramStart"/>
      <w:r w:rsidRPr="000A5113">
        <w:rPr>
          <w:rFonts w:eastAsia="Calibri"/>
          <w:bCs/>
          <w:iCs/>
          <w:sz w:val="20"/>
          <w:szCs w:val="20"/>
          <w:lang w:bidi="ar-SA"/>
        </w:rPr>
        <w:t xml:space="preserve">Food </w:t>
      </w:r>
      <w:proofErr w:type="spellStart"/>
      <w:r w:rsidRPr="000A5113">
        <w:rPr>
          <w:rFonts w:eastAsia="Calibri"/>
          <w:bCs/>
          <w:iCs/>
          <w:sz w:val="20"/>
          <w:szCs w:val="20"/>
          <w:lang w:bidi="ar-SA"/>
        </w:rPr>
        <w:t>Addit</w:t>
      </w:r>
      <w:proofErr w:type="spellEnd"/>
      <w:r w:rsidRPr="000A5113">
        <w:rPr>
          <w:rFonts w:eastAsia="Calibri"/>
          <w:bCs/>
          <w:iCs/>
          <w:sz w:val="20"/>
          <w:szCs w:val="20"/>
          <w:lang w:bidi="ar-SA"/>
        </w:rPr>
        <w:t xml:space="preserve"> </w:t>
      </w:r>
      <w:proofErr w:type="spellStart"/>
      <w:r w:rsidRPr="000A5113">
        <w:rPr>
          <w:rFonts w:eastAsia="Calibri"/>
          <w:bCs/>
          <w:iCs/>
          <w:sz w:val="20"/>
          <w:szCs w:val="20"/>
          <w:lang w:bidi="ar-SA"/>
        </w:rPr>
        <w:t>Contam</w:t>
      </w:r>
      <w:proofErr w:type="spellEnd"/>
      <w:r w:rsidRPr="000A5113">
        <w:rPr>
          <w:rFonts w:eastAsia="Calibri"/>
          <w:bCs/>
          <w:iCs/>
          <w:sz w:val="20"/>
          <w:szCs w:val="20"/>
          <w:lang w:bidi="ar-SA"/>
        </w:rPr>
        <w:t>.</w:t>
      </w:r>
      <w:proofErr w:type="gramEnd"/>
      <w:r w:rsidRPr="000A5113">
        <w:rPr>
          <w:rFonts w:eastAsia="Calibri"/>
          <w:bCs/>
          <w:iCs/>
          <w:sz w:val="20"/>
          <w:szCs w:val="20"/>
          <w:lang w:bidi="ar-SA"/>
        </w:rPr>
        <w:t xml:space="preserve"> 24(1):63-74.</w:t>
      </w:r>
    </w:p>
    <w:p w14:paraId="73DC7BC2" w14:textId="77777777" w:rsidR="003054E0" w:rsidRPr="000A5113" w:rsidRDefault="003054E0" w:rsidP="00353D24">
      <w:pPr>
        <w:widowControl/>
        <w:rPr>
          <w:rFonts w:eastAsia="Calibri"/>
          <w:bCs/>
          <w:iCs/>
          <w:sz w:val="20"/>
          <w:szCs w:val="20"/>
          <w:lang w:bidi="ar-SA"/>
        </w:rPr>
      </w:pPr>
    </w:p>
    <w:p w14:paraId="43F8A9DE" w14:textId="77777777" w:rsidR="00353D24" w:rsidRPr="000A5113" w:rsidRDefault="00353D24" w:rsidP="00353D24">
      <w:pPr>
        <w:widowControl/>
        <w:rPr>
          <w:rFonts w:eastAsia="Calibri"/>
          <w:bCs/>
          <w:iCs/>
          <w:sz w:val="20"/>
          <w:szCs w:val="20"/>
          <w:lang w:bidi="ar-SA"/>
        </w:rPr>
      </w:pPr>
      <w:r w:rsidRPr="000A5113">
        <w:rPr>
          <w:rFonts w:eastAsia="Calibri"/>
          <w:bCs/>
          <w:iCs/>
          <w:sz w:val="20"/>
          <w:szCs w:val="20"/>
          <w:lang w:bidi="ar-SA"/>
        </w:rPr>
        <w:t xml:space="preserve">EC (2011) Commission Regulation (EU) No 10/2011 on plastic materials and articles intended to come into contact with food. </w:t>
      </w:r>
      <w:proofErr w:type="gramStart"/>
      <w:r w:rsidRPr="000A5113">
        <w:rPr>
          <w:rFonts w:eastAsia="Calibri"/>
          <w:bCs/>
          <w:iCs/>
          <w:sz w:val="20"/>
          <w:szCs w:val="20"/>
          <w:lang w:bidi="ar-SA"/>
        </w:rPr>
        <w:t>European Commission.</w:t>
      </w:r>
      <w:proofErr w:type="gramEnd"/>
    </w:p>
    <w:p w14:paraId="39B783FF" w14:textId="38256546" w:rsidR="00353D24" w:rsidRPr="000A5113" w:rsidRDefault="00745F88" w:rsidP="00353D24">
      <w:pPr>
        <w:widowControl/>
        <w:rPr>
          <w:sz w:val="20"/>
          <w:szCs w:val="20"/>
        </w:rPr>
      </w:pPr>
      <w:hyperlink r:id="rId21" w:history="1">
        <w:r w:rsidR="00A662E1" w:rsidRPr="000A5113">
          <w:rPr>
            <w:rStyle w:val="Hyperlink"/>
            <w:sz w:val="20"/>
            <w:szCs w:val="20"/>
          </w:rPr>
          <w:t>http://eur-lex.europa.eu/legal-content/EN/ALL/?uri=CELEX:32011R0010</w:t>
        </w:r>
      </w:hyperlink>
    </w:p>
    <w:p w14:paraId="0C3AE2C8" w14:textId="77777777" w:rsidR="00A662E1" w:rsidRPr="000A5113" w:rsidRDefault="00A662E1" w:rsidP="00353D24">
      <w:pPr>
        <w:widowControl/>
        <w:rPr>
          <w:sz w:val="20"/>
          <w:szCs w:val="20"/>
        </w:rPr>
      </w:pPr>
    </w:p>
    <w:p w14:paraId="42E2CCF2" w14:textId="77777777" w:rsidR="00353D64" w:rsidRPr="000A5113" w:rsidRDefault="00353D64" w:rsidP="00B219C4">
      <w:pPr>
        <w:keepLines/>
        <w:widowControl/>
        <w:rPr>
          <w:rFonts w:eastAsia="Calibri"/>
          <w:bCs/>
          <w:iCs/>
          <w:sz w:val="20"/>
          <w:szCs w:val="20"/>
          <w:lang w:bidi="ar-SA"/>
        </w:rPr>
      </w:pPr>
      <w:r w:rsidRPr="000A5113">
        <w:rPr>
          <w:rFonts w:eastAsia="Calibri"/>
          <w:bCs/>
          <w:iCs/>
          <w:sz w:val="20"/>
          <w:szCs w:val="20"/>
          <w:lang w:bidi="ar-SA"/>
        </w:rPr>
        <w:t>ECHA (2010) Evaluation of new scientific evidence concerning the restrictions contained in Annex XVII to regulation (EC) no 1907/2006 (REACH) review of new available information for di-‘</w:t>
      </w:r>
      <w:proofErr w:type="spellStart"/>
      <w:r w:rsidRPr="000A5113">
        <w:rPr>
          <w:rFonts w:eastAsia="Calibri"/>
          <w:bCs/>
          <w:iCs/>
          <w:sz w:val="20"/>
          <w:szCs w:val="20"/>
          <w:lang w:bidi="ar-SA"/>
        </w:rPr>
        <w:t>isononyl</w:t>
      </w:r>
      <w:proofErr w:type="spellEnd"/>
      <w:r w:rsidRPr="000A5113">
        <w:rPr>
          <w:rFonts w:eastAsia="Calibri"/>
          <w:bCs/>
          <w:iCs/>
          <w:sz w:val="20"/>
          <w:szCs w:val="20"/>
          <w:lang w:bidi="ar-SA"/>
        </w:rPr>
        <w:t xml:space="preserve">’ phthalate (DINP). </w:t>
      </w:r>
    </w:p>
    <w:p w14:paraId="11DD34F6" w14:textId="77777777" w:rsidR="00353D64" w:rsidRPr="000A5113" w:rsidRDefault="00745F88" w:rsidP="00B219C4">
      <w:pPr>
        <w:keepLines/>
        <w:widowControl/>
        <w:rPr>
          <w:rFonts w:eastAsia="Calibri"/>
          <w:bCs/>
          <w:iCs/>
          <w:sz w:val="20"/>
          <w:szCs w:val="20"/>
          <w:lang w:bidi="ar-SA"/>
        </w:rPr>
      </w:pPr>
      <w:hyperlink r:id="rId22" w:history="1">
        <w:r w:rsidR="00353D64" w:rsidRPr="000A5113">
          <w:rPr>
            <w:rStyle w:val="Hyperlink"/>
            <w:rFonts w:eastAsia="Calibri"/>
            <w:bCs/>
            <w:iCs/>
            <w:sz w:val="20"/>
            <w:szCs w:val="20"/>
            <w:lang w:bidi="ar-SA"/>
          </w:rPr>
          <w:t>https://echa.europa.eu/documents/10162/13641/dinp_echa_review_report_2010_6_en.pdf</w:t>
        </w:r>
      </w:hyperlink>
    </w:p>
    <w:p w14:paraId="7432C032" w14:textId="77777777" w:rsidR="00353D64" w:rsidRPr="000A5113" w:rsidRDefault="00353D64" w:rsidP="00DA1853">
      <w:pPr>
        <w:widowControl/>
        <w:rPr>
          <w:rFonts w:eastAsia="Calibri"/>
          <w:sz w:val="20"/>
          <w:szCs w:val="20"/>
          <w:lang w:bidi="ar-SA"/>
        </w:rPr>
      </w:pPr>
    </w:p>
    <w:p w14:paraId="3AE2EB1C" w14:textId="6DBF8BE0" w:rsidR="00F73F43" w:rsidRPr="000A5113" w:rsidRDefault="00CB795E" w:rsidP="00B219C4">
      <w:pPr>
        <w:keepLines/>
        <w:widowControl/>
        <w:rPr>
          <w:rFonts w:eastAsia="Calibri"/>
          <w:sz w:val="20"/>
          <w:szCs w:val="20"/>
          <w:lang w:bidi="ar-SA"/>
        </w:rPr>
      </w:pPr>
      <w:r w:rsidRPr="000A5113">
        <w:rPr>
          <w:rFonts w:eastAsia="Calibri"/>
          <w:bCs/>
          <w:iCs/>
          <w:sz w:val="20"/>
          <w:szCs w:val="20"/>
          <w:lang w:bidi="ar-SA"/>
        </w:rPr>
        <w:t xml:space="preserve">EFSA (2005a) Opinion of the Scientific Panel on Food Additives, Flavourings, Processing Aids and Materials in Contact with Food (AFC) on a request from the Commission related to </w:t>
      </w:r>
      <w:proofErr w:type="gramStart"/>
      <w:r w:rsidRPr="000A5113">
        <w:rPr>
          <w:rFonts w:eastAsia="Calibri"/>
          <w:bCs/>
          <w:iCs/>
          <w:sz w:val="20"/>
          <w:szCs w:val="20"/>
          <w:lang w:bidi="ar-SA"/>
        </w:rPr>
        <w:t>Bis(</w:t>
      </w:r>
      <w:proofErr w:type="gramEnd"/>
      <w:r w:rsidRPr="000A5113">
        <w:rPr>
          <w:rFonts w:eastAsia="Calibri"/>
          <w:bCs/>
          <w:iCs/>
          <w:sz w:val="20"/>
          <w:szCs w:val="20"/>
          <w:lang w:bidi="ar-SA"/>
        </w:rPr>
        <w:t xml:space="preserve">2-ethylhexyl)phthalate (DEHP) for use in food contact materials. </w:t>
      </w:r>
      <w:proofErr w:type="gramStart"/>
      <w:r w:rsidRPr="000A5113">
        <w:rPr>
          <w:rFonts w:eastAsia="Calibri"/>
          <w:bCs/>
          <w:iCs/>
          <w:sz w:val="20"/>
          <w:szCs w:val="20"/>
          <w:lang w:bidi="ar-SA"/>
        </w:rPr>
        <w:t>European Food Safety Authority.</w:t>
      </w:r>
      <w:proofErr w:type="gramEnd"/>
      <w:r w:rsidR="00353D64" w:rsidRPr="000A5113">
        <w:rPr>
          <w:rFonts w:eastAsia="Calibri"/>
          <w:bCs/>
          <w:iCs/>
          <w:sz w:val="20"/>
          <w:szCs w:val="20"/>
          <w:lang w:bidi="ar-SA"/>
        </w:rPr>
        <w:t xml:space="preserve"> </w:t>
      </w:r>
      <w:hyperlink r:id="rId23" w:history="1">
        <w:r w:rsidR="006D61BF" w:rsidRPr="000A5113">
          <w:rPr>
            <w:rStyle w:val="Hyperlink"/>
            <w:rFonts w:eastAsia="Calibri"/>
            <w:sz w:val="20"/>
            <w:szCs w:val="20"/>
            <w:lang w:bidi="ar-SA"/>
          </w:rPr>
          <w:t>http://www.efsa.europa.eu/en/efsajournal/pub/243</w:t>
        </w:r>
      </w:hyperlink>
    </w:p>
    <w:p w14:paraId="3AA108A6" w14:textId="77777777" w:rsidR="006D61BF" w:rsidRPr="000A5113" w:rsidRDefault="006D61BF" w:rsidP="00630FA8">
      <w:pPr>
        <w:widowControl/>
        <w:rPr>
          <w:rFonts w:eastAsia="Calibri"/>
          <w:sz w:val="20"/>
          <w:szCs w:val="20"/>
          <w:lang w:bidi="ar-SA"/>
        </w:rPr>
      </w:pPr>
    </w:p>
    <w:p w14:paraId="70567BD7" w14:textId="77777777" w:rsidR="00630FA8" w:rsidRPr="000A5113" w:rsidRDefault="00630FA8" w:rsidP="00630FA8">
      <w:pPr>
        <w:widowControl/>
        <w:rPr>
          <w:rFonts w:eastAsia="Calibri"/>
          <w:sz w:val="20"/>
          <w:szCs w:val="20"/>
          <w:lang w:bidi="ar-SA"/>
        </w:rPr>
      </w:pPr>
      <w:r w:rsidRPr="000A5113">
        <w:rPr>
          <w:rFonts w:eastAsia="Calibri"/>
          <w:sz w:val="20"/>
          <w:szCs w:val="20"/>
          <w:lang w:bidi="ar-SA"/>
        </w:rPr>
        <w:t>EFSA (2005b) Opinion of the Scientific Panel on Food Additives, Flavourings, Processing Aids and Materials in Contact with Food (AFC) on a request from the Commission related to</w:t>
      </w:r>
    </w:p>
    <w:p w14:paraId="4DE5AAED" w14:textId="160CE8E0" w:rsidR="00832E87" w:rsidRPr="000A5113" w:rsidRDefault="00630FA8" w:rsidP="00630FA8">
      <w:pPr>
        <w:widowControl/>
        <w:rPr>
          <w:rFonts w:eastAsia="Calibri"/>
          <w:sz w:val="20"/>
          <w:szCs w:val="20"/>
          <w:lang w:bidi="ar-SA"/>
        </w:rPr>
      </w:pPr>
      <w:r w:rsidRPr="000A5113">
        <w:rPr>
          <w:rFonts w:eastAsia="Calibri"/>
          <w:sz w:val="20"/>
          <w:szCs w:val="20"/>
          <w:lang w:bidi="ar-SA"/>
        </w:rPr>
        <w:t>Di-</w:t>
      </w:r>
      <w:proofErr w:type="spellStart"/>
      <w:r w:rsidRPr="000A5113">
        <w:rPr>
          <w:rFonts w:eastAsia="Calibri"/>
          <w:sz w:val="20"/>
          <w:szCs w:val="20"/>
          <w:lang w:bidi="ar-SA"/>
        </w:rPr>
        <w:t>isononylphthalate</w:t>
      </w:r>
      <w:proofErr w:type="spellEnd"/>
      <w:r w:rsidRPr="000A5113">
        <w:rPr>
          <w:rFonts w:eastAsia="Calibri"/>
          <w:sz w:val="20"/>
          <w:szCs w:val="20"/>
          <w:lang w:bidi="ar-SA"/>
        </w:rPr>
        <w:t xml:space="preserve"> (DINP) for use in food contact materials. </w:t>
      </w:r>
      <w:proofErr w:type="gramStart"/>
      <w:r w:rsidRPr="000A5113">
        <w:rPr>
          <w:rFonts w:eastAsia="Calibri"/>
          <w:sz w:val="20"/>
          <w:szCs w:val="20"/>
          <w:lang w:bidi="ar-SA"/>
        </w:rPr>
        <w:t>European Food Safety Authority.</w:t>
      </w:r>
      <w:proofErr w:type="gramEnd"/>
      <w:r w:rsidRPr="000A5113">
        <w:rPr>
          <w:rFonts w:eastAsia="Calibri"/>
          <w:sz w:val="20"/>
          <w:szCs w:val="20"/>
          <w:lang w:bidi="ar-SA"/>
        </w:rPr>
        <w:t xml:space="preserve"> </w:t>
      </w:r>
      <w:hyperlink r:id="rId24" w:history="1">
        <w:r w:rsidR="00832E87" w:rsidRPr="000A5113">
          <w:rPr>
            <w:rStyle w:val="Hyperlink"/>
            <w:rFonts w:eastAsia="Calibri"/>
            <w:sz w:val="20"/>
            <w:szCs w:val="20"/>
            <w:lang w:bidi="ar-SA"/>
          </w:rPr>
          <w:t>http://www.efsa.europa.eu/en/efsajournal/pub/244</w:t>
        </w:r>
      </w:hyperlink>
    </w:p>
    <w:p w14:paraId="31FEC0C8" w14:textId="77777777" w:rsidR="00832E87" w:rsidRPr="000A5113" w:rsidRDefault="00832E87" w:rsidP="00630FA8">
      <w:pPr>
        <w:widowControl/>
        <w:rPr>
          <w:rFonts w:eastAsia="Calibri"/>
          <w:sz w:val="20"/>
          <w:szCs w:val="20"/>
          <w:lang w:bidi="ar-SA"/>
        </w:rPr>
      </w:pPr>
    </w:p>
    <w:p w14:paraId="6A4C611B" w14:textId="77777777" w:rsidR="00630FA8" w:rsidRPr="000A5113" w:rsidRDefault="00630FA8" w:rsidP="00630FA8">
      <w:pPr>
        <w:widowControl/>
        <w:rPr>
          <w:rFonts w:eastAsia="Calibri"/>
          <w:sz w:val="20"/>
          <w:szCs w:val="20"/>
          <w:lang w:bidi="ar-SA"/>
        </w:rPr>
      </w:pPr>
      <w:r w:rsidRPr="000A5113">
        <w:rPr>
          <w:rFonts w:eastAsia="Calibri"/>
          <w:sz w:val="20"/>
          <w:szCs w:val="20"/>
          <w:lang w:bidi="ar-SA"/>
        </w:rPr>
        <w:t>EFSA (2006) Opinion of the Scientific Panel on Food Additives, Flavourings, Processing Aids and Materials in Contact with Food on a request from the Commission related to 2</w:t>
      </w:r>
      <w:proofErr w:type="gramStart"/>
      <w:r w:rsidRPr="000A5113">
        <w:rPr>
          <w:rFonts w:eastAsia="Calibri"/>
          <w:sz w:val="20"/>
          <w:szCs w:val="20"/>
          <w:lang w:bidi="ar-SA"/>
        </w:rPr>
        <w:t>,2</w:t>
      </w:r>
      <w:proofErr w:type="gramEnd"/>
      <w:r w:rsidRPr="000A5113">
        <w:rPr>
          <w:rFonts w:eastAsia="Calibri"/>
          <w:sz w:val="20"/>
          <w:szCs w:val="20"/>
          <w:lang w:bidi="ar-SA"/>
        </w:rPr>
        <w:t xml:space="preserve">-bis(4-hydroxyphenyl)propane (Bisphenol A). </w:t>
      </w:r>
      <w:proofErr w:type="gramStart"/>
      <w:r w:rsidRPr="000A5113">
        <w:rPr>
          <w:rFonts w:eastAsia="Calibri"/>
          <w:sz w:val="20"/>
          <w:szCs w:val="20"/>
          <w:lang w:bidi="ar-SA"/>
        </w:rPr>
        <w:t>European Food Safety Authority.</w:t>
      </w:r>
      <w:proofErr w:type="gramEnd"/>
    </w:p>
    <w:p w14:paraId="0F3649EA" w14:textId="77777777" w:rsidR="00630FA8" w:rsidRPr="000A5113" w:rsidRDefault="00745F88" w:rsidP="00630FA8">
      <w:pPr>
        <w:widowControl/>
        <w:rPr>
          <w:rFonts w:eastAsia="Calibri"/>
          <w:sz w:val="20"/>
          <w:szCs w:val="20"/>
          <w:lang w:bidi="ar-SA"/>
        </w:rPr>
      </w:pPr>
      <w:hyperlink r:id="rId25" w:history="1">
        <w:r w:rsidR="00630FA8" w:rsidRPr="000A5113">
          <w:rPr>
            <w:rStyle w:val="Hyperlink"/>
            <w:rFonts w:eastAsia="Calibri"/>
            <w:sz w:val="20"/>
            <w:szCs w:val="20"/>
            <w:lang w:bidi="ar-SA"/>
          </w:rPr>
          <w:t>http://www.efsa.europa.eu/en/efsajournal/pub/428</w:t>
        </w:r>
      </w:hyperlink>
    </w:p>
    <w:p w14:paraId="715CD986" w14:textId="77777777" w:rsidR="00630FA8" w:rsidRPr="000A5113" w:rsidRDefault="00630FA8" w:rsidP="00DA1853">
      <w:pPr>
        <w:widowControl/>
        <w:rPr>
          <w:rFonts w:eastAsia="Calibri"/>
          <w:sz w:val="20"/>
          <w:szCs w:val="20"/>
          <w:lang w:bidi="ar-SA"/>
        </w:rPr>
      </w:pPr>
    </w:p>
    <w:p w14:paraId="67CD12FC" w14:textId="226614F6" w:rsidR="00DA1853" w:rsidRPr="000A5113" w:rsidRDefault="00DA1853" w:rsidP="00DA1853">
      <w:pPr>
        <w:widowControl/>
        <w:rPr>
          <w:rFonts w:eastAsia="Calibri"/>
          <w:sz w:val="20"/>
          <w:szCs w:val="20"/>
          <w:lang w:bidi="ar-SA"/>
        </w:rPr>
      </w:pPr>
      <w:r w:rsidRPr="000A5113">
        <w:rPr>
          <w:rFonts w:eastAsia="Calibri"/>
          <w:sz w:val="20"/>
          <w:szCs w:val="20"/>
          <w:lang w:bidi="ar-SA"/>
        </w:rPr>
        <w:t>EFSA (2008) Food Contact Materials</w:t>
      </w:r>
      <w:r w:rsidR="00AC6255" w:rsidRPr="000A5113">
        <w:rPr>
          <w:rFonts w:eastAsia="Calibri"/>
          <w:sz w:val="20"/>
          <w:szCs w:val="20"/>
          <w:lang w:bidi="ar-SA"/>
        </w:rPr>
        <w:t xml:space="preserve"> - </w:t>
      </w:r>
      <w:r w:rsidRPr="000A5113">
        <w:rPr>
          <w:rFonts w:eastAsia="Calibri"/>
          <w:sz w:val="20"/>
          <w:szCs w:val="20"/>
          <w:lang w:bidi="ar-SA"/>
        </w:rPr>
        <w:t xml:space="preserve">Note for Guidance. </w:t>
      </w:r>
      <w:proofErr w:type="gramStart"/>
      <w:r w:rsidRPr="000A5113">
        <w:rPr>
          <w:rFonts w:eastAsia="Calibri"/>
          <w:sz w:val="20"/>
          <w:szCs w:val="20"/>
          <w:lang w:bidi="ar-SA"/>
        </w:rPr>
        <w:t>European Food Safety Authority.</w:t>
      </w:r>
      <w:proofErr w:type="gramEnd"/>
    </w:p>
    <w:p w14:paraId="0D20B1A9" w14:textId="45931907" w:rsidR="00A662E1" w:rsidRPr="000A5113" w:rsidRDefault="00745F88" w:rsidP="00DA1853">
      <w:pPr>
        <w:widowControl/>
        <w:rPr>
          <w:rFonts w:eastAsia="Calibri"/>
          <w:sz w:val="20"/>
          <w:szCs w:val="20"/>
          <w:lang w:bidi="ar-SA"/>
        </w:rPr>
      </w:pPr>
      <w:hyperlink r:id="rId26" w:history="1">
        <w:r w:rsidR="00A662E1" w:rsidRPr="000A5113">
          <w:rPr>
            <w:rStyle w:val="Hyperlink"/>
            <w:rFonts w:eastAsia="Calibri"/>
            <w:sz w:val="20"/>
            <w:szCs w:val="20"/>
            <w:lang w:bidi="ar-SA"/>
          </w:rPr>
          <w:t>http://www.efsa.europa.eu/sites/default/files/scientific_output/files/main_documents/21r.pdf</w:t>
        </w:r>
      </w:hyperlink>
    </w:p>
    <w:p w14:paraId="0B39E794" w14:textId="77777777" w:rsidR="00A662E1" w:rsidRPr="000A5113" w:rsidRDefault="00A662E1" w:rsidP="00DA1853">
      <w:pPr>
        <w:widowControl/>
        <w:rPr>
          <w:rFonts w:eastAsia="Calibri"/>
          <w:sz w:val="20"/>
          <w:szCs w:val="20"/>
          <w:lang w:bidi="ar-SA"/>
        </w:rPr>
      </w:pPr>
    </w:p>
    <w:p w14:paraId="5B4B371F" w14:textId="1CE1947D" w:rsidR="008F4B1D" w:rsidRPr="000A5113" w:rsidRDefault="008F4B1D" w:rsidP="008F4B1D">
      <w:pPr>
        <w:widowControl/>
        <w:rPr>
          <w:sz w:val="20"/>
          <w:szCs w:val="20"/>
        </w:rPr>
      </w:pPr>
      <w:r w:rsidRPr="000A5113">
        <w:rPr>
          <w:sz w:val="20"/>
          <w:szCs w:val="20"/>
        </w:rPr>
        <w:t>EFSA (2012) Scientific Opinion on exploring options for providing advice about possible human health risks based on the concept of Threshold of Toxicological Concern (TTC).</w:t>
      </w:r>
    </w:p>
    <w:p w14:paraId="6F8E826A" w14:textId="77777777" w:rsidR="008F4B1D" w:rsidRPr="000A5113" w:rsidRDefault="00745F88" w:rsidP="008F4B1D">
      <w:pPr>
        <w:widowControl/>
        <w:rPr>
          <w:rFonts w:eastAsia="Calibri"/>
          <w:sz w:val="20"/>
          <w:szCs w:val="20"/>
          <w:lang w:bidi="ar-SA"/>
        </w:rPr>
      </w:pPr>
      <w:hyperlink r:id="rId27" w:history="1">
        <w:r w:rsidR="008F4B1D" w:rsidRPr="000A5113">
          <w:rPr>
            <w:rStyle w:val="Hyperlink"/>
            <w:rFonts w:eastAsia="Calibri"/>
            <w:sz w:val="20"/>
            <w:szCs w:val="20"/>
            <w:lang w:bidi="ar-SA"/>
          </w:rPr>
          <w:t>http://www.efsa.europa.eu/en/efsajournal/pub/2750</w:t>
        </w:r>
      </w:hyperlink>
    </w:p>
    <w:p w14:paraId="05696FEF" w14:textId="77777777" w:rsidR="008F4B1D" w:rsidRPr="000A5113" w:rsidRDefault="008F4B1D" w:rsidP="001076B8">
      <w:pPr>
        <w:widowControl/>
        <w:rPr>
          <w:rFonts w:eastAsia="Calibri"/>
          <w:sz w:val="20"/>
          <w:szCs w:val="20"/>
          <w:lang w:bidi="ar-SA"/>
        </w:rPr>
      </w:pPr>
    </w:p>
    <w:p w14:paraId="78887D4E" w14:textId="66E34796" w:rsidR="001076B8" w:rsidRPr="000A5113" w:rsidRDefault="001076B8" w:rsidP="001076B8">
      <w:pPr>
        <w:widowControl/>
        <w:rPr>
          <w:rFonts w:eastAsia="Calibri"/>
          <w:sz w:val="20"/>
          <w:szCs w:val="20"/>
          <w:lang w:bidi="ar-SA"/>
        </w:rPr>
      </w:pPr>
      <w:r w:rsidRPr="000A5113">
        <w:rPr>
          <w:rFonts w:eastAsia="Calibri"/>
          <w:sz w:val="20"/>
          <w:szCs w:val="20"/>
          <w:lang w:bidi="ar-SA"/>
        </w:rPr>
        <w:t>EFSA (2015</w:t>
      </w:r>
      <w:r w:rsidR="00F73F43" w:rsidRPr="000A5113">
        <w:rPr>
          <w:rFonts w:eastAsia="Calibri"/>
          <w:sz w:val="20"/>
          <w:szCs w:val="20"/>
          <w:lang w:bidi="ar-SA"/>
        </w:rPr>
        <w:t>a</w:t>
      </w:r>
      <w:r w:rsidRPr="000A5113">
        <w:rPr>
          <w:rFonts w:eastAsia="Calibri"/>
          <w:sz w:val="20"/>
          <w:szCs w:val="20"/>
          <w:lang w:bidi="ar-SA"/>
        </w:rPr>
        <w:t xml:space="preserve">) Scientific Opinion on the safety assessment of the substance fatty acids, C16–18 </w:t>
      </w:r>
      <w:proofErr w:type="gramStart"/>
      <w:r w:rsidRPr="000A5113">
        <w:rPr>
          <w:rFonts w:eastAsia="Calibri"/>
          <w:sz w:val="20"/>
          <w:szCs w:val="20"/>
          <w:lang w:bidi="ar-SA"/>
        </w:rPr>
        <w:t>saturated,</w:t>
      </w:r>
      <w:proofErr w:type="gramEnd"/>
      <w:r w:rsidRPr="000A5113">
        <w:rPr>
          <w:rFonts w:eastAsia="Calibri"/>
          <w:sz w:val="20"/>
          <w:szCs w:val="20"/>
          <w:lang w:bidi="ar-SA"/>
        </w:rPr>
        <w:t xml:space="preserve"> </w:t>
      </w:r>
      <w:proofErr w:type="spellStart"/>
      <w:r w:rsidRPr="000A5113">
        <w:rPr>
          <w:rFonts w:eastAsia="Calibri"/>
          <w:sz w:val="20"/>
          <w:szCs w:val="20"/>
          <w:lang w:bidi="ar-SA"/>
        </w:rPr>
        <w:t>hexaesters</w:t>
      </w:r>
      <w:proofErr w:type="spellEnd"/>
      <w:r w:rsidRPr="000A5113">
        <w:rPr>
          <w:rFonts w:eastAsia="Calibri"/>
          <w:sz w:val="20"/>
          <w:szCs w:val="20"/>
          <w:lang w:bidi="ar-SA"/>
        </w:rPr>
        <w:t xml:space="preserve"> with dipentaerythritol for use in food contact materials. </w:t>
      </w:r>
      <w:proofErr w:type="gramStart"/>
      <w:r w:rsidRPr="000A5113">
        <w:rPr>
          <w:rFonts w:eastAsia="Calibri"/>
          <w:sz w:val="20"/>
          <w:szCs w:val="20"/>
          <w:lang w:bidi="ar-SA"/>
        </w:rPr>
        <w:t>European Food Safety Authority.</w:t>
      </w:r>
      <w:proofErr w:type="gramEnd"/>
      <w:r w:rsidRPr="000A5113">
        <w:rPr>
          <w:rFonts w:eastAsia="Calibri"/>
          <w:sz w:val="20"/>
          <w:szCs w:val="20"/>
          <w:lang w:bidi="ar-SA"/>
        </w:rPr>
        <w:t xml:space="preserve"> </w:t>
      </w:r>
      <w:hyperlink r:id="rId28" w:history="1">
        <w:r w:rsidRPr="000A5113">
          <w:rPr>
            <w:rStyle w:val="Hyperlink"/>
            <w:rFonts w:eastAsia="Calibri"/>
            <w:sz w:val="20"/>
            <w:szCs w:val="20"/>
            <w:lang w:bidi="ar-SA"/>
          </w:rPr>
          <w:t>http://www.efsa.europa.eu/en/efsajournal/pub/4021</w:t>
        </w:r>
      </w:hyperlink>
    </w:p>
    <w:p w14:paraId="740255C4" w14:textId="579616FC" w:rsidR="001076B8" w:rsidRPr="000A5113" w:rsidRDefault="001076B8" w:rsidP="001076B8">
      <w:pPr>
        <w:widowControl/>
        <w:rPr>
          <w:sz w:val="20"/>
          <w:szCs w:val="20"/>
        </w:rPr>
      </w:pPr>
    </w:p>
    <w:p w14:paraId="20700CC5" w14:textId="2EBD9BF1" w:rsidR="00F73F43" w:rsidRPr="000A5113" w:rsidRDefault="00F73F43" w:rsidP="00F73F43">
      <w:pPr>
        <w:widowControl/>
        <w:rPr>
          <w:rFonts w:eastAsia="Calibri"/>
          <w:sz w:val="20"/>
          <w:szCs w:val="20"/>
          <w:lang w:bidi="ar-SA"/>
        </w:rPr>
      </w:pPr>
      <w:r w:rsidRPr="000A5113">
        <w:rPr>
          <w:rFonts w:eastAsia="Calibri"/>
          <w:sz w:val="20"/>
          <w:szCs w:val="20"/>
          <w:lang w:bidi="ar-SA"/>
        </w:rPr>
        <w:t xml:space="preserve">EFSA (2015b) Scientific Opinion on the risks to public health related to the presence of bisphenol A (BPA) in foodstuffs. </w:t>
      </w:r>
      <w:proofErr w:type="gramStart"/>
      <w:r w:rsidRPr="000A5113">
        <w:rPr>
          <w:rFonts w:eastAsia="Calibri"/>
          <w:sz w:val="20"/>
          <w:szCs w:val="20"/>
          <w:lang w:bidi="ar-SA"/>
        </w:rPr>
        <w:t>European Food Safety Authority.</w:t>
      </w:r>
      <w:proofErr w:type="gramEnd"/>
    </w:p>
    <w:p w14:paraId="55723788" w14:textId="05A6B0D8" w:rsidR="00F73F43" w:rsidRPr="000A5113" w:rsidRDefault="00745F88" w:rsidP="00F73F43">
      <w:pPr>
        <w:widowControl/>
        <w:rPr>
          <w:sz w:val="20"/>
          <w:szCs w:val="20"/>
        </w:rPr>
      </w:pPr>
      <w:hyperlink r:id="rId29" w:history="1">
        <w:r w:rsidR="00F73F43" w:rsidRPr="000A5113">
          <w:rPr>
            <w:rFonts w:eastAsia="Calibri"/>
            <w:color w:val="0000FF"/>
            <w:sz w:val="20"/>
            <w:szCs w:val="20"/>
            <w:u w:val="single"/>
            <w:lang w:bidi="ar-SA"/>
          </w:rPr>
          <w:t>http://www.efsa.europa.eu/en/efsajournal/pub/3978.htm</w:t>
        </w:r>
      </w:hyperlink>
    </w:p>
    <w:p w14:paraId="62EFA992" w14:textId="77777777" w:rsidR="00F73F43" w:rsidRPr="000A5113" w:rsidRDefault="00F73F43" w:rsidP="001076B8">
      <w:pPr>
        <w:widowControl/>
        <w:rPr>
          <w:sz w:val="20"/>
          <w:szCs w:val="20"/>
        </w:rPr>
      </w:pPr>
    </w:p>
    <w:p w14:paraId="325FECA7" w14:textId="57FF30DC" w:rsidR="001076B8" w:rsidRPr="000A5113" w:rsidRDefault="001076B8" w:rsidP="001076B8">
      <w:pPr>
        <w:widowControl/>
        <w:rPr>
          <w:sz w:val="20"/>
          <w:szCs w:val="20"/>
        </w:rPr>
      </w:pPr>
      <w:r w:rsidRPr="000A5113">
        <w:rPr>
          <w:sz w:val="20"/>
          <w:szCs w:val="20"/>
        </w:rPr>
        <w:t xml:space="preserve">EFSA (2016) </w:t>
      </w:r>
      <w:proofErr w:type="gramStart"/>
      <w:r w:rsidRPr="000A5113">
        <w:rPr>
          <w:sz w:val="20"/>
          <w:szCs w:val="20"/>
        </w:rPr>
        <w:t>Recent</w:t>
      </w:r>
      <w:proofErr w:type="gramEnd"/>
      <w:r w:rsidRPr="000A5113">
        <w:rPr>
          <w:sz w:val="20"/>
          <w:szCs w:val="20"/>
        </w:rPr>
        <w:t xml:space="preserve"> developments in the risk assessment of chemicals in food and their potential impact on the safety assessment of substances used in food contact materials. </w:t>
      </w:r>
      <w:proofErr w:type="gramStart"/>
      <w:r w:rsidRPr="000A5113">
        <w:rPr>
          <w:sz w:val="20"/>
          <w:szCs w:val="20"/>
        </w:rPr>
        <w:t>European Food Safety Authority.</w:t>
      </w:r>
      <w:proofErr w:type="gramEnd"/>
      <w:r w:rsidRPr="000A5113">
        <w:rPr>
          <w:sz w:val="20"/>
          <w:szCs w:val="20"/>
        </w:rPr>
        <w:t xml:space="preserve"> </w:t>
      </w:r>
      <w:hyperlink r:id="rId30" w:history="1">
        <w:r w:rsidRPr="000A5113">
          <w:rPr>
            <w:rStyle w:val="Hyperlink"/>
            <w:sz w:val="20"/>
            <w:szCs w:val="20"/>
          </w:rPr>
          <w:t>http://www.efsa.europa.eu/en/efsajournal/pub/4357</w:t>
        </w:r>
      </w:hyperlink>
    </w:p>
    <w:p w14:paraId="2522CBFF" w14:textId="77777777" w:rsidR="001076B8" w:rsidRPr="000A5113" w:rsidRDefault="001076B8" w:rsidP="001076B8">
      <w:pPr>
        <w:widowControl/>
        <w:rPr>
          <w:sz w:val="20"/>
          <w:szCs w:val="20"/>
        </w:rPr>
      </w:pPr>
    </w:p>
    <w:p w14:paraId="2139CD6D" w14:textId="1D16C15F" w:rsidR="00A662E1" w:rsidRPr="000A5113" w:rsidRDefault="001076B8" w:rsidP="00353D24">
      <w:pPr>
        <w:widowControl/>
        <w:rPr>
          <w:sz w:val="20"/>
          <w:szCs w:val="20"/>
        </w:rPr>
      </w:pPr>
      <w:proofErr w:type="gramStart"/>
      <w:r w:rsidRPr="000A5113">
        <w:rPr>
          <w:sz w:val="20"/>
          <w:szCs w:val="20"/>
        </w:rPr>
        <w:t>EFSA/WHO (2016).</w:t>
      </w:r>
      <w:proofErr w:type="gramEnd"/>
      <w:r w:rsidRPr="000A5113">
        <w:rPr>
          <w:sz w:val="20"/>
          <w:szCs w:val="20"/>
        </w:rPr>
        <w:t xml:space="preserve"> </w:t>
      </w:r>
      <w:r w:rsidR="00085152" w:rsidRPr="000A5113">
        <w:rPr>
          <w:sz w:val="20"/>
          <w:szCs w:val="20"/>
        </w:rPr>
        <w:t xml:space="preserve">Review of the Threshold of Toxicological Concern (TTC) approach and development of new TTC decision tree. </w:t>
      </w:r>
      <w:proofErr w:type="gramStart"/>
      <w:r w:rsidRPr="000A5113">
        <w:rPr>
          <w:sz w:val="20"/>
          <w:szCs w:val="20"/>
        </w:rPr>
        <w:t>European Food Safety Authority and World Health Organiz</w:t>
      </w:r>
      <w:r w:rsidR="00085152" w:rsidRPr="000A5113">
        <w:rPr>
          <w:sz w:val="20"/>
          <w:szCs w:val="20"/>
        </w:rPr>
        <w:t>ation</w:t>
      </w:r>
      <w:r w:rsidRPr="000A5113">
        <w:rPr>
          <w:sz w:val="20"/>
          <w:szCs w:val="20"/>
        </w:rPr>
        <w:t>.</w:t>
      </w:r>
      <w:proofErr w:type="gramEnd"/>
      <w:r w:rsidR="00085152" w:rsidRPr="000A5113">
        <w:rPr>
          <w:sz w:val="20"/>
          <w:szCs w:val="20"/>
        </w:rPr>
        <w:t xml:space="preserve"> </w:t>
      </w:r>
      <w:hyperlink r:id="rId31" w:history="1">
        <w:r w:rsidR="00085152" w:rsidRPr="000A5113">
          <w:rPr>
            <w:rStyle w:val="Hyperlink"/>
            <w:sz w:val="20"/>
            <w:szCs w:val="20"/>
          </w:rPr>
          <w:t>http://www.efsa.europa.eu/en/supporting/pub/1006e</w:t>
        </w:r>
      </w:hyperlink>
    </w:p>
    <w:p w14:paraId="7DEE55CD" w14:textId="77777777" w:rsidR="00085152" w:rsidRPr="000A5113" w:rsidRDefault="00085152" w:rsidP="00353D24">
      <w:pPr>
        <w:widowControl/>
        <w:rPr>
          <w:sz w:val="20"/>
          <w:szCs w:val="20"/>
        </w:rPr>
      </w:pPr>
    </w:p>
    <w:p w14:paraId="1FA34BA6" w14:textId="77777777" w:rsidR="00353D24" w:rsidRPr="000A5113" w:rsidRDefault="00353D24" w:rsidP="00353D24">
      <w:pPr>
        <w:widowControl/>
        <w:rPr>
          <w:sz w:val="20"/>
          <w:szCs w:val="20"/>
        </w:rPr>
      </w:pPr>
      <w:proofErr w:type="gramStart"/>
      <w:r w:rsidRPr="000A5113">
        <w:rPr>
          <w:sz w:val="20"/>
          <w:szCs w:val="20"/>
        </w:rPr>
        <w:lastRenderedPageBreak/>
        <w:t>FAO/WHO (2009) Principles and methods for the risk assessment of chemicals in food.</w:t>
      </w:r>
      <w:proofErr w:type="gramEnd"/>
      <w:r w:rsidRPr="000A5113">
        <w:rPr>
          <w:sz w:val="20"/>
          <w:szCs w:val="20"/>
        </w:rPr>
        <w:t xml:space="preserve"> </w:t>
      </w:r>
      <w:proofErr w:type="gramStart"/>
      <w:r w:rsidRPr="000A5113">
        <w:rPr>
          <w:sz w:val="20"/>
          <w:szCs w:val="20"/>
        </w:rPr>
        <w:t>Environmental Health Criteria 240.</w:t>
      </w:r>
      <w:proofErr w:type="gramEnd"/>
      <w:r w:rsidRPr="000A5113">
        <w:rPr>
          <w:sz w:val="20"/>
          <w:szCs w:val="20"/>
        </w:rPr>
        <w:t xml:space="preserve"> </w:t>
      </w:r>
      <w:proofErr w:type="gramStart"/>
      <w:r w:rsidRPr="000A5113">
        <w:rPr>
          <w:sz w:val="20"/>
          <w:szCs w:val="20"/>
        </w:rPr>
        <w:t>Food and Agriculture Organization of the United Nations, and World Health Organization.</w:t>
      </w:r>
      <w:proofErr w:type="gramEnd"/>
    </w:p>
    <w:p w14:paraId="5699DF24" w14:textId="05F227F8" w:rsidR="00353D24" w:rsidRPr="000A5113" w:rsidRDefault="00745F88" w:rsidP="00353D24">
      <w:pPr>
        <w:widowControl/>
        <w:rPr>
          <w:rFonts w:eastAsia="Calibri"/>
          <w:sz w:val="20"/>
          <w:szCs w:val="20"/>
          <w:lang w:bidi="ar-SA"/>
        </w:rPr>
      </w:pPr>
      <w:hyperlink r:id="rId32" w:history="1">
        <w:r w:rsidR="00BC6C76" w:rsidRPr="000A5113">
          <w:rPr>
            <w:rStyle w:val="Hyperlink"/>
            <w:rFonts w:eastAsia="Calibri"/>
            <w:sz w:val="20"/>
            <w:szCs w:val="20"/>
            <w:lang w:bidi="ar-SA"/>
          </w:rPr>
          <w:t>http://www.who.int/foodsafety/publications/chemical-food/en/</w:t>
        </w:r>
      </w:hyperlink>
    </w:p>
    <w:p w14:paraId="4C7C976D" w14:textId="77777777" w:rsidR="00BC6C76" w:rsidRPr="000A5113" w:rsidRDefault="00BC6C76" w:rsidP="00353D24">
      <w:pPr>
        <w:widowControl/>
        <w:rPr>
          <w:rFonts w:eastAsia="Calibri"/>
          <w:sz w:val="20"/>
          <w:szCs w:val="20"/>
          <w:lang w:bidi="ar-SA"/>
        </w:rPr>
      </w:pPr>
    </w:p>
    <w:p w14:paraId="263152CA" w14:textId="77777777" w:rsidR="00353D64" w:rsidRPr="000A5113" w:rsidRDefault="00353D64" w:rsidP="00353D64">
      <w:pPr>
        <w:widowControl/>
        <w:rPr>
          <w:rFonts w:eastAsia="Calibri"/>
          <w:sz w:val="20"/>
          <w:szCs w:val="20"/>
          <w:lang w:bidi="ar-SA"/>
        </w:rPr>
      </w:pPr>
      <w:r w:rsidRPr="000A5113">
        <w:rPr>
          <w:rFonts w:eastAsia="Calibri"/>
          <w:sz w:val="20"/>
          <w:szCs w:val="20"/>
          <w:lang w:bidi="ar-SA"/>
        </w:rPr>
        <w:t xml:space="preserve">Fierens T, </w:t>
      </w:r>
      <w:proofErr w:type="spellStart"/>
      <w:r w:rsidRPr="000A5113">
        <w:rPr>
          <w:rFonts w:eastAsia="Calibri"/>
          <w:sz w:val="20"/>
          <w:szCs w:val="20"/>
          <w:lang w:bidi="ar-SA"/>
        </w:rPr>
        <w:t>Standaert</w:t>
      </w:r>
      <w:proofErr w:type="spellEnd"/>
      <w:r w:rsidRPr="000A5113">
        <w:rPr>
          <w:rFonts w:eastAsia="Calibri"/>
          <w:sz w:val="20"/>
          <w:szCs w:val="20"/>
          <w:lang w:bidi="ar-SA"/>
        </w:rPr>
        <w:t xml:space="preserve"> A, </w:t>
      </w:r>
      <w:proofErr w:type="spellStart"/>
      <w:r w:rsidRPr="000A5113">
        <w:rPr>
          <w:rFonts w:eastAsia="Calibri"/>
          <w:sz w:val="20"/>
          <w:szCs w:val="20"/>
          <w:lang w:bidi="ar-SA"/>
        </w:rPr>
        <w:t>Cornelis</w:t>
      </w:r>
      <w:proofErr w:type="spellEnd"/>
      <w:r w:rsidRPr="000A5113">
        <w:rPr>
          <w:rFonts w:eastAsia="Calibri"/>
          <w:sz w:val="20"/>
          <w:szCs w:val="20"/>
          <w:lang w:bidi="ar-SA"/>
        </w:rPr>
        <w:t xml:space="preserve"> C, </w:t>
      </w:r>
      <w:proofErr w:type="spellStart"/>
      <w:r w:rsidRPr="000A5113">
        <w:rPr>
          <w:rFonts w:eastAsia="Calibri"/>
          <w:sz w:val="20"/>
          <w:szCs w:val="20"/>
          <w:lang w:bidi="ar-SA"/>
        </w:rPr>
        <w:t>Sioen</w:t>
      </w:r>
      <w:proofErr w:type="spellEnd"/>
      <w:r w:rsidRPr="000A5113">
        <w:rPr>
          <w:rFonts w:eastAsia="Calibri"/>
          <w:sz w:val="20"/>
          <w:szCs w:val="20"/>
          <w:lang w:bidi="ar-SA"/>
        </w:rPr>
        <w:t xml:space="preserve"> I, De </w:t>
      </w:r>
      <w:proofErr w:type="spellStart"/>
      <w:r w:rsidRPr="000A5113">
        <w:rPr>
          <w:rFonts w:eastAsia="Calibri"/>
          <w:sz w:val="20"/>
          <w:szCs w:val="20"/>
          <w:lang w:bidi="ar-SA"/>
        </w:rPr>
        <w:t>Henauw</w:t>
      </w:r>
      <w:proofErr w:type="spellEnd"/>
      <w:r w:rsidRPr="000A5113">
        <w:rPr>
          <w:rFonts w:eastAsia="Calibri"/>
          <w:sz w:val="20"/>
          <w:szCs w:val="20"/>
          <w:lang w:bidi="ar-SA"/>
        </w:rPr>
        <w:t xml:space="preserve"> S, Willems H, </w:t>
      </w:r>
      <w:proofErr w:type="spellStart"/>
      <w:r w:rsidRPr="000A5113">
        <w:rPr>
          <w:rFonts w:eastAsia="Calibri"/>
          <w:sz w:val="20"/>
          <w:szCs w:val="20"/>
          <w:lang w:bidi="ar-SA"/>
        </w:rPr>
        <w:t>Bellemans</w:t>
      </w:r>
      <w:proofErr w:type="spellEnd"/>
      <w:r w:rsidRPr="000A5113">
        <w:rPr>
          <w:rFonts w:eastAsia="Calibri"/>
          <w:sz w:val="20"/>
          <w:szCs w:val="20"/>
          <w:lang w:bidi="ar-SA"/>
        </w:rPr>
        <w:t xml:space="preserve"> M, De </w:t>
      </w:r>
      <w:proofErr w:type="spellStart"/>
      <w:r w:rsidRPr="000A5113">
        <w:rPr>
          <w:rFonts w:eastAsia="Calibri"/>
          <w:sz w:val="20"/>
          <w:szCs w:val="20"/>
          <w:lang w:bidi="ar-SA"/>
        </w:rPr>
        <w:t>Maeyer</w:t>
      </w:r>
      <w:proofErr w:type="spellEnd"/>
      <w:r w:rsidRPr="000A5113">
        <w:rPr>
          <w:rFonts w:eastAsia="Calibri"/>
          <w:sz w:val="20"/>
          <w:szCs w:val="20"/>
          <w:lang w:bidi="ar-SA"/>
        </w:rPr>
        <w:t xml:space="preserve"> M, Van </w:t>
      </w:r>
      <w:proofErr w:type="spellStart"/>
      <w:r w:rsidRPr="000A5113">
        <w:rPr>
          <w:rFonts w:eastAsia="Calibri"/>
          <w:sz w:val="20"/>
          <w:szCs w:val="20"/>
          <w:lang w:bidi="ar-SA"/>
        </w:rPr>
        <w:t>Holderbeke</w:t>
      </w:r>
      <w:proofErr w:type="spellEnd"/>
      <w:r w:rsidRPr="000A5113">
        <w:rPr>
          <w:rFonts w:eastAsia="Calibri"/>
          <w:sz w:val="20"/>
          <w:szCs w:val="20"/>
          <w:lang w:bidi="ar-SA"/>
        </w:rPr>
        <w:t xml:space="preserve"> M (2014) A semi-probabilistic modelling approach for the estimation of dietary exposure to phthalates in the Belgian adult population. Environ Int. 73:117-27.</w:t>
      </w:r>
    </w:p>
    <w:p w14:paraId="17B943B0" w14:textId="01665BD5" w:rsidR="00353D64" w:rsidRPr="000A5113" w:rsidRDefault="00353D64" w:rsidP="00BC6C76">
      <w:pPr>
        <w:widowControl/>
        <w:rPr>
          <w:rFonts w:eastAsia="Calibri"/>
          <w:sz w:val="20"/>
          <w:szCs w:val="20"/>
          <w:lang w:bidi="ar-SA"/>
        </w:rPr>
      </w:pPr>
    </w:p>
    <w:p w14:paraId="5D8DEB34" w14:textId="616C858B" w:rsidR="001F42B3" w:rsidRPr="000A5113" w:rsidRDefault="001F42B3" w:rsidP="001F42B3">
      <w:pPr>
        <w:widowControl/>
        <w:rPr>
          <w:rFonts w:eastAsia="Calibri"/>
          <w:sz w:val="20"/>
          <w:szCs w:val="20"/>
          <w:lang w:bidi="ar-SA"/>
        </w:rPr>
      </w:pPr>
      <w:r w:rsidRPr="000A5113">
        <w:rPr>
          <w:rFonts w:eastAsia="Calibri"/>
          <w:sz w:val="20"/>
          <w:szCs w:val="20"/>
          <w:lang w:bidi="ar-SA"/>
        </w:rPr>
        <w:t>FoodChemNews (2015) FDA officials call for ‘stewardship’ of food chemicals. Food Chemical News, June 19, 2015.</w:t>
      </w:r>
      <w:r w:rsidR="006C6435" w:rsidRPr="000A5113">
        <w:rPr>
          <w:sz w:val="20"/>
          <w:szCs w:val="20"/>
        </w:rPr>
        <w:t xml:space="preserve"> </w:t>
      </w:r>
      <w:proofErr w:type="spellStart"/>
      <w:r w:rsidR="006C6435" w:rsidRPr="000A5113">
        <w:rPr>
          <w:rFonts w:eastAsia="Calibri"/>
          <w:sz w:val="20"/>
          <w:szCs w:val="20"/>
          <w:lang w:bidi="ar-SA"/>
        </w:rPr>
        <w:t>Informa</w:t>
      </w:r>
      <w:proofErr w:type="spellEnd"/>
      <w:r w:rsidR="006C6435" w:rsidRPr="000A5113">
        <w:rPr>
          <w:rFonts w:eastAsia="Calibri"/>
          <w:sz w:val="20"/>
          <w:szCs w:val="20"/>
          <w:lang w:bidi="ar-SA"/>
        </w:rPr>
        <w:t xml:space="preserve"> UK Ltd.</w:t>
      </w:r>
    </w:p>
    <w:p w14:paraId="182B8F80" w14:textId="77777777" w:rsidR="001F42B3" w:rsidRPr="000A5113" w:rsidRDefault="001F42B3" w:rsidP="00353D64">
      <w:pPr>
        <w:widowControl/>
        <w:rPr>
          <w:rFonts w:eastAsia="Calibri"/>
          <w:sz w:val="20"/>
          <w:szCs w:val="20"/>
          <w:lang w:bidi="ar-SA"/>
        </w:rPr>
      </w:pPr>
    </w:p>
    <w:p w14:paraId="31941970" w14:textId="77777777" w:rsidR="00353D64" w:rsidRPr="000A5113" w:rsidRDefault="00353D64" w:rsidP="00353D64">
      <w:pPr>
        <w:widowControl/>
        <w:rPr>
          <w:rFonts w:eastAsia="Calibri"/>
          <w:sz w:val="20"/>
          <w:szCs w:val="20"/>
          <w:lang w:bidi="ar-SA"/>
        </w:rPr>
      </w:pPr>
      <w:r w:rsidRPr="000A5113">
        <w:rPr>
          <w:rFonts w:eastAsia="Calibri"/>
          <w:sz w:val="20"/>
          <w:szCs w:val="20"/>
          <w:lang w:bidi="ar-SA"/>
        </w:rPr>
        <w:t xml:space="preserve">FSAI (2016) Report on a Total Diet Study carried out by the Food Safety Authority of Ireland in the period 2012 – 2014. </w:t>
      </w:r>
    </w:p>
    <w:p w14:paraId="19A0B847" w14:textId="77777777" w:rsidR="00353D64" w:rsidRPr="000A5113" w:rsidRDefault="00745F88" w:rsidP="00353D64">
      <w:pPr>
        <w:widowControl/>
        <w:rPr>
          <w:rFonts w:eastAsia="Calibri"/>
          <w:sz w:val="20"/>
          <w:szCs w:val="20"/>
          <w:lang w:bidi="ar-SA"/>
        </w:rPr>
      </w:pPr>
      <w:hyperlink r:id="rId33" w:history="1">
        <w:r w:rsidR="00353D64" w:rsidRPr="000A5113">
          <w:rPr>
            <w:rStyle w:val="Hyperlink"/>
            <w:rFonts w:eastAsia="Calibri"/>
            <w:sz w:val="20"/>
            <w:szCs w:val="20"/>
            <w:lang w:bidi="ar-SA"/>
          </w:rPr>
          <w:t>https://www.fsai.ie/news_centre/press_releases/total_diet_study_15032016.html</w:t>
        </w:r>
      </w:hyperlink>
    </w:p>
    <w:p w14:paraId="11804867" w14:textId="77777777" w:rsidR="00353D64" w:rsidRPr="000A5113" w:rsidRDefault="00353D64" w:rsidP="00BC6C76">
      <w:pPr>
        <w:widowControl/>
        <w:rPr>
          <w:rFonts w:eastAsia="Calibri"/>
          <w:sz w:val="20"/>
          <w:szCs w:val="20"/>
          <w:lang w:bidi="ar-SA"/>
        </w:rPr>
      </w:pPr>
    </w:p>
    <w:p w14:paraId="39C1CD80" w14:textId="77777777" w:rsidR="00BC6C76" w:rsidRPr="000A5113" w:rsidRDefault="00BC6C76" w:rsidP="00BC6C76">
      <w:pPr>
        <w:widowControl/>
        <w:rPr>
          <w:rFonts w:eastAsia="Calibri"/>
          <w:sz w:val="20"/>
          <w:szCs w:val="20"/>
          <w:lang w:bidi="ar-SA"/>
        </w:rPr>
      </w:pPr>
      <w:proofErr w:type="gramStart"/>
      <w:r w:rsidRPr="000A5113">
        <w:rPr>
          <w:rFonts w:eastAsia="Calibri"/>
          <w:sz w:val="20"/>
          <w:szCs w:val="20"/>
          <w:lang w:bidi="ar-SA"/>
        </w:rPr>
        <w:t xml:space="preserve">FSANZ (2009) </w:t>
      </w:r>
      <w:r w:rsidRPr="000A5113">
        <w:rPr>
          <w:rFonts w:eastAsia="Calibri"/>
          <w:bCs/>
          <w:sz w:val="20"/>
          <w:szCs w:val="20"/>
          <w:lang w:bidi="ar-SA"/>
        </w:rPr>
        <w:t>Principles and Practices of Dietary Exposure Assessment for Food Regulatory Purposes.</w:t>
      </w:r>
      <w:proofErr w:type="gramEnd"/>
      <w:r w:rsidRPr="000A5113">
        <w:rPr>
          <w:rFonts w:eastAsia="Calibri"/>
          <w:sz w:val="20"/>
          <w:szCs w:val="20"/>
          <w:lang w:bidi="ar-SA"/>
        </w:rPr>
        <w:t xml:space="preserve"> </w:t>
      </w:r>
    </w:p>
    <w:p w14:paraId="7A089AE8" w14:textId="5AF57918" w:rsidR="00353D24" w:rsidRPr="000A5113" w:rsidRDefault="00745F88" w:rsidP="00BC6C76">
      <w:pPr>
        <w:widowControl/>
        <w:rPr>
          <w:rFonts w:eastAsia="Calibri"/>
          <w:sz w:val="20"/>
          <w:szCs w:val="20"/>
          <w:lang w:bidi="ar-SA"/>
        </w:rPr>
      </w:pPr>
      <w:hyperlink r:id="rId34" w:history="1">
        <w:r w:rsidR="00BC6C76" w:rsidRPr="000A5113">
          <w:rPr>
            <w:rStyle w:val="Hyperlink"/>
            <w:rFonts w:eastAsia="Calibri"/>
            <w:sz w:val="20"/>
            <w:szCs w:val="20"/>
            <w:lang w:bidi="ar-SA"/>
          </w:rPr>
          <w:t>http://www.foodstandards.gov.au/science/exposure/Documents/Principles%20_%20practices%20exposure%20assessment%202009.pdf</w:t>
        </w:r>
      </w:hyperlink>
    </w:p>
    <w:p w14:paraId="372B9FEE" w14:textId="77777777" w:rsidR="00353D24" w:rsidRPr="000A5113" w:rsidRDefault="00353D24" w:rsidP="00353D24">
      <w:pPr>
        <w:widowControl/>
        <w:rPr>
          <w:rFonts w:eastAsia="Calibri"/>
          <w:sz w:val="20"/>
          <w:szCs w:val="20"/>
          <w:lang w:bidi="ar-SA"/>
        </w:rPr>
      </w:pPr>
    </w:p>
    <w:p w14:paraId="67AE6252" w14:textId="2B504221" w:rsidR="00AD72D0" w:rsidRPr="000A5113" w:rsidRDefault="007A2C29" w:rsidP="00962469">
      <w:pPr>
        <w:keepNext/>
        <w:widowControl/>
        <w:rPr>
          <w:rFonts w:eastAsia="Calibri"/>
          <w:sz w:val="20"/>
          <w:szCs w:val="20"/>
          <w:lang w:bidi="ar-SA"/>
        </w:rPr>
      </w:pPr>
      <w:r w:rsidRPr="000A5113">
        <w:rPr>
          <w:rFonts w:eastAsia="Calibri"/>
          <w:sz w:val="20"/>
          <w:szCs w:val="20"/>
          <w:lang w:bidi="ar-SA"/>
        </w:rPr>
        <w:t>FSANZ (2011</w:t>
      </w:r>
      <w:r w:rsidR="00AD72D0" w:rsidRPr="000A5113">
        <w:rPr>
          <w:rFonts w:eastAsia="Calibri"/>
          <w:sz w:val="20"/>
          <w:szCs w:val="20"/>
          <w:lang w:bidi="ar-SA"/>
        </w:rPr>
        <w:t xml:space="preserve">) Survey of Chemical Migration from Food Contact Packaging Materials </w:t>
      </w:r>
    </w:p>
    <w:p w14:paraId="27FEC26D" w14:textId="77777777" w:rsidR="00AD72D0" w:rsidRPr="000A5113" w:rsidRDefault="00AD72D0" w:rsidP="00962469">
      <w:pPr>
        <w:keepNext/>
        <w:widowControl/>
        <w:rPr>
          <w:rFonts w:eastAsia="Calibri"/>
          <w:sz w:val="20"/>
          <w:szCs w:val="20"/>
          <w:lang w:bidi="ar-SA"/>
        </w:rPr>
      </w:pPr>
      <w:proofErr w:type="gramStart"/>
      <w:r w:rsidRPr="000A5113">
        <w:rPr>
          <w:rFonts w:eastAsia="Calibri"/>
          <w:sz w:val="20"/>
          <w:szCs w:val="20"/>
          <w:lang w:bidi="ar-SA"/>
        </w:rPr>
        <w:t>in</w:t>
      </w:r>
      <w:proofErr w:type="gramEnd"/>
      <w:r w:rsidRPr="000A5113">
        <w:rPr>
          <w:rFonts w:eastAsia="Calibri"/>
          <w:sz w:val="20"/>
          <w:szCs w:val="20"/>
          <w:lang w:bidi="ar-SA"/>
        </w:rPr>
        <w:t xml:space="preserve"> Australian Food. </w:t>
      </w:r>
    </w:p>
    <w:p w14:paraId="5A84D1C2" w14:textId="564B1F98" w:rsidR="00AD72D0" w:rsidRPr="000A5113" w:rsidRDefault="00745F88" w:rsidP="00962469">
      <w:pPr>
        <w:keepNext/>
        <w:widowControl/>
        <w:rPr>
          <w:rFonts w:eastAsia="Calibri"/>
          <w:sz w:val="20"/>
          <w:szCs w:val="20"/>
          <w:lang w:bidi="ar-SA"/>
        </w:rPr>
      </w:pPr>
      <w:hyperlink r:id="rId35" w:history="1">
        <w:r w:rsidR="00AD72D0" w:rsidRPr="000A5113">
          <w:rPr>
            <w:rStyle w:val="Hyperlink"/>
            <w:rFonts w:eastAsia="Calibri"/>
            <w:sz w:val="20"/>
            <w:szCs w:val="20"/>
            <w:lang w:bidi="ar-SA"/>
          </w:rPr>
          <w:t>http://www.foodstandards.gov.au/science/surveillance/Pages/surveyofchemicalmigr5148.aspx</w:t>
        </w:r>
      </w:hyperlink>
    </w:p>
    <w:p w14:paraId="3D36D400" w14:textId="77777777" w:rsidR="00AD72D0" w:rsidRPr="000A5113" w:rsidRDefault="00AD72D0" w:rsidP="00353D24">
      <w:pPr>
        <w:widowControl/>
        <w:rPr>
          <w:rFonts w:eastAsia="Calibri"/>
          <w:sz w:val="20"/>
          <w:szCs w:val="20"/>
          <w:lang w:bidi="ar-SA"/>
        </w:rPr>
      </w:pPr>
    </w:p>
    <w:p w14:paraId="4E6E0644" w14:textId="741388A9" w:rsidR="006D798C" w:rsidRPr="00DD4389" w:rsidRDefault="006D798C" w:rsidP="006D798C">
      <w:pPr>
        <w:widowControl/>
        <w:rPr>
          <w:rFonts w:eastAsia="Calibri"/>
          <w:bCs/>
          <w:sz w:val="20"/>
          <w:szCs w:val="20"/>
          <w:lang w:bidi="ar-SA"/>
        </w:rPr>
      </w:pPr>
      <w:r w:rsidRPr="00DD4389">
        <w:rPr>
          <w:rFonts w:eastAsia="Calibri"/>
          <w:sz w:val="20"/>
          <w:szCs w:val="20"/>
          <w:lang w:bidi="ar-SA"/>
        </w:rPr>
        <w:t xml:space="preserve">FSANZ (2012) </w:t>
      </w:r>
      <w:r w:rsidRPr="00DD4389">
        <w:rPr>
          <w:rFonts w:eastAsia="Calibri"/>
          <w:bCs/>
          <w:sz w:val="20"/>
          <w:szCs w:val="20"/>
          <w:lang w:bidi="ar-SA"/>
        </w:rPr>
        <w:t>Application A1043 - World H</w:t>
      </w:r>
      <w:r w:rsidR="00DD4389">
        <w:rPr>
          <w:rFonts w:eastAsia="Calibri"/>
          <w:bCs/>
          <w:sz w:val="20"/>
          <w:szCs w:val="20"/>
          <w:lang w:bidi="ar-SA"/>
        </w:rPr>
        <w:t xml:space="preserve">ealth Organization limits (WHO) </w:t>
      </w:r>
      <w:r w:rsidRPr="00DD4389">
        <w:rPr>
          <w:rFonts w:eastAsia="Calibri"/>
          <w:bCs/>
          <w:sz w:val="20"/>
          <w:szCs w:val="20"/>
          <w:lang w:bidi="ar-SA"/>
        </w:rPr>
        <w:t xml:space="preserve">for packaged water. </w:t>
      </w:r>
    </w:p>
    <w:p w14:paraId="0C2F422B" w14:textId="0F57AC74" w:rsidR="006D798C" w:rsidRDefault="00745F88" w:rsidP="00353D24">
      <w:pPr>
        <w:widowControl/>
        <w:rPr>
          <w:rFonts w:eastAsia="Calibri"/>
          <w:sz w:val="20"/>
          <w:szCs w:val="20"/>
          <w:lang w:bidi="ar-SA"/>
        </w:rPr>
      </w:pPr>
      <w:hyperlink r:id="rId36" w:history="1">
        <w:r w:rsidR="00DD4389" w:rsidRPr="00F2297E">
          <w:rPr>
            <w:rStyle w:val="Hyperlink"/>
            <w:rFonts w:eastAsia="Calibri"/>
            <w:sz w:val="20"/>
            <w:szCs w:val="20"/>
            <w:lang w:bidi="ar-SA"/>
          </w:rPr>
          <w:t>http://www.foodstandards.gov.au/code/applications/Pages/applicationa1043worl4761.aspx</w:t>
        </w:r>
      </w:hyperlink>
    </w:p>
    <w:p w14:paraId="1B01B82C" w14:textId="77777777" w:rsidR="006D798C" w:rsidRDefault="006D798C" w:rsidP="00353D24">
      <w:pPr>
        <w:widowControl/>
        <w:rPr>
          <w:rFonts w:eastAsia="Calibri"/>
          <w:sz w:val="20"/>
          <w:szCs w:val="20"/>
          <w:lang w:bidi="ar-SA"/>
        </w:rPr>
      </w:pPr>
    </w:p>
    <w:p w14:paraId="58703EF8" w14:textId="77777777" w:rsidR="00353D24" w:rsidRPr="00DD4389" w:rsidRDefault="00353D24" w:rsidP="00353D24">
      <w:pPr>
        <w:widowControl/>
        <w:rPr>
          <w:rFonts w:eastAsia="Calibri"/>
          <w:sz w:val="20"/>
          <w:szCs w:val="20"/>
          <w:lang w:bidi="ar-SA"/>
        </w:rPr>
      </w:pPr>
      <w:proofErr w:type="gramStart"/>
      <w:r w:rsidRPr="00DD4389">
        <w:rPr>
          <w:rFonts w:eastAsia="Calibri"/>
          <w:sz w:val="20"/>
          <w:szCs w:val="20"/>
          <w:lang w:bidi="ar-SA"/>
        </w:rPr>
        <w:t>FSANZ (2013) Risk Analysis in Food Regulation.</w:t>
      </w:r>
      <w:proofErr w:type="gramEnd"/>
      <w:r w:rsidRPr="00DD4389">
        <w:rPr>
          <w:rFonts w:eastAsia="Calibri"/>
          <w:sz w:val="20"/>
          <w:szCs w:val="20"/>
          <w:lang w:bidi="ar-SA"/>
        </w:rPr>
        <w:t xml:space="preserve"> </w:t>
      </w:r>
      <w:proofErr w:type="gramStart"/>
      <w:r w:rsidRPr="00DD4389">
        <w:rPr>
          <w:rFonts w:eastAsia="Calibri"/>
          <w:sz w:val="20"/>
          <w:szCs w:val="20"/>
          <w:lang w:bidi="ar-SA"/>
        </w:rPr>
        <w:t>Food Standards Australia New Zealand.</w:t>
      </w:r>
      <w:proofErr w:type="gramEnd"/>
    </w:p>
    <w:p w14:paraId="652C9F10" w14:textId="77777777" w:rsidR="00353D24" w:rsidRPr="00DD4389" w:rsidRDefault="00745F88" w:rsidP="00353D24">
      <w:pPr>
        <w:widowControl/>
        <w:rPr>
          <w:rFonts w:eastAsia="Calibri"/>
          <w:sz w:val="20"/>
          <w:szCs w:val="20"/>
          <w:lang w:bidi="ar-SA"/>
        </w:rPr>
      </w:pPr>
      <w:hyperlink r:id="rId37" w:history="1">
        <w:r w:rsidR="00353D24" w:rsidRPr="00DD4389">
          <w:rPr>
            <w:rStyle w:val="Hyperlink"/>
            <w:rFonts w:eastAsia="Calibri"/>
            <w:sz w:val="20"/>
            <w:szCs w:val="20"/>
            <w:lang w:bidi="ar-SA"/>
          </w:rPr>
          <w:t>http://www.foodstandards.gov.au/publications/riskanalysisfoodregulation/Pages/default.aspx</w:t>
        </w:r>
      </w:hyperlink>
    </w:p>
    <w:p w14:paraId="7DA19CA6" w14:textId="77777777" w:rsidR="00353D24" w:rsidRPr="00DD4389" w:rsidRDefault="00353D24" w:rsidP="003C1886">
      <w:pPr>
        <w:widowControl/>
        <w:rPr>
          <w:sz w:val="20"/>
          <w:szCs w:val="20"/>
        </w:rPr>
      </w:pPr>
    </w:p>
    <w:p w14:paraId="0B95B6D9" w14:textId="77777777" w:rsidR="00BC6C76" w:rsidRPr="00DD4389" w:rsidRDefault="00BC6C76" w:rsidP="00BC6C76">
      <w:pPr>
        <w:widowControl/>
        <w:rPr>
          <w:rFonts w:eastAsia="Calibri"/>
          <w:sz w:val="20"/>
          <w:szCs w:val="20"/>
          <w:lang w:bidi="ar-SA"/>
        </w:rPr>
      </w:pPr>
      <w:proofErr w:type="gramStart"/>
      <w:r w:rsidRPr="00DD4389">
        <w:rPr>
          <w:rFonts w:eastAsia="Calibri"/>
          <w:sz w:val="20"/>
          <w:szCs w:val="20"/>
          <w:lang w:bidi="ar-SA"/>
        </w:rPr>
        <w:t>FSANZ (2016) 24th Australian Total Diet Study – Phase 2.</w:t>
      </w:r>
      <w:proofErr w:type="gramEnd"/>
    </w:p>
    <w:p w14:paraId="0994581C" w14:textId="77777777" w:rsidR="00BC6C76" w:rsidRPr="00DD4389" w:rsidRDefault="00745F88" w:rsidP="00BC6C76">
      <w:pPr>
        <w:widowControl/>
        <w:rPr>
          <w:rFonts w:eastAsia="Calibri"/>
          <w:sz w:val="20"/>
          <w:szCs w:val="20"/>
          <w:lang w:bidi="ar-SA"/>
        </w:rPr>
      </w:pPr>
      <w:hyperlink r:id="rId38" w:history="1">
        <w:r w:rsidR="00BC6C76" w:rsidRPr="00DD4389">
          <w:rPr>
            <w:rStyle w:val="Hyperlink"/>
            <w:rFonts w:eastAsia="Calibri"/>
            <w:sz w:val="20"/>
            <w:szCs w:val="20"/>
            <w:lang w:bidi="ar-SA"/>
          </w:rPr>
          <w:t>http://www.foodstandards.gov.au/publications/Pages/24th-ATDS-Phase-2.aspx</w:t>
        </w:r>
      </w:hyperlink>
    </w:p>
    <w:p w14:paraId="7BCD7333" w14:textId="77777777" w:rsidR="00BC6C76" w:rsidRPr="00DD4389" w:rsidRDefault="00BC6C76" w:rsidP="003C1886">
      <w:pPr>
        <w:widowControl/>
        <w:rPr>
          <w:sz w:val="20"/>
          <w:szCs w:val="20"/>
        </w:rPr>
      </w:pPr>
    </w:p>
    <w:p w14:paraId="3FBD0AEA" w14:textId="77777777" w:rsidR="00AC5E42" w:rsidRPr="00DD4389" w:rsidRDefault="00AC5E42" w:rsidP="00AC5E42">
      <w:pPr>
        <w:widowControl/>
        <w:rPr>
          <w:rFonts w:eastAsia="Calibri"/>
          <w:sz w:val="20"/>
          <w:szCs w:val="20"/>
          <w:lang w:bidi="ar-SA"/>
        </w:rPr>
      </w:pPr>
      <w:r w:rsidRPr="00DD4389">
        <w:rPr>
          <w:rFonts w:eastAsia="Calibri"/>
          <w:sz w:val="20"/>
          <w:szCs w:val="20"/>
          <w:lang w:bidi="ar-SA"/>
        </w:rPr>
        <w:t xml:space="preserve">Heffernan AL, Sly PD, Toms LM, Hobson P, Mueller JF (2014) Bisphenol A exposure is not associated with area-level socioeconomic index in Australian children using pooled urine samples. Environ </w:t>
      </w:r>
      <w:proofErr w:type="spellStart"/>
      <w:r w:rsidRPr="00DD4389">
        <w:rPr>
          <w:rFonts w:eastAsia="Calibri"/>
          <w:sz w:val="20"/>
          <w:szCs w:val="20"/>
          <w:lang w:bidi="ar-SA"/>
        </w:rPr>
        <w:t>Sci</w:t>
      </w:r>
      <w:proofErr w:type="spellEnd"/>
      <w:r w:rsidRPr="00DD4389">
        <w:rPr>
          <w:rFonts w:eastAsia="Calibri"/>
          <w:sz w:val="20"/>
          <w:szCs w:val="20"/>
          <w:lang w:bidi="ar-SA"/>
        </w:rPr>
        <w:t xml:space="preserve"> </w:t>
      </w:r>
      <w:proofErr w:type="spellStart"/>
      <w:r w:rsidRPr="00DD4389">
        <w:rPr>
          <w:rFonts w:eastAsia="Calibri"/>
          <w:sz w:val="20"/>
          <w:szCs w:val="20"/>
          <w:lang w:bidi="ar-SA"/>
        </w:rPr>
        <w:t>Pollut</w:t>
      </w:r>
      <w:proofErr w:type="spellEnd"/>
      <w:r w:rsidRPr="00DD4389">
        <w:rPr>
          <w:rFonts w:eastAsia="Calibri"/>
          <w:sz w:val="20"/>
          <w:szCs w:val="20"/>
          <w:lang w:bidi="ar-SA"/>
        </w:rPr>
        <w:t xml:space="preserve"> Res Int. 21(15):9344-55.</w:t>
      </w:r>
    </w:p>
    <w:p w14:paraId="35CD4EB9" w14:textId="77777777" w:rsidR="00AC5E42" w:rsidRPr="00DD4389" w:rsidRDefault="00AC5E42" w:rsidP="008F4B1D">
      <w:pPr>
        <w:widowControl/>
        <w:rPr>
          <w:rFonts w:eastAsia="Calibri"/>
          <w:sz w:val="20"/>
          <w:szCs w:val="20"/>
          <w:lang w:bidi="ar-SA"/>
        </w:rPr>
      </w:pPr>
    </w:p>
    <w:p w14:paraId="0760E338" w14:textId="77777777" w:rsidR="008F4B1D" w:rsidRPr="00DD4389" w:rsidRDefault="008F4B1D" w:rsidP="008F4B1D">
      <w:pPr>
        <w:widowControl/>
        <w:rPr>
          <w:rFonts w:eastAsia="Calibri"/>
          <w:sz w:val="20"/>
          <w:szCs w:val="20"/>
          <w:lang w:bidi="ar-SA"/>
        </w:rPr>
      </w:pPr>
      <w:r w:rsidRPr="00DD4389">
        <w:rPr>
          <w:rFonts w:eastAsia="Calibri"/>
          <w:sz w:val="20"/>
          <w:szCs w:val="20"/>
          <w:lang w:bidi="ar-SA"/>
        </w:rPr>
        <w:t xml:space="preserve">Heindel </w:t>
      </w:r>
      <w:proofErr w:type="spellStart"/>
      <w:r w:rsidRPr="00DD4389">
        <w:rPr>
          <w:rFonts w:eastAsia="Calibri"/>
          <w:sz w:val="20"/>
          <w:szCs w:val="20"/>
          <w:lang w:bidi="ar-SA"/>
        </w:rPr>
        <w:t>JJ</w:t>
      </w:r>
      <w:proofErr w:type="spellEnd"/>
      <w:r w:rsidRPr="00DD4389">
        <w:rPr>
          <w:rFonts w:eastAsia="Calibri"/>
          <w:sz w:val="20"/>
          <w:szCs w:val="20"/>
          <w:lang w:bidi="ar-SA"/>
        </w:rPr>
        <w:t xml:space="preserve">, Newbold RR, Bucher JR, Camacho L, </w:t>
      </w:r>
      <w:proofErr w:type="spellStart"/>
      <w:r w:rsidRPr="00DD4389">
        <w:rPr>
          <w:rFonts w:eastAsia="Calibri"/>
          <w:sz w:val="20"/>
          <w:szCs w:val="20"/>
          <w:lang w:bidi="ar-SA"/>
        </w:rPr>
        <w:t>Delclos</w:t>
      </w:r>
      <w:proofErr w:type="spellEnd"/>
      <w:r w:rsidRPr="00DD4389">
        <w:rPr>
          <w:rFonts w:eastAsia="Calibri"/>
          <w:sz w:val="20"/>
          <w:szCs w:val="20"/>
          <w:lang w:bidi="ar-SA"/>
        </w:rPr>
        <w:t xml:space="preserve"> KB, Lewis SM, </w:t>
      </w:r>
      <w:proofErr w:type="spellStart"/>
      <w:r w:rsidRPr="00DD4389">
        <w:rPr>
          <w:rFonts w:eastAsia="Calibri"/>
          <w:sz w:val="20"/>
          <w:szCs w:val="20"/>
          <w:lang w:bidi="ar-SA"/>
        </w:rPr>
        <w:t>Vanlandingham</w:t>
      </w:r>
      <w:proofErr w:type="spellEnd"/>
      <w:r w:rsidRPr="00DD4389">
        <w:rPr>
          <w:rFonts w:eastAsia="Calibri"/>
          <w:sz w:val="20"/>
          <w:szCs w:val="20"/>
          <w:lang w:bidi="ar-SA"/>
        </w:rPr>
        <w:t xml:space="preserve"> M, </w:t>
      </w:r>
      <w:proofErr w:type="spellStart"/>
      <w:r w:rsidRPr="00DD4389">
        <w:rPr>
          <w:rFonts w:eastAsia="Calibri"/>
          <w:sz w:val="20"/>
          <w:szCs w:val="20"/>
          <w:lang w:bidi="ar-SA"/>
        </w:rPr>
        <w:t>Churchwell</w:t>
      </w:r>
      <w:proofErr w:type="spellEnd"/>
      <w:r w:rsidRPr="00DD4389">
        <w:rPr>
          <w:rFonts w:eastAsia="Calibri"/>
          <w:sz w:val="20"/>
          <w:szCs w:val="20"/>
          <w:lang w:bidi="ar-SA"/>
        </w:rPr>
        <w:t xml:space="preserve"> MI, Twaddle NC, </w:t>
      </w:r>
      <w:proofErr w:type="spellStart"/>
      <w:r w:rsidRPr="00DD4389">
        <w:rPr>
          <w:rFonts w:eastAsia="Calibri"/>
          <w:sz w:val="20"/>
          <w:szCs w:val="20"/>
          <w:lang w:bidi="ar-SA"/>
        </w:rPr>
        <w:t>McLellen</w:t>
      </w:r>
      <w:proofErr w:type="spellEnd"/>
      <w:r w:rsidRPr="00DD4389">
        <w:rPr>
          <w:rFonts w:eastAsia="Calibri"/>
          <w:sz w:val="20"/>
          <w:szCs w:val="20"/>
          <w:lang w:bidi="ar-SA"/>
        </w:rPr>
        <w:t xml:space="preserve"> M, Chidambaram M, Bryant M, </w:t>
      </w:r>
      <w:proofErr w:type="spellStart"/>
      <w:r w:rsidRPr="00DD4389">
        <w:rPr>
          <w:rFonts w:eastAsia="Calibri"/>
          <w:sz w:val="20"/>
          <w:szCs w:val="20"/>
          <w:lang w:bidi="ar-SA"/>
        </w:rPr>
        <w:t>Woodling</w:t>
      </w:r>
      <w:proofErr w:type="spellEnd"/>
      <w:r w:rsidRPr="00DD4389">
        <w:rPr>
          <w:rFonts w:eastAsia="Calibri"/>
          <w:sz w:val="20"/>
          <w:szCs w:val="20"/>
          <w:lang w:bidi="ar-SA"/>
        </w:rPr>
        <w:t xml:space="preserve"> K, </w:t>
      </w:r>
      <w:proofErr w:type="spellStart"/>
      <w:r w:rsidRPr="00DD4389">
        <w:rPr>
          <w:rFonts w:eastAsia="Calibri"/>
          <w:sz w:val="20"/>
          <w:szCs w:val="20"/>
          <w:lang w:bidi="ar-SA"/>
        </w:rPr>
        <w:t>Gamboa</w:t>
      </w:r>
      <w:proofErr w:type="spellEnd"/>
      <w:r w:rsidRPr="00DD4389">
        <w:rPr>
          <w:rFonts w:eastAsia="Calibri"/>
          <w:sz w:val="20"/>
          <w:szCs w:val="20"/>
          <w:lang w:bidi="ar-SA"/>
        </w:rPr>
        <w:t xml:space="preserve"> da Costa G, Ferguson SA, Flaws J, Howard PC, Walker NJ, </w:t>
      </w:r>
      <w:proofErr w:type="spellStart"/>
      <w:r w:rsidRPr="00DD4389">
        <w:rPr>
          <w:rFonts w:eastAsia="Calibri"/>
          <w:sz w:val="20"/>
          <w:szCs w:val="20"/>
          <w:lang w:bidi="ar-SA"/>
        </w:rPr>
        <w:t>Zoeller</w:t>
      </w:r>
      <w:proofErr w:type="spellEnd"/>
      <w:r w:rsidRPr="00DD4389">
        <w:rPr>
          <w:rFonts w:eastAsia="Calibri"/>
          <w:sz w:val="20"/>
          <w:szCs w:val="20"/>
          <w:lang w:bidi="ar-SA"/>
        </w:rPr>
        <w:t xml:space="preserve"> RT, </w:t>
      </w:r>
      <w:proofErr w:type="spellStart"/>
      <w:r w:rsidRPr="00DD4389">
        <w:rPr>
          <w:rFonts w:eastAsia="Calibri"/>
          <w:sz w:val="20"/>
          <w:szCs w:val="20"/>
          <w:lang w:bidi="ar-SA"/>
        </w:rPr>
        <w:t>Fostel</w:t>
      </w:r>
      <w:proofErr w:type="spellEnd"/>
      <w:r w:rsidRPr="00DD4389">
        <w:rPr>
          <w:rFonts w:eastAsia="Calibri"/>
          <w:sz w:val="20"/>
          <w:szCs w:val="20"/>
          <w:lang w:bidi="ar-SA"/>
        </w:rPr>
        <w:t xml:space="preserve"> J, </w:t>
      </w:r>
      <w:proofErr w:type="spellStart"/>
      <w:r w:rsidRPr="00DD4389">
        <w:rPr>
          <w:rFonts w:eastAsia="Calibri"/>
          <w:sz w:val="20"/>
          <w:szCs w:val="20"/>
          <w:lang w:bidi="ar-SA"/>
        </w:rPr>
        <w:t>Favaro</w:t>
      </w:r>
      <w:proofErr w:type="spellEnd"/>
      <w:r w:rsidRPr="00DD4389">
        <w:rPr>
          <w:rFonts w:eastAsia="Calibri"/>
          <w:sz w:val="20"/>
          <w:szCs w:val="20"/>
          <w:lang w:bidi="ar-SA"/>
        </w:rPr>
        <w:t xml:space="preserve"> C, </w:t>
      </w:r>
      <w:proofErr w:type="spellStart"/>
      <w:r w:rsidRPr="00DD4389">
        <w:rPr>
          <w:rFonts w:eastAsia="Calibri"/>
          <w:sz w:val="20"/>
          <w:szCs w:val="20"/>
          <w:lang w:bidi="ar-SA"/>
        </w:rPr>
        <w:t>Schug</w:t>
      </w:r>
      <w:proofErr w:type="spellEnd"/>
      <w:r w:rsidRPr="00DD4389">
        <w:rPr>
          <w:rFonts w:eastAsia="Calibri"/>
          <w:sz w:val="20"/>
          <w:szCs w:val="20"/>
          <w:lang w:bidi="ar-SA"/>
        </w:rPr>
        <w:t xml:space="preserve"> TT (2015) NIEHS/FDA CLARITY-BPA research program update. </w:t>
      </w:r>
      <w:proofErr w:type="spellStart"/>
      <w:r w:rsidRPr="00DD4389">
        <w:rPr>
          <w:rFonts w:eastAsia="Calibri"/>
          <w:sz w:val="20"/>
          <w:szCs w:val="20"/>
          <w:lang w:bidi="ar-SA"/>
        </w:rPr>
        <w:t>Reprod</w:t>
      </w:r>
      <w:proofErr w:type="spellEnd"/>
      <w:r w:rsidRPr="00DD4389">
        <w:rPr>
          <w:rFonts w:eastAsia="Calibri"/>
          <w:sz w:val="20"/>
          <w:szCs w:val="20"/>
          <w:lang w:bidi="ar-SA"/>
        </w:rPr>
        <w:t xml:space="preserve"> </w:t>
      </w:r>
      <w:proofErr w:type="spellStart"/>
      <w:r w:rsidRPr="00DD4389">
        <w:rPr>
          <w:rFonts w:eastAsia="Calibri"/>
          <w:sz w:val="20"/>
          <w:szCs w:val="20"/>
          <w:lang w:bidi="ar-SA"/>
        </w:rPr>
        <w:t>Toxicol</w:t>
      </w:r>
      <w:proofErr w:type="spellEnd"/>
      <w:r w:rsidRPr="00DD4389">
        <w:rPr>
          <w:rFonts w:eastAsia="Calibri"/>
          <w:sz w:val="20"/>
          <w:szCs w:val="20"/>
          <w:lang w:bidi="ar-SA"/>
        </w:rPr>
        <w:t>. 58:33-44.</w:t>
      </w:r>
    </w:p>
    <w:p w14:paraId="59143C6D" w14:textId="77777777" w:rsidR="008F4B1D" w:rsidRPr="00DD4389" w:rsidRDefault="008F4B1D" w:rsidP="00353D24">
      <w:pPr>
        <w:widowControl/>
        <w:rPr>
          <w:rFonts w:eastAsia="Calibri"/>
          <w:sz w:val="20"/>
          <w:szCs w:val="20"/>
          <w:lang w:bidi="ar-SA"/>
        </w:rPr>
      </w:pPr>
    </w:p>
    <w:p w14:paraId="703BB9A2" w14:textId="77777777" w:rsidR="00353D64" w:rsidRPr="00DD4389" w:rsidRDefault="00353D64" w:rsidP="00353D64">
      <w:pPr>
        <w:widowControl/>
        <w:rPr>
          <w:rFonts w:eastAsia="Calibri"/>
          <w:sz w:val="20"/>
          <w:szCs w:val="20"/>
          <w:lang w:bidi="ar-SA"/>
        </w:rPr>
      </w:pPr>
      <w:r w:rsidRPr="00DD4389">
        <w:rPr>
          <w:rFonts w:eastAsia="Calibri"/>
          <w:sz w:val="20"/>
          <w:szCs w:val="20"/>
          <w:lang w:bidi="ar-SA"/>
        </w:rPr>
        <w:t xml:space="preserve">Heinemeyer G, </w:t>
      </w:r>
      <w:proofErr w:type="spellStart"/>
      <w:r w:rsidRPr="00DD4389">
        <w:rPr>
          <w:rFonts w:eastAsia="Calibri"/>
          <w:sz w:val="20"/>
          <w:szCs w:val="20"/>
          <w:lang w:bidi="ar-SA"/>
        </w:rPr>
        <w:t>Sommerfeld</w:t>
      </w:r>
      <w:proofErr w:type="spellEnd"/>
      <w:r w:rsidRPr="00DD4389">
        <w:rPr>
          <w:rFonts w:eastAsia="Calibri"/>
          <w:sz w:val="20"/>
          <w:szCs w:val="20"/>
          <w:lang w:bidi="ar-SA"/>
        </w:rPr>
        <w:t xml:space="preserve"> C, Springer A, </w:t>
      </w:r>
      <w:proofErr w:type="spellStart"/>
      <w:r w:rsidRPr="00DD4389">
        <w:rPr>
          <w:rFonts w:eastAsia="Calibri"/>
          <w:sz w:val="20"/>
          <w:szCs w:val="20"/>
          <w:lang w:bidi="ar-SA"/>
        </w:rPr>
        <w:t>Heiland</w:t>
      </w:r>
      <w:proofErr w:type="spellEnd"/>
      <w:r w:rsidRPr="00DD4389">
        <w:rPr>
          <w:rFonts w:eastAsia="Calibri"/>
          <w:sz w:val="20"/>
          <w:szCs w:val="20"/>
          <w:lang w:bidi="ar-SA"/>
        </w:rPr>
        <w:t xml:space="preserve"> A, </w:t>
      </w:r>
      <w:proofErr w:type="spellStart"/>
      <w:r w:rsidRPr="00DD4389">
        <w:rPr>
          <w:rFonts w:eastAsia="Calibri"/>
          <w:sz w:val="20"/>
          <w:szCs w:val="20"/>
          <w:lang w:bidi="ar-SA"/>
        </w:rPr>
        <w:t>Lindtner</w:t>
      </w:r>
      <w:proofErr w:type="spellEnd"/>
      <w:r w:rsidRPr="00DD4389">
        <w:rPr>
          <w:rFonts w:eastAsia="Calibri"/>
          <w:sz w:val="20"/>
          <w:szCs w:val="20"/>
          <w:lang w:bidi="ar-SA"/>
        </w:rPr>
        <w:t xml:space="preserve"> O, Greiner M, </w:t>
      </w:r>
      <w:proofErr w:type="spellStart"/>
      <w:r w:rsidRPr="00DD4389">
        <w:rPr>
          <w:rFonts w:eastAsia="Calibri"/>
          <w:sz w:val="20"/>
          <w:szCs w:val="20"/>
          <w:lang w:bidi="ar-SA"/>
        </w:rPr>
        <w:t>Heuer</w:t>
      </w:r>
      <w:proofErr w:type="spellEnd"/>
      <w:r w:rsidRPr="00DD4389">
        <w:rPr>
          <w:rFonts w:eastAsia="Calibri"/>
          <w:sz w:val="20"/>
          <w:szCs w:val="20"/>
          <w:lang w:bidi="ar-SA"/>
        </w:rPr>
        <w:t xml:space="preserve"> T, </w:t>
      </w:r>
      <w:proofErr w:type="spellStart"/>
      <w:r w:rsidRPr="00DD4389">
        <w:rPr>
          <w:rFonts w:eastAsia="Calibri"/>
          <w:sz w:val="20"/>
          <w:szCs w:val="20"/>
          <w:lang w:bidi="ar-SA"/>
        </w:rPr>
        <w:t>Krems</w:t>
      </w:r>
      <w:proofErr w:type="spellEnd"/>
      <w:r w:rsidRPr="00DD4389">
        <w:rPr>
          <w:rFonts w:eastAsia="Calibri"/>
          <w:sz w:val="20"/>
          <w:szCs w:val="20"/>
          <w:lang w:bidi="ar-SA"/>
        </w:rPr>
        <w:t xml:space="preserve"> C, Conrad A (2013) Estimation of dietary intake of bis(2-ethylhexyl)phthalate (DEHP) by consumption of food in the German population. </w:t>
      </w:r>
      <w:proofErr w:type="spellStart"/>
      <w:r w:rsidRPr="00DD4389">
        <w:rPr>
          <w:rFonts w:eastAsia="Calibri"/>
          <w:sz w:val="20"/>
          <w:szCs w:val="20"/>
          <w:lang w:bidi="ar-SA"/>
        </w:rPr>
        <w:t>Int</w:t>
      </w:r>
      <w:proofErr w:type="spellEnd"/>
      <w:r w:rsidRPr="00DD4389">
        <w:rPr>
          <w:rFonts w:eastAsia="Calibri"/>
          <w:sz w:val="20"/>
          <w:szCs w:val="20"/>
          <w:lang w:bidi="ar-SA"/>
        </w:rPr>
        <w:t xml:space="preserve"> J </w:t>
      </w:r>
      <w:proofErr w:type="spellStart"/>
      <w:r w:rsidRPr="00DD4389">
        <w:rPr>
          <w:rFonts w:eastAsia="Calibri"/>
          <w:sz w:val="20"/>
          <w:szCs w:val="20"/>
          <w:lang w:bidi="ar-SA"/>
        </w:rPr>
        <w:t>Hyg</w:t>
      </w:r>
      <w:proofErr w:type="spellEnd"/>
      <w:r w:rsidRPr="00DD4389">
        <w:rPr>
          <w:rFonts w:eastAsia="Calibri"/>
          <w:sz w:val="20"/>
          <w:szCs w:val="20"/>
          <w:lang w:bidi="ar-SA"/>
        </w:rPr>
        <w:t xml:space="preserve"> Environ Health, 216(4):472-80.</w:t>
      </w:r>
    </w:p>
    <w:p w14:paraId="3CBC2CC9" w14:textId="77777777" w:rsidR="00353D64" w:rsidRPr="00DD4389" w:rsidRDefault="00353D64" w:rsidP="00353D24">
      <w:pPr>
        <w:widowControl/>
        <w:rPr>
          <w:rFonts w:eastAsia="Calibri"/>
          <w:sz w:val="20"/>
          <w:szCs w:val="20"/>
          <w:lang w:bidi="ar-SA"/>
        </w:rPr>
      </w:pPr>
    </w:p>
    <w:p w14:paraId="52D040F0" w14:textId="77777777" w:rsidR="00AD72D0" w:rsidRPr="00DD4389" w:rsidRDefault="00AD72D0" w:rsidP="00AD72D0">
      <w:pPr>
        <w:widowControl/>
        <w:rPr>
          <w:rFonts w:eastAsia="Calibri"/>
          <w:sz w:val="20"/>
          <w:szCs w:val="20"/>
          <w:lang w:bidi="ar-SA"/>
        </w:rPr>
      </w:pPr>
      <w:r w:rsidRPr="00DD4389">
        <w:rPr>
          <w:rFonts w:eastAsia="Calibri"/>
          <w:sz w:val="20"/>
          <w:szCs w:val="20"/>
          <w:lang w:bidi="ar-SA"/>
        </w:rPr>
        <w:t>IARC (2008) 1</w:t>
      </w:r>
      <w:proofErr w:type="gramStart"/>
      <w:r w:rsidRPr="00DD4389">
        <w:rPr>
          <w:rFonts w:eastAsia="Calibri"/>
          <w:sz w:val="20"/>
          <w:szCs w:val="20"/>
          <w:lang w:bidi="ar-SA"/>
        </w:rPr>
        <w:t>,3</w:t>
      </w:r>
      <w:proofErr w:type="gramEnd"/>
      <w:r w:rsidRPr="00DD4389">
        <w:rPr>
          <w:rFonts w:eastAsia="Calibri"/>
          <w:sz w:val="20"/>
          <w:szCs w:val="20"/>
          <w:lang w:bidi="ar-SA"/>
        </w:rPr>
        <w:t xml:space="preserve">-Butadiene, Ethylene Oxide and Vinyl Halides (Vinyl Fluoride, Vinyl Chloride and Vinyl Bromide). </w:t>
      </w:r>
      <w:proofErr w:type="gramStart"/>
      <w:r w:rsidRPr="00DD4389">
        <w:rPr>
          <w:rFonts w:eastAsia="Calibri"/>
          <w:sz w:val="20"/>
          <w:szCs w:val="20"/>
          <w:lang w:bidi="ar-SA"/>
        </w:rPr>
        <w:t>IARC Monographs on the Evaluation of Carcinogenic Risks to Humans.</w:t>
      </w:r>
      <w:proofErr w:type="gramEnd"/>
      <w:r w:rsidRPr="00DD4389">
        <w:rPr>
          <w:rFonts w:eastAsia="Calibri"/>
          <w:sz w:val="20"/>
          <w:szCs w:val="20"/>
          <w:lang w:bidi="ar-SA"/>
        </w:rPr>
        <w:t xml:space="preserve"> </w:t>
      </w:r>
    </w:p>
    <w:p w14:paraId="65FE0AB9" w14:textId="1A582B8E" w:rsidR="00AD72D0" w:rsidRPr="00DD4389" w:rsidRDefault="00AD72D0" w:rsidP="00AD72D0">
      <w:pPr>
        <w:widowControl/>
        <w:rPr>
          <w:rFonts w:eastAsia="Calibri"/>
          <w:sz w:val="20"/>
          <w:szCs w:val="20"/>
          <w:lang w:bidi="ar-SA"/>
        </w:rPr>
      </w:pPr>
      <w:proofErr w:type="gramStart"/>
      <w:r w:rsidRPr="00DD4389">
        <w:rPr>
          <w:rFonts w:eastAsia="Calibri"/>
          <w:sz w:val="20"/>
          <w:szCs w:val="20"/>
          <w:lang w:bidi="ar-SA"/>
        </w:rPr>
        <w:t>IARC Monographs, Volume 97.</w:t>
      </w:r>
      <w:proofErr w:type="gramEnd"/>
      <w:r w:rsidRPr="00DD4389">
        <w:rPr>
          <w:rFonts w:eastAsia="Calibri"/>
          <w:sz w:val="20"/>
          <w:szCs w:val="20"/>
          <w:lang w:bidi="ar-SA"/>
        </w:rPr>
        <w:t xml:space="preserve"> </w:t>
      </w:r>
      <w:proofErr w:type="gramStart"/>
      <w:r w:rsidRPr="00DD4389">
        <w:rPr>
          <w:rFonts w:eastAsia="Calibri"/>
          <w:sz w:val="20"/>
          <w:szCs w:val="20"/>
          <w:lang w:bidi="ar-SA"/>
        </w:rPr>
        <w:t>International Agency for Research on Cancer.</w:t>
      </w:r>
      <w:proofErr w:type="gramEnd"/>
    </w:p>
    <w:p w14:paraId="010DB46A" w14:textId="77777777" w:rsidR="00AD72D0" w:rsidRPr="00DD4389" w:rsidRDefault="00AD72D0" w:rsidP="00353D24">
      <w:pPr>
        <w:widowControl/>
        <w:rPr>
          <w:rFonts w:eastAsia="Calibri"/>
          <w:sz w:val="20"/>
          <w:szCs w:val="20"/>
          <w:lang w:bidi="ar-SA"/>
        </w:rPr>
      </w:pPr>
    </w:p>
    <w:p w14:paraId="3BD3781E" w14:textId="77777777" w:rsidR="00353D24" w:rsidRPr="00DD4389" w:rsidRDefault="00353D24" w:rsidP="00353D24">
      <w:pPr>
        <w:widowControl/>
        <w:rPr>
          <w:rFonts w:eastAsia="Calibri"/>
          <w:sz w:val="20"/>
          <w:szCs w:val="20"/>
          <w:lang w:bidi="ar-SA"/>
        </w:rPr>
      </w:pPr>
      <w:r w:rsidRPr="00DD4389">
        <w:rPr>
          <w:rFonts w:eastAsia="Calibri"/>
          <w:sz w:val="20"/>
          <w:szCs w:val="20"/>
          <w:lang w:bidi="ar-SA"/>
        </w:rPr>
        <w:t xml:space="preserve">Jung T, </w:t>
      </w:r>
      <w:proofErr w:type="spellStart"/>
      <w:r w:rsidRPr="00DD4389">
        <w:rPr>
          <w:rFonts w:eastAsia="Calibri"/>
          <w:sz w:val="20"/>
          <w:szCs w:val="20"/>
          <w:lang w:bidi="ar-SA"/>
        </w:rPr>
        <w:t>Simat</w:t>
      </w:r>
      <w:proofErr w:type="spellEnd"/>
      <w:r w:rsidRPr="00DD4389">
        <w:rPr>
          <w:rFonts w:eastAsia="Calibri"/>
          <w:sz w:val="20"/>
          <w:szCs w:val="20"/>
          <w:lang w:bidi="ar-SA"/>
        </w:rPr>
        <w:t xml:space="preserve"> </w:t>
      </w:r>
      <w:proofErr w:type="spellStart"/>
      <w:r w:rsidRPr="00DD4389">
        <w:rPr>
          <w:rFonts w:eastAsia="Calibri"/>
          <w:sz w:val="20"/>
          <w:szCs w:val="20"/>
          <w:lang w:bidi="ar-SA"/>
        </w:rPr>
        <w:t>TJ</w:t>
      </w:r>
      <w:proofErr w:type="spellEnd"/>
      <w:r w:rsidRPr="00DD4389">
        <w:rPr>
          <w:rFonts w:eastAsia="Calibri"/>
          <w:sz w:val="20"/>
          <w:szCs w:val="20"/>
          <w:lang w:bidi="ar-SA"/>
        </w:rPr>
        <w:t xml:space="preserve">, </w:t>
      </w:r>
      <w:proofErr w:type="spellStart"/>
      <w:r w:rsidRPr="00DD4389">
        <w:rPr>
          <w:rFonts w:eastAsia="Calibri"/>
          <w:sz w:val="20"/>
          <w:szCs w:val="20"/>
          <w:lang w:bidi="ar-SA"/>
        </w:rPr>
        <w:t>Altkofer</w:t>
      </w:r>
      <w:proofErr w:type="spellEnd"/>
      <w:r w:rsidRPr="00DD4389">
        <w:rPr>
          <w:rFonts w:eastAsia="Calibri"/>
          <w:sz w:val="20"/>
          <w:szCs w:val="20"/>
          <w:lang w:bidi="ar-SA"/>
        </w:rPr>
        <w:t xml:space="preserve"> W, </w:t>
      </w:r>
      <w:proofErr w:type="spellStart"/>
      <w:r w:rsidRPr="00DD4389">
        <w:rPr>
          <w:rFonts w:eastAsia="Calibri"/>
          <w:sz w:val="20"/>
          <w:szCs w:val="20"/>
          <w:lang w:bidi="ar-SA"/>
        </w:rPr>
        <w:t>Fügel</w:t>
      </w:r>
      <w:proofErr w:type="spellEnd"/>
      <w:r w:rsidRPr="00DD4389">
        <w:rPr>
          <w:rFonts w:eastAsia="Calibri"/>
          <w:sz w:val="20"/>
          <w:szCs w:val="20"/>
          <w:lang w:bidi="ar-SA"/>
        </w:rPr>
        <w:t xml:space="preserve"> D (2013) Survey on the occurrence of photo-initiators and amine synergists in </w:t>
      </w:r>
      <w:proofErr w:type="spellStart"/>
      <w:r w:rsidRPr="00DD4389">
        <w:rPr>
          <w:rFonts w:eastAsia="Calibri"/>
          <w:sz w:val="20"/>
          <w:szCs w:val="20"/>
          <w:lang w:bidi="ar-SA"/>
        </w:rPr>
        <w:t>cartonboard</w:t>
      </w:r>
      <w:proofErr w:type="spellEnd"/>
      <w:r w:rsidRPr="00DD4389">
        <w:rPr>
          <w:rFonts w:eastAsia="Calibri"/>
          <w:sz w:val="20"/>
          <w:szCs w:val="20"/>
          <w:lang w:bidi="ar-SA"/>
        </w:rPr>
        <w:t xml:space="preserve"> packaging on the German market and their migration into the packaged foodstuffs. Food </w:t>
      </w:r>
      <w:proofErr w:type="spellStart"/>
      <w:r w:rsidRPr="00DD4389">
        <w:rPr>
          <w:rFonts w:eastAsia="Calibri"/>
          <w:sz w:val="20"/>
          <w:szCs w:val="20"/>
          <w:lang w:bidi="ar-SA"/>
        </w:rPr>
        <w:t>Addit</w:t>
      </w:r>
      <w:proofErr w:type="spellEnd"/>
      <w:r w:rsidRPr="00DD4389">
        <w:rPr>
          <w:rFonts w:eastAsia="Calibri"/>
          <w:sz w:val="20"/>
          <w:szCs w:val="20"/>
          <w:lang w:bidi="ar-SA"/>
        </w:rPr>
        <w:t xml:space="preserve"> </w:t>
      </w:r>
      <w:proofErr w:type="spellStart"/>
      <w:r w:rsidRPr="00DD4389">
        <w:rPr>
          <w:rFonts w:eastAsia="Calibri"/>
          <w:sz w:val="20"/>
          <w:szCs w:val="20"/>
          <w:lang w:bidi="ar-SA"/>
        </w:rPr>
        <w:t>Contam</w:t>
      </w:r>
      <w:proofErr w:type="spellEnd"/>
      <w:r w:rsidRPr="00DD4389">
        <w:rPr>
          <w:rFonts w:eastAsia="Calibri"/>
          <w:sz w:val="20"/>
          <w:szCs w:val="20"/>
          <w:lang w:bidi="ar-SA"/>
        </w:rPr>
        <w:t xml:space="preserve"> Part </w:t>
      </w:r>
      <w:proofErr w:type="gramStart"/>
      <w:r w:rsidRPr="00DD4389">
        <w:rPr>
          <w:rFonts w:eastAsia="Calibri"/>
          <w:sz w:val="20"/>
          <w:szCs w:val="20"/>
          <w:lang w:bidi="ar-SA"/>
        </w:rPr>
        <w:t>A</w:t>
      </w:r>
      <w:proofErr w:type="gramEnd"/>
      <w:r w:rsidRPr="00DD4389">
        <w:rPr>
          <w:rFonts w:eastAsia="Calibri"/>
          <w:sz w:val="20"/>
          <w:szCs w:val="20"/>
          <w:lang w:bidi="ar-SA"/>
        </w:rPr>
        <w:t xml:space="preserve"> </w:t>
      </w:r>
      <w:proofErr w:type="spellStart"/>
      <w:r w:rsidRPr="00DD4389">
        <w:rPr>
          <w:rFonts w:eastAsia="Calibri"/>
          <w:sz w:val="20"/>
          <w:szCs w:val="20"/>
          <w:lang w:bidi="ar-SA"/>
        </w:rPr>
        <w:t>Chem</w:t>
      </w:r>
      <w:proofErr w:type="spellEnd"/>
      <w:r w:rsidRPr="00DD4389">
        <w:rPr>
          <w:rFonts w:eastAsia="Calibri"/>
          <w:sz w:val="20"/>
          <w:szCs w:val="20"/>
          <w:lang w:bidi="ar-SA"/>
        </w:rPr>
        <w:t xml:space="preserve"> Anal Control Expo Risk Assess. 30(11):1993-2016.</w:t>
      </w:r>
    </w:p>
    <w:p w14:paraId="5B3F7C23" w14:textId="77777777" w:rsidR="00353D24" w:rsidRPr="00DD4389" w:rsidRDefault="00353D24" w:rsidP="00353D24">
      <w:pPr>
        <w:widowControl/>
        <w:rPr>
          <w:rFonts w:eastAsia="Calibri"/>
          <w:sz w:val="20"/>
          <w:szCs w:val="20"/>
          <w:lang w:bidi="ar-SA"/>
        </w:rPr>
      </w:pPr>
    </w:p>
    <w:p w14:paraId="3A11BFCB" w14:textId="2671B8D8" w:rsidR="00FF2CBA" w:rsidRPr="00DD4389" w:rsidRDefault="00FF2CBA" w:rsidP="00353D24">
      <w:pPr>
        <w:widowControl/>
        <w:rPr>
          <w:rFonts w:eastAsia="Calibri"/>
          <w:sz w:val="20"/>
          <w:szCs w:val="20"/>
          <w:lang w:bidi="ar-SA"/>
        </w:rPr>
      </w:pPr>
      <w:r w:rsidRPr="00DD4389">
        <w:rPr>
          <w:sz w:val="20"/>
          <w:szCs w:val="20"/>
        </w:rPr>
        <w:t xml:space="preserve">Kroes R, Galli C, </w:t>
      </w:r>
      <w:proofErr w:type="gramStart"/>
      <w:r w:rsidRPr="00DD4389">
        <w:rPr>
          <w:sz w:val="20"/>
          <w:szCs w:val="20"/>
        </w:rPr>
        <w:t>Munro</w:t>
      </w:r>
      <w:proofErr w:type="gramEnd"/>
      <w:r w:rsidRPr="00DD4389">
        <w:rPr>
          <w:sz w:val="20"/>
          <w:szCs w:val="20"/>
        </w:rPr>
        <w:t xml:space="preserve"> I, </w:t>
      </w:r>
      <w:proofErr w:type="spellStart"/>
      <w:r w:rsidRPr="00DD4389">
        <w:rPr>
          <w:sz w:val="20"/>
          <w:szCs w:val="20"/>
        </w:rPr>
        <w:t>Schilter</w:t>
      </w:r>
      <w:proofErr w:type="spellEnd"/>
      <w:r w:rsidRPr="00DD4389">
        <w:rPr>
          <w:sz w:val="20"/>
          <w:szCs w:val="20"/>
        </w:rPr>
        <w:t xml:space="preserve"> B, Tran L, Walker R, </w:t>
      </w:r>
      <w:proofErr w:type="spellStart"/>
      <w:r w:rsidRPr="00DD4389">
        <w:rPr>
          <w:sz w:val="20"/>
          <w:szCs w:val="20"/>
        </w:rPr>
        <w:t>Würtzen</w:t>
      </w:r>
      <w:proofErr w:type="spellEnd"/>
      <w:r w:rsidRPr="00DD4389">
        <w:rPr>
          <w:sz w:val="20"/>
          <w:szCs w:val="20"/>
        </w:rPr>
        <w:t xml:space="preserve"> G (2000) Threshold of toxicological concern for chemical substances present in the diet: a practical tool for assessing the need for toxicity testing. </w:t>
      </w:r>
      <w:proofErr w:type="gramStart"/>
      <w:r w:rsidRPr="00DD4389">
        <w:rPr>
          <w:sz w:val="20"/>
          <w:szCs w:val="20"/>
        </w:rPr>
        <w:t xml:space="preserve">Food </w:t>
      </w:r>
      <w:proofErr w:type="spellStart"/>
      <w:r w:rsidRPr="00DD4389">
        <w:rPr>
          <w:sz w:val="20"/>
          <w:szCs w:val="20"/>
        </w:rPr>
        <w:t>Chem</w:t>
      </w:r>
      <w:proofErr w:type="spellEnd"/>
      <w:r w:rsidRPr="00DD4389">
        <w:rPr>
          <w:sz w:val="20"/>
          <w:szCs w:val="20"/>
        </w:rPr>
        <w:t xml:space="preserve"> </w:t>
      </w:r>
      <w:proofErr w:type="spellStart"/>
      <w:r w:rsidRPr="00DD4389">
        <w:rPr>
          <w:sz w:val="20"/>
          <w:szCs w:val="20"/>
        </w:rPr>
        <w:t>Toxicol</w:t>
      </w:r>
      <w:proofErr w:type="spellEnd"/>
      <w:r w:rsidRPr="00DD4389">
        <w:rPr>
          <w:sz w:val="20"/>
          <w:szCs w:val="20"/>
        </w:rPr>
        <w:t>.</w:t>
      </w:r>
      <w:proofErr w:type="gramEnd"/>
      <w:r w:rsidRPr="00DD4389">
        <w:rPr>
          <w:sz w:val="20"/>
          <w:szCs w:val="20"/>
        </w:rPr>
        <w:t xml:space="preserve"> 38(2-3):255-312.</w:t>
      </w:r>
    </w:p>
    <w:p w14:paraId="18F17555" w14:textId="77777777" w:rsidR="00FF2CBA" w:rsidRPr="00DD4389" w:rsidRDefault="00FF2CBA" w:rsidP="00353D24">
      <w:pPr>
        <w:widowControl/>
        <w:rPr>
          <w:rFonts w:eastAsia="Calibri"/>
          <w:sz w:val="20"/>
          <w:szCs w:val="20"/>
          <w:lang w:bidi="ar-SA"/>
        </w:rPr>
      </w:pPr>
    </w:p>
    <w:p w14:paraId="1AF5EE83" w14:textId="566A3C44" w:rsidR="00832E87" w:rsidRPr="00DD4389" w:rsidRDefault="00832E87" w:rsidP="00CB795E">
      <w:pPr>
        <w:widowControl/>
        <w:rPr>
          <w:rFonts w:eastAsia="Calibri"/>
          <w:sz w:val="20"/>
          <w:szCs w:val="20"/>
          <w:lang w:bidi="ar-SA"/>
        </w:rPr>
      </w:pPr>
      <w:r w:rsidRPr="00DD4389">
        <w:rPr>
          <w:rFonts w:eastAsia="Calibri"/>
          <w:sz w:val="20"/>
          <w:szCs w:val="20"/>
          <w:lang w:bidi="ar-SA"/>
        </w:rPr>
        <w:lastRenderedPageBreak/>
        <w:t>Lago MA, Rodríguez-</w:t>
      </w:r>
      <w:proofErr w:type="spellStart"/>
      <w:r w:rsidRPr="00DD4389">
        <w:rPr>
          <w:rFonts w:eastAsia="Calibri"/>
          <w:sz w:val="20"/>
          <w:szCs w:val="20"/>
          <w:lang w:bidi="ar-SA"/>
        </w:rPr>
        <w:t>Bernaldo</w:t>
      </w:r>
      <w:proofErr w:type="spellEnd"/>
      <w:r w:rsidRPr="00DD4389">
        <w:rPr>
          <w:rFonts w:eastAsia="Calibri"/>
          <w:sz w:val="20"/>
          <w:szCs w:val="20"/>
          <w:lang w:bidi="ar-SA"/>
        </w:rPr>
        <w:t xml:space="preserve"> de </w:t>
      </w:r>
      <w:proofErr w:type="spellStart"/>
      <w:r w:rsidRPr="00DD4389">
        <w:rPr>
          <w:rFonts w:eastAsia="Calibri"/>
          <w:sz w:val="20"/>
          <w:szCs w:val="20"/>
          <w:lang w:bidi="ar-SA"/>
        </w:rPr>
        <w:t>Quirós</w:t>
      </w:r>
      <w:proofErr w:type="spellEnd"/>
      <w:r w:rsidRPr="00DD4389">
        <w:rPr>
          <w:rFonts w:eastAsia="Calibri"/>
          <w:sz w:val="20"/>
          <w:szCs w:val="20"/>
          <w:lang w:bidi="ar-SA"/>
        </w:rPr>
        <w:t xml:space="preserve"> A, </w:t>
      </w:r>
      <w:proofErr w:type="spellStart"/>
      <w:r w:rsidRPr="00DD4389">
        <w:rPr>
          <w:rFonts w:eastAsia="Calibri"/>
          <w:sz w:val="20"/>
          <w:szCs w:val="20"/>
          <w:lang w:bidi="ar-SA"/>
        </w:rPr>
        <w:t>Sendón</w:t>
      </w:r>
      <w:proofErr w:type="spellEnd"/>
      <w:r w:rsidRPr="00DD4389">
        <w:rPr>
          <w:rFonts w:eastAsia="Calibri"/>
          <w:sz w:val="20"/>
          <w:szCs w:val="20"/>
          <w:lang w:bidi="ar-SA"/>
        </w:rPr>
        <w:t xml:space="preserve"> R, Bustos J, Nieto MT, </w:t>
      </w:r>
      <w:proofErr w:type="spellStart"/>
      <w:r w:rsidRPr="00DD4389">
        <w:rPr>
          <w:rFonts w:eastAsia="Calibri"/>
          <w:sz w:val="20"/>
          <w:szCs w:val="20"/>
          <w:lang w:bidi="ar-SA"/>
        </w:rPr>
        <w:t>Paseiro</w:t>
      </w:r>
      <w:proofErr w:type="spellEnd"/>
      <w:r w:rsidRPr="00DD4389">
        <w:rPr>
          <w:rFonts w:eastAsia="Calibri"/>
          <w:sz w:val="20"/>
          <w:szCs w:val="20"/>
          <w:lang w:bidi="ar-SA"/>
        </w:rPr>
        <w:t xml:space="preserve"> P (2015) Photoinitiators: a food safety review. Food </w:t>
      </w:r>
      <w:proofErr w:type="spellStart"/>
      <w:r w:rsidRPr="00DD4389">
        <w:rPr>
          <w:rFonts w:eastAsia="Calibri"/>
          <w:sz w:val="20"/>
          <w:szCs w:val="20"/>
          <w:lang w:bidi="ar-SA"/>
        </w:rPr>
        <w:t>Addit</w:t>
      </w:r>
      <w:proofErr w:type="spellEnd"/>
      <w:r w:rsidRPr="00DD4389">
        <w:rPr>
          <w:rFonts w:eastAsia="Calibri"/>
          <w:sz w:val="20"/>
          <w:szCs w:val="20"/>
          <w:lang w:bidi="ar-SA"/>
        </w:rPr>
        <w:t xml:space="preserve"> </w:t>
      </w:r>
      <w:proofErr w:type="spellStart"/>
      <w:r w:rsidRPr="00DD4389">
        <w:rPr>
          <w:rFonts w:eastAsia="Calibri"/>
          <w:sz w:val="20"/>
          <w:szCs w:val="20"/>
          <w:lang w:bidi="ar-SA"/>
        </w:rPr>
        <w:t>Contam</w:t>
      </w:r>
      <w:proofErr w:type="spellEnd"/>
      <w:r w:rsidRPr="00DD4389">
        <w:rPr>
          <w:rFonts w:eastAsia="Calibri"/>
          <w:sz w:val="20"/>
          <w:szCs w:val="20"/>
          <w:lang w:bidi="ar-SA"/>
        </w:rPr>
        <w:t xml:space="preserve"> Part </w:t>
      </w:r>
      <w:proofErr w:type="gramStart"/>
      <w:r w:rsidRPr="00DD4389">
        <w:rPr>
          <w:rFonts w:eastAsia="Calibri"/>
          <w:sz w:val="20"/>
          <w:szCs w:val="20"/>
          <w:lang w:bidi="ar-SA"/>
        </w:rPr>
        <w:t>A</w:t>
      </w:r>
      <w:proofErr w:type="gramEnd"/>
      <w:r w:rsidRPr="00DD4389">
        <w:rPr>
          <w:rFonts w:eastAsia="Calibri"/>
          <w:sz w:val="20"/>
          <w:szCs w:val="20"/>
          <w:lang w:bidi="ar-SA"/>
        </w:rPr>
        <w:t xml:space="preserve"> </w:t>
      </w:r>
      <w:proofErr w:type="spellStart"/>
      <w:r w:rsidRPr="00DD4389">
        <w:rPr>
          <w:rFonts w:eastAsia="Calibri"/>
          <w:sz w:val="20"/>
          <w:szCs w:val="20"/>
          <w:lang w:bidi="ar-SA"/>
        </w:rPr>
        <w:t>Chem</w:t>
      </w:r>
      <w:proofErr w:type="spellEnd"/>
      <w:r w:rsidRPr="00DD4389">
        <w:rPr>
          <w:rFonts w:eastAsia="Calibri"/>
          <w:sz w:val="20"/>
          <w:szCs w:val="20"/>
          <w:lang w:bidi="ar-SA"/>
        </w:rPr>
        <w:t xml:space="preserve"> Anal Control Expo Risk Assess. 32(5):779-98.</w:t>
      </w:r>
    </w:p>
    <w:p w14:paraId="7875E73B" w14:textId="77777777" w:rsidR="00832E87" w:rsidRPr="00DD4389" w:rsidRDefault="00832E87" w:rsidP="00CB795E">
      <w:pPr>
        <w:widowControl/>
        <w:rPr>
          <w:rFonts w:eastAsia="Calibri"/>
          <w:sz w:val="20"/>
          <w:szCs w:val="20"/>
          <w:lang w:bidi="ar-SA"/>
        </w:rPr>
      </w:pPr>
    </w:p>
    <w:p w14:paraId="0B32B964" w14:textId="77777777" w:rsidR="00CB795E" w:rsidRPr="00DD4389" w:rsidRDefault="00CB795E" w:rsidP="00CB795E">
      <w:pPr>
        <w:widowControl/>
        <w:rPr>
          <w:rFonts w:eastAsia="Calibri"/>
          <w:sz w:val="20"/>
          <w:szCs w:val="20"/>
          <w:lang w:bidi="ar-SA"/>
        </w:rPr>
      </w:pPr>
      <w:r w:rsidRPr="00DD4389">
        <w:rPr>
          <w:rFonts w:eastAsia="Calibri"/>
          <w:sz w:val="20"/>
          <w:szCs w:val="20"/>
          <w:lang w:bidi="ar-SA"/>
        </w:rPr>
        <w:t xml:space="preserve">LaKind </w:t>
      </w:r>
      <w:proofErr w:type="spellStart"/>
      <w:r w:rsidRPr="00DD4389">
        <w:rPr>
          <w:rFonts w:eastAsia="Calibri"/>
          <w:sz w:val="20"/>
          <w:szCs w:val="20"/>
          <w:lang w:bidi="ar-SA"/>
        </w:rPr>
        <w:t>JS</w:t>
      </w:r>
      <w:proofErr w:type="spellEnd"/>
      <w:r w:rsidRPr="00DD4389">
        <w:rPr>
          <w:rFonts w:eastAsia="Calibri"/>
          <w:sz w:val="20"/>
          <w:szCs w:val="20"/>
          <w:lang w:bidi="ar-SA"/>
        </w:rPr>
        <w:t xml:space="preserve">, Naiman </w:t>
      </w:r>
      <w:proofErr w:type="spellStart"/>
      <w:r w:rsidRPr="00DD4389">
        <w:rPr>
          <w:rFonts w:eastAsia="Calibri"/>
          <w:sz w:val="20"/>
          <w:szCs w:val="20"/>
          <w:lang w:bidi="ar-SA"/>
        </w:rPr>
        <w:t>DQ</w:t>
      </w:r>
      <w:proofErr w:type="spellEnd"/>
      <w:r w:rsidRPr="00DD4389">
        <w:rPr>
          <w:rFonts w:eastAsia="Calibri"/>
          <w:sz w:val="20"/>
          <w:szCs w:val="20"/>
          <w:lang w:bidi="ar-SA"/>
        </w:rPr>
        <w:t xml:space="preserve"> (2015) Temporal trends in bisphenol </w:t>
      </w:r>
      <w:proofErr w:type="gramStart"/>
      <w:r w:rsidRPr="00DD4389">
        <w:rPr>
          <w:rFonts w:eastAsia="Calibri"/>
          <w:sz w:val="20"/>
          <w:szCs w:val="20"/>
          <w:lang w:bidi="ar-SA"/>
        </w:rPr>
        <w:t>A</w:t>
      </w:r>
      <w:proofErr w:type="gramEnd"/>
      <w:r w:rsidRPr="00DD4389">
        <w:rPr>
          <w:rFonts w:eastAsia="Calibri"/>
          <w:sz w:val="20"/>
          <w:szCs w:val="20"/>
          <w:lang w:bidi="ar-SA"/>
        </w:rPr>
        <w:t xml:space="preserve"> exposure in the United States from 2003-2012 and factors associated with BPA exposure: Spot samples and urine dilution complicate data interpretation. Environ Res. 142:84-95.</w:t>
      </w:r>
    </w:p>
    <w:p w14:paraId="44F343F7" w14:textId="77777777" w:rsidR="00CB795E" w:rsidRPr="00DD4389" w:rsidRDefault="00CB795E" w:rsidP="008F4B1D">
      <w:pPr>
        <w:widowControl/>
        <w:rPr>
          <w:rFonts w:eastAsia="Calibri"/>
          <w:sz w:val="20"/>
          <w:szCs w:val="20"/>
          <w:lang w:bidi="ar-SA"/>
        </w:rPr>
      </w:pPr>
    </w:p>
    <w:p w14:paraId="4CA92809" w14:textId="77777777" w:rsidR="008F4B1D" w:rsidRPr="00DD4389" w:rsidRDefault="008F4B1D" w:rsidP="008F4B1D">
      <w:pPr>
        <w:widowControl/>
        <w:rPr>
          <w:rFonts w:eastAsia="Calibri"/>
          <w:sz w:val="20"/>
          <w:szCs w:val="20"/>
          <w:lang w:bidi="ar-SA"/>
        </w:rPr>
      </w:pPr>
      <w:r w:rsidRPr="00DD4389">
        <w:rPr>
          <w:rFonts w:eastAsia="Calibri"/>
          <w:sz w:val="20"/>
          <w:szCs w:val="20"/>
          <w:lang w:bidi="ar-SA"/>
        </w:rPr>
        <w:t xml:space="preserve">Leeman </w:t>
      </w:r>
      <w:proofErr w:type="spellStart"/>
      <w:r w:rsidRPr="00DD4389">
        <w:rPr>
          <w:rFonts w:eastAsia="Calibri"/>
          <w:sz w:val="20"/>
          <w:szCs w:val="20"/>
          <w:lang w:bidi="ar-SA"/>
        </w:rPr>
        <w:t>WR</w:t>
      </w:r>
      <w:proofErr w:type="spellEnd"/>
      <w:r w:rsidRPr="00DD4389">
        <w:rPr>
          <w:rFonts w:eastAsia="Calibri"/>
          <w:sz w:val="20"/>
          <w:szCs w:val="20"/>
          <w:lang w:bidi="ar-SA"/>
        </w:rPr>
        <w:t xml:space="preserve">, </w:t>
      </w:r>
      <w:proofErr w:type="spellStart"/>
      <w:r w:rsidRPr="00DD4389">
        <w:rPr>
          <w:rFonts w:eastAsia="Calibri"/>
          <w:sz w:val="20"/>
          <w:szCs w:val="20"/>
          <w:lang w:bidi="ar-SA"/>
        </w:rPr>
        <w:t>Krul</w:t>
      </w:r>
      <w:proofErr w:type="spellEnd"/>
      <w:r w:rsidRPr="00DD4389">
        <w:rPr>
          <w:rFonts w:eastAsia="Calibri"/>
          <w:sz w:val="20"/>
          <w:szCs w:val="20"/>
          <w:lang w:bidi="ar-SA"/>
        </w:rPr>
        <w:t xml:space="preserve"> L, </w:t>
      </w:r>
      <w:proofErr w:type="spellStart"/>
      <w:r w:rsidRPr="00DD4389">
        <w:rPr>
          <w:rFonts w:eastAsia="Calibri"/>
          <w:sz w:val="20"/>
          <w:szCs w:val="20"/>
          <w:lang w:bidi="ar-SA"/>
        </w:rPr>
        <w:t>Houben</w:t>
      </w:r>
      <w:proofErr w:type="spellEnd"/>
      <w:r w:rsidRPr="00DD4389">
        <w:rPr>
          <w:rFonts w:eastAsia="Calibri"/>
          <w:sz w:val="20"/>
          <w:szCs w:val="20"/>
          <w:lang w:bidi="ar-SA"/>
        </w:rPr>
        <w:t xml:space="preserve"> GF (2014) Re-evaluation of the Munro dataset to derive more specific TTC thresholds. </w:t>
      </w:r>
      <w:proofErr w:type="spellStart"/>
      <w:r w:rsidRPr="00DD4389">
        <w:rPr>
          <w:rFonts w:eastAsia="Calibri"/>
          <w:sz w:val="20"/>
          <w:szCs w:val="20"/>
          <w:lang w:bidi="ar-SA"/>
        </w:rPr>
        <w:t>Regul</w:t>
      </w:r>
      <w:proofErr w:type="spellEnd"/>
      <w:r w:rsidRPr="00DD4389">
        <w:rPr>
          <w:rFonts w:eastAsia="Calibri"/>
          <w:sz w:val="20"/>
          <w:szCs w:val="20"/>
          <w:lang w:bidi="ar-SA"/>
        </w:rPr>
        <w:t xml:space="preserve"> </w:t>
      </w:r>
      <w:proofErr w:type="spellStart"/>
      <w:r w:rsidRPr="00DD4389">
        <w:rPr>
          <w:rFonts w:eastAsia="Calibri"/>
          <w:sz w:val="20"/>
          <w:szCs w:val="20"/>
          <w:lang w:bidi="ar-SA"/>
        </w:rPr>
        <w:t>Toxicol</w:t>
      </w:r>
      <w:proofErr w:type="spellEnd"/>
      <w:r w:rsidRPr="00DD4389">
        <w:rPr>
          <w:rFonts w:eastAsia="Calibri"/>
          <w:sz w:val="20"/>
          <w:szCs w:val="20"/>
          <w:lang w:bidi="ar-SA"/>
        </w:rPr>
        <w:t xml:space="preserve"> </w:t>
      </w:r>
      <w:proofErr w:type="spellStart"/>
      <w:r w:rsidRPr="00DD4389">
        <w:rPr>
          <w:rFonts w:eastAsia="Calibri"/>
          <w:sz w:val="20"/>
          <w:szCs w:val="20"/>
          <w:lang w:bidi="ar-SA"/>
        </w:rPr>
        <w:t>Pharmacol</w:t>
      </w:r>
      <w:proofErr w:type="spellEnd"/>
      <w:r w:rsidRPr="00DD4389">
        <w:rPr>
          <w:rFonts w:eastAsia="Calibri"/>
          <w:sz w:val="20"/>
          <w:szCs w:val="20"/>
          <w:lang w:bidi="ar-SA"/>
        </w:rPr>
        <w:t>. 69(2):273-8.</w:t>
      </w:r>
    </w:p>
    <w:p w14:paraId="21AE2E6F" w14:textId="77777777" w:rsidR="008F4B1D" w:rsidRPr="00DD4389" w:rsidRDefault="008F4B1D" w:rsidP="00293F22">
      <w:pPr>
        <w:widowControl/>
        <w:rPr>
          <w:rFonts w:eastAsia="Calibri"/>
          <w:sz w:val="20"/>
          <w:szCs w:val="20"/>
          <w:lang w:bidi="ar-SA"/>
        </w:rPr>
      </w:pPr>
    </w:p>
    <w:p w14:paraId="4033FE2F" w14:textId="77777777" w:rsidR="00293F22" w:rsidRPr="00DD4389" w:rsidRDefault="00293F22" w:rsidP="00293F22">
      <w:pPr>
        <w:widowControl/>
        <w:rPr>
          <w:rFonts w:eastAsia="Calibri"/>
          <w:sz w:val="20"/>
          <w:szCs w:val="20"/>
          <w:lang w:bidi="ar-SA"/>
        </w:rPr>
      </w:pPr>
      <w:r w:rsidRPr="00DD4389">
        <w:rPr>
          <w:rFonts w:eastAsia="Calibri"/>
          <w:sz w:val="20"/>
          <w:szCs w:val="20"/>
          <w:lang w:bidi="ar-SA"/>
        </w:rPr>
        <w:t xml:space="preserve">Munro IC, Ford RA, </w:t>
      </w:r>
      <w:proofErr w:type="spellStart"/>
      <w:r w:rsidRPr="00DD4389">
        <w:rPr>
          <w:rFonts w:eastAsia="Calibri"/>
          <w:sz w:val="20"/>
          <w:szCs w:val="20"/>
          <w:lang w:bidi="ar-SA"/>
        </w:rPr>
        <w:t>Kennepohl</w:t>
      </w:r>
      <w:proofErr w:type="spellEnd"/>
      <w:r w:rsidRPr="00DD4389">
        <w:rPr>
          <w:rFonts w:eastAsia="Calibri"/>
          <w:sz w:val="20"/>
          <w:szCs w:val="20"/>
          <w:lang w:bidi="ar-SA"/>
        </w:rPr>
        <w:t xml:space="preserve"> E, </w:t>
      </w:r>
      <w:proofErr w:type="spellStart"/>
      <w:r w:rsidRPr="00DD4389">
        <w:rPr>
          <w:rFonts w:eastAsia="Calibri"/>
          <w:sz w:val="20"/>
          <w:szCs w:val="20"/>
          <w:lang w:bidi="ar-SA"/>
        </w:rPr>
        <w:t>Sprenger</w:t>
      </w:r>
      <w:proofErr w:type="spellEnd"/>
      <w:r w:rsidRPr="00DD4389">
        <w:rPr>
          <w:rFonts w:eastAsia="Calibri"/>
          <w:sz w:val="20"/>
          <w:szCs w:val="20"/>
          <w:lang w:bidi="ar-SA"/>
        </w:rPr>
        <w:t xml:space="preserve"> JG (1996) Correlation of a structural class with no-observed-effect-levels: a proposal for establishing a threshold of concern. </w:t>
      </w:r>
      <w:proofErr w:type="gramStart"/>
      <w:r w:rsidRPr="00DD4389">
        <w:rPr>
          <w:rFonts w:eastAsia="Calibri"/>
          <w:sz w:val="20"/>
          <w:szCs w:val="20"/>
          <w:lang w:bidi="ar-SA"/>
        </w:rPr>
        <w:t xml:space="preserve">Food Chem. </w:t>
      </w:r>
      <w:proofErr w:type="spellStart"/>
      <w:r w:rsidRPr="00DD4389">
        <w:rPr>
          <w:rFonts w:eastAsia="Calibri"/>
          <w:sz w:val="20"/>
          <w:szCs w:val="20"/>
          <w:lang w:bidi="ar-SA"/>
        </w:rPr>
        <w:t>Toxicol</w:t>
      </w:r>
      <w:proofErr w:type="spellEnd"/>
      <w:r w:rsidRPr="00DD4389">
        <w:rPr>
          <w:rFonts w:eastAsia="Calibri"/>
          <w:sz w:val="20"/>
          <w:szCs w:val="20"/>
          <w:lang w:bidi="ar-SA"/>
        </w:rPr>
        <w:t>.</w:t>
      </w:r>
      <w:proofErr w:type="gramEnd"/>
      <w:r w:rsidRPr="00DD4389">
        <w:rPr>
          <w:rFonts w:eastAsia="Calibri"/>
          <w:sz w:val="20"/>
          <w:szCs w:val="20"/>
          <w:lang w:bidi="ar-SA"/>
        </w:rPr>
        <w:t xml:space="preserve"> 34:829–867.</w:t>
      </w:r>
    </w:p>
    <w:p w14:paraId="471AE2BF" w14:textId="77777777" w:rsidR="00293F22" w:rsidRPr="00DD4389" w:rsidRDefault="00293F22" w:rsidP="00353D24">
      <w:pPr>
        <w:widowControl/>
        <w:rPr>
          <w:rFonts w:eastAsia="Calibri"/>
          <w:sz w:val="20"/>
          <w:szCs w:val="20"/>
          <w:lang w:bidi="ar-SA"/>
        </w:rPr>
      </w:pPr>
    </w:p>
    <w:p w14:paraId="05978931" w14:textId="0ECB4B9C" w:rsidR="008F4B1D" w:rsidRPr="00DD4389" w:rsidRDefault="008F4B1D" w:rsidP="008F4B1D">
      <w:pPr>
        <w:widowControl/>
        <w:rPr>
          <w:rFonts w:eastAsia="Calibri"/>
          <w:sz w:val="20"/>
          <w:szCs w:val="20"/>
          <w:lang w:bidi="ar-SA"/>
        </w:rPr>
      </w:pPr>
      <w:proofErr w:type="gramStart"/>
      <w:r w:rsidRPr="00DD4389">
        <w:rPr>
          <w:rFonts w:eastAsia="Calibri"/>
          <w:sz w:val="20"/>
          <w:szCs w:val="20"/>
          <w:lang w:bidi="ar-SA"/>
        </w:rPr>
        <w:t xml:space="preserve">Munro C, </w:t>
      </w:r>
      <w:proofErr w:type="spellStart"/>
      <w:r w:rsidRPr="00DD4389">
        <w:rPr>
          <w:rFonts w:eastAsia="Calibri"/>
          <w:sz w:val="20"/>
          <w:szCs w:val="20"/>
          <w:lang w:bidi="ar-SA"/>
        </w:rPr>
        <w:t>Hlywka</w:t>
      </w:r>
      <w:proofErr w:type="spellEnd"/>
      <w:r w:rsidRPr="00DD4389">
        <w:rPr>
          <w:rFonts w:eastAsia="Calibri"/>
          <w:sz w:val="20"/>
          <w:szCs w:val="20"/>
          <w:lang w:bidi="ar-SA"/>
        </w:rPr>
        <w:t xml:space="preserve"> </w:t>
      </w:r>
      <w:proofErr w:type="spellStart"/>
      <w:r w:rsidRPr="00DD4389">
        <w:rPr>
          <w:rFonts w:eastAsia="Calibri"/>
          <w:sz w:val="20"/>
          <w:szCs w:val="20"/>
          <w:lang w:bidi="ar-SA"/>
        </w:rPr>
        <w:t>JJ</w:t>
      </w:r>
      <w:proofErr w:type="spellEnd"/>
      <w:r w:rsidRPr="00DD4389">
        <w:rPr>
          <w:rFonts w:eastAsia="Calibri"/>
          <w:sz w:val="20"/>
          <w:szCs w:val="20"/>
          <w:lang w:bidi="ar-SA"/>
        </w:rPr>
        <w:t xml:space="preserve">, </w:t>
      </w:r>
      <w:proofErr w:type="spellStart"/>
      <w:r w:rsidRPr="00DD4389">
        <w:rPr>
          <w:rFonts w:eastAsia="Calibri"/>
          <w:sz w:val="20"/>
          <w:szCs w:val="20"/>
          <w:lang w:bidi="ar-SA"/>
        </w:rPr>
        <w:t>Kennepohl</w:t>
      </w:r>
      <w:proofErr w:type="spellEnd"/>
      <w:r w:rsidRPr="00DD4389">
        <w:rPr>
          <w:rFonts w:eastAsia="Calibri"/>
          <w:sz w:val="20"/>
          <w:szCs w:val="20"/>
          <w:lang w:bidi="ar-SA"/>
        </w:rPr>
        <w:t xml:space="preserve"> EM (2002) Risk assessment of packaging materials.</w:t>
      </w:r>
      <w:proofErr w:type="gramEnd"/>
      <w:r w:rsidRPr="00DD4389">
        <w:rPr>
          <w:rFonts w:eastAsia="Calibri"/>
          <w:sz w:val="20"/>
          <w:szCs w:val="20"/>
          <w:lang w:bidi="ar-SA"/>
        </w:rPr>
        <w:t xml:space="preserve"> </w:t>
      </w:r>
      <w:proofErr w:type="gramStart"/>
      <w:r w:rsidRPr="00DD4389">
        <w:rPr>
          <w:rFonts w:eastAsia="Calibri"/>
          <w:sz w:val="20"/>
          <w:szCs w:val="20"/>
          <w:lang w:bidi="ar-SA"/>
        </w:rPr>
        <w:t xml:space="preserve">Food </w:t>
      </w:r>
      <w:proofErr w:type="spellStart"/>
      <w:r w:rsidRPr="00DD4389">
        <w:rPr>
          <w:rFonts w:eastAsia="Calibri"/>
          <w:sz w:val="20"/>
          <w:szCs w:val="20"/>
          <w:lang w:bidi="ar-SA"/>
        </w:rPr>
        <w:t>Addit</w:t>
      </w:r>
      <w:proofErr w:type="spellEnd"/>
      <w:r w:rsidRPr="00DD4389">
        <w:rPr>
          <w:rFonts w:eastAsia="Calibri"/>
          <w:sz w:val="20"/>
          <w:szCs w:val="20"/>
          <w:lang w:bidi="ar-SA"/>
        </w:rPr>
        <w:t xml:space="preserve"> </w:t>
      </w:r>
      <w:proofErr w:type="spellStart"/>
      <w:r w:rsidRPr="00DD4389">
        <w:rPr>
          <w:rFonts w:eastAsia="Calibri"/>
          <w:sz w:val="20"/>
          <w:szCs w:val="20"/>
          <w:lang w:bidi="ar-SA"/>
        </w:rPr>
        <w:t>Contam</w:t>
      </w:r>
      <w:proofErr w:type="spellEnd"/>
      <w:r w:rsidRPr="00DD4389">
        <w:rPr>
          <w:rFonts w:eastAsia="Calibri"/>
          <w:sz w:val="20"/>
          <w:szCs w:val="20"/>
          <w:lang w:bidi="ar-SA"/>
        </w:rPr>
        <w:t>.</w:t>
      </w:r>
      <w:proofErr w:type="gramEnd"/>
      <w:r w:rsidRPr="00DD4389">
        <w:rPr>
          <w:rFonts w:eastAsia="Calibri"/>
          <w:sz w:val="20"/>
          <w:szCs w:val="20"/>
          <w:lang w:bidi="ar-SA"/>
        </w:rPr>
        <w:t xml:space="preserve"> 19, Suppl</w:t>
      </w:r>
      <w:proofErr w:type="gramStart"/>
      <w:r w:rsidRPr="00DD4389">
        <w:rPr>
          <w:rFonts w:eastAsia="Calibri"/>
          <w:sz w:val="20"/>
          <w:szCs w:val="20"/>
          <w:lang w:bidi="ar-SA"/>
        </w:rPr>
        <w:t>:3</w:t>
      </w:r>
      <w:proofErr w:type="gramEnd"/>
      <w:r w:rsidRPr="00DD4389">
        <w:rPr>
          <w:rFonts w:eastAsia="Calibri"/>
          <w:sz w:val="20"/>
          <w:szCs w:val="20"/>
          <w:lang w:bidi="ar-SA"/>
        </w:rPr>
        <w:t>-12.</w:t>
      </w:r>
    </w:p>
    <w:p w14:paraId="00980790" w14:textId="77777777" w:rsidR="008F4B1D" w:rsidRPr="00DD4389" w:rsidRDefault="008F4B1D" w:rsidP="00353D24">
      <w:pPr>
        <w:widowControl/>
        <w:rPr>
          <w:rFonts w:eastAsia="Calibri"/>
          <w:sz w:val="20"/>
          <w:szCs w:val="20"/>
          <w:lang w:bidi="ar-SA"/>
        </w:rPr>
      </w:pPr>
    </w:p>
    <w:p w14:paraId="2D8A235B" w14:textId="55F7A7E9" w:rsidR="00353D24" w:rsidRPr="00DD4389" w:rsidRDefault="00FF2CBA" w:rsidP="00353D24">
      <w:pPr>
        <w:widowControl/>
        <w:rPr>
          <w:rFonts w:eastAsia="Calibri"/>
          <w:sz w:val="20"/>
          <w:szCs w:val="20"/>
          <w:lang w:bidi="ar-SA"/>
        </w:rPr>
      </w:pPr>
      <w:r w:rsidRPr="00DD4389">
        <w:rPr>
          <w:rFonts w:eastAsia="Calibri"/>
          <w:sz w:val="20"/>
          <w:szCs w:val="20"/>
          <w:lang w:bidi="ar-SA"/>
        </w:rPr>
        <w:t xml:space="preserve">Neal-Kluever AP, Bailey AB, </w:t>
      </w:r>
      <w:proofErr w:type="spellStart"/>
      <w:r w:rsidRPr="00DD4389">
        <w:rPr>
          <w:rFonts w:eastAsia="Calibri"/>
          <w:sz w:val="20"/>
          <w:szCs w:val="20"/>
          <w:lang w:bidi="ar-SA"/>
        </w:rPr>
        <w:t>Hatwell</w:t>
      </w:r>
      <w:proofErr w:type="spellEnd"/>
      <w:r w:rsidRPr="00DD4389">
        <w:rPr>
          <w:rFonts w:eastAsia="Calibri"/>
          <w:sz w:val="20"/>
          <w:szCs w:val="20"/>
          <w:lang w:bidi="ar-SA"/>
        </w:rPr>
        <w:t xml:space="preserve"> KR (2015) Safety assessment for </w:t>
      </w:r>
      <w:proofErr w:type="spellStart"/>
      <w:r w:rsidRPr="00DD4389">
        <w:rPr>
          <w:rFonts w:eastAsia="Calibri"/>
          <w:sz w:val="20"/>
          <w:szCs w:val="20"/>
          <w:lang w:bidi="ar-SA"/>
        </w:rPr>
        <w:t>octadecyl</w:t>
      </w:r>
      <w:proofErr w:type="spellEnd"/>
      <w:r w:rsidRPr="00DD4389">
        <w:rPr>
          <w:rFonts w:eastAsia="Calibri"/>
          <w:sz w:val="20"/>
          <w:szCs w:val="20"/>
          <w:lang w:bidi="ar-SA"/>
        </w:rPr>
        <w:t xml:space="preserve"> 3-(3</w:t>
      </w:r>
      <w:proofErr w:type="gramStart"/>
      <w:r w:rsidRPr="00DD4389">
        <w:rPr>
          <w:rFonts w:eastAsia="Calibri"/>
          <w:sz w:val="20"/>
          <w:szCs w:val="20"/>
          <w:lang w:bidi="ar-SA"/>
        </w:rPr>
        <w:t>,5</w:t>
      </w:r>
      <w:proofErr w:type="gramEnd"/>
      <w:r w:rsidRPr="00DD4389">
        <w:rPr>
          <w:rFonts w:eastAsia="Calibri"/>
          <w:sz w:val="20"/>
          <w:szCs w:val="20"/>
          <w:lang w:bidi="ar-SA"/>
        </w:rPr>
        <w:t xml:space="preserve">-di-tert-butyl-4-hydroxyphenyl)-propionate (CAS Reg. No. 2082-79-3) from use in food contact applications. </w:t>
      </w:r>
      <w:proofErr w:type="gramStart"/>
      <w:r w:rsidRPr="00DD4389">
        <w:rPr>
          <w:rFonts w:eastAsia="Calibri"/>
          <w:sz w:val="20"/>
          <w:szCs w:val="20"/>
          <w:lang w:bidi="ar-SA"/>
        </w:rPr>
        <w:t xml:space="preserve">Food </w:t>
      </w:r>
      <w:proofErr w:type="spellStart"/>
      <w:r w:rsidRPr="00DD4389">
        <w:rPr>
          <w:rFonts w:eastAsia="Calibri"/>
          <w:sz w:val="20"/>
          <w:szCs w:val="20"/>
          <w:lang w:bidi="ar-SA"/>
        </w:rPr>
        <w:t>Chem</w:t>
      </w:r>
      <w:proofErr w:type="spellEnd"/>
      <w:r w:rsidRPr="00DD4389">
        <w:rPr>
          <w:rFonts w:eastAsia="Calibri"/>
          <w:sz w:val="20"/>
          <w:szCs w:val="20"/>
          <w:lang w:bidi="ar-SA"/>
        </w:rPr>
        <w:t xml:space="preserve"> </w:t>
      </w:r>
      <w:proofErr w:type="spellStart"/>
      <w:r w:rsidRPr="00DD4389">
        <w:rPr>
          <w:rFonts w:eastAsia="Calibri"/>
          <w:sz w:val="20"/>
          <w:szCs w:val="20"/>
          <w:lang w:bidi="ar-SA"/>
        </w:rPr>
        <w:t>Toxicol</w:t>
      </w:r>
      <w:proofErr w:type="spellEnd"/>
      <w:r w:rsidRPr="00DD4389">
        <w:rPr>
          <w:rFonts w:eastAsia="Calibri"/>
          <w:sz w:val="20"/>
          <w:szCs w:val="20"/>
          <w:lang w:bidi="ar-SA"/>
        </w:rPr>
        <w:t>.</w:t>
      </w:r>
      <w:proofErr w:type="gramEnd"/>
      <w:r w:rsidRPr="00DD4389">
        <w:rPr>
          <w:rFonts w:eastAsia="Calibri"/>
          <w:sz w:val="20"/>
          <w:szCs w:val="20"/>
          <w:lang w:bidi="ar-SA"/>
        </w:rPr>
        <w:t xml:space="preserve"> 86:176-190.</w:t>
      </w:r>
    </w:p>
    <w:p w14:paraId="277B2F54" w14:textId="77777777" w:rsidR="00353D24" w:rsidRPr="00DD4389" w:rsidRDefault="00353D24" w:rsidP="00353D24">
      <w:pPr>
        <w:widowControl/>
        <w:rPr>
          <w:rFonts w:eastAsia="Calibri"/>
          <w:sz w:val="20"/>
          <w:szCs w:val="20"/>
          <w:lang w:bidi="ar-SA"/>
        </w:rPr>
      </w:pPr>
    </w:p>
    <w:p w14:paraId="2C6478D5" w14:textId="27EBF46E" w:rsidR="00BC798D" w:rsidRPr="00DD4389" w:rsidRDefault="00112105" w:rsidP="00353D24">
      <w:pPr>
        <w:widowControl/>
        <w:rPr>
          <w:rFonts w:eastAsia="Calibri"/>
          <w:sz w:val="20"/>
          <w:szCs w:val="20"/>
          <w:lang w:bidi="ar-SA"/>
        </w:rPr>
      </w:pPr>
      <w:r w:rsidRPr="00DD4389">
        <w:rPr>
          <w:rFonts w:eastAsia="Calibri"/>
          <w:sz w:val="20"/>
          <w:szCs w:val="20"/>
          <w:lang w:bidi="ar-SA"/>
        </w:rPr>
        <w:t xml:space="preserve">Nerin C, Alfaro P, Aznar M, </w:t>
      </w:r>
      <w:proofErr w:type="spellStart"/>
      <w:r w:rsidRPr="00DD4389">
        <w:rPr>
          <w:rFonts w:eastAsia="Calibri"/>
          <w:sz w:val="20"/>
          <w:szCs w:val="20"/>
          <w:lang w:bidi="ar-SA"/>
        </w:rPr>
        <w:t>Domeño</w:t>
      </w:r>
      <w:proofErr w:type="spellEnd"/>
      <w:r w:rsidRPr="00DD4389">
        <w:rPr>
          <w:rFonts w:eastAsia="Calibri"/>
          <w:sz w:val="20"/>
          <w:szCs w:val="20"/>
          <w:lang w:bidi="ar-SA"/>
        </w:rPr>
        <w:t xml:space="preserve"> C (2013) The challenge of identifying non-intentionally added substances from food packaging materials: A review. </w:t>
      </w:r>
      <w:proofErr w:type="gramStart"/>
      <w:r w:rsidRPr="00DD4389">
        <w:rPr>
          <w:rFonts w:eastAsia="Calibri"/>
          <w:sz w:val="20"/>
          <w:szCs w:val="20"/>
          <w:lang w:bidi="ar-SA"/>
        </w:rPr>
        <w:t xml:space="preserve">Anal </w:t>
      </w:r>
      <w:proofErr w:type="spellStart"/>
      <w:r w:rsidRPr="00DD4389">
        <w:rPr>
          <w:rFonts w:eastAsia="Calibri"/>
          <w:sz w:val="20"/>
          <w:szCs w:val="20"/>
          <w:lang w:bidi="ar-SA"/>
        </w:rPr>
        <w:t>Chim</w:t>
      </w:r>
      <w:proofErr w:type="spellEnd"/>
      <w:r w:rsidRPr="00DD4389">
        <w:rPr>
          <w:rFonts w:eastAsia="Calibri"/>
          <w:sz w:val="20"/>
          <w:szCs w:val="20"/>
          <w:lang w:bidi="ar-SA"/>
        </w:rPr>
        <w:t xml:space="preserve"> </w:t>
      </w:r>
      <w:proofErr w:type="spellStart"/>
      <w:r w:rsidRPr="00DD4389">
        <w:rPr>
          <w:rFonts w:eastAsia="Calibri"/>
          <w:sz w:val="20"/>
          <w:szCs w:val="20"/>
          <w:lang w:bidi="ar-SA"/>
        </w:rPr>
        <w:t>Acta</w:t>
      </w:r>
      <w:proofErr w:type="spellEnd"/>
      <w:r w:rsidRPr="00DD4389">
        <w:rPr>
          <w:rFonts w:eastAsia="Calibri"/>
          <w:sz w:val="20"/>
          <w:szCs w:val="20"/>
          <w:lang w:bidi="ar-SA"/>
        </w:rPr>
        <w:t>.</w:t>
      </w:r>
      <w:proofErr w:type="gramEnd"/>
      <w:r w:rsidRPr="00DD4389">
        <w:rPr>
          <w:rFonts w:eastAsia="Calibri"/>
          <w:sz w:val="20"/>
          <w:szCs w:val="20"/>
          <w:lang w:bidi="ar-SA"/>
        </w:rPr>
        <w:t xml:space="preserve"> 775:14-24.</w:t>
      </w:r>
    </w:p>
    <w:p w14:paraId="0D7BCCA1" w14:textId="77777777" w:rsidR="00BC798D" w:rsidRPr="00DD4389" w:rsidRDefault="00BC798D" w:rsidP="00353D24">
      <w:pPr>
        <w:widowControl/>
        <w:rPr>
          <w:rFonts w:eastAsia="Calibri"/>
          <w:sz w:val="20"/>
          <w:szCs w:val="20"/>
          <w:lang w:bidi="ar-SA"/>
        </w:rPr>
      </w:pPr>
    </w:p>
    <w:p w14:paraId="13F97276" w14:textId="21B51B92" w:rsidR="00AD72D0" w:rsidRPr="00DD4389" w:rsidRDefault="00AD72D0" w:rsidP="00AD72D0">
      <w:pPr>
        <w:widowControl/>
        <w:rPr>
          <w:rFonts w:eastAsia="Calibri"/>
          <w:sz w:val="20"/>
          <w:szCs w:val="20"/>
          <w:lang w:bidi="ar-SA"/>
        </w:rPr>
      </w:pPr>
      <w:proofErr w:type="gramStart"/>
      <w:r w:rsidRPr="00DD4389">
        <w:rPr>
          <w:rFonts w:eastAsia="Calibri"/>
          <w:sz w:val="20"/>
          <w:szCs w:val="20"/>
          <w:lang w:bidi="ar-SA"/>
        </w:rPr>
        <w:t>NICNAS (2000) Acrylonitrile.</w:t>
      </w:r>
      <w:proofErr w:type="gramEnd"/>
      <w:r w:rsidRPr="00DD4389">
        <w:rPr>
          <w:rFonts w:eastAsia="Calibri"/>
          <w:sz w:val="20"/>
          <w:szCs w:val="20"/>
          <w:lang w:bidi="ar-SA"/>
        </w:rPr>
        <w:t xml:space="preserve"> </w:t>
      </w:r>
      <w:proofErr w:type="gramStart"/>
      <w:r w:rsidRPr="00DD4389">
        <w:rPr>
          <w:rFonts w:eastAsia="Calibri"/>
          <w:sz w:val="20"/>
          <w:szCs w:val="20"/>
          <w:lang w:bidi="ar-SA"/>
        </w:rPr>
        <w:t>Priority Existing Chemical.</w:t>
      </w:r>
      <w:proofErr w:type="gramEnd"/>
      <w:r w:rsidRPr="00DD4389">
        <w:rPr>
          <w:rFonts w:eastAsia="Calibri"/>
          <w:sz w:val="20"/>
          <w:szCs w:val="20"/>
          <w:lang w:bidi="ar-SA"/>
        </w:rPr>
        <w:t xml:space="preserve"> Assessment Report No. 10. </w:t>
      </w:r>
      <w:proofErr w:type="gramStart"/>
      <w:r w:rsidRPr="00DD4389">
        <w:rPr>
          <w:rFonts w:eastAsia="Calibri"/>
          <w:sz w:val="20"/>
          <w:szCs w:val="20"/>
          <w:lang w:bidi="ar-SA"/>
        </w:rPr>
        <w:t>National Industrial Chemicals Notification and Assessment Scheme.</w:t>
      </w:r>
      <w:proofErr w:type="gramEnd"/>
    </w:p>
    <w:p w14:paraId="70A878CE" w14:textId="0BADDEBD" w:rsidR="00AD72D0" w:rsidRPr="00DD4389" w:rsidRDefault="00745F88" w:rsidP="00AD72D0">
      <w:pPr>
        <w:widowControl/>
        <w:rPr>
          <w:rFonts w:eastAsia="Calibri"/>
          <w:sz w:val="20"/>
          <w:szCs w:val="20"/>
          <w:lang w:bidi="ar-SA"/>
        </w:rPr>
      </w:pPr>
      <w:hyperlink r:id="rId39" w:history="1">
        <w:r w:rsidR="00AD72D0" w:rsidRPr="00DD4389">
          <w:rPr>
            <w:rStyle w:val="Hyperlink"/>
            <w:rFonts w:eastAsia="Calibri"/>
            <w:sz w:val="20"/>
            <w:szCs w:val="20"/>
            <w:lang w:bidi="ar-SA"/>
          </w:rPr>
          <w:t>http://www.nicnas.gov.au/__data/assets/pdf_file/0015/4371/PEC_10_Acrylonitrile_Full_Report_PDF.pdf</w:t>
        </w:r>
      </w:hyperlink>
    </w:p>
    <w:p w14:paraId="74A5D671" w14:textId="77777777" w:rsidR="00AD72D0" w:rsidRPr="00DD4389" w:rsidRDefault="00AD72D0" w:rsidP="00AD72D0">
      <w:pPr>
        <w:widowControl/>
        <w:rPr>
          <w:rFonts w:eastAsia="Calibri"/>
          <w:sz w:val="20"/>
          <w:szCs w:val="20"/>
          <w:lang w:bidi="ar-SA"/>
        </w:rPr>
      </w:pPr>
    </w:p>
    <w:p w14:paraId="61F50B9F" w14:textId="77777777" w:rsidR="008F4B1D" w:rsidRPr="00DD4389" w:rsidRDefault="008F4B1D" w:rsidP="008F4B1D">
      <w:pPr>
        <w:widowControl/>
        <w:rPr>
          <w:rFonts w:eastAsia="Calibri"/>
          <w:sz w:val="20"/>
          <w:szCs w:val="20"/>
          <w:lang w:bidi="ar-SA"/>
        </w:rPr>
      </w:pPr>
      <w:r w:rsidRPr="00DD4389">
        <w:rPr>
          <w:rFonts w:eastAsia="Calibri"/>
          <w:sz w:val="20"/>
          <w:szCs w:val="20"/>
          <w:lang w:bidi="ar-SA"/>
        </w:rPr>
        <w:t xml:space="preserve">Niu Y, Zhang J, Duan H, Wu Y, Shao B (2015) Bisphenol A and </w:t>
      </w:r>
      <w:proofErr w:type="spellStart"/>
      <w:r w:rsidRPr="00DD4389">
        <w:rPr>
          <w:rFonts w:eastAsia="Calibri"/>
          <w:sz w:val="20"/>
          <w:szCs w:val="20"/>
          <w:lang w:bidi="ar-SA"/>
        </w:rPr>
        <w:t>nonylphenol</w:t>
      </w:r>
      <w:proofErr w:type="spellEnd"/>
      <w:r w:rsidRPr="00DD4389">
        <w:rPr>
          <w:rFonts w:eastAsia="Calibri"/>
          <w:sz w:val="20"/>
          <w:szCs w:val="20"/>
          <w:lang w:bidi="ar-SA"/>
        </w:rPr>
        <w:t xml:space="preserve"> in foodstuffs: Chinese dietary exposure from the 2007 total diet study and infant health risk from formulas.</w:t>
      </w:r>
    </w:p>
    <w:p w14:paraId="10CBAB7B" w14:textId="77777777" w:rsidR="008F4B1D" w:rsidRPr="00DD4389" w:rsidRDefault="008F4B1D" w:rsidP="008F4B1D">
      <w:pPr>
        <w:widowControl/>
        <w:rPr>
          <w:rFonts w:eastAsia="Calibri"/>
          <w:sz w:val="20"/>
          <w:szCs w:val="20"/>
          <w:lang w:bidi="ar-SA"/>
        </w:rPr>
      </w:pPr>
      <w:r w:rsidRPr="00DD4389">
        <w:rPr>
          <w:rFonts w:eastAsia="Calibri"/>
          <w:sz w:val="20"/>
          <w:szCs w:val="20"/>
          <w:lang w:bidi="ar-SA"/>
        </w:rPr>
        <w:t>Food Chem. 167:320-5.</w:t>
      </w:r>
    </w:p>
    <w:p w14:paraId="233A09B5" w14:textId="77777777" w:rsidR="008F4B1D" w:rsidRPr="00DD4389" w:rsidRDefault="008F4B1D" w:rsidP="00353D24">
      <w:pPr>
        <w:widowControl/>
        <w:rPr>
          <w:rFonts w:eastAsia="Calibri"/>
          <w:sz w:val="20"/>
          <w:szCs w:val="20"/>
          <w:lang w:bidi="ar-SA"/>
        </w:rPr>
      </w:pPr>
    </w:p>
    <w:p w14:paraId="3AD96CDB" w14:textId="77777777" w:rsidR="00353D64" w:rsidRPr="00DD4389" w:rsidRDefault="00353D64" w:rsidP="00353D64">
      <w:pPr>
        <w:widowControl/>
        <w:rPr>
          <w:rFonts w:eastAsia="Calibri"/>
          <w:sz w:val="20"/>
          <w:szCs w:val="20"/>
          <w:lang w:bidi="ar-SA"/>
        </w:rPr>
      </w:pPr>
      <w:r w:rsidRPr="00DD4389">
        <w:rPr>
          <w:rFonts w:eastAsia="Calibri"/>
          <w:sz w:val="20"/>
          <w:szCs w:val="20"/>
          <w:lang w:bidi="ar-SA"/>
        </w:rPr>
        <w:t xml:space="preserve">Petersen JH, Jensen LK (2010) Phthalates and food-contact materials: enforcing the 2008 European Union plastics legislation. Food </w:t>
      </w:r>
      <w:proofErr w:type="spellStart"/>
      <w:r w:rsidRPr="00DD4389">
        <w:rPr>
          <w:rFonts w:eastAsia="Calibri"/>
          <w:sz w:val="20"/>
          <w:szCs w:val="20"/>
          <w:lang w:bidi="ar-SA"/>
        </w:rPr>
        <w:t>Addit</w:t>
      </w:r>
      <w:proofErr w:type="spellEnd"/>
      <w:r w:rsidRPr="00DD4389">
        <w:rPr>
          <w:rFonts w:eastAsia="Calibri"/>
          <w:sz w:val="20"/>
          <w:szCs w:val="20"/>
          <w:lang w:bidi="ar-SA"/>
        </w:rPr>
        <w:t xml:space="preserve"> </w:t>
      </w:r>
      <w:proofErr w:type="spellStart"/>
      <w:r w:rsidRPr="00DD4389">
        <w:rPr>
          <w:rFonts w:eastAsia="Calibri"/>
          <w:sz w:val="20"/>
          <w:szCs w:val="20"/>
          <w:lang w:bidi="ar-SA"/>
        </w:rPr>
        <w:t>Contam</w:t>
      </w:r>
      <w:proofErr w:type="spellEnd"/>
      <w:r w:rsidRPr="00DD4389">
        <w:rPr>
          <w:rFonts w:eastAsia="Calibri"/>
          <w:sz w:val="20"/>
          <w:szCs w:val="20"/>
          <w:lang w:bidi="ar-SA"/>
        </w:rPr>
        <w:t xml:space="preserve"> Part A, 27(11):1608-16.</w:t>
      </w:r>
    </w:p>
    <w:p w14:paraId="640F1642" w14:textId="77777777" w:rsidR="00353D64" w:rsidRPr="00DD4389" w:rsidRDefault="00353D64" w:rsidP="00353D24">
      <w:pPr>
        <w:widowControl/>
        <w:rPr>
          <w:rFonts w:eastAsia="Calibri"/>
          <w:sz w:val="20"/>
          <w:szCs w:val="20"/>
          <w:lang w:bidi="ar-SA"/>
        </w:rPr>
      </w:pPr>
    </w:p>
    <w:p w14:paraId="6FEFE06F" w14:textId="72C01109" w:rsidR="00353D24" w:rsidRPr="00DD4389" w:rsidRDefault="00353D24" w:rsidP="00353D24">
      <w:pPr>
        <w:widowControl/>
        <w:rPr>
          <w:rFonts w:eastAsia="Calibri"/>
          <w:sz w:val="20"/>
          <w:szCs w:val="20"/>
          <w:lang w:bidi="ar-SA"/>
        </w:rPr>
      </w:pPr>
      <w:r w:rsidRPr="00DD4389">
        <w:rPr>
          <w:rFonts w:eastAsia="Calibri"/>
          <w:sz w:val="20"/>
          <w:szCs w:val="20"/>
          <w:lang w:bidi="ar-SA"/>
        </w:rPr>
        <w:t xml:space="preserve">Rice PA (2015) C6-Perfluorinated compounds: The new </w:t>
      </w:r>
      <w:proofErr w:type="spellStart"/>
      <w:r w:rsidRPr="00DD4389">
        <w:rPr>
          <w:rFonts w:eastAsia="Calibri"/>
          <w:sz w:val="20"/>
          <w:szCs w:val="20"/>
          <w:lang w:bidi="ar-SA"/>
        </w:rPr>
        <w:t>greaseproofing</w:t>
      </w:r>
      <w:proofErr w:type="spellEnd"/>
      <w:r w:rsidRPr="00DD4389">
        <w:rPr>
          <w:rFonts w:eastAsia="Calibri"/>
          <w:sz w:val="20"/>
          <w:szCs w:val="20"/>
          <w:lang w:bidi="ar-SA"/>
        </w:rPr>
        <w:t xml:space="preserve"> agents in food packaging. </w:t>
      </w:r>
      <w:proofErr w:type="spellStart"/>
      <w:r w:rsidRPr="00DD4389">
        <w:rPr>
          <w:rFonts w:eastAsia="Calibri"/>
          <w:sz w:val="20"/>
          <w:szCs w:val="20"/>
          <w:lang w:bidi="ar-SA"/>
        </w:rPr>
        <w:t>Curr</w:t>
      </w:r>
      <w:proofErr w:type="spellEnd"/>
      <w:r w:rsidRPr="00DD4389">
        <w:rPr>
          <w:rFonts w:eastAsia="Calibri"/>
          <w:sz w:val="20"/>
          <w:szCs w:val="20"/>
          <w:lang w:bidi="ar-SA"/>
        </w:rPr>
        <w:t xml:space="preserve"> Environ Health Rep. 2(1):33-40. </w:t>
      </w:r>
    </w:p>
    <w:p w14:paraId="46491AA6" w14:textId="77777777" w:rsidR="00A662E1" w:rsidRPr="00DD4389" w:rsidRDefault="00A662E1" w:rsidP="003C1886">
      <w:pPr>
        <w:widowControl/>
        <w:rPr>
          <w:sz w:val="20"/>
          <w:szCs w:val="20"/>
        </w:rPr>
      </w:pPr>
    </w:p>
    <w:p w14:paraId="6DD1D392" w14:textId="77777777" w:rsidR="00353D64" w:rsidRPr="00DD4389" w:rsidRDefault="00353D64" w:rsidP="00353D64">
      <w:pPr>
        <w:widowControl/>
        <w:rPr>
          <w:rFonts w:eastAsia="Calibri"/>
          <w:sz w:val="20"/>
          <w:szCs w:val="20"/>
          <w:lang w:bidi="ar-SA"/>
        </w:rPr>
      </w:pPr>
      <w:r w:rsidRPr="00DD4389">
        <w:rPr>
          <w:rFonts w:eastAsia="Calibri"/>
          <w:sz w:val="20"/>
          <w:szCs w:val="20"/>
          <w:lang w:bidi="ar-SA"/>
        </w:rPr>
        <w:t xml:space="preserve">Sakhi AK, </w:t>
      </w:r>
      <w:proofErr w:type="spellStart"/>
      <w:r w:rsidRPr="00DD4389">
        <w:rPr>
          <w:rFonts w:eastAsia="Calibri"/>
          <w:sz w:val="20"/>
          <w:szCs w:val="20"/>
          <w:lang w:bidi="ar-SA"/>
        </w:rPr>
        <w:t>Lillegaard</w:t>
      </w:r>
      <w:proofErr w:type="spellEnd"/>
      <w:r w:rsidRPr="00DD4389">
        <w:rPr>
          <w:rFonts w:eastAsia="Calibri"/>
          <w:sz w:val="20"/>
          <w:szCs w:val="20"/>
          <w:lang w:bidi="ar-SA"/>
        </w:rPr>
        <w:t xml:space="preserve"> IT, </w:t>
      </w:r>
      <w:proofErr w:type="spellStart"/>
      <w:r w:rsidRPr="00DD4389">
        <w:rPr>
          <w:rFonts w:eastAsia="Calibri"/>
          <w:sz w:val="20"/>
          <w:szCs w:val="20"/>
          <w:lang w:bidi="ar-SA"/>
        </w:rPr>
        <w:t>Voorspoels</w:t>
      </w:r>
      <w:proofErr w:type="spellEnd"/>
      <w:r w:rsidRPr="00DD4389">
        <w:rPr>
          <w:rFonts w:eastAsia="Calibri"/>
          <w:sz w:val="20"/>
          <w:szCs w:val="20"/>
          <w:lang w:bidi="ar-SA"/>
        </w:rPr>
        <w:t xml:space="preserve"> S, </w:t>
      </w:r>
      <w:proofErr w:type="spellStart"/>
      <w:r w:rsidRPr="00DD4389">
        <w:rPr>
          <w:rFonts w:eastAsia="Calibri"/>
          <w:sz w:val="20"/>
          <w:szCs w:val="20"/>
          <w:lang w:bidi="ar-SA"/>
        </w:rPr>
        <w:t>Carlsen</w:t>
      </w:r>
      <w:proofErr w:type="spellEnd"/>
      <w:r w:rsidRPr="00DD4389">
        <w:rPr>
          <w:rFonts w:eastAsia="Calibri"/>
          <w:sz w:val="20"/>
          <w:szCs w:val="20"/>
          <w:lang w:bidi="ar-SA"/>
        </w:rPr>
        <w:t xml:space="preserve"> MH, </w:t>
      </w:r>
      <w:proofErr w:type="spellStart"/>
      <w:r w:rsidRPr="00DD4389">
        <w:rPr>
          <w:rFonts w:eastAsia="Calibri"/>
          <w:sz w:val="20"/>
          <w:szCs w:val="20"/>
          <w:lang w:bidi="ar-SA"/>
        </w:rPr>
        <w:t>Løken</w:t>
      </w:r>
      <w:proofErr w:type="spellEnd"/>
      <w:r w:rsidRPr="00DD4389">
        <w:rPr>
          <w:rFonts w:eastAsia="Calibri"/>
          <w:sz w:val="20"/>
          <w:szCs w:val="20"/>
          <w:lang w:bidi="ar-SA"/>
        </w:rPr>
        <w:t xml:space="preserve"> EB, </w:t>
      </w:r>
      <w:proofErr w:type="spellStart"/>
      <w:r w:rsidRPr="00DD4389">
        <w:rPr>
          <w:rFonts w:eastAsia="Calibri"/>
          <w:sz w:val="20"/>
          <w:szCs w:val="20"/>
          <w:lang w:bidi="ar-SA"/>
        </w:rPr>
        <w:t>Brantsæter</w:t>
      </w:r>
      <w:proofErr w:type="spellEnd"/>
      <w:r w:rsidRPr="00DD4389">
        <w:rPr>
          <w:rFonts w:eastAsia="Calibri"/>
          <w:sz w:val="20"/>
          <w:szCs w:val="20"/>
          <w:lang w:bidi="ar-SA"/>
        </w:rPr>
        <w:t xml:space="preserve"> AL, Haugen M, Meltzer HM, Thomsen C (2014) Concentrations of phthalates and bisphenol A in Norwegian foods and beverages and estimated dietary exposure in adults. Environ Int. 73:259-69.</w:t>
      </w:r>
    </w:p>
    <w:p w14:paraId="6C890500" w14:textId="77777777" w:rsidR="00353D64" w:rsidRPr="00DD4389" w:rsidRDefault="00353D64" w:rsidP="00A662E1">
      <w:pPr>
        <w:widowControl/>
        <w:rPr>
          <w:sz w:val="20"/>
          <w:szCs w:val="20"/>
        </w:rPr>
      </w:pPr>
    </w:p>
    <w:p w14:paraId="418AF240" w14:textId="77777777" w:rsidR="00353D64" w:rsidRPr="00DD4389" w:rsidRDefault="00353D64" w:rsidP="00353D64">
      <w:pPr>
        <w:widowControl/>
        <w:rPr>
          <w:rFonts w:eastAsia="Calibri"/>
          <w:sz w:val="20"/>
          <w:szCs w:val="20"/>
          <w:lang w:bidi="ar-SA"/>
        </w:rPr>
      </w:pPr>
      <w:r w:rsidRPr="00DD4389">
        <w:rPr>
          <w:rFonts w:eastAsia="Calibri"/>
          <w:sz w:val="20"/>
          <w:szCs w:val="20"/>
          <w:lang w:bidi="ar-SA"/>
        </w:rPr>
        <w:t xml:space="preserve">Serrano SE, Braun J, </w:t>
      </w:r>
      <w:proofErr w:type="spellStart"/>
      <w:r w:rsidRPr="00DD4389">
        <w:rPr>
          <w:rFonts w:eastAsia="Calibri"/>
          <w:sz w:val="20"/>
          <w:szCs w:val="20"/>
          <w:lang w:bidi="ar-SA"/>
        </w:rPr>
        <w:t>Trasande</w:t>
      </w:r>
      <w:proofErr w:type="spellEnd"/>
      <w:r w:rsidRPr="00DD4389">
        <w:rPr>
          <w:rFonts w:eastAsia="Calibri"/>
          <w:sz w:val="20"/>
          <w:szCs w:val="20"/>
          <w:lang w:bidi="ar-SA"/>
        </w:rPr>
        <w:t xml:space="preserve"> L, Dills R, </w:t>
      </w:r>
      <w:proofErr w:type="spellStart"/>
      <w:r w:rsidRPr="00DD4389">
        <w:rPr>
          <w:rFonts w:eastAsia="Calibri"/>
          <w:sz w:val="20"/>
          <w:szCs w:val="20"/>
          <w:lang w:bidi="ar-SA"/>
        </w:rPr>
        <w:t>Sathyanarayana</w:t>
      </w:r>
      <w:proofErr w:type="spellEnd"/>
      <w:r w:rsidRPr="00DD4389">
        <w:rPr>
          <w:rFonts w:eastAsia="Calibri"/>
          <w:sz w:val="20"/>
          <w:szCs w:val="20"/>
          <w:lang w:bidi="ar-SA"/>
        </w:rPr>
        <w:t xml:space="preserve"> S (2014) Phthalates and diet: a review of the food monitoring and epidemiology data.  Environ Health, 13(1):43.</w:t>
      </w:r>
    </w:p>
    <w:p w14:paraId="34AE214E" w14:textId="77777777" w:rsidR="00353D64" w:rsidRPr="00DD4389" w:rsidRDefault="00353D64" w:rsidP="00A662E1">
      <w:pPr>
        <w:widowControl/>
        <w:rPr>
          <w:sz w:val="20"/>
          <w:szCs w:val="20"/>
        </w:rPr>
      </w:pPr>
    </w:p>
    <w:p w14:paraId="0EEA7DF7" w14:textId="6ADBF873" w:rsidR="00B56647" w:rsidRPr="00DD4389" w:rsidRDefault="00B56647" w:rsidP="00B56647">
      <w:pPr>
        <w:widowControl/>
        <w:rPr>
          <w:sz w:val="20"/>
          <w:szCs w:val="20"/>
        </w:rPr>
      </w:pPr>
      <w:r w:rsidRPr="00DD4389">
        <w:rPr>
          <w:sz w:val="20"/>
          <w:szCs w:val="20"/>
        </w:rPr>
        <w:t xml:space="preserve">UK FSA (2011) </w:t>
      </w:r>
      <w:proofErr w:type="gramStart"/>
      <w:r w:rsidRPr="00DD4389">
        <w:rPr>
          <w:sz w:val="20"/>
          <w:szCs w:val="20"/>
        </w:rPr>
        <w:t>A</w:t>
      </w:r>
      <w:proofErr w:type="gramEnd"/>
      <w:r w:rsidRPr="00DD4389">
        <w:rPr>
          <w:sz w:val="20"/>
          <w:szCs w:val="20"/>
        </w:rPr>
        <w:t xml:space="preserve"> 4-year rolling programme of surveys on chemical migrants from food packaging materials and articles. </w:t>
      </w:r>
      <w:proofErr w:type="gramStart"/>
      <w:r w:rsidRPr="00DD4389">
        <w:rPr>
          <w:sz w:val="20"/>
          <w:szCs w:val="20"/>
        </w:rPr>
        <w:t>Survey 4: migration of selected ink components from printed packaging materials into foodstuffs and screening of printed packaging for the presence of mineral oils.</w:t>
      </w:r>
      <w:proofErr w:type="gramEnd"/>
      <w:r w:rsidRPr="00DD4389">
        <w:rPr>
          <w:sz w:val="20"/>
          <w:szCs w:val="20"/>
        </w:rPr>
        <w:t xml:space="preserve"> </w:t>
      </w:r>
      <w:r w:rsidR="00321C3A" w:rsidRPr="00DD4389">
        <w:rPr>
          <w:sz w:val="20"/>
          <w:szCs w:val="20"/>
        </w:rPr>
        <w:t xml:space="preserve">Food Survey Information Sheet, Number 03/11. </w:t>
      </w:r>
      <w:proofErr w:type="gramStart"/>
      <w:r w:rsidRPr="00DD4389">
        <w:rPr>
          <w:sz w:val="20"/>
          <w:szCs w:val="20"/>
        </w:rPr>
        <w:t>UK Food Standards Agency.</w:t>
      </w:r>
      <w:proofErr w:type="gramEnd"/>
      <w:r w:rsidRPr="00DD4389">
        <w:rPr>
          <w:sz w:val="20"/>
          <w:szCs w:val="20"/>
        </w:rPr>
        <w:t xml:space="preserve"> </w:t>
      </w:r>
      <w:hyperlink r:id="rId40" w:history="1">
        <w:r w:rsidRPr="00DD4389">
          <w:rPr>
            <w:rStyle w:val="Hyperlink"/>
            <w:sz w:val="20"/>
            <w:szCs w:val="20"/>
          </w:rPr>
          <w:t>http://www.food.gov.uk/multimedia/pdfs/fsis0311.pdf</w:t>
        </w:r>
      </w:hyperlink>
    </w:p>
    <w:p w14:paraId="5F366585" w14:textId="77777777" w:rsidR="00B56647" w:rsidRPr="00DD4389" w:rsidRDefault="00B56647" w:rsidP="00A662E1">
      <w:pPr>
        <w:widowControl/>
        <w:rPr>
          <w:sz w:val="20"/>
          <w:szCs w:val="20"/>
        </w:rPr>
      </w:pPr>
    </w:p>
    <w:p w14:paraId="1D4C0C8F" w14:textId="4E158958" w:rsidR="00A662E1" w:rsidRPr="00DD4389" w:rsidRDefault="007A474A" w:rsidP="00A662E1">
      <w:pPr>
        <w:widowControl/>
        <w:rPr>
          <w:sz w:val="20"/>
          <w:szCs w:val="20"/>
        </w:rPr>
      </w:pPr>
      <w:r w:rsidRPr="00DD4389">
        <w:rPr>
          <w:sz w:val="20"/>
          <w:szCs w:val="20"/>
        </w:rPr>
        <w:t>USFDA</w:t>
      </w:r>
      <w:r w:rsidR="00A662E1" w:rsidRPr="00DD4389">
        <w:rPr>
          <w:sz w:val="20"/>
          <w:szCs w:val="20"/>
        </w:rPr>
        <w:t xml:space="preserve"> (2002) Guidance for Industry: Preparation of Food Contact Notifications for Food Contact Substances: Toxicology Recommendations.</w:t>
      </w:r>
    </w:p>
    <w:p w14:paraId="16F31D1D" w14:textId="098A7F14" w:rsidR="00A662E1" w:rsidRPr="00DD4389" w:rsidRDefault="00745F88" w:rsidP="00A662E1">
      <w:pPr>
        <w:widowControl/>
        <w:rPr>
          <w:sz w:val="20"/>
          <w:szCs w:val="20"/>
        </w:rPr>
      </w:pPr>
      <w:hyperlink r:id="rId41" w:history="1">
        <w:r w:rsidR="00A662E1" w:rsidRPr="00DD4389">
          <w:rPr>
            <w:rStyle w:val="Hyperlink"/>
            <w:sz w:val="20"/>
            <w:szCs w:val="20"/>
          </w:rPr>
          <w:t>http://www.fda.gov/Food/GuidanceRegulation/GuidanceDocumentsRegulatoryInformation/ucm081825.htm</w:t>
        </w:r>
      </w:hyperlink>
    </w:p>
    <w:p w14:paraId="48011555" w14:textId="77777777" w:rsidR="00FF2CBA" w:rsidRPr="00DD4389" w:rsidRDefault="00FF2CBA" w:rsidP="003C1886">
      <w:pPr>
        <w:widowControl/>
        <w:rPr>
          <w:sz w:val="20"/>
          <w:szCs w:val="20"/>
        </w:rPr>
      </w:pPr>
    </w:p>
    <w:p w14:paraId="3C7C8B22" w14:textId="2B42C78B" w:rsidR="00FF2CBA" w:rsidRPr="00DD4389" w:rsidRDefault="007A474A" w:rsidP="00143938">
      <w:pPr>
        <w:keepNext/>
        <w:widowControl/>
        <w:rPr>
          <w:sz w:val="20"/>
          <w:szCs w:val="20"/>
        </w:rPr>
      </w:pPr>
      <w:r w:rsidRPr="00DD4389">
        <w:rPr>
          <w:sz w:val="20"/>
          <w:szCs w:val="20"/>
        </w:rPr>
        <w:lastRenderedPageBreak/>
        <w:t>USFDA</w:t>
      </w:r>
      <w:r w:rsidR="00FF2CBA" w:rsidRPr="00DD4389">
        <w:rPr>
          <w:sz w:val="20"/>
          <w:szCs w:val="20"/>
        </w:rPr>
        <w:t xml:space="preserve"> (2007) Guidance for Industry: Preparation of Premarket Submissions for Food Contact Substances: Chemistry Recommendations.</w:t>
      </w:r>
    </w:p>
    <w:p w14:paraId="10F26A3A" w14:textId="77777777" w:rsidR="00FF2CBA" w:rsidRPr="00DD4389" w:rsidRDefault="00745F88" w:rsidP="00143938">
      <w:pPr>
        <w:keepNext/>
        <w:widowControl/>
        <w:rPr>
          <w:rStyle w:val="Hyperlink"/>
          <w:sz w:val="20"/>
          <w:szCs w:val="20"/>
        </w:rPr>
      </w:pPr>
      <w:hyperlink r:id="rId42" w:history="1">
        <w:r w:rsidR="00FF2CBA" w:rsidRPr="00DD4389">
          <w:rPr>
            <w:rStyle w:val="Hyperlink"/>
            <w:sz w:val="20"/>
            <w:szCs w:val="20"/>
          </w:rPr>
          <w:t>http://www.fda.gov/Food/GuidanceRegulation/GuidanceDocumentsRegulatoryInformation/ucm081818.htm</w:t>
        </w:r>
      </w:hyperlink>
    </w:p>
    <w:p w14:paraId="665059BD" w14:textId="757DAEE0" w:rsidR="00A50F7E" w:rsidRPr="00DD4389" w:rsidRDefault="00A50F7E" w:rsidP="00FF2CBA">
      <w:pPr>
        <w:widowControl/>
        <w:rPr>
          <w:sz w:val="20"/>
          <w:szCs w:val="20"/>
        </w:rPr>
      </w:pPr>
    </w:p>
    <w:p w14:paraId="74814D82" w14:textId="3BEDD96B" w:rsidR="00A50F7E" w:rsidRPr="00DD4389" w:rsidRDefault="007A474A" w:rsidP="00143938">
      <w:pPr>
        <w:keepNext/>
        <w:widowControl/>
        <w:rPr>
          <w:sz w:val="20"/>
          <w:szCs w:val="20"/>
        </w:rPr>
      </w:pPr>
      <w:proofErr w:type="gramStart"/>
      <w:r w:rsidRPr="00DD4389">
        <w:rPr>
          <w:sz w:val="20"/>
          <w:szCs w:val="20"/>
        </w:rPr>
        <w:t>USFDA</w:t>
      </w:r>
      <w:r w:rsidR="00A50F7E" w:rsidRPr="00DD4389">
        <w:rPr>
          <w:sz w:val="20"/>
          <w:szCs w:val="20"/>
        </w:rPr>
        <w:t xml:space="preserve"> (2015) Update on perfluorinated grease-proofing agents.</w:t>
      </w:r>
      <w:proofErr w:type="gramEnd"/>
    </w:p>
    <w:p w14:paraId="1F87618D" w14:textId="77777777" w:rsidR="00A50F7E" w:rsidRPr="00DD4389" w:rsidRDefault="00745F88" w:rsidP="00143938">
      <w:pPr>
        <w:keepNext/>
        <w:widowControl/>
        <w:rPr>
          <w:sz w:val="20"/>
          <w:szCs w:val="20"/>
        </w:rPr>
      </w:pPr>
      <w:hyperlink r:id="rId43" w:history="1">
        <w:r w:rsidR="00A50F7E" w:rsidRPr="00DD4389">
          <w:rPr>
            <w:rStyle w:val="Hyperlink"/>
            <w:rFonts w:eastAsia="Calibri"/>
            <w:sz w:val="20"/>
            <w:szCs w:val="20"/>
            <w:lang w:bidi="ar-SA"/>
          </w:rPr>
          <w:t>http://www.fda.gov/Food/IngredientsPackagingLabeling/PackagingFCS/Notifications/ucm308462.htm</w:t>
        </w:r>
      </w:hyperlink>
    </w:p>
    <w:p w14:paraId="664B6565" w14:textId="77777777" w:rsidR="00A50F7E" w:rsidRPr="00DD4389" w:rsidRDefault="00A50F7E" w:rsidP="00FF2CBA">
      <w:pPr>
        <w:widowControl/>
        <w:rPr>
          <w:sz w:val="20"/>
          <w:szCs w:val="20"/>
        </w:rPr>
      </w:pPr>
    </w:p>
    <w:p w14:paraId="2C3AC83C" w14:textId="77777777" w:rsidR="00036659" w:rsidRPr="00DD4389" w:rsidRDefault="00036659" w:rsidP="00036659">
      <w:pPr>
        <w:widowControl/>
        <w:rPr>
          <w:sz w:val="20"/>
          <w:szCs w:val="20"/>
        </w:rPr>
      </w:pPr>
      <w:proofErr w:type="gramStart"/>
      <w:r w:rsidRPr="00DD4389">
        <w:rPr>
          <w:sz w:val="20"/>
          <w:szCs w:val="20"/>
        </w:rPr>
        <w:t>US FR (2016) Department of Health and Human Services.</w:t>
      </w:r>
      <w:proofErr w:type="gramEnd"/>
      <w:r w:rsidRPr="00DD4389">
        <w:rPr>
          <w:sz w:val="20"/>
          <w:szCs w:val="20"/>
        </w:rPr>
        <w:t xml:space="preserve"> Food and Drug Administration, 21 CFR </w:t>
      </w:r>
      <w:proofErr w:type="gramStart"/>
      <w:r w:rsidRPr="00DD4389">
        <w:rPr>
          <w:sz w:val="20"/>
          <w:szCs w:val="20"/>
        </w:rPr>
        <w:t>Part</w:t>
      </w:r>
      <w:proofErr w:type="gramEnd"/>
      <w:r w:rsidRPr="00DD4389">
        <w:rPr>
          <w:sz w:val="20"/>
          <w:szCs w:val="20"/>
        </w:rPr>
        <w:t xml:space="preserve"> 176, Docket No. FDA–2015–F–0714, Indirect Food Additives: Paper and Paperboard Components. Federal Register, 81(1):5-8.</w:t>
      </w:r>
    </w:p>
    <w:p w14:paraId="66208088" w14:textId="77777777" w:rsidR="00036659" w:rsidRPr="00DD4389" w:rsidRDefault="00745F88" w:rsidP="00036659">
      <w:pPr>
        <w:widowControl/>
        <w:rPr>
          <w:sz w:val="20"/>
          <w:szCs w:val="20"/>
        </w:rPr>
      </w:pPr>
      <w:hyperlink r:id="rId44" w:history="1">
        <w:r w:rsidR="00036659" w:rsidRPr="00DD4389">
          <w:rPr>
            <w:color w:val="3333FF"/>
            <w:sz w:val="20"/>
            <w:szCs w:val="20"/>
            <w:u w:val="single"/>
          </w:rPr>
          <w:t>https://www.gpo.gov/fdsys/pkg/FR-2016-01-04/pdf/2015-33026.pdf</w:t>
        </w:r>
      </w:hyperlink>
    </w:p>
    <w:p w14:paraId="07EFE057" w14:textId="77777777" w:rsidR="00036659" w:rsidRPr="00DD4389" w:rsidRDefault="00036659" w:rsidP="00036659">
      <w:pPr>
        <w:widowControl/>
        <w:rPr>
          <w:sz w:val="20"/>
          <w:szCs w:val="20"/>
        </w:rPr>
      </w:pPr>
    </w:p>
    <w:p w14:paraId="1B7109BB" w14:textId="00214730" w:rsidR="00AD72D0" w:rsidRPr="00DD4389" w:rsidRDefault="00AD72D0" w:rsidP="00AD72D0">
      <w:pPr>
        <w:widowControl/>
        <w:rPr>
          <w:sz w:val="20"/>
          <w:szCs w:val="20"/>
        </w:rPr>
      </w:pPr>
      <w:proofErr w:type="gramStart"/>
      <w:r w:rsidRPr="00DD4389">
        <w:rPr>
          <w:sz w:val="20"/>
          <w:szCs w:val="20"/>
        </w:rPr>
        <w:t>WHO (1984) Toxicological evaluation of certain food additives and contaminants.</w:t>
      </w:r>
      <w:proofErr w:type="gramEnd"/>
      <w:r w:rsidRPr="00DD4389">
        <w:rPr>
          <w:sz w:val="20"/>
          <w:szCs w:val="20"/>
        </w:rPr>
        <w:t xml:space="preserve"> </w:t>
      </w:r>
      <w:proofErr w:type="gramStart"/>
      <w:r w:rsidRPr="00DD4389">
        <w:rPr>
          <w:sz w:val="20"/>
          <w:szCs w:val="20"/>
        </w:rPr>
        <w:t>Prepared by the twenty-eighth meeting of the Joint FAO/WHO Expert Committee on Food Additives.</w:t>
      </w:r>
      <w:proofErr w:type="gramEnd"/>
      <w:r w:rsidRPr="00DD4389">
        <w:rPr>
          <w:sz w:val="20"/>
          <w:szCs w:val="20"/>
        </w:rPr>
        <w:t xml:space="preserve"> </w:t>
      </w:r>
      <w:proofErr w:type="gramStart"/>
      <w:r w:rsidRPr="00DD4389">
        <w:rPr>
          <w:sz w:val="20"/>
          <w:szCs w:val="20"/>
        </w:rPr>
        <w:t>WHO Food Additives Series No. 19.</w:t>
      </w:r>
      <w:proofErr w:type="gramEnd"/>
      <w:r w:rsidRPr="00DD4389">
        <w:rPr>
          <w:sz w:val="20"/>
          <w:szCs w:val="20"/>
        </w:rPr>
        <w:t xml:space="preserve"> World Health Organization, Geneva.</w:t>
      </w:r>
    </w:p>
    <w:p w14:paraId="0771D0D8" w14:textId="29E53DE9" w:rsidR="00AD72D0" w:rsidRPr="00DD4389" w:rsidRDefault="00745F88" w:rsidP="00AD72D0">
      <w:pPr>
        <w:widowControl/>
        <w:rPr>
          <w:sz w:val="20"/>
          <w:szCs w:val="20"/>
        </w:rPr>
      </w:pPr>
      <w:hyperlink r:id="rId45" w:history="1">
        <w:r w:rsidR="00AD72D0" w:rsidRPr="00DD4389">
          <w:rPr>
            <w:rStyle w:val="Hyperlink"/>
            <w:sz w:val="20"/>
            <w:szCs w:val="20"/>
          </w:rPr>
          <w:t>http://www.inchem.org/documents/jecfa/jecmono/v19je01.htm</w:t>
        </w:r>
      </w:hyperlink>
    </w:p>
    <w:p w14:paraId="3BEF7B7E" w14:textId="77777777" w:rsidR="00AD72D0" w:rsidRPr="00DD4389" w:rsidRDefault="00AD72D0" w:rsidP="00AD72D0">
      <w:pPr>
        <w:widowControl/>
        <w:rPr>
          <w:sz w:val="20"/>
          <w:szCs w:val="20"/>
        </w:rPr>
      </w:pPr>
    </w:p>
    <w:p w14:paraId="6E5C2C9F" w14:textId="7698FBBA" w:rsidR="00AD72D0" w:rsidRPr="00DD4389" w:rsidRDefault="00AD72D0" w:rsidP="00AD72D0">
      <w:pPr>
        <w:widowControl/>
        <w:rPr>
          <w:sz w:val="20"/>
          <w:szCs w:val="20"/>
        </w:rPr>
      </w:pPr>
      <w:proofErr w:type="gramStart"/>
      <w:r w:rsidRPr="00DD4389">
        <w:rPr>
          <w:sz w:val="20"/>
          <w:szCs w:val="20"/>
        </w:rPr>
        <w:t>WHO (2006) Evaluation of certain food contaminants.</w:t>
      </w:r>
      <w:proofErr w:type="gramEnd"/>
      <w:r w:rsidRPr="00DD4389">
        <w:rPr>
          <w:sz w:val="20"/>
          <w:szCs w:val="20"/>
        </w:rPr>
        <w:t xml:space="preserve"> Sixty-fourth report of the Joint FAO/WHO Expert Committee on Food Additives. WHO Technical Report Series, No. 930. World Health Organization, Geneva. </w:t>
      </w:r>
      <w:hyperlink r:id="rId46" w:history="1">
        <w:r w:rsidRPr="00DD4389">
          <w:rPr>
            <w:rStyle w:val="Hyperlink"/>
            <w:sz w:val="20"/>
            <w:szCs w:val="20"/>
          </w:rPr>
          <w:t>http://whqlibdoc.who.int/trs/WHO_TRS_930_eng.pdf</w:t>
        </w:r>
      </w:hyperlink>
    </w:p>
    <w:p w14:paraId="640BC033" w14:textId="6128BE21" w:rsidR="00861A5E" w:rsidRPr="00DD4389" w:rsidRDefault="00861A5E" w:rsidP="00AD72D0">
      <w:pPr>
        <w:widowControl/>
        <w:rPr>
          <w:rFonts w:cs="Arial"/>
          <w:b/>
          <w:bCs/>
          <w:sz w:val="20"/>
          <w:szCs w:val="20"/>
          <w:lang w:bidi="ar-SA"/>
        </w:rPr>
      </w:pPr>
      <w:r w:rsidRPr="00DD4389">
        <w:rPr>
          <w:sz w:val="20"/>
          <w:szCs w:val="20"/>
        </w:rPr>
        <w:br w:type="page"/>
      </w:r>
    </w:p>
    <w:p w14:paraId="478CA97F" w14:textId="5936FE47" w:rsidR="0068046B" w:rsidRDefault="0068046B" w:rsidP="00F70860">
      <w:pPr>
        <w:pStyle w:val="Heading2"/>
        <w:ind w:left="0" w:firstLine="0"/>
      </w:pPr>
      <w:bookmarkStart w:id="15" w:name="_Toc448936162"/>
      <w:r>
        <w:lastRenderedPageBreak/>
        <w:t>Attachment 1</w:t>
      </w:r>
      <w:bookmarkEnd w:id="15"/>
      <w:r w:rsidR="007D3117">
        <w:t xml:space="preserve"> – </w:t>
      </w:r>
      <w:r w:rsidR="000A5113">
        <w:t>Comparison of estimated dietary exposures and human no effect levels for certain food contact substances</w:t>
      </w:r>
    </w:p>
    <w:p w14:paraId="240FB249" w14:textId="77777777" w:rsidR="009777E1" w:rsidRDefault="0068097C" w:rsidP="00217ECE">
      <w:pPr>
        <w:rPr>
          <w:lang w:bidi="ar-SA"/>
        </w:rPr>
      </w:pPr>
      <w:r w:rsidRPr="00861A5E">
        <w:rPr>
          <w:lang w:bidi="ar-SA"/>
        </w:rPr>
        <w:t xml:space="preserve">The Table below </w:t>
      </w:r>
      <w:r w:rsidR="009C4A65">
        <w:rPr>
          <w:lang w:bidi="ar-SA"/>
        </w:rPr>
        <w:t>lists</w:t>
      </w:r>
      <w:r w:rsidR="003B0439">
        <w:rPr>
          <w:lang w:bidi="ar-SA"/>
        </w:rPr>
        <w:t xml:space="preserve"> food contact substances for</w:t>
      </w:r>
      <w:r w:rsidR="00816484">
        <w:rPr>
          <w:lang w:bidi="ar-SA"/>
        </w:rPr>
        <w:t xml:space="preserve"> which: </w:t>
      </w:r>
    </w:p>
    <w:p w14:paraId="2244E5D7" w14:textId="77777777" w:rsidR="007D3117" w:rsidRDefault="007D3117" w:rsidP="00217ECE">
      <w:pPr>
        <w:rPr>
          <w:lang w:bidi="ar-SA"/>
        </w:rPr>
      </w:pPr>
    </w:p>
    <w:p w14:paraId="70AF57A9" w14:textId="2EBAA102" w:rsidR="009777E1" w:rsidRDefault="00816484" w:rsidP="007D3117">
      <w:pPr>
        <w:ind w:left="567" w:hanging="567"/>
        <w:rPr>
          <w:lang w:bidi="ar-SA"/>
        </w:rPr>
      </w:pPr>
      <w:r>
        <w:rPr>
          <w:lang w:bidi="ar-SA"/>
        </w:rPr>
        <w:t>(i)</w:t>
      </w:r>
      <w:r w:rsidR="003B0439">
        <w:rPr>
          <w:lang w:bidi="ar-SA"/>
        </w:rPr>
        <w:t xml:space="preserve"> </w:t>
      </w:r>
      <w:r w:rsidR="007D3117">
        <w:rPr>
          <w:lang w:bidi="ar-SA"/>
        </w:rPr>
        <w:tab/>
      </w:r>
      <w:r w:rsidR="003B0439">
        <w:rPr>
          <w:lang w:bidi="ar-SA"/>
        </w:rPr>
        <w:t xml:space="preserve">estimated dietary exposure, as listed in the </w:t>
      </w:r>
      <w:r w:rsidR="007A474A">
        <w:rPr>
          <w:lang w:bidi="ar-SA"/>
        </w:rPr>
        <w:t>USFDA</w:t>
      </w:r>
      <w:r w:rsidR="003B0439">
        <w:rPr>
          <w:lang w:bidi="ar-SA"/>
        </w:rPr>
        <w:t xml:space="preserve"> CEDI database, exceed</w:t>
      </w:r>
      <w:r w:rsidR="003F2690">
        <w:rPr>
          <w:lang w:bidi="ar-SA"/>
        </w:rPr>
        <w:t>s</w:t>
      </w:r>
      <w:r w:rsidR="003B0439">
        <w:rPr>
          <w:lang w:bidi="ar-SA"/>
        </w:rPr>
        <w:t xml:space="preserve"> the TTC class III threshold</w:t>
      </w:r>
      <w:r w:rsidR="00A4007A">
        <w:rPr>
          <w:lang w:bidi="ar-SA"/>
        </w:rPr>
        <w:t xml:space="preserve"> </w:t>
      </w:r>
      <w:r w:rsidR="00394B59">
        <w:rPr>
          <w:lang w:bidi="ar-SA"/>
        </w:rPr>
        <w:t xml:space="preserve">of </w:t>
      </w:r>
      <w:r w:rsidR="00A4007A">
        <w:rPr>
          <w:lang w:bidi="ar-SA"/>
        </w:rPr>
        <w:t>0.0015 mg/kg </w:t>
      </w:r>
      <w:r w:rsidR="00394B59">
        <w:rPr>
          <w:lang w:bidi="ar-SA"/>
        </w:rPr>
        <w:t>bw/day</w:t>
      </w:r>
      <w:r>
        <w:rPr>
          <w:lang w:bidi="ar-SA"/>
        </w:rPr>
        <w:t>;</w:t>
      </w:r>
      <w:r w:rsidR="003B0439">
        <w:rPr>
          <w:lang w:bidi="ar-SA"/>
        </w:rPr>
        <w:t xml:space="preserve"> and</w:t>
      </w:r>
      <w:r>
        <w:rPr>
          <w:lang w:bidi="ar-SA"/>
        </w:rPr>
        <w:t xml:space="preserve"> </w:t>
      </w:r>
    </w:p>
    <w:p w14:paraId="3F46E777" w14:textId="76E298E2" w:rsidR="009C4A65" w:rsidRDefault="00816484" w:rsidP="007D3117">
      <w:pPr>
        <w:ind w:left="567" w:hanging="567"/>
        <w:rPr>
          <w:lang w:bidi="ar-SA"/>
        </w:rPr>
      </w:pPr>
      <w:r>
        <w:rPr>
          <w:lang w:bidi="ar-SA"/>
        </w:rPr>
        <w:t>(ii)</w:t>
      </w:r>
      <w:r w:rsidR="003B0439">
        <w:rPr>
          <w:lang w:bidi="ar-SA"/>
        </w:rPr>
        <w:t xml:space="preserve"> </w:t>
      </w:r>
      <w:r w:rsidR="007D3117">
        <w:rPr>
          <w:lang w:bidi="ar-SA"/>
        </w:rPr>
        <w:tab/>
      </w:r>
      <w:proofErr w:type="gramStart"/>
      <w:r w:rsidR="003B0439">
        <w:rPr>
          <w:lang w:bidi="ar-SA"/>
        </w:rPr>
        <w:t>a</w:t>
      </w:r>
      <w:proofErr w:type="gramEnd"/>
      <w:r w:rsidR="003B0439">
        <w:rPr>
          <w:lang w:bidi="ar-SA"/>
        </w:rPr>
        <w:t xml:space="preserve"> human oral </w:t>
      </w:r>
      <w:r w:rsidR="00B40D17">
        <w:rPr>
          <w:lang w:bidi="ar-SA"/>
        </w:rPr>
        <w:t>D</w:t>
      </w:r>
      <w:r w:rsidR="003B0439">
        <w:rPr>
          <w:lang w:bidi="ar-SA"/>
        </w:rPr>
        <w:t>e</w:t>
      </w:r>
      <w:r>
        <w:rPr>
          <w:lang w:bidi="ar-SA"/>
        </w:rPr>
        <w:t xml:space="preserve">rived </w:t>
      </w:r>
      <w:r w:rsidR="00B40D17">
        <w:rPr>
          <w:lang w:bidi="ar-SA"/>
        </w:rPr>
        <w:t>N</w:t>
      </w:r>
      <w:r>
        <w:rPr>
          <w:lang w:bidi="ar-SA"/>
        </w:rPr>
        <w:t xml:space="preserve">o </w:t>
      </w:r>
      <w:r w:rsidR="00B40D17">
        <w:rPr>
          <w:lang w:bidi="ar-SA"/>
        </w:rPr>
        <w:t>E</w:t>
      </w:r>
      <w:r>
        <w:rPr>
          <w:lang w:bidi="ar-SA"/>
        </w:rPr>
        <w:t xml:space="preserve">ffect </w:t>
      </w:r>
      <w:r w:rsidR="00B40D17">
        <w:rPr>
          <w:lang w:bidi="ar-SA"/>
        </w:rPr>
        <w:t>L</w:t>
      </w:r>
      <w:r>
        <w:rPr>
          <w:lang w:bidi="ar-SA"/>
        </w:rPr>
        <w:t>evel (DNEL) is</w:t>
      </w:r>
      <w:r w:rsidR="009C4A65">
        <w:rPr>
          <w:lang w:bidi="ar-SA"/>
        </w:rPr>
        <w:t xml:space="preserve"> available</w:t>
      </w:r>
      <w:r w:rsidR="00BF3A53">
        <w:rPr>
          <w:lang w:bidi="ar-SA"/>
        </w:rPr>
        <w:t xml:space="preserve"> from</w:t>
      </w:r>
      <w:r w:rsidR="003B0439">
        <w:rPr>
          <w:lang w:bidi="ar-SA"/>
        </w:rPr>
        <w:t xml:space="preserve"> the European </w:t>
      </w:r>
      <w:r w:rsidR="00BF3A53">
        <w:rPr>
          <w:lang w:bidi="ar-SA"/>
        </w:rPr>
        <w:t>Chemicals Agency (ECHA) website</w:t>
      </w:r>
      <w:r>
        <w:rPr>
          <w:lang w:bidi="ar-SA"/>
        </w:rPr>
        <w:t>.</w:t>
      </w:r>
    </w:p>
    <w:p w14:paraId="6201063F" w14:textId="77777777" w:rsidR="009C4A65" w:rsidRDefault="009C4A65" w:rsidP="00217ECE">
      <w:pPr>
        <w:rPr>
          <w:lang w:bidi="ar-SA"/>
        </w:rPr>
      </w:pPr>
    </w:p>
    <w:p w14:paraId="7A208971" w14:textId="588F3AC9" w:rsidR="00E8029E" w:rsidRDefault="00E8029E" w:rsidP="00217ECE">
      <w:pPr>
        <w:rPr>
          <w:lang w:bidi="ar-SA"/>
        </w:rPr>
      </w:pPr>
      <w:r>
        <w:rPr>
          <w:lang w:bidi="ar-SA"/>
        </w:rPr>
        <w:t xml:space="preserve">As defined by ECHA, the DNEL </w:t>
      </w:r>
      <w:r w:rsidRPr="00E8029E">
        <w:rPr>
          <w:lang w:bidi="ar-SA"/>
        </w:rPr>
        <w:t>is the level of exposure above which humans should not be exposed</w:t>
      </w:r>
      <w:r w:rsidR="00394B59">
        <w:rPr>
          <w:lang w:bidi="ar-SA"/>
        </w:rPr>
        <w:t>,</w:t>
      </w:r>
      <w:r>
        <w:rPr>
          <w:lang w:bidi="ar-SA"/>
        </w:rPr>
        <w:t xml:space="preserve"> and is typically </w:t>
      </w:r>
      <w:r w:rsidRPr="00E8029E">
        <w:rPr>
          <w:lang w:bidi="ar-SA"/>
        </w:rPr>
        <w:t>derived by applying an uncertainty factor to a NOAEL identified in a</w:t>
      </w:r>
      <w:r>
        <w:rPr>
          <w:lang w:bidi="ar-SA"/>
        </w:rPr>
        <w:t xml:space="preserve"> suitable </w:t>
      </w:r>
      <w:r w:rsidRPr="00E8029E">
        <w:rPr>
          <w:lang w:bidi="ar-SA"/>
        </w:rPr>
        <w:t>repeat-dose toxicity study</w:t>
      </w:r>
      <w:r w:rsidR="00F40692">
        <w:rPr>
          <w:lang w:bidi="ar-SA"/>
        </w:rPr>
        <w:t xml:space="preserve"> (ECHA 2012).</w:t>
      </w:r>
    </w:p>
    <w:p w14:paraId="064EF14B" w14:textId="77777777" w:rsidR="00E8029E" w:rsidRDefault="00E8029E" w:rsidP="00217ECE">
      <w:pPr>
        <w:rPr>
          <w:lang w:bidi="ar-SA"/>
        </w:rPr>
      </w:pPr>
    </w:p>
    <w:p w14:paraId="1263180D" w14:textId="1EAA13AF" w:rsidR="009C4A65" w:rsidRDefault="00394B59" w:rsidP="00217ECE">
      <w:pPr>
        <w:rPr>
          <w:lang w:bidi="ar-SA"/>
        </w:rPr>
      </w:pPr>
      <w:r>
        <w:rPr>
          <w:lang w:bidi="ar-SA"/>
        </w:rPr>
        <w:t>The 34</w:t>
      </w:r>
      <w:r w:rsidR="00E8029E">
        <w:rPr>
          <w:lang w:bidi="ar-SA"/>
        </w:rPr>
        <w:t xml:space="preserve"> s</w:t>
      </w:r>
      <w:r w:rsidR="009C4A65">
        <w:rPr>
          <w:lang w:bidi="ar-SA"/>
        </w:rPr>
        <w:t xml:space="preserve">ubstances </w:t>
      </w:r>
      <w:r w:rsidR="00CB0F03">
        <w:rPr>
          <w:lang w:bidi="ar-SA"/>
        </w:rPr>
        <w:t xml:space="preserve">resulting from this analysis </w:t>
      </w:r>
      <w:r>
        <w:rPr>
          <w:lang w:bidi="ar-SA"/>
        </w:rPr>
        <w:t xml:space="preserve">are </w:t>
      </w:r>
      <w:r w:rsidR="009C4A65">
        <w:rPr>
          <w:lang w:bidi="ar-SA"/>
        </w:rPr>
        <w:t>listed in order of decreasing estimated dietary exposure.</w:t>
      </w:r>
      <w:r w:rsidR="00A4007A">
        <w:rPr>
          <w:lang w:bidi="ar-SA"/>
        </w:rPr>
        <w:t xml:space="preserve"> </w:t>
      </w:r>
      <w:r w:rsidR="009C4A65">
        <w:rPr>
          <w:lang w:bidi="ar-SA"/>
        </w:rPr>
        <w:t>No subs</w:t>
      </w:r>
      <w:r w:rsidR="00E462F3">
        <w:rPr>
          <w:lang w:bidi="ar-SA"/>
        </w:rPr>
        <w:t>tances were identified with</w:t>
      </w:r>
      <w:r w:rsidR="009C4A65">
        <w:rPr>
          <w:lang w:bidi="ar-SA"/>
        </w:rPr>
        <w:t xml:space="preserve"> an estimated dietary exposure greater than 20% of the</w:t>
      </w:r>
      <w:r w:rsidR="00380623">
        <w:rPr>
          <w:lang w:bidi="ar-SA"/>
        </w:rPr>
        <w:t xml:space="preserve"> </w:t>
      </w:r>
      <w:r w:rsidR="009C4A65">
        <w:rPr>
          <w:lang w:bidi="ar-SA"/>
        </w:rPr>
        <w:t>DNEL.</w:t>
      </w:r>
      <w:r>
        <w:rPr>
          <w:lang w:bidi="ar-SA"/>
        </w:rPr>
        <w:t xml:space="preserve"> </w:t>
      </w:r>
      <w:r w:rsidR="009A3E39">
        <w:rPr>
          <w:lang w:bidi="ar-SA"/>
        </w:rPr>
        <w:t xml:space="preserve">For </w:t>
      </w:r>
      <w:r w:rsidR="000109EF">
        <w:rPr>
          <w:lang w:bidi="ar-SA"/>
        </w:rPr>
        <w:t>25</w:t>
      </w:r>
      <w:r w:rsidR="003E02CB">
        <w:rPr>
          <w:lang w:bidi="ar-SA"/>
        </w:rPr>
        <w:t xml:space="preserve"> substances</w:t>
      </w:r>
      <w:r w:rsidR="009A3E39">
        <w:rPr>
          <w:lang w:bidi="ar-SA"/>
        </w:rPr>
        <w:t xml:space="preserve">, estimated dietary exposure </w:t>
      </w:r>
      <w:r w:rsidR="000109EF">
        <w:rPr>
          <w:lang w:bidi="ar-SA"/>
        </w:rPr>
        <w:t xml:space="preserve">was less than 1% of </w:t>
      </w:r>
      <w:r w:rsidR="009A3E39">
        <w:rPr>
          <w:lang w:bidi="ar-SA"/>
        </w:rPr>
        <w:t>the DNEL</w:t>
      </w:r>
      <w:r w:rsidR="000109EF">
        <w:rPr>
          <w:lang w:bidi="ar-SA"/>
        </w:rPr>
        <w:t>.</w:t>
      </w:r>
    </w:p>
    <w:p w14:paraId="2D8AA91B" w14:textId="77777777" w:rsidR="00217ECE" w:rsidRPr="00217ECE" w:rsidRDefault="00217ECE" w:rsidP="00217ECE">
      <w:pPr>
        <w:rPr>
          <w:lang w:bidi="ar-SA"/>
        </w:rPr>
      </w:pPr>
    </w:p>
    <w:tbl>
      <w:tblPr>
        <w:tblStyle w:val="TableGrid"/>
        <w:tblW w:w="9072" w:type="dxa"/>
        <w:tblLayout w:type="fixed"/>
        <w:tblLook w:val="04A0" w:firstRow="1" w:lastRow="0" w:firstColumn="1" w:lastColumn="0" w:noHBand="0" w:noVBand="1"/>
      </w:tblPr>
      <w:tblGrid>
        <w:gridCol w:w="3273"/>
        <w:gridCol w:w="1381"/>
        <w:gridCol w:w="1656"/>
        <w:gridCol w:w="1518"/>
        <w:gridCol w:w="1244"/>
      </w:tblGrid>
      <w:tr w:rsidR="00217ECE" w:rsidRPr="00491F59" w14:paraId="50872DCE" w14:textId="77777777" w:rsidTr="00F70860">
        <w:trPr>
          <w:cantSplit/>
          <w:trHeight w:val="1320"/>
          <w:tblHeader/>
        </w:trPr>
        <w:tc>
          <w:tcPr>
            <w:tcW w:w="3369" w:type="dxa"/>
            <w:shd w:val="clear" w:color="auto" w:fill="EAF1DD" w:themeFill="accent3" w:themeFillTint="33"/>
            <w:vAlign w:val="center"/>
            <w:hideMark/>
          </w:tcPr>
          <w:p w14:paraId="0589D454" w14:textId="72A695B6" w:rsidR="00491F59" w:rsidRPr="00491F59" w:rsidRDefault="00491F59" w:rsidP="000A5113">
            <w:pPr>
              <w:widowControl/>
              <w:spacing w:before="40" w:after="20"/>
              <w:rPr>
                <w:rFonts w:cs="Arial"/>
                <w:b/>
                <w:bCs/>
                <w:color w:val="000000"/>
                <w:sz w:val="18"/>
                <w:szCs w:val="18"/>
                <w:lang w:eastAsia="en-GB" w:bidi="ar-SA"/>
              </w:rPr>
            </w:pPr>
            <w:r w:rsidRPr="00491F59">
              <w:rPr>
                <w:rFonts w:cs="Arial"/>
                <w:b/>
                <w:bCs/>
                <w:color w:val="000000"/>
                <w:sz w:val="18"/>
                <w:szCs w:val="18"/>
                <w:lang w:eastAsia="en-GB" w:bidi="ar-SA"/>
              </w:rPr>
              <w:t>Chemical name</w:t>
            </w:r>
          </w:p>
        </w:tc>
        <w:tc>
          <w:tcPr>
            <w:tcW w:w="1417" w:type="dxa"/>
            <w:shd w:val="clear" w:color="auto" w:fill="EAF1DD" w:themeFill="accent3" w:themeFillTint="33"/>
            <w:vAlign w:val="center"/>
            <w:hideMark/>
          </w:tcPr>
          <w:p w14:paraId="13A35C28" w14:textId="77777777" w:rsidR="00491F59" w:rsidRPr="00491F59" w:rsidRDefault="00491F59" w:rsidP="000A5113">
            <w:pPr>
              <w:widowControl/>
              <w:spacing w:before="40" w:after="20"/>
              <w:rPr>
                <w:rFonts w:cs="Arial"/>
                <w:b/>
                <w:bCs/>
                <w:color w:val="000000"/>
                <w:sz w:val="18"/>
                <w:szCs w:val="18"/>
                <w:lang w:eastAsia="en-GB" w:bidi="ar-SA"/>
              </w:rPr>
            </w:pPr>
            <w:r w:rsidRPr="00491F59">
              <w:rPr>
                <w:rFonts w:cs="Arial"/>
                <w:b/>
                <w:bCs/>
                <w:color w:val="000000"/>
                <w:sz w:val="18"/>
                <w:szCs w:val="18"/>
                <w:lang w:eastAsia="en-GB" w:bidi="ar-SA"/>
              </w:rPr>
              <w:t>CAS no.</w:t>
            </w:r>
          </w:p>
        </w:tc>
        <w:tc>
          <w:tcPr>
            <w:tcW w:w="1701" w:type="dxa"/>
            <w:shd w:val="clear" w:color="auto" w:fill="EAF1DD" w:themeFill="accent3" w:themeFillTint="33"/>
            <w:vAlign w:val="center"/>
            <w:hideMark/>
          </w:tcPr>
          <w:p w14:paraId="0EB069BF" w14:textId="7F4392C0" w:rsidR="00491F59" w:rsidRPr="00491F59" w:rsidRDefault="00491F59" w:rsidP="000A5113">
            <w:pPr>
              <w:widowControl/>
              <w:spacing w:before="40" w:after="20"/>
              <w:rPr>
                <w:rFonts w:cs="Arial"/>
                <w:b/>
                <w:bCs/>
                <w:color w:val="000000"/>
                <w:sz w:val="18"/>
                <w:szCs w:val="18"/>
                <w:lang w:eastAsia="en-GB" w:bidi="ar-SA"/>
              </w:rPr>
            </w:pPr>
            <w:r w:rsidRPr="00491F59">
              <w:rPr>
                <w:rFonts w:cs="Arial"/>
                <w:b/>
                <w:bCs/>
                <w:color w:val="000000"/>
                <w:sz w:val="18"/>
                <w:szCs w:val="18"/>
                <w:lang w:eastAsia="en-GB" w:bidi="ar-SA"/>
              </w:rPr>
              <w:t>Estimated Dietary Exposure</w:t>
            </w:r>
            <w:r w:rsidR="00217ECE">
              <w:rPr>
                <w:rFonts w:cs="Arial"/>
                <w:b/>
                <w:bCs/>
                <w:color w:val="000000"/>
                <w:sz w:val="18"/>
                <w:szCs w:val="18"/>
                <w:lang w:eastAsia="en-GB" w:bidi="ar-SA"/>
              </w:rPr>
              <w:t xml:space="preserve"> (EDE)</w:t>
            </w:r>
            <w:r w:rsidR="0068097C" w:rsidRPr="0068097C">
              <w:rPr>
                <w:rFonts w:cs="Arial"/>
                <w:b/>
                <w:bCs/>
                <w:color w:val="000000"/>
                <w:sz w:val="18"/>
                <w:szCs w:val="18"/>
                <w:vertAlign w:val="superscript"/>
                <w:lang w:eastAsia="en-GB" w:bidi="ar-SA"/>
              </w:rPr>
              <w:t>†</w:t>
            </w:r>
          </w:p>
          <w:p w14:paraId="7D132280" w14:textId="20D5844E" w:rsidR="00491F59" w:rsidRPr="00491F59" w:rsidRDefault="00491F59" w:rsidP="000A5113">
            <w:pPr>
              <w:widowControl/>
              <w:spacing w:before="40" w:after="20"/>
              <w:rPr>
                <w:rFonts w:cs="Arial"/>
                <w:b/>
                <w:bCs/>
                <w:color w:val="000000"/>
                <w:sz w:val="18"/>
                <w:szCs w:val="18"/>
                <w:lang w:eastAsia="en-GB" w:bidi="ar-SA"/>
              </w:rPr>
            </w:pPr>
            <w:r w:rsidRPr="00491F59">
              <w:rPr>
                <w:rFonts w:cs="Arial"/>
                <w:b/>
                <w:bCs/>
                <w:color w:val="000000"/>
                <w:sz w:val="18"/>
                <w:szCs w:val="18"/>
                <w:lang w:eastAsia="en-GB" w:bidi="ar-SA"/>
              </w:rPr>
              <w:t>(mg/kg bw/day)</w:t>
            </w:r>
          </w:p>
        </w:tc>
        <w:tc>
          <w:tcPr>
            <w:tcW w:w="1559" w:type="dxa"/>
            <w:shd w:val="clear" w:color="auto" w:fill="EAF1DD" w:themeFill="accent3" w:themeFillTint="33"/>
            <w:vAlign w:val="center"/>
            <w:hideMark/>
          </w:tcPr>
          <w:p w14:paraId="2B8CB172" w14:textId="4F59067F" w:rsidR="00491F59" w:rsidRDefault="00491F59" w:rsidP="000A5113">
            <w:pPr>
              <w:widowControl/>
              <w:spacing w:before="40" w:after="20"/>
              <w:rPr>
                <w:rFonts w:cs="Arial"/>
                <w:b/>
                <w:bCs/>
                <w:color w:val="000000"/>
                <w:sz w:val="18"/>
                <w:szCs w:val="18"/>
                <w:lang w:eastAsia="en-GB" w:bidi="ar-SA"/>
              </w:rPr>
            </w:pPr>
            <w:r>
              <w:rPr>
                <w:rFonts w:cs="Arial"/>
                <w:b/>
                <w:bCs/>
                <w:color w:val="000000"/>
                <w:sz w:val="18"/>
                <w:szCs w:val="18"/>
                <w:lang w:eastAsia="en-GB" w:bidi="ar-SA"/>
              </w:rPr>
              <w:t>Human</w:t>
            </w:r>
            <w:r w:rsidR="001E722A">
              <w:rPr>
                <w:rFonts w:cs="Arial"/>
                <w:b/>
                <w:bCs/>
                <w:color w:val="000000"/>
                <w:sz w:val="18"/>
                <w:szCs w:val="18"/>
                <w:lang w:eastAsia="en-GB" w:bidi="ar-SA"/>
              </w:rPr>
              <w:t xml:space="preserve"> oral</w:t>
            </w:r>
            <w:r>
              <w:rPr>
                <w:rFonts w:cs="Arial"/>
                <w:b/>
                <w:bCs/>
                <w:color w:val="000000"/>
                <w:sz w:val="18"/>
                <w:szCs w:val="18"/>
                <w:lang w:eastAsia="en-GB" w:bidi="ar-SA"/>
              </w:rPr>
              <w:t xml:space="preserve"> </w:t>
            </w:r>
            <w:r w:rsidR="00B40D17">
              <w:rPr>
                <w:rFonts w:cs="Arial"/>
                <w:b/>
                <w:bCs/>
                <w:color w:val="000000"/>
                <w:sz w:val="18"/>
                <w:szCs w:val="18"/>
                <w:lang w:eastAsia="en-GB" w:bidi="ar-SA"/>
              </w:rPr>
              <w:t>D</w:t>
            </w:r>
            <w:r w:rsidR="001E722A">
              <w:rPr>
                <w:rFonts w:cs="Arial"/>
                <w:b/>
                <w:bCs/>
                <w:color w:val="000000"/>
                <w:sz w:val="18"/>
                <w:szCs w:val="18"/>
                <w:lang w:eastAsia="en-GB" w:bidi="ar-SA"/>
              </w:rPr>
              <w:t xml:space="preserve">erived </w:t>
            </w:r>
            <w:r w:rsidR="00B40D17">
              <w:rPr>
                <w:rFonts w:cs="Arial"/>
                <w:b/>
                <w:bCs/>
                <w:color w:val="000000"/>
                <w:sz w:val="18"/>
                <w:szCs w:val="18"/>
                <w:lang w:eastAsia="en-GB" w:bidi="ar-SA"/>
              </w:rPr>
              <w:t>N</w:t>
            </w:r>
            <w:r>
              <w:rPr>
                <w:rFonts w:cs="Arial"/>
                <w:b/>
                <w:bCs/>
                <w:color w:val="000000"/>
                <w:sz w:val="18"/>
                <w:szCs w:val="18"/>
                <w:lang w:eastAsia="en-GB" w:bidi="ar-SA"/>
              </w:rPr>
              <w:t xml:space="preserve">o </w:t>
            </w:r>
            <w:r w:rsidR="00B40D17">
              <w:rPr>
                <w:rFonts w:cs="Arial"/>
                <w:b/>
                <w:bCs/>
                <w:color w:val="000000"/>
                <w:sz w:val="18"/>
                <w:szCs w:val="18"/>
                <w:lang w:eastAsia="en-GB" w:bidi="ar-SA"/>
              </w:rPr>
              <w:t>E</w:t>
            </w:r>
            <w:r>
              <w:rPr>
                <w:rFonts w:cs="Arial"/>
                <w:b/>
                <w:bCs/>
                <w:color w:val="000000"/>
                <w:sz w:val="18"/>
                <w:szCs w:val="18"/>
                <w:lang w:eastAsia="en-GB" w:bidi="ar-SA"/>
              </w:rPr>
              <w:t xml:space="preserve">ffect </w:t>
            </w:r>
            <w:r w:rsidR="00B40D17">
              <w:rPr>
                <w:rFonts w:cs="Arial"/>
                <w:b/>
                <w:bCs/>
                <w:color w:val="000000"/>
                <w:sz w:val="18"/>
                <w:szCs w:val="18"/>
                <w:lang w:eastAsia="en-GB" w:bidi="ar-SA"/>
              </w:rPr>
              <w:t>L</w:t>
            </w:r>
            <w:r>
              <w:rPr>
                <w:rFonts w:cs="Arial"/>
                <w:b/>
                <w:bCs/>
                <w:color w:val="000000"/>
                <w:sz w:val="18"/>
                <w:szCs w:val="18"/>
                <w:lang w:eastAsia="en-GB" w:bidi="ar-SA"/>
              </w:rPr>
              <w:t>evel</w:t>
            </w:r>
            <w:r w:rsidR="00217ECE">
              <w:rPr>
                <w:rFonts w:cs="Arial"/>
                <w:b/>
                <w:bCs/>
                <w:color w:val="000000"/>
                <w:sz w:val="18"/>
                <w:szCs w:val="18"/>
                <w:lang w:eastAsia="en-GB" w:bidi="ar-SA"/>
              </w:rPr>
              <w:t xml:space="preserve"> (DNEL)</w:t>
            </w:r>
            <w:r w:rsidR="0068097C" w:rsidRPr="0068097C">
              <w:rPr>
                <w:rFonts w:cs="Arial"/>
                <w:b/>
                <w:bCs/>
                <w:color w:val="000000"/>
                <w:sz w:val="18"/>
                <w:szCs w:val="18"/>
                <w:vertAlign w:val="superscript"/>
                <w:lang w:eastAsia="en-GB" w:bidi="ar-SA"/>
              </w:rPr>
              <w:t>‡</w:t>
            </w:r>
          </w:p>
          <w:p w14:paraId="621F7CA3" w14:textId="4F803F1A" w:rsidR="00491F59" w:rsidRPr="00491F59" w:rsidRDefault="00491F59" w:rsidP="000A5113">
            <w:pPr>
              <w:widowControl/>
              <w:spacing w:before="40" w:after="20"/>
              <w:rPr>
                <w:rFonts w:cs="Arial"/>
                <w:b/>
                <w:bCs/>
                <w:color w:val="000000"/>
                <w:sz w:val="18"/>
                <w:szCs w:val="18"/>
                <w:lang w:eastAsia="en-GB" w:bidi="ar-SA"/>
              </w:rPr>
            </w:pPr>
            <w:r w:rsidRPr="00491F59">
              <w:rPr>
                <w:rFonts w:cs="Arial"/>
                <w:b/>
                <w:bCs/>
                <w:color w:val="000000"/>
                <w:sz w:val="18"/>
                <w:szCs w:val="18"/>
                <w:lang w:eastAsia="en-GB" w:bidi="ar-SA"/>
              </w:rPr>
              <w:t>(mg/kg bw/day)</w:t>
            </w:r>
          </w:p>
        </w:tc>
        <w:tc>
          <w:tcPr>
            <w:tcW w:w="1276" w:type="dxa"/>
            <w:shd w:val="clear" w:color="auto" w:fill="EAF1DD" w:themeFill="accent3" w:themeFillTint="33"/>
            <w:vAlign w:val="center"/>
            <w:hideMark/>
          </w:tcPr>
          <w:p w14:paraId="6CFD67E2" w14:textId="0817CF82" w:rsidR="00491F59" w:rsidRPr="00491F59" w:rsidRDefault="00217ECE" w:rsidP="000A5113">
            <w:pPr>
              <w:widowControl/>
              <w:spacing w:before="40" w:after="20"/>
              <w:rPr>
                <w:rFonts w:cs="Arial"/>
                <w:b/>
                <w:bCs/>
                <w:color w:val="000000"/>
                <w:sz w:val="18"/>
                <w:szCs w:val="18"/>
                <w:lang w:eastAsia="en-GB" w:bidi="ar-SA"/>
              </w:rPr>
            </w:pPr>
            <w:r>
              <w:rPr>
                <w:rFonts w:cs="Arial"/>
                <w:b/>
                <w:bCs/>
                <w:color w:val="000000"/>
                <w:sz w:val="18"/>
                <w:szCs w:val="18"/>
                <w:lang w:eastAsia="en-GB" w:bidi="ar-SA"/>
              </w:rPr>
              <w:t>EDE</w:t>
            </w:r>
            <w:r w:rsidR="00BF3A53">
              <w:rPr>
                <w:rFonts w:cs="Arial"/>
                <w:b/>
                <w:bCs/>
                <w:color w:val="000000"/>
                <w:sz w:val="18"/>
                <w:szCs w:val="18"/>
                <w:lang w:eastAsia="en-GB" w:bidi="ar-SA"/>
              </w:rPr>
              <w:t xml:space="preserve"> as a percentage of the </w:t>
            </w:r>
            <w:r w:rsidR="00491F59" w:rsidRPr="00491F59">
              <w:rPr>
                <w:rFonts w:cs="Arial"/>
                <w:b/>
                <w:bCs/>
                <w:color w:val="000000"/>
                <w:sz w:val="18"/>
                <w:szCs w:val="18"/>
                <w:lang w:eastAsia="en-GB" w:bidi="ar-SA"/>
              </w:rPr>
              <w:t>DNEL</w:t>
            </w:r>
          </w:p>
        </w:tc>
      </w:tr>
      <w:tr w:rsidR="00217ECE" w:rsidRPr="00491F59" w14:paraId="08E15CC3" w14:textId="77777777" w:rsidTr="000A5113">
        <w:trPr>
          <w:cantSplit/>
          <w:trHeight w:val="209"/>
        </w:trPr>
        <w:tc>
          <w:tcPr>
            <w:tcW w:w="3369" w:type="dxa"/>
            <w:noWrap/>
            <w:hideMark/>
          </w:tcPr>
          <w:p w14:paraId="3E323BE5" w14:textId="45B3588D"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Castor oil, hydrogenated</w:t>
            </w:r>
          </w:p>
        </w:tc>
        <w:tc>
          <w:tcPr>
            <w:tcW w:w="1417" w:type="dxa"/>
            <w:noWrap/>
            <w:hideMark/>
          </w:tcPr>
          <w:p w14:paraId="2830A891"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8001-78-3</w:t>
            </w:r>
          </w:p>
        </w:tc>
        <w:tc>
          <w:tcPr>
            <w:tcW w:w="1701" w:type="dxa"/>
            <w:noWrap/>
            <w:hideMark/>
          </w:tcPr>
          <w:p w14:paraId="6DBF9D7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0.72</w:t>
            </w:r>
          </w:p>
        </w:tc>
        <w:tc>
          <w:tcPr>
            <w:tcW w:w="1559" w:type="dxa"/>
            <w:hideMark/>
          </w:tcPr>
          <w:p w14:paraId="6B09A3F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24</w:t>
            </w:r>
          </w:p>
        </w:tc>
        <w:tc>
          <w:tcPr>
            <w:tcW w:w="1276" w:type="dxa"/>
            <w:hideMark/>
          </w:tcPr>
          <w:p w14:paraId="6BE3452A" w14:textId="6530190A" w:rsidR="00491F59" w:rsidRPr="00491F59" w:rsidRDefault="00BF3A53"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3%</w:t>
            </w:r>
          </w:p>
        </w:tc>
      </w:tr>
      <w:tr w:rsidR="00217ECE" w:rsidRPr="00491F59" w14:paraId="6AFC334A" w14:textId="77777777" w:rsidTr="000A5113">
        <w:trPr>
          <w:cantSplit/>
          <w:trHeight w:val="298"/>
        </w:trPr>
        <w:tc>
          <w:tcPr>
            <w:tcW w:w="3369" w:type="dxa"/>
            <w:hideMark/>
          </w:tcPr>
          <w:p w14:paraId="48B06C19" w14:textId="01D9A07D" w:rsidR="00491F59" w:rsidRPr="00491F59" w:rsidRDefault="006D16DA" w:rsidP="000A5113">
            <w:pPr>
              <w:widowControl/>
              <w:spacing w:before="40" w:after="20"/>
              <w:rPr>
                <w:rFonts w:cs="Arial"/>
                <w:color w:val="000000"/>
                <w:sz w:val="18"/>
                <w:szCs w:val="18"/>
                <w:lang w:eastAsia="en-GB" w:bidi="ar-SA"/>
              </w:rPr>
            </w:pPr>
            <w:proofErr w:type="spellStart"/>
            <w:r w:rsidRPr="00491F59">
              <w:rPr>
                <w:rFonts w:cs="Arial"/>
                <w:color w:val="000000"/>
                <w:sz w:val="18"/>
                <w:szCs w:val="18"/>
                <w:lang w:eastAsia="en-GB" w:bidi="ar-SA"/>
              </w:rPr>
              <w:t>Pentaerythrityl</w:t>
            </w:r>
            <w:proofErr w:type="spellEnd"/>
            <w:r w:rsidRPr="00491F59">
              <w:rPr>
                <w:rFonts w:cs="Arial"/>
                <w:color w:val="000000"/>
                <w:sz w:val="18"/>
                <w:szCs w:val="18"/>
                <w:lang w:eastAsia="en-GB" w:bidi="ar-SA"/>
              </w:rPr>
              <w:t xml:space="preserve"> tetrakis(3,5-di-tert- butyl-4-hydroxyhydrocinnamate)</w:t>
            </w:r>
          </w:p>
        </w:tc>
        <w:tc>
          <w:tcPr>
            <w:tcW w:w="1417" w:type="dxa"/>
            <w:noWrap/>
            <w:hideMark/>
          </w:tcPr>
          <w:p w14:paraId="332FCAF5"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6683-19-8</w:t>
            </w:r>
          </w:p>
        </w:tc>
        <w:tc>
          <w:tcPr>
            <w:tcW w:w="1701" w:type="dxa"/>
            <w:noWrap/>
            <w:hideMark/>
          </w:tcPr>
          <w:p w14:paraId="4B89E49B" w14:textId="357F1F6C"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0.12</w:t>
            </w:r>
          </w:p>
        </w:tc>
        <w:tc>
          <w:tcPr>
            <w:tcW w:w="1559" w:type="dxa"/>
            <w:hideMark/>
          </w:tcPr>
          <w:p w14:paraId="0413F2B7"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1.4</w:t>
            </w:r>
          </w:p>
        </w:tc>
        <w:tc>
          <w:tcPr>
            <w:tcW w:w="1276" w:type="dxa"/>
            <w:hideMark/>
          </w:tcPr>
          <w:p w14:paraId="0C53193F" w14:textId="013D778B"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8</w:t>
            </w:r>
            <w:r w:rsidR="00BF3A53">
              <w:rPr>
                <w:rFonts w:cs="Arial"/>
                <w:color w:val="000000"/>
                <w:sz w:val="18"/>
                <w:szCs w:val="18"/>
                <w:lang w:eastAsia="en-GB" w:bidi="ar-SA"/>
              </w:rPr>
              <w:t>%</w:t>
            </w:r>
          </w:p>
        </w:tc>
      </w:tr>
      <w:tr w:rsidR="00217ECE" w:rsidRPr="00491F59" w14:paraId="0B713D30" w14:textId="77777777" w:rsidTr="000A5113">
        <w:trPr>
          <w:cantSplit/>
          <w:trHeight w:val="137"/>
        </w:trPr>
        <w:tc>
          <w:tcPr>
            <w:tcW w:w="3369" w:type="dxa"/>
            <w:hideMark/>
          </w:tcPr>
          <w:p w14:paraId="6848A0EE" w14:textId="1EBB8E57"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Tris(2,4-di-tert-butylphenyl) phosphite</w:t>
            </w:r>
          </w:p>
        </w:tc>
        <w:tc>
          <w:tcPr>
            <w:tcW w:w="1417" w:type="dxa"/>
            <w:noWrap/>
            <w:hideMark/>
          </w:tcPr>
          <w:p w14:paraId="4552BED3"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31570-04-4</w:t>
            </w:r>
          </w:p>
        </w:tc>
        <w:tc>
          <w:tcPr>
            <w:tcW w:w="1701" w:type="dxa"/>
            <w:noWrap/>
            <w:hideMark/>
          </w:tcPr>
          <w:p w14:paraId="126F81DE"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0.091</w:t>
            </w:r>
          </w:p>
        </w:tc>
        <w:tc>
          <w:tcPr>
            <w:tcW w:w="1559" w:type="dxa"/>
            <w:hideMark/>
          </w:tcPr>
          <w:p w14:paraId="5AD5D3A0"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0.58</w:t>
            </w:r>
          </w:p>
        </w:tc>
        <w:tc>
          <w:tcPr>
            <w:tcW w:w="1276" w:type="dxa"/>
            <w:hideMark/>
          </w:tcPr>
          <w:p w14:paraId="582480E2" w14:textId="2E1FB9FB" w:rsidR="00491F59" w:rsidRPr="00491F59" w:rsidRDefault="00BF3A53"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16%</w:t>
            </w:r>
          </w:p>
        </w:tc>
      </w:tr>
      <w:tr w:rsidR="00217ECE" w:rsidRPr="00491F59" w14:paraId="0CEEA5CF" w14:textId="77777777" w:rsidTr="000A5113">
        <w:trPr>
          <w:cantSplit/>
          <w:trHeight w:val="299"/>
        </w:trPr>
        <w:tc>
          <w:tcPr>
            <w:tcW w:w="3369" w:type="dxa"/>
            <w:hideMark/>
          </w:tcPr>
          <w:p w14:paraId="1245212C" w14:textId="52F182E2"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Butyric acid, 3,3-bis(3-tert-butyl-4- hydroxyphenyl)ethylene ester</w:t>
            </w:r>
          </w:p>
        </w:tc>
        <w:tc>
          <w:tcPr>
            <w:tcW w:w="1417" w:type="dxa"/>
            <w:noWrap/>
            <w:hideMark/>
          </w:tcPr>
          <w:p w14:paraId="01165A72"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32509-66-3</w:t>
            </w:r>
          </w:p>
        </w:tc>
        <w:tc>
          <w:tcPr>
            <w:tcW w:w="1701" w:type="dxa"/>
            <w:noWrap/>
            <w:hideMark/>
          </w:tcPr>
          <w:p w14:paraId="51988980"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0.047</w:t>
            </w:r>
          </w:p>
        </w:tc>
        <w:tc>
          <w:tcPr>
            <w:tcW w:w="1559" w:type="dxa"/>
            <w:hideMark/>
          </w:tcPr>
          <w:p w14:paraId="63DFD548"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13</w:t>
            </w:r>
          </w:p>
        </w:tc>
        <w:tc>
          <w:tcPr>
            <w:tcW w:w="1276" w:type="dxa"/>
            <w:hideMark/>
          </w:tcPr>
          <w:p w14:paraId="1D061209" w14:textId="122EABA7" w:rsidR="00491F59" w:rsidRPr="00491F59" w:rsidRDefault="00BF3A53"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606739D5" w14:textId="77777777" w:rsidTr="000A5113">
        <w:trPr>
          <w:cantSplit/>
          <w:trHeight w:val="189"/>
        </w:trPr>
        <w:tc>
          <w:tcPr>
            <w:tcW w:w="3369" w:type="dxa"/>
            <w:hideMark/>
          </w:tcPr>
          <w:p w14:paraId="3A5BB511" w14:textId="0D8B81D6"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Triisopropanolamine</w:t>
            </w:r>
          </w:p>
        </w:tc>
        <w:tc>
          <w:tcPr>
            <w:tcW w:w="1417" w:type="dxa"/>
            <w:noWrap/>
            <w:hideMark/>
          </w:tcPr>
          <w:p w14:paraId="6B3E0FDC"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122-20-3</w:t>
            </w:r>
          </w:p>
        </w:tc>
        <w:tc>
          <w:tcPr>
            <w:tcW w:w="1701" w:type="dxa"/>
            <w:noWrap/>
            <w:hideMark/>
          </w:tcPr>
          <w:p w14:paraId="46F35E16" w14:textId="0E176102"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0.044</w:t>
            </w:r>
          </w:p>
        </w:tc>
        <w:tc>
          <w:tcPr>
            <w:tcW w:w="1559" w:type="dxa"/>
            <w:hideMark/>
          </w:tcPr>
          <w:p w14:paraId="016D52E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9.7</w:t>
            </w:r>
          </w:p>
        </w:tc>
        <w:tc>
          <w:tcPr>
            <w:tcW w:w="1276" w:type="dxa"/>
            <w:hideMark/>
          </w:tcPr>
          <w:p w14:paraId="5A112FE5" w14:textId="237BE000" w:rsidR="00491F59" w:rsidRPr="00491F59" w:rsidRDefault="00BF3A53"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5</w:t>
            </w:r>
            <w:r>
              <w:rPr>
                <w:rFonts w:cs="Arial"/>
                <w:color w:val="000000"/>
                <w:sz w:val="18"/>
                <w:szCs w:val="18"/>
                <w:lang w:eastAsia="en-GB" w:bidi="ar-SA"/>
              </w:rPr>
              <w:t>%</w:t>
            </w:r>
          </w:p>
        </w:tc>
      </w:tr>
      <w:tr w:rsidR="00217ECE" w:rsidRPr="00491F59" w14:paraId="6B0A8B0F" w14:textId="77777777" w:rsidTr="000A5113">
        <w:trPr>
          <w:cantSplit/>
          <w:trHeight w:val="407"/>
        </w:trPr>
        <w:tc>
          <w:tcPr>
            <w:tcW w:w="3369" w:type="dxa"/>
            <w:hideMark/>
          </w:tcPr>
          <w:p w14:paraId="73229D48" w14:textId="52B1B39C"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Bis(2,4-di-tert-butyl-6-methyl phenyl) ethyl phosphite</w:t>
            </w:r>
          </w:p>
        </w:tc>
        <w:tc>
          <w:tcPr>
            <w:tcW w:w="1417" w:type="dxa"/>
            <w:noWrap/>
            <w:hideMark/>
          </w:tcPr>
          <w:p w14:paraId="11F8CB7F"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145650-60-8</w:t>
            </w:r>
          </w:p>
        </w:tc>
        <w:tc>
          <w:tcPr>
            <w:tcW w:w="1701" w:type="dxa"/>
            <w:noWrap/>
            <w:hideMark/>
          </w:tcPr>
          <w:p w14:paraId="10A36FAD" w14:textId="35EC2E69"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0.029</w:t>
            </w:r>
          </w:p>
        </w:tc>
        <w:tc>
          <w:tcPr>
            <w:tcW w:w="1559" w:type="dxa"/>
            <w:hideMark/>
          </w:tcPr>
          <w:p w14:paraId="68FFFD96"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2.9</w:t>
            </w:r>
          </w:p>
        </w:tc>
        <w:tc>
          <w:tcPr>
            <w:tcW w:w="1276" w:type="dxa"/>
            <w:hideMark/>
          </w:tcPr>
          <w:p w14:paraId="3FB0571B" w14:textId="624D364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w:t>
            </w:r>
            <w:r w:rsidR="00BF3A53">
              <w:rPr>
                <w:rFonts w:cs="Arial"/>
                <w:color w:val="000000"/>
                <w:sz w:val="18"/>
                <w:szCs w:val="18"/>
                <w:lang w:eastAsia="en-GB" w:bidi="ar-SA"/>
              </w:rPr>
              <w:t>%</w:t>
            </w:r>
          </w:p>
        </w:tc>
      </w:tr>
      <w:tr w:rsidR="00217ECE" w:rsidRPr="00491F59" w14:paraId="2183A54C" w14:textId="77777777" w:rsidTr="000A5113">
        <w:trPr>
          <w:cantSplit/>
          <w:trHeight w:val="570"/>
        </w:trPr>
        <w:tc>
          <w:tcPr>
            <w:tcW w:w="3369" w:type="dxa"/>
            <w:hideMark/>
          </w:tcPr>
          <w:p w14:paraId="0E85C001" w14:textId="7A6CE31A" w:rsidR="00491F59" w:rsidRPr="00491F59" w:rsidRDefault="00456590" w:rsidP="000A5113">
            <w:pPr>
              <w:widowControl/>
              <w:spacing w:before="40" w:after="20"/>
              <w:rPr>
                <w:rFonts w:cs="Arial"/>
                <w:color w:val="000000"/>
                <w:sz w:val="18"/>
                <w:szCs w:val="18"/>
                <w:lang w:eastAsia="en-GB" w:bidi="ar-SA"/>
              </w:rPr>
            </w:pPr>
            <w:r>
              <w:rPr>
                <w:rFonts w:cs="Arial"/>
                <w:color w:val="000000"/>
                <w:sz w:val="18"/>
                <w:szCs w:val="18"/>
                <w:lang w:eastAsia="en-GB" w:bidi="ar-SA"/>
              </w:rPr>
              <w:t>N,N</w:t>
            </w:r>
            <w:r w:rsidR="00BF3A53">
              <w:rPr>
                <w:rFonts w:cs="Arial"/>
                <w:color w:val="000000"/>
                <w:sz w:val="18"/>
                <w:szCs w:val="18"/>
                <w:lang w:eastAsia="en-GB" w:bidi="ar-SA"/>
              </w:rPr>
              <w:t>’</w:t>
            </w:r>
            <w:r w:rsidR="006D16DA" w:rsidRPr="00491F59">
              <w:rPr>
                <w:rFonts w:cs="Arial"/>
                <w:color w:val="000000"/>
                <w:sz w:val="18"/>
                <w:szCs w:val="18"/>
                <w:lang w:eastAsia="en-GB" w:bidi="ar-SA"/>
              </w:rPr>
              <w:t>-hexamethylenebis(3,5-di-tert-butyl- 4-hydroxyhydrocinnamamide)</w:t>
            </w:r>
          </w:p>
        </w:tc>
        <w:tc>
          <w:tcPr>
            <w:tcW w:w="1417" w:type="dxa"/>
            <w:noWrap/>
            <w:hideMark/>
          </w:tcPr>
          <w:p w14:paraId="3C239C16"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23128-74-7</w:t>
            </w:r>
          </w:p>
        </w:tc>
        <w:tc>
          <w:tcPr>
            <w:tcW w:w="1701" w:type="dxa"/>
            <w:noWrap/>
            <w:hideMark/>
          </w:tcPr>
          <w:p w14:paraId="3D27DAE6"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0.025</w:t>
            </w:r>
          </w:p>
        </w:tc>
        <w:tc>
          <w:tcPr>
            <w:tcW w:w="1559" w:type="dxa"/>
            <w:hideMark/>
          </w:tcPr>
          <w:p w14:paraId="3D057A67"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27</w:t>
            </w:r>
          </w:p>
        </w:tc>
        <w:tc>
          <w:tcPr>
            <w:tcW w:w="1276" w:type="dxa"/>
            <w:hideMark/>
          </w:tcPr>
          <w:p w14:paraId="16359AE3" w14:textId="472834EC" w:rsidR="00491F59" w:rsidRPr="00491F59" w:rsidRDefault="00BF3A53" w:rsidP="000A5113">
            <w:pPr>
              <w:widowControl/>
              <w:spacing w:before="40" w:after="20" w:line="360" w:lineRule="auto"/>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1</w:t>
            </w:r>
            <w:r>
              <w:rPr>
                <w:rFonts w:cs="Arial"/>
                <w:color w:val="000000"/>
                <w:sz w:val="18"/>
                <w:szCs w:val="18"/>
                <w:lang w:eastAsia="en-GB" w:bidi="ar-SA"/>
              </w:rPr>
              <w:t>%</w:t>
            </w:r>
          </w:p>
        </w:tc>
      </w:tr>
      <w:tr w:rsidR="00217ECE" w:rsidRPr="00491F59" w14:paraId="72F3C713" w14:textId="77777777" w:rsidTr="000A5113">
        <w:trPr>
          <w:cantSplit/>
          <w:trHeight w:val="538"/>
        </w:trPr>
        <w:tc>
          <w:tcPr>
            <w:tcW w:w="3369" w:type="dxa"/>
            <w:hideMark/>
          </w:tcPr>
          <w:p w14:paraId="52691C3D" w14:textId="7357B2B7"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Calcium bis(monoethyl(3,5-di-tert-butyl- 4-hydroxybenzyl)phosphonate)</w:t>
            </w:r>
          </w:p>
        </w:tc>
        <w:tc>
          <w:tcPr>
            <w:tcW w:w="1417" w:type="dxa"/>
            <w:noWrap/>
            <w:hideMark/>
          </w:tcPr>
          <w:p w14:paraId="256D42E1"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65140-91-2</w:t>
            </w:r>
          </w:p>
        </w:tc>
        <w:tc>
          <w:tcPr>
            <w:tcW w:w="1701" w:type="dxa"/>
            <w:noWrap/>
            <w:hideMark/>
          </w:tcPr>
          <w:p w14:paraId="6BAB68BC"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0.022</w:t>
            </w:r>
          </w:p>
        </w:tc>
        <w:tc>
          <w:tcPr>
            <w:tcW w:w="1559" w:type="dxa"/>
            <w:hideMark/>
          </w:tcPr>
          <w:p w14:paraId="29DDDA93"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3.0</w:t>
            </w:r>
          </w:p>
        </w:tc>
        <w:tc>
          <w:tcPr>
            <w:tcW w:w="1276" w:type="dxa"/>
            <w:hideMark/>
          </w:tcPr>
          <w:p w14:paraId="3F1710FE" w14:textId="7C41C991"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7</w:t>
            </w:r>
            <w:r>
              <w:rPr>
                <w:rFonts w:cs="Arial"/>
                <w:color w:val="000000"/>
                <w:sz w:val="18"/>
                <w:szCs w:val="18"/>
                <w:lang w:eastAsia="en-GB" w:bidi="ar-SA"/>
              </w:rPr>
              <w:t>%</w:t>
            </w:r>
          </w:p>
        </w:tc>
      </w:tr>
      <w:tr w:rsidR="00217ECE" w:rsidRPr="00491F59" w14:paraId="6D92571C" w14:textId="77777777" w:rsidTr="000A5113">
        <w:trPr>
          <w:cantSplit/>
          <w:trHeight w:val="196"/>
        </w:trPr>
        <w:tc>
          <w:tcPr>
            <w:tcW w:w="3369" w:type="dxa"/>
            <w:hideMark/>
          </w:tcPr>
          <w:p w14:paraId="0D2905D6" w14:textId="61070C42"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Caprolactam</w:t>
            </w:r>
          </w:p>
        </w:tc>
        <w:tc>
          <w:tcPr>
            <w:tcW w:w="1417" w:type="dxa"/>
            <w:noWrap/>
            <w:hideMark/>
          </w:tcPr>
          <w:p w14:paraId="79D1A5CD"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105-60-2</w:t>
            </w:r>
          </w:p>
        </w:tc>
        <w:tc>
          <w:tcPr>
            <w:tcW w:w="1701" w:type="dxa"/>
            <w:noWrap/>
            <w:hideMark/>
          </w:tcPr>
          <w:p w14:paraId="7AD2991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0.022</w:t>
            </w:r>
          </w:p>
        </w:tc>
        <w:tc>
          <w:tcPr>
            <w:tcW w:w="1559" w:type="dxa"/>
            <w:hideMark/>
          </w:tcPr>
          <w:p w14:paraId="7C48E019"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8.6</w:t>
            </w:r>
          </w:p>
        </w:tc>
        <w:tc>
          <w:tcPr>
            <w:tcW w:w="1276" w:type="dxa"/>
            <w:hideMark/>
          </w:tcPr>
          <w:p w14:paraId="12CA14F3" w14:textId="7B1CCE4B"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3</w:t>
            </w:r>
            <w:r>
              <w:rPr>
                <w:rFonts w:cs="Arial"/>
                <w:color w:val="000000"/>
                <w:sz w:val="18"/>
                <w:szCs w:val="18"/>
                <w:lang w:eastAsia="en-GB" w:bidi="ar-SA"/>
              </w:rPr>
              <w:t>%</w:t>
            </w:r>
          </w:p>
        </w:tc>
      </w:tr>
      <w:tr w:rsidR="00217ECE" w:rsidRPr="00491F59" w14:paraId="1E4DCE2A" w14:textId="77777777" w:rsidTr="000A5113">
        <w:trPr>
          <w:cantSplit/>
          <w:trHeight w:val="710"/>
        </w:trPr>
        <w:tc>
          <w:tcPr>
            <w:tcW w:w="3369" w:type="dxa"/>
            <w:hideMark/>
          </w:tcPr>
          <w:p w14:paraId="2224CD27" w14:textId="6F4E78F8"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4-((4,6-bis(octylthio)6-bis(octylthio)6- bis(octylthio)-s-triazin-2-yl)amino)-2,6- di-tert-butylphenol</w:t>
            </w:r>
          </w:p>
        </w:tc>
        <w:tc>
          <w:tcPr>
            <w:tcW w:w="1417" w:type="dxa"/>
            <w:noWrap/>
            <w:hideMark/>
          </w:tcPr>
          <w:p w14:paraId="78DF0DEF"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991-84-4</w:t>
            </w:r>
          </w:p>
        </w:tc>
        <w:tc>
          <w:tcPr>
            <w:tcW w:w="1701" w:type="dxa"/>
            <w:noWrap/>
            <w:hideMark/>
          </w:tcPr>
          <w:p w14:paraId="20266F94" w14:textId="670043AB"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0.018</w:t>
            </w:r>
          </w:p>
        </w:tc>
        <w:tc>
          <w:tcPr>
            <w:tcW w:w="1559" w:type="dxa"/>
            <w:hideMark/>
          </w:tcPr>
          <w:p w14:paraId="7D934DD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3.9</w:t>
            </w:r>
          </w:p>
        </w:tc>
        <w:tc>
          <w:tcPr>
            <w:tcW w:w="1276" w:type="dxa"/>
            <w:hideMark/>
          </w:tcPr>
          <w:p w14:paraId="171F13F8" w14:textId="44FC0DEC"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535BEE46" w14:textId="77777777" w:rsidTr="000A5113">
        <w:trPr>
          <w:cantSplit/>
          <w:trHeight w:val="894"/>
        </w:trPr>
        <w:tc>
          <w:tcPr>
            <w:tcW w:w="3369" w:type="dxa"/>
            <w:hideMark/>
          </w:tcPr>
          <w:p w14:paraId="29EAD629" w14:textId="4A1ACB46"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2,4,8,10-tetraoxa-3,9-diphosphaspiro[5.5]undecane, 3,9-bis[2,6-bis(1,1-dimethylethyl)-4-methylphenoxy]-</w:t>
            </w:r>
          </w:p>
        </w:tc>
        <w:tc>
          <w:tcPr>
            <w:tcW w:w="1417" w:type="dxa"/>
            <w:noWrap/>
            <w:hideMark/>
          </w:tcPr>
          <w:p w14:paraId="31269F83"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80693-00-1</w:t>
            </w:r>
          </w:p>
        </w:tc>
        <w:tc>
          <w:tcPr>
            <w:tcW w:w="1701" w:type="dxa"/>
            <w:noWrap/>
            <w:hideMark/>
          </w:tcPr>
          <w:p w14:paraId="31C23C68" w14:textId="2882B0ED"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0.016</w:t>
            </w:r>
          </w:p>
        </w:tc>
        <w:tc>
          <w:tcPr>
            <w:tcW w:w="1559" w:type="dxa"/>
            <w:hideMark/>
          </w:tcPr>
          <w:p w14:paraId="0394372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4.5</w:t>
            </w:r>
          </w:p>
        </w:tc>
        <w:tc>
          <w:tcPr>
            <w:tcW w:w="1276" w:type="dxa"/>
            <w:hideMark/>
          </w:tcPr>
          <w:p w14:paraId="68139C31" w14:textId="7E0BE236"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06166F6D" w14:textId="77777777" w:rsidTr="000A5113">
        <w:trPr>
          <w:cantSplit/>
          <w:trHeight w:val="145"/>
        </w:trPr>
        <w:tc>
          <w:tcPr>
            <w:tcW w:w="3369" w:type="dxa"/>
            <w:hideMark/>
          </w:tcPr>
          <w:p w14:paraId="08D0D18B" w14:textId="536D1D5F"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Trimellitic anhydride</w:t>
            </w:r>
          </w:p>
        </w:tc>
        <w:tc>
          <w:tcPr>
            <w:tcW w:w="1417" w:type="dxa"/>
            <w:noWrap/>
            <w:hideMark/>
          </w:tcPr>
          <w:p w14:paraId="4E037A5E"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552-30-7</w:t>
            </w:r>
          </w:p>
        </w:tc>
        <w:tc>
          <w:tcPr>
            <w:tcW w:w="1701" w:type="dxa"/>
            <w:noWrap/>
            <w:hideMark/>
          </w:tcPr>
          <w:p w14:paraId="767A3CD0" w14:textId="38CA4219"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0.013</w:t>
            </w:r>
          </w:p>
        </w:tc>
        <w:tc>
          <w:tcPr>
            <w:tcW w:w="1559" w:type="dxa"/>
            <w:hideMark/>
          </w:tcPr>
          <w:p w14:paraId="4A7C018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2.5</w:t>
            </w:r>
          </w:p>
        </w:tc>
        <w:tc>
          <w:tcPr>
            <w:tcW w:w="1276" w:type="dxa"/>
            <w:hideMark/>
          </w:tcPr>
          <w:p w14:paraId="12529B24" w14:textId="61991D1A"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5</w:t>
            </w:r>
            <w:r>
              <w:rPr>
                <w:rFonts w:cs="Arial"/>
                <w:color w:val="000000"/>
                <w:sz w:val="18"/>
                <w:szCs w:val="18"/>
                <w:lang w:eastAsia="en-GB" w:bidi="ar-SA"/>
              </w:rPr>
              <w:t>%</w:t>
            </w:r>
          </w:p>
        </w:tc>
      </w:tr>
      <w:tr w:rsidR="00217ECE" w:rsidRPr="00491F59" w14:paraId="56B5BF38" w14:textId="77777777" w:rsidTr="000A5113">
        <w:trPr>
          <w:cantSplit/>
          <w:trHeight w:val="236"/>
        </w:trPr>
        <w:tc>
          <w:tcPr>
            <w:tcW w:w="3369" w:type="dxa"/>
            <w:hideMark/>
          </w:tcPr>
          <w:p w14:paraId="25BD56AE" w14:textId="2A10CAEE"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1,2-bis(3,5-di-tert-butyl-4- hydroxyhydrocinnamoyl)hydrazine</w:t>
            </w:r>
          </w:p>
        </w:tc>
        <w:tc>
          <w:tcPr>
            <w:tcW w:w="1417" w:type="dxa"/>
            <w:noWrap/>
            <w:hideMark/>
          </w:tcPr>
          <w:p w14:paraId="6BB31FE2"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32687-78-8</w:t>
            </w:r>
          </w:p>
        </w:tc>
        <w:tc>
          <w:tcPr>
            <w:tcW w:w="1701" w:type="dxa"/>
            <w:noWrap/>
            <w:hideMark/>
          </w:tcPr>
          <w:p w14:paraId="51DB16AA" w14:textId="732F5D98"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0.011</w:t>
            </w:r>
          </w:p>
        </w:tc>
        <w:tc>
          <w:tcPr>
            <w:tcW w:w="1559" w:type="dxa"/>
            <w:hideMark/>
          </w:tcPr>
          <w:p w14:paraId="5D015172"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3.1</w:t>
            </w:r>
          </w:p>
        </w:tc>
        <w:tc>
          <w:tcPr>
            <w:tcW w:w="1276" w:type="dxa"/>
            <w:hideMark/>
          </w:tcPr>
          <w:p w14:paraId="169E6C84" w14:textId="5894828F"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3D2F620D" w14:textId="77777777" w:rsidTr="000A5113">
        <w:trPr>
          <w:cantSplit/>
          <w:trHeight w:val="203"/>
        </w:trPr>
        <w:tc>
          <w:tcPr>
            <w:tcW w:w="3369" w:type="dxa"/>
            <w:hideMark/>
          </w:tcPr>
          <w:p w14:paraId="1575BB30" w14:textId="65D3CDFA"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2,4,7,9-tetramethyl-5-decyne-4,7-diol ethylene oxide adduct</w:t>
            </w:r>
          </w:p>
        </w:tc>
        <w:tc>
          <w:tcPr>
            <w:tcW w:w="1417" w:type="dxa"/>
            <w:noWrap/>
            <w:hideMark/>
          </w:tcPr>
          <w:p w14:paraId="609ACCDE"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9014-85-1</w:t>
            </w:r>
          </w:p>
        </w:tc>
        <w:tc>
          <w:tcPr>
            <w:tcW w:w="1701" w:type="dxa"/>
            <w:noWrap/>
            <w:hideMark/>
          </w:tcPr>
          <w:p w14:paraId="2DB255D6" w14:textId="730D2C42"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0.011</w:t>
            </w:r>
          </w:p>
        </w:tc>
        <w:tc>
          <w:tcPr>
            <w:tcW w:w="1559" w:type="dxa"/>
            <w:hideMark/>
          </w:tcPr>
          <w:p w14:paraId="2D93CFE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0.25</w:t>
            </w:r>
          </w:p>
        </w:tc>
        <w:tc>
          <w:tcPr>
            <w:tcW w:w="1276" w:type="dxa"/>
            <w:hideMark/>
          </w:tcPr>
          <w:p w14:paraId="1A9ABC1D" w14:textId="217FDAD3"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4</w:t>
            </w:r>
            <w:r w:rsidR="00651358">
              <w:rPr>
                <w:rFonts w:cs="Arial"/>
                <w:color w:val="000000"/>
                <w:sz w:val="18"/>
                <w:szCs w:val="18"/>
                <w:lang w:eastAsia="en-GB" w:bidi="ar-SA"/>
              </w:rPr>
              <w:t>%</w:t>
            </w:r>
          </w:p>
        </w:tc>
      </w:tr>
      <w:tr w:rsidR="00217ECE" w:rsidRPr="00491F59" w14:paraId="2763851C" w14:textId="77777777" w:rsidTr="000A5113">
        <w:trPr>
          <w:cantSplit/>
          <w:trHeight w:val="331"/>
        </w:trPr>
        <w:tc>
          <w:tcPr>
            <w:tcW w:w="3369" w:type="dxa"/>
            <w:hideMark/>
          </w:tcPr>
          <w:p w14:paraId="5DD16B6E" w14:textId="3CE03CCE"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2-methyl-4,6- bis((octylthio)methyl)phenol</w:t>
            </w:r>
          </w:p>
        </w:tc>
        <w:tc>
          <w:tcPr>
            <w:tcW w:w="1417" w:type="dxa"/>
            <w:noWrap/>
            <w:hideMark/>
          </w:tcPr>
          <w:p w14:paraId="46134B94"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110553-27-0</w:t>
            </w:r>
          </w:p>
        </w:tc>
        <w:tc>
          <w:tcPr>
            <w:tcW w:w="1701" w:type="dxa"/>
            <w:noWrap/>
            <w:hideMark/>
          </w:tcPr>
          <w:p w14:paraId="6D4746D4" w14:textId="5B67DD8E"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0.01</w:t>
            </w:r>
            <w:r w:rsidR="00FE4EE8">
              <w:rPr>
                <w:rFonts w:cs="Arial"/>
                <w:color w:val="000000"/>
                <w:sz w:val="18"/>
                <w:szCs w:val="18"/>
                <w:lang w:eastAsia="en-GB" w:bidi="ar-SA"/>
              </w:rPr>
              <w:t>0</w:t>
            </w:r>
          </w:p>
        </w:tc>
        <w:tc>
          <w:tcPr>
            <w:tcW w:w="1559" w:type="dxa"/>
            <w:hideMark/>
          </w:tcPr>
          <w:p w14:paraId="62751997"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0.36</w:t>
            </w:r>
          </w:p>
        </w:tc>
        <w:tc>
          <w:tcPr>
            <w:tcW w:w="1276" w:type="dxa"/>
            <w:hideMark/>
          </w:tcPr>
          <w:p w14:paraId="4163A952" w14:textId="6A511146" w:rsidR="00491F59" w:rsidRPr="00491F59" w:rsidRDefault="00217ECE"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3</w:t>
            </w:r>
            <w:r w:rsidR="00651358">
              <w:rPr>
                <w:rFonts w:cs="Arial"/>
                <w:color w:val="000000"/>
                <w:sz w:val="18"/>
                <w:szCs w:val="18"/>
                <w:lang w:eastAsia="en-GB" w:bidi="ar-SA"/>
              </w:rPr>
              <w:t>%</w:t>
            </w:r>
          </w:p>
        </w:tc>
      </w:tr>
      <w:tr w:rsidR="00217ECE" w:rsidRPr="00491F59" w14:paraId="1263E8B6" w14:textId="77777777" w:rsidTr="000A5113">
        <w:trPr>
          <w:cantSplit/>
          <w:trHeight w:val="64"/>
        </w:trPr>
        <w:tc>
          <w:tcPr>
            <w:tcW w:w="3369" w:type="dxa"/>
            <w:hideMark/>
          </w:tcPr>
          <w:p w14:paraId="2FF6403D" w14:textId="363E152F"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Trimethylolpropane</w:t>
            </w:r>
          </w:p>
        </w:tc>
        <w:tc>
          <w:tcPr>
            <w:tcW w:w="1417" w:type="dxa"/>
            <w:noWrap/>
            <w:hideMark/>
          </w:tcPr>
          <w:p w14:paraId="150B3F6D"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77-99-6</w:t>
            </w:r>
          </w:p>
        </w:tc>
        <w:tc>
          <w:tcPr>
            <w:tcW w:w="1701" w:type="dxa"/>
            <w:noWrap/>
            <w:hideMark/>
          </w:tcPr>
          <w:p w14:paraId="6B8CF536" w14:textId="40D3956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0.0072</w:t>
            </w:r>
          </w:p>
        </w:tc>
        <w:tc>
          <w:tcPr>
            <w:tcW w:w="1559" w:type="dxa"/>
            <w:hideMark/>
          </w:tcPr>
          <w:p w14:paraId="19A816C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1.7</w:t>
            </w:r>
          </w:p>
        </w:tc>
        <w:tc>
          <w:tcPr>
            <w:tcW w:w="1276" w:type="dxa"/>
            <w:hideMark/>
          </w:tcPr>
          <w:p w14:paraId="607F6573" w14:textId="23B010FD"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62E953F4" w14:textId="77777777" w:rsidTr="000A5113">
        <w:trPr>
          <w:cantSplit/>
          <w:trHeight w:val="160"/>
        </w:trPr>
        <w:tc>
          <w:tcPr>
            <w:tcW w:w="3369" w:type="dxa"/>
            <w:hideMark/>
          </w:tcPr>
          <w:p w14:paraId="1DE3523B" w14:textId="1032DADF"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1,4-butylene glycol</w:t>
            </w:r>
          </w:p>
        </w:tc>
        <w:tc>
          <w:tcPr>
            <w:tcW w:w="1417" w:type="dxa"/>
            <w:noWrap/>
            <w:hideMark/>
          </w:tcPr>
          <w:p w14:paraId="34D6592E"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110-63-4</w:t>
            </w:r>
          </w:p>
        </w:tc>
        <w:tc>
          <w:tcPr>
            <w:tcW w:w="1701" w:type="dxa"/>
            <w:noWrap/>
            <w:hideMark/>
          </w:tcPr>
          <w:p w14:paraId="1E2818F2" w14:textId="4B2D0755"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0.0029</w:t>
            </w:r>
          </w:p>
        </w:tc>
        <w:tc>
          <w:tcPr>
            <w:tcW w:w="1559" w:type="dxa"/>
            <w:hideMark/>
          </w:tcPr>
          <w:p w14:paraId="0351D096"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8.0</w:t>
            </w:r>
          </w:p>
        </w:tc>
        <w:tc>
          <w:tcPr>
            <w:tcW w:w="1276" w:type="dxa"/>
            <w:hideMark/>
          </w:tcPr>
          <w:p w14:paraId="74BBC7B5" w14:textId="26D5FCFD"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39281420" w14:textId="77777777" w:rsidTr="000A5113">
        <w:trPr>
          <w:cantSplit/>
          <w:trHeight w:val="64"/>
        </w:trPr>
        <w:tc>
          <w:tcPr>
            <w:tcW w:w="3369" w:type="dxa"/>
            <w:hideMark/>
          </w:tcPr>
          <w:p w14:paraId="2C46A94F" w14:textId="3F194738"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lastRenderedPageBreak/>
              <w:t>2-(2'-hydroxy-5'- methylphenyl)benzotriazole</w:t>
            </w:r>
          </w:p>
        </w:tc>
        <w:tc>
          <w:tcPr>
            <w:tcW w:w="1417" w:type="dxa"/>
            <w:noWrap/>
            <w:hideMark/>
          </w:tcPr>
          <w:p w14:paraId="2DDA043B"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2440-22-4</w:t>
            </w:r>
          </w:p>
        </w:tc>
        <w:tc>
          <w:tcPr>
            <w:tcW w:w="1701" w:type="dxa"/>
            <w:noWrap/>
            <w:hideMark/>
          </w:tcPr>
          <w:p w14:paraId="1FE11EAE"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0.0029</w:t>
            </w:r>
          </w:p>
        </w:tc>
        <w:tc>
          <w:tcPr>
            <w:tcW w:w="1559" w:type="dxa"/>
            <w:hideMark/>
          </w:tcPr>
          <w:p w14:paraId="1A62CB7C"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1.2</w:t>
            </w:r>
          </w:p>
        </w:tc>
        <w:tc>
          <w:tcPr>
            <w:tcW w:w="1276" w:type="dxa"/>
            <w:hideMark/>
          </w:tcPr>
          <w:p w14:paraId="5B251874" w14:textId="0B9656F6"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2</w:t>
            </w:r>
            <w:r>
              <w:rPr>
                <w:rFonts w:cs="Arial"/>
                <w:color w:val="000000"/>
                <w:sz w:val="18"/>
                <w:szCs w:val="18"/>
                <w:lang w:eastAsia="en-GB" w:bidi="ar-SA"/>
              </w:rPr>
              <w:t>%</w:t>
            </w:r>
          </w:p>
        </w:tc>
      </w:tr>
      <w:tr w:rsidR="00217ECE" w:rsidRPr="00491F59" w14:paraId="2C6937E9" w14:textId="77777777" w:rsidTr="000A5113">
        <w:trPr>
          <w:cantSplit/>
          <w:trHeight w:val="201"/>
        </w:trPr>
        <w:tc>
          <w:tcPr>
            <w:tcW w:w="3369" w:type="dxa"/>
            <w:hideMark/>
          </w:tcPr>
          <w:p w14:paraId="5198DE60" w14:textId="4447C89C"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2,4-di-tert-pentyl-6-(1-(3,5-di-tert- pentyl-2-hydroxyphenyl)ethyl)phenyl acrylate</w:t>
            </w:r>
          </w:p>
        </w:tc>
        <w:tc>
          <w:tcPr>
            <w:tcW w:w="1417" w:type="dxa"/>
            <w:noWrap/>
            <w:hideMark/>
          </w:tcPr>
          <w:p w14:paraId="7097DF0A"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123968-25-2</w:t>
            </w:r>
          </w:p>
        </w:tc>
        <w:tc>
          <w:tcPr>
            <w:tcW w:w="1701" w:type="dxa"/>
            <w:noWrap/>
            <w:hideMark/>
          </w:tcPr>
          <w:p w14:paraId="0D547E7E" w14:textId="5C720E6C"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0.0028</w:t>
            </w:r>
          </w:p>
        </w:tc>
        <w:tc>
          <w:tcPr>
            <w:tcW w:w="1559" w:type="dxa"/>
            <w:hideMark/>
          </w:tcPr>
          <w:p w14:paraId="7D8564F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55</w:t>
            </w:r>
          </w:p>
        </w:tc>
        <w:tc>
          <w:tcPr>
            <w:tcW w:w="1276" w:type="dxa"/>
            <w:hideMark/>
          </w:tcPr>
          <w:p w14:paraId="0180271D" w14:textId="10BDE13D"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0.005%</w:t>
            </w:r>
          </w:p>
        </w:tc>
      </w:tr>
      <w:tr w:rsidR="00217ECE" w:rsidRPr="00491F59" w14:paraId="776B24A2" w14:textId="77777777" w:rsidTr="000A5113">
        <w:trPr>
          <w:cantSplit/>
          <w:trHeight w:val="128"/>
        </w:trPr>
        <w:tc>
          <w:tcPr>
            <w:tcW w:w="3369" w:type="dxa"/>
            <w:hideMark/>
          </w:tcPr>
          <w:p w14:paraId="5B92BE36" w14:textId="2B230AAD"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1,4-cyclohexanedimethanol</w:t>
            </w:r>
          </w:p>
        </w:tc>
        <w:tc>
          <w:tcPr>
            <w:tcW w:w="1417" w:type="dxa"/>
            <w:noWrap/>
            <w:hideMark/>
          </w:tcPr>
          <w:p w14:paraId="2797F76C"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105-08-8</w:t>
            </w:r>
          </w:p>
        </w:tc>
        <w:tc>
          <w:tcPr>
            <w:tcW w:w="1701" w:type="dxa"/>
            <w:noWrap/>
            <w:hideMark/>
          </w:tcPr>
          <w:p w14:paraId="0BFBA548"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0.0027</w:t>
            </w:r>
          </w:p>
        </w:tc>
        <w:tc>
          <w:tcPr>
            <w:tcW w:w="1559" w:type="dxa"/>
            <w:hideMark/>
          </w:tcPr>
          <w:p w14:paraId="500073BA"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3.6</w:t>
            </w:r>
          </w:p>
        </w:tc>
        <w:tc>
          <w:tcPr>
            <w:tcW w:w="1276" w:type="dxa"/>
            <w:hideMark/>
          </w:tcPr>
          <w:p w14:paraId="3C6485BB" w14:textId="1E87CD06"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0.08%</w:t>
            </w:r>
          </w:p>
        </w:tc>
      </w:tr>
      <w:tr w:rsidR="00217ECE" w:rsidRPr="00491F59" w14:paraId="28A81290" w14:textId="77777777" w:rsidTr="000A5113">
        <w:trPr>
          <w:cantSplit/>
          <w:trHeight w:val="64"/>
        </w:trPr>
        <w:tc>
          <w:tcPr>
            <w:tcW w:w="3369" w:type="dxa"/>
            <w:hideMark/>
          </w:tcPr>
          <w:p w14:paraId="6469428D" w14:textId="7DC1D565"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Acetone</w:t>
            </w:r>
          </w:p>
        </w:tc>
        <w:tc>
          <w:tcPr>
            <w:tcW w:w="1417" w:type="dxa"/>
            <w:noWrap/>
            <w:hideMark/>
          </w:tcPr>
          <w:p w14:paraId="352B040C"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67-64-1</w:t>
            </w:r>
          </w:p>
        </w:tc>
        <w:tc>
          <w:tcPr>
            <w:tcW w:w="1701" w:type="dxa"/>
            <w:noWrap/>
            <w:hideMark/>
          </w:tcPr>
          <w:p w14:paraId="4E471E9E"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196E8092"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62</w:t>
            </w:r>
          </w:p>
        </w:tc>
        <w:tc>
          <w:tcPr>
            <w:tcW w:w="1276" w:type="dxa"/>
            <w:hideMark/>
          </w:tcPr>
          <w:p w14:paraId="3F472D77" w14:textId="69DEAC60"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037D87A2" w14:textId="77777777" w:rsidTr="000A5113">
        <w:trPr>
          <w:cantSplit/>
          <w:trHeight w:val="64"/>
        </w:trPr>
        <w:tc>
          <w:tcPr>
            <w:tcW w:w="3369" w:type="dxa"/>
            <w:hideMark/>
          </w:tcPr>
          <w:p w14:paraId="52DCDA1B" w14:textId="3AF364A5"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Alumin</w:t>
            </w:r>
            <w:r>
              <w:rPr>
                <w:rFonts w:cs="Arial"/>
                <w:color w:val="000000"/>
                <w:sz w:val="18"/>
                <w:szCs w:val="18"/>
                <w:lang w:eastAsia="en-GB" w:bidi="ar-SA"/>
              </w:rPr>
              <w:t>i</w:t>
            </w:r>
            <w:r w:rsidRPr="00491F59">
              <w:rPr>
                <w:rFonts w:cs="Arial"/>
                <w:color w:val="000000"/>
                <w:sz w:val="18"/>
                <w:szCs w:val="18"/>
                <w:lang w:eastAsia="en-GB" w:bidi="ar-SA"/>
              </w:rPr>
              <w:t>um oxide</w:t>
            </w:r>
          </w:p>
        </w:tc>
        <w:tc>
          <w:tcPr>
            <w:tcW w:w="1417" w:type="dxa"/>
            <w:noWrap/>
            <w:hideMark/>
          </w:tcPr>
          <w:p w14:paraId="7DA815B2"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1344-28-1</w:t>
            </w:r>
          </w:p>
        </w:tc>
        <w:tc>
          <w:tcPr>
            <w:tcW w:w="1701" w:type="dxa"/>
            <w:noWrap/>
            <w:hideMark/>
          </w:tcPr>
          <w:p w14:paraId="34555057"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47F7EB0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3.3</w:t>
            </w:r>
          </w:p>
        </w:tc>
        <w:tc>
          <w:tcPr>
            <w:tcW w:w="1276" w:type="dxa"/>
            <w:hideMark/>
          </w:tcPr>
          <w:p w14:paraId="0D013C93" w14:textId="5D2ADB94" w:rsidR="00491F59" w:rsidRPr="00491F59" w:rsidRDefault="0065135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0.08%</w:t>
            </w:r>
          </w:p>
        </w:tc>
      </w:tr>
      <w:tr w:rsidR="00217ECE" w:rsidRPr="00491F59" w14:paraId="6CD18232" w14:textId="77777777" w:rsidTr="000A5113">
        <w:trPr>
          <w:cantSplit/>
          <w:trHeight w:val="271"/>
        </w:trPr>
        <w:tc>
          <w:tcPr>
            <w:tcW w:w="3369" w:type="dxa"/>
            <w:hideMark/>
          </w:tcPr>
          <w:p w14:paraId="01C8F61F" w14:textId="49AE3350"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Phospho</w:t>
            </w:r>
            <w:r>
              <w:rPr>
                <w:rFonts w:cs="Arial"/>
                <w:color w:val="000000"/>
                <w:sz w:val="18"/>
                <w:szCs w:val="18"/>
                <w:lang w:eastAsia="en-GB" w:bidi="ar-SA"/>
              </w:rPr>
              <w:t xml:space="preserve">rothioic acid, </w:t>
            </w:r>
            <w:proofErr w:type="spellStart"/>
            <w:r>
              <w:rPr>
                <w:rFonts w:cs="Arial"/>
                <w:color w:val="000000"/>
                <w:sz w:val="18"/>
                <w:szCs w:val="18"/>
                <w:lang w:eastAsia="en-GB" w:bidi="ar-SA"/>
              </w:rPr>
              <w:t>O,O,O</w:t>
            </w:r>
            <w:proofErr w:type="spellEnd"/>
            <w:r w:rsidRPr="00491F59">
              <w:rPr>
                <w:rFonts w:cs="Arial"/>
                <w:color w:val="000000"/>
                <w:sz w:val="18"/>
                <w:szCs w:val="18"/>
                <w:lang w:eastAsia="en-GB" w:bidi="ar-SA"/>
              </w:rPr>
              <w:t>-triphenyl esters, tert-butyl derivatives</w:t>
            </w:r>
          </w:p>
        </w:tc>
        <w:tc>
          <w:tcPr>
            <w:tcW w:w="1417" w:type="dxa"/>
            <w:noWrap/>
            <w:hideMark/>
          </w:tcPr>
          <w:p w14:paraId="1596B372"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192268-65-8</w:t>
            </w:r>
          </w:p>
        </w:tc>
        <w:tc>
          <w:tcPr>
            <w:tcW w:w="1701" w:type="dxa"/>
            <w:noWrap/>
            <w:hideMark/>
          </w:tcPr>
          <w:p w14:paraId="516EC806"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21FC7416"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0.080</w:t>
            </w:r>
          </w:p>
        </w:tc>
        <w:tc>
          <w:tcPr>
            <w:tcW w:w="1276" w:type="dxa"/>
            <w:hideMark/>
          </w:tcPr>
          <w:p w14:paraId="6CFE24AA" w14:textId="1C44E29B"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w:t>
            </w:r>
            <w:r w:rsidR="002321A4">
              <w:rPr>
                <w:rFonts w:cs="Arial"/>
                <w:color w:val="000000"/>
                <w:sz w:val="18"/>
                <w:szCs w:val="18"/>
                <w:lang w:eastAsia="en-GB" w:bidi="ar-SA"/>
              </w:rPr>
              <w:t>%</w:t>
            </w:r>
          </w:p>
        </w:tc>
      </w:tr>
      <w:tr w:rsidR="00217ECE" w:rsidRPr="00491F59" w14:paraId="6356C463" w14:textId="77777777" w:rsidTr="000A5113">
        <w:trPr>
          <w:cantSplit/>
          <w:trHeight w:val="109"/>
        </w:trPr>
        <w:tc>
          <w:tcPr>
            <w:tcW w:w="3369" w:type="dxa"/>
            <w:hideMark/>
          </w:tcPr>
          <w:p w14:paraId="3C7C9C58" w14:textId="4C84ABBA" w:rsidR="00491F59" w:rsidRPr="00491F59" w:rsidRDefault="005F177A" w:rsidP="000A5113">
            <w:pPr>
              <w:widowControl/>
              <w:spacing w:before="40" w:after="20"/>
              <w:rPr>
                <w:rFonts w:cs="Arial"/>
                <w:color w:val="000000"/>
                <w:sz w:val="18"/>
                <w:szCs w:val="18"/>
                <w:lang w:eastAsia="en-GB" w:bidi="ar-SA"/>
              </w:rPr>
            </w:pPr>
            <w:r>
              <w:rPr>
                <w:rFonts w:cs="Arial"/>
                <w:color w:val="000000"/>
                <w:sz w:val="18"/>
                <w:szCs w:val="18"/>
                <w:lang w:eastAsia="en-GB" w:bidi="ar-SA"/>
              </w:rPr>
              <w:t>Tri(2(or 4)-C</w:t>
            </w:r>
            <w:r w:rsidR="006D16DA" w:rsidRPr="00491F59">
              <w:rPr>
                <w:rFonts w:cs="Arial"/>
                <w:color w:val="000000"/>
                <w:sz w:val="18"/>
                <w:szCs w:val="18"/>
                <w:lang w:eastAsia="en-GB" w:bidi="ar-SA"/>
              </w:rPr>
              <w:t>9-10-branched alkylphenyl) phosphorothioate</w:t>
            </w:r>
          </w:p>
        </w:tc>
        <w:tc>
          <w:tcPr>
            <w:tcW w:w="1417" w:type="dxa"/>
            <w:noWrap/>
            <w:hideMark/>
          </w:tcPr>
          <w:p w14:paraId="1386B044"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126019-82-7</w:t>
            </w:r>
          </w:p>
        </w:tc>
        <w:tc>
          <w:tcPr>
            <w:tcW w:w="1701" w:type="dxa"/>
            <w:noWrap/>
            <w:hideMark/>
          </w:tcPr>
          <w:p w14:paraId="3124E17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6EE9837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1.6</w:t>
            </w:r>
          </w:p>
        </w:tc>
        <w:tc>
          <w:tcPr>
            <w:tcW w:w="1276" w:type="dxa"/>
            <w:hideMark/>
          </w:tcPr>
          <w:p w14:paraId="0F6651A4" w14:textId="3F83EBA5" w:rsidR="00491F59" w:rsidRPr="00491F59" w:rsidRDefault="00046175"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2</w:t>
            </w:r>
            <w:r>
              <w:rPr>
                <w:rFonts w:cs="Arial"/>
                <w:color w:val="000000"/>
                <w:sz w:val="18"/>
                <w:szCs w:val="18"/>
                <w:lang w:eastAsia="en-GB" w:bidi="ar-SA"/>
              </w:rPr>
              <w:t>%</w:t>
            </w:r>
          </w:p>
        </w:tc>
      </w:tr>
      <w:tr w:rsidR="00217ECE" w:rsidRPr="00491F59" w14:paraId="54879F49" w14:textId="77777777" w:rsidTr="000A5113">
        <w:trPr>
          <w:cantSplit/>
          <w:trHeight w:val="64"/>
        </w:trPr>
        <w:tc>
          <w:tcPr>
            <w:tcW w:w="3369" w:type="dxa"/>
            <w:hideMark/>
          </w:tcPr>
          <w:p w14:paraId="12B8F291" w14:textId="515DA125"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 xml:space="preserve">Triphenylphosphorothioate, </w:t>
            </w:r>
            <w:proofErr w:type="spellStart"/>
            <w:r w:rsidRPr="00491F59">
              <w:rPr>
                <w:rFonts w:cs="Arial"/>
                <w:color w:val="000000"/>
                <w:sz w:val="18"/>
                <w:szCs w:val="18"/>
                <w:lang w:eastAsia="en-GB" w:bidi="ar-SA"/>
              </w:rPr>
              <w:t>O,O,O</w:t>
            </w:r>
            <w:proofErr w:type="spellEnd"/>
            <w:r w:rsidRPr="00491F59">
              <w:rPr>
                <w:rFonts w:cs="Arial"/>
                <w:color w:val="000000"/>
                <w:sz w:val="18"/>
                <w:szCs w:val="18"/>
                <w:lang w:eastAsia="en-GB" w:bidi="ar-SA"/>
              </w:rPr>
              <w:t>-</w:t>
            </w:r>
          </w:p>
        </w:tc>
        <w:tc>
          <w:tcPr>
            <w:tcW w:w="1417" w:type="dxa"/>
            <w:noWrap/>
            <w:hideMark/>
          </w:tcPr>
          <w:p w14:paraId="5C3E6E07"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597-82-0</w:t>
            </w:r>
          </w:p>
        </w:tc>
        <w:tc>
          <w:tcPr>
            <w:tcW w:w="1701" w:type="dxa"/>
            <w:noWrap/>
            <w:hideMark/>
          </w:tcPr>
          <w:p w14:paraId="620FFC13"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1A465692"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0.21</w:t>
            </w:r>
          </w:p>
        </w:tc>
        <w:tc>
          <w:tcPr>
            <w:tcW w:w="1276" w:type="dxa"/>
            <w:hideMark/>
          </w:tcPr>
          <w:p w14:paraId="1773E793" w14:textId="29229B81"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w:t>
            </w:r>
            <w:r w:rsidR="00046175">
              <w:rPr>
                <w:rFonts w:cs="Arial"/>
                <w:color w:val="000000"/>
                <w:sz w:val="18"/>
                <w:szCs w:val="18"/>
                <w:lang w:eastAsia="en-GB" w:bidi="ar-SA"/>
              </w:rPr>
              <w:t>%</w:t>
            </w:r>
          </w:p>
        </w:tc>
      </w:tr>
      <w:tr w:rsidR="00217ECE" w:rsidRPr="00491F59" w14:paraId="51E84DD4" w14:textId="77777777" w:rsidTr="000A5113">
        <w:trPr>
          <w:cantSplit/>
          <w:trHeight w:val="64"/>
        </w:trPr>
        <w:tc>
          <w:tcPr>
            <w:tcW w:w="3369" w:type="dxa"/>
            <w:hideMark/>
          </w:tcPr>
          <w:p w14:paraId="71F685CA" w14:textId="3A838785"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Gum rosin</w:t>
            </w:r>
          </w:p>
        </w:tc>
        <w:tc>
          <w:tcPr>
            <w:tcW w:w="1417" w:type="dxa"/>
            <w:noWrap/>
            <w:hideMark/>
          </w:tcPr>
          <w:p w14:paraId="19778129"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8050-09-7</w:t>
            </w:r>
          </w:p>
        </w:tc>
        <w:tc>
          <w:tcPr>
            <w:tcW w:w="1701" w:type="dxa"/>
            <w:noWrap/>
            <w:hideMark/>
          </w:tcPr>
          <w:p w14:paraId="18A2AF3B"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342919CA"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10</w:t>
            </w:r>
          </w:p>
        </w:tc>
        <w:tc>
          <w:tcPr>
            <w:tcW w:w="1276" w:type="dxa"/>
            <w:hideMark/>
          </w:tcPr>
          <w:p w14:paraId="27CF2C6E" w14:textId="0A1FF2C1" w:rsidR="00491F59" w:rsidRPr="00491F59" w:rsidRDefault="00046175"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0.025%</w:t>
            </w:r>
          </w:p>
        </w:tc>
      </w:tr>
      <w:tr w:rsidR="00217ECE" w:rsidRPr="00491F59" w14:paraId="4E2ECD27" w14:textId="77777777" w:rsidTr="000A5113">
        <w:trPr>
          <w:cantSplit/>
          <w:trHeight w:val="64"/>
        </w:trPr>
        <w:tc>
          <w:tcPr>
            <w:tcW w:w="3369" w:type="dxa"/>
            <w:hideMark/>
          </w:tcPr>
          <w:p w14:paraId="57FE9DFF" w14:textId="162033C9"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Oleoyl sarcosine</w:t>
            </w:r>
          </w:p>
        </w:tc>
        <w:tc>
          <w:tcPr>
            <w:tcW w:w="1417" w:type="dxa"/>
            <w:noWrap/>
            <w:hideMark/>
          </w:tcPr>
          <w:p w14:paraId="5E0033A0"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110-25-8</w:t>
            </w:r>
          </w:p>
        </w:tc>
        <w:tc>
          <w:tcPr>
            <w:tcW w:w="1701" w:type="dxa"/>
            <w:noWrap/>
            <w:hideMark/>
          </w:tcPr>
          <w:p w14:paraId="48C961DB"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70BBFB80"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5.0</w:t>
            </w:r>
          </w:p>
        </w:tc>
        <w:tc>
          <w:tcPr>
            <w:tcW w:w="1276" w:type="dxa"/>
            <w:hideMark/>
          </w:tcPr>
          <w:p w14:paraId="76AC61BF" w14:textId="52078C35"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0.05%</w:t>
            </w:r>
          </w:p>
        </w:tc>
      </w:tr>
      <w:tr w:rsidR="00217ECE" w:rsidRPr="00491F59" w14:paraId="0DC7E615" w14:textId="77777777" w:rsidTr="000A5113">
        <w:trPr>
          <w:cantSplit/>
          <w:trHeight w:val="92"/>
        </w:trPr>
        <w:tc>
          <w:tcPr>
            <w:tcW w:w="3369" w:type="dxa"/>
            <w:hideMark/>
          </w:tcPr>
          <w:p w14:paraId="7481393E" w14:textId="0AF95E93"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Thioethylene glycol bis(3,5-di-tert- butyl-4-hydroxyhydrocinnamate)</w:t>
            </w:r>
          </w:p>
        </w:tc>
        <w:tc>
          <w:tcPr>
            <w:tcW w:w="1417" w:type="dxa"/>
            <w:noWrap/>
            <w:hideMark/>
          </w:tcPr>
          <w:p w14:paraId="1C7DE4D4"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41484-35-9</w:t>
            </w:r>
          </w:p>
        </w:tc>
        <w:tc>
          <w:tcPr>
            <w:tcW w:w="1701" w:type="dxa"/>
            <w:noWrap/>
            <w:hideMark/>
          </w:tcPr>
          <w:p w14:paraId="24C062AC"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0396292B"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0.69</w:t>
            </w:r>
          </w:p>
        </w:tc>
        <w:tc>
          <w:tcPr>
            <w:tcW w:w="1276" w:type="dxa"/>
            <w:hideMark/>
          </w:tcPr>
          <w:p w14:paraId="32B61171" w14:textId="0113A4DE"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r w:rsidR="00217ECE" w:rsidRPr="00491F59" w14:paraId="797CEAFE" w14:textId="77777777" w:rsidTr="000A5113">
        <w:trPr>
          <w:cantSplit/>
          <w:trHeight w:val="300"/>
        </w:trPr>
        <w:tc>
          <w:tcPr>
            <w:tcW w:w="3369" w:type="dxa"/>
            <w:hideMark/>
          </w:tcPr>
          <w:p w14:paraId="48D278CA" w14:textId="7825EE94"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4-chloro-3-methylphenol</w:t>
            </w:r>
          </w:p>
        </w:tc>
        <w:tc>
          <w:tcPr>
            <w:tcW w:w="1417" w:type="dxa"/>
            <w:noWrap/>
            <w:hideMark/>
          </w:tcPr>
          <w:p w14:paraId="4D70A9F6"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59-50-7</w:t>
            </w:r>
          </w:p>
        </w:tc>
        <w:tc>
          <w:tcPr>
            <w:tcW w:w="1701" w:type="dxa"/>
            <w:noWrap/>
            <w:hideMark/>
          </w:tcPr>
          <w:p w14:paraId="76350E44"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0.0025</w:t>
            </w:r>
          </w:p>
        </w:tc>
        <w:tc>
          <w:tcPr>
            <w:tcW w:w="1559" w:type="dxa"/>
            <w:hideMark/>
          </w:tcPr>
          <w:p w14:paraId="6C7146FA"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0.89</w:t>
            </w:r>
          </w:p>
        </w:tc>
        <w:tc>
          <w:tcPr>
            <w:tcW w:w="1276" w:type="dxa"/>
            <w:hideMark/>
          </w:tcPr>
          <w:p w14:paraId="50BCE3D3" w14:textId="32A40AF0"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3</w:t>
            </w:r>
            <w:r>
              <w:rPr>
                <w:rFonts w:cs="Arial"/>
                <w:color w:val="000000"/>
                <w:sz w:val="18"/>
                <w:szCs w:val="18"/>
                <w:lang w:eastAsia="en-GB" w:bidi="ar-SA"/>
              </w:rPr>
              <w:t>%</w:t>
            </w:r>
          </w:p>
        </w:tc>
      </w:tr>
      <w:tr w:rsidR="00217ECE" w:rsidRPr="00491F59" w14:paraId="0735C249" w14:textId="77777777" w:rsidTr="000A5113">
        <w:trPr>
          <w:cantSplit/>
          <w:trHeight w:val="133"/>
        </w:trPr>
        <w:tc>
          <w:tcPr>
            <w:tcW w:w="3369" w:type="dxa"/>
            <w:hideMark/>
          </w:tcPr>
          <w:p w14:paraId="48500E34" w14:textId="19C8DFF6"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Phthalic anhydride</w:t>
            </w:r>
          </w:p>
        </w:tc>
        <w:tc>
          <w:tcPr>
            <w:tcW w:w="1417" w:type="dxa"/>
            <w:noWrap/>
            <w:hideMark/>
          </w:tcPr>
          <w:p w14:paraId="423DCB5D"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85-44-9</w:t>
            </w:r>
          </w:p>
        </w:tc>
        <w:tc>
          <w:tcPr>
            <w:tcW w:w="1701" w:type="dxa"/>
            <w:noWrap/>
            <w:hideMark/>
          </w:tcPr>
          <w:p w14:paraId="57AF8CE5" w14:textId="1EA01CD4"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0.0024</w:t>
            </w:r>
          </w:p>
        </w:tc>
        <w:tc>
          <w:tcPr>
            <w:tcW w:w="1559" w:type="dxa"/>
            <w:hideMark/>
          </w:tcPr>
          <w:p w14:paraId="04BD0C6E"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5.0</w:t>
            </w:r>
          </w:p>
        </w:tc>
        <w:tc>
          <w:tcPr>
            <w:tcW w:w="1276" w:type="dxa"/>
            <w:hideMark/>
          </w:tcPr>
          <w:p w14:paraId="63928644" w14:textId="7AC3FFAA"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w:t>
            </w:r>
            <w:r w:rsidR="00645BF4">
              <w:rPr>
                <w:rFonts w:cs="Arial"/>
                <w:color w:val="000000"/>
                <w:sz w:val="18"/>
                <w:szCs w:val="18"/>
                <w:lang w:eastAsia="en-GB" w:bidi="ar-SA"/>
              </w:rPr>
              <w:t>5</w:t>
            </w:r>
            <w:r>
              <w:rPr>
                <w:rFonts w:cs="Arial"/>
                <w:color w:val="000000"/>
                <w:sz w:val="18"/>
                <w:szCs w:val="18"/>
                <w:lang w:eastAsia="en-GB" w:bidi="ar-SA"/>
              </w:rPr>
              <w:t>%</w:t>
            </w:r>
          </w:p>
        </w:tc>
      </w:tr>
      <w:tr w:rsidR="00217ECE" w:rsidRPr="00491F59" w14:paraId="2AC391E7" w14:textId="77777777" w:rsidTr="000A5113">
        <w:trPr>
          <w:cantSplit/>
          <w:trHeight w:val="734"/>
        </w:trPr>
        <w:tc>
          <w:tcPr>
            <w:tcW w:w="3369" w:type="dxa"/>
            <w:hideMark/>
          </w:tcPr>
          <w:p w14:paraId="346B2D5B" w14:textId="46B456F0"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Benzenesulfonic acid, 2,2'-(1,2-ethenediyl)bis[5-[[4-bis(2-hydroxyethyl)amino]-6-[(4-sulfophenyl)amino]-1,3,5-triazin-2-yl]amino]-, tetrasodium salt</w:t>
            </w:r>
          </w:p>
        </w:tc>
        <w:tc>
          <w:tcPr>
            <w:tcW w:w="1417" w:type="dxa"/>
            <w:noWrap/>
            <w:hideMark/>
          </w:tcPr>
          <w:p w14:paraId="0EB7D6CD"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16470-24-9</w:t>
            </w:r>
          </w:p>
        </w:tc>
        <w:tc>
          <w:tcPr>
            <w:tcW w:w="1701" w:type="dxa"/>
            <w:noWrap/>
            <w:hideMark/>
          </w:tcPr>
          <w:p w14:paraId="3DB828AD"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0.0023</w:t>
            </w:r>
          </w:p>
        </w:tc>
        <w:tc>
          <w:tcPr>
            <w:tcW w:w="1559" w:type="dxa"/>
            <w:hideMark/>
          </w:tcPr>
          <w:p w14:paraId="5CFD4325"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3.0</w:t>
            </w:r>
          </w:p>
        </w:tc>
        <w:tc>
          <w:tcPr>
            <w:tcW w:w="1276" w:type="dxa"/>
            <w:hideMark/>
          </w:tcPr>
          <w:p w14:paraId="7B05DB86" w14:textId="3E5B7A92"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0.08%</w:t>
            </w:r>
          </w:p>
        </w:tc>
      </w:tr>
      <w:tr w:rsidR="00217ECE" w:rsidRPr="00491F59" w14:paraId="6F71C726" w14:textId="77777777" w:rsidTr="000A5113">
        <w:trPr>
          <w:cantSplit/>
          <w:trHeight w:val="1174"/>
        </w:trPr>
        <w:tc>
          <w:tcPr>
            <w:tcW w:w="3369" w:type="dxa"/>
            <w:hideMark/>
          </w:tcPr>
          <w:p w14:paraId="2BC105E3" w14:textId="0C0D0EF2" w:rsidR="00491F59" w:rsidRPr="00491F59" w:rsidRDefault="005F177A" w:rsidP="000A5113">
            <w:pPr>
              <w:widowControl/>
              <w:spacing w:before="40" w:after="20"/>
              <w:rPr>
                <w:rFonts w:cs="Arial"/>
                <w:color w:val="000000"/>
                <w:sz w:val="18"/>
                <w:szCs w:val="18"/>
                <w:lang w:eastAsia="en-GB" w:bidi="ar-SA"/>
              </w:rPr>
            </w:pPr>
            <w:r>
              <w:rPr>
                <w:rFonts w:cs="Arial"/>
                <w:color w:val="000000"/>
                <w:sz w:val="18"/>
                <w:szCs w:val="18"/>
                <w:lang w:eastAsia="en-GB" w:bidi="ar-SA"/>
              </w:rPr>
              <w:t>1,3,5-triazine-2,4,6-triamine, N,N"'-1,2-ethanediylbis[N</w:t>
            </w:r>
            <w:r w:rsidR="006D16DA" w:rsidRPr="00491F59">
              <w:rPr>
                <w:rFonts w:cs="Arial"/>
                <w:color w:val="000000"/>
                <w:sz w:val="18"/>
                <w:szCs w:val="18"/>
                <w:lang w:eastAsia="en-GB" w:bidi="ar-SA"/>
              </w:rPr>
              <w:t>-[3-[[4,6-bis[butyl(1,2,2,6,6-pentamethyl-4-piperidinyl)amino]-1,3</w:t>
            </w:r>
            <w:r>
              <w:rPr>
                <w:rFonts w:cs="Arial"/>
                <w:color w:val="000000"/>
                <w:sz w:val="18"/>
                <w:szCs w:val="18"/>
                <w:lang w:eastAsia="en-GB" w:bidi="ar-SA"/>
              </w:rPr>
              <w:t>,5-triazin-2-yl]amino]propyl]-N',N''-dibutyl-N',N</w:t>
            </w:r>
            <w:r w:rsidR="006D16DA" w:rsidRPr="00491F59">
              <w:rPr>
                <w:rFonts w:cs="Arial"/>
                <w:color w:val="000000"/>
                <w:sz w:val="18"/>
                <w:szCs w:val="18"/>
                <w:lang w:eastAsia="en-GB" w:bidi="ar-SA"/>
              </w:rPr>
              <w:t>"-bis(1,2,2,6,6-pentamethyl-4-piperidinyl)-</w:t>
            </w:r>
          </w:p>
        </w:tc>
        <w:tc>
          <w:tcPr>
            <w:tcW w:w="1417" w:type="dxa"/>
            <w:noWrap/>
            <w:hideMark/>
          </w:tcPr>
          <w:p w14:paraId="270BAD6F"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106990-43-6</w:t>
            </w:r>
          </w:p>
        </w:tc>
        <w:tc>
          <w:tcPr>
            <w:tcW w:w="1701" w:type="dxa"/>
            <w:noWrap/>
            <w:hideMark/>
          </w:tcPr>
          <w:p w14:paraId="0609383F" w14:textId="415B163C" w:rsidR="00491F59" w:rsidRPr="00491F59" w:rsidRDefault="00FE4EE8"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0.0023</w:t>
            </w:r>
          </w:p>
        </w:tc>
        <w:tc>
          <w:tcPr>
            <w:tcW w:w="1559" w:type="dxa"/>
            <w:hideMark/>
          </w:tcPr>
          <w:p w14:paraId="2ABF6FDA"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0.025</w:t>
            </w:r>
          </w:p>
        </w:tc>
        <w:tc>
          <w:tcPr>
            <w:tcW w:w="1276" w:type="dxa"/>
            <w:hideMark/>
          </w:tcPr>
          <w:p w14:paraId="0D32C30F" w14:textId="06E2024B"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9</w:t>
            </w:r>
            <w:r w:rsidR="00340F22">
              <w:rPr>
                <w:rFonts w:cs="Arial"/>
                <w:color w:val="000000"/>
                <w:sz w:val="18"/>
                <w:szCs w:val="18"/>
                <w:lang w:eastAsia="en-GB" w:bidi="ar-SA"/>
              </w:rPr>
              <w:t>%</w:t>
            </w:r>
          </w:p>
        </w:tc>
      </w:tr>
      <w:tr w:rsidR="00394B59" w:rsidRPr="00491F59" w14:paraId="1D3F9F43" w14:textId="77777777" w:rsidTr="000A5113">
        <w:trPr>
          <w:cantSplit/>
          <w:trHeight w:val="301"/>
        </w:trPr>
        <w:tc>
          <w:tcPr>
            <w:tcW w:w="3369" w:type="dxa"/>
          </w:tcPr>
          <w:p w14:paraId="3087258E" w14:textId="2267C411" w:rsidR="00394B59" w:rsidRDefault="00394B59" w:rsidP="000A5113">
            <w:pPr>
              <w:widowControl/>
              <w:spacing w:before="40" w:after="20"/>
              <w:rPr>
                <w:rFonts w:cs="Arial"/>
                <w:color w:val="000000"/>
                <w:sz w:val="18"/>
                <w:szCs w:val="18"/>
                <w:lang w:eastAsia="en-GB" w:bidi="ar-SA"/>
              </w:rPr>
            </w:pPr>
            <w:r w:rsidRPr="00394B59">
              <w:rPr>
                <w:rFonts w:cs="Arial"/>
                <w:color w:val="000000"/>
                <w:sz w:val="18"/>
                <w:szCs w:val="18"/>
                <w:lang w:eastAsia="en-GB" w:bidi="ar-SA"/>
              </w:rPr>
              <w:t>O</w:t>
            </w:r>
            <w:r>
              <w:rPr>
                <w:rFonts w:cs="Arial"/>
                <w:color w:val="000000"/>
                <w:sz w:val="18"/>
                <w:szCs w:val="18"/>
                <w:lang w:eastAsia="en-GB" w:bidi="ar-SA"/>
              </w:rPr>
              <w:t>ctamethylcyclotetrasiloxane</w:t>
            </w:r>
            <w:r w:rsidRPr="00394B59">
              <w:rPr>
                <w:rFonts w:cs="Arial"/>
                <w:color w:val="000000"/>
                <w:sz w:val="18"/>
                <w:szCs w:val="18"/>
                <w:lang w:eastAsia="en-GB" w:bidi="ar-SA"/>
              </w:rPr>
              <w:tab/>
            </w:r>
          </w:p>
        </w:tc>
        <w:tc>
          <w:tcPr>
            <w:tcW w:w="1417" w:type="dxa"/>
            <w:noWrap/>
          </w:tcPr>
          <w:p w14:paraId="4BB87D38" w14:textId="197A1258" w:rsidR="00394B59" w:rsidRPr="00491F59" w:rsidRDefault="00394B59" w:rsidP="000A5113">
            <w:pPr>
              <w:widowControl/>
              <w:spacing w:before="40" w:after="20"/>
              <w:rPr>
                <w:rFonts w:cs="Arial"/>
                <w:color w:val="000000"/>
                <w:sz w:val="18"/>
                <w:szCs w:val="18"/>
                <w:lang w:eastAsia="en-GB" w:bidi="ar-SA"/>
              </w:rPr>
            </w:pPr>
            <w:r w:rsidRPr="00394B59">
              <w:rPr>
                <w:rFonts w:cs="Arial"/>
                <w:color w:val="000000"/>
                <w:sz w:val="18"/>
                <w:szCs w:val="18"/>
                <w:lang w:eastAsia="en-GB" w:bidi="ar-SA"/>
              </w:rPr>
              <w:t>541-02-6</w:t>
            </w:r>
          </w:p>
        </w:tc>
        <w:tc>
          <w:tcPr>
            <w:tcW w:w="1701" w:type="dxa"/>
            <w:noWrap/>
          </w:tcPr>
          <w:p w14:paraId="7FA8B5DD" w14:textId="472B30A5" w:rsidR="00394B59" w:rsidRDefault="00394B59" w:rsidP="000A5113">
            <w:pPr>
              <w:widowControl/>
              <w:spacing w:before="40" w:after="20"/>
              <w:jc w:val="center"/>
              <w:rPr>
                <w:rFonts w:cs="Arial"/>
                <w:color w:val="000000"/>
                <w:sz w:val="18"/>
                <w:szCs w:val="18"/>
                <w:lang w:eastAsia="en-GB" w:bidi="ar-SA"/>
              </w:rPr>
            </w:pPr>
            <w:r w:rsidRPr="00394B59">
              <w:rPr>
                <w:rFonts w:cs="Arial"/>
                <w:color w:val="000000"/>
                <w:sz w:val="18"/>
                <w:szCs w:val="18"/>
                <w:lang w:eastAsia="en-GB" w:bidi="ar-SA"/>
              </w:rPr>
              <w:t>0.001</w:t>
            </w:r>
            <w:r>
              <w:rPr>
                <w:rFonts w:cs="Arial"/>
                <w:color w:val="000000"/>
                <w:sz w:val="18"/>
                <w:szCs w:val="18"/>
                <w:lang w:eastAsia="en-GB" w:bidi="ar-SA"/>
              </w:rPr>
              <w:t>8</w:t>
            </w:r>
          </w:p>
        </w:tc>
        <w:tc>
          <w:tcPr>
            <w:tcW w:w="1559" w:type="dxa"/>
          </w:tcPr>
          <w:p w14:paraId="0655EE67" w14:textId="18E8F4A7" w:rsidR="00394B59" w:rsidRPr="00491F59" w:rsidRDefault="00394B59" w:rsidP="000A5113">
            <w:pPr>
              <w:widowControl/>
              <w:spacing w:before="40" w:after="20"/>
              <w:jc w:val="center"/>
              <w:rPr>
                <w:rFonts w:cs="Arial"/>
                <w:color w:val="000000"/>
                <w:sz w:val="18"/>
                <w:szCs w:val="18"/>
                <w:lang w:eastAsia="en-GB" w:bidi="ar-SA"/>
              </w:rPr>
            </w:pPr>
            <w:r w:rsidRPr="00394B59">
              <w:rPr>
                <w:rFonts w:cs="Arial"/>
                <w:color w:val="000000"/>
                <w:sz w:val="18"/>
                <w:szCs w:val="18"/>
                <w:lang w:eastAsia="en-GB" w:bidi="ar-SA"/>
              </w:rPr>
              <w:t>5.0</w:t>
            </w:r>
          </w:p>
        </w:tc>
        <w:tc>
          <w:tcPr>
            <w:tcW w:w="1276" w:type="dxa"/>
          </w:tcPr>
          <w:p w14:paraId="29A79659" w14:textId="471866C1" w:rsidR="00394B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0.0</w:t>
            </w:r>
            <w:r w:rsidR="00394B59" w:rsidRPr="00394B59">
              <w:rPr>
                <w:rFonts w:cs="Arial"/>
                <w:color w:val="000000"/>
                <w:sz w:val="18"/>
                <w:szCs w:val="18"/>
                <w:lang w:eastAsia="en-GB" w:bidi="ar-SA"/>
              </w:rPr>
              <w:t>4</w:t>
            </w:r>
            <w:r>
              <w:rPr>
                <w:rFonts w:cs="Arial"/>
                <w:color w:val="000000"/>
                <w:sz w:val="18"/>
                <w:szCs w:val="18"/>
                <w:lang w:eastAsia="en-GB" w:bidi="ar-SA"/>
              </w:rPr>
              <w:t>%</w:t>
            </w:r>
          </w:p>
        </w:tc>
      </w:tr>
      <w:tr w:rsidR="00217ECE" w:rsidRPr="00491F59" w14:paraId="2D632827" w14:textId="77777777" w:rsidTr="000A5113">
        <w:trPr>
          <w:cantSplit/>
          <w:trHeight w:val="369"/>
        </w:trPr>
        <w:tc>
          <w:tcPr>
            <w:tcW w:w="3369" w:type="dxa"/>
            <w:hideMark/>
          </w:tcPr>
          <w:p w14:paraId="7CD8FCF7" w14:textId="217207DA" w:rsidR="00491F59" w:rsidRPr="00491F59" w:rsidRDefault="006D16DA"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2-hydroxy-2-methyl-1-phenyl-1-propanone</w:t>
            </w:r>
          </w:p>
        </w:tc>
        <w:tc>
          <w:tcPr>
            <w:tcW w:w="1417" w:type="dxa"/>
            <w:noWrap/>
            <w:hideMark/>
          </w:tcPr>
          <w:p w14:paraId="2B6D9285" w14:textId="77777777" w:rsidR="00491F59" w:rsidRPr="00491F59" w:rsidRDefault="00491F59" w:rsidP="000A5113">
            <w:pPr>
              <w:widowControl/>
              <w:spacing w:before="40" w:after="20"/>
              <w:rPr>
                <w:rFonts w:cs="Arial"/>
                <w:color w:val="000000"/>
                <w:sz w:val="18"/>
                <w:szCs w:val="18"/>
                <w:lang w:eastAsia="en-GB" w:bidi="ar-SA"/>
              </w:rPr>
            </w:pPr>
            <w:r w:rsidRPr="00491F59">
              <w:rPr>
                <w:rFonts w:cs="Arial"/>
                <w:color w:val="000000"/>
                <w:sz w:val="18"/>
                <w:szCs w:val="18"/>
                <w:lang w:eastAsia="en-GB" w:bidi="ar-SA"/>
              </w:rPr>
              <w:t>7473-98-5</w:t>
            </w:r>
          </w:p>
        </w:tc>
        <w:tc>
          <w:tcPr>
            <w:tcW w:w="1701" w:type="dxa"/>
            <w:noWrap/>
            <w:hideMark/>
          </w:tcPr>
          <w:p w14:paraId="259AC113"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0.0016</w:t>
            </w:r>
          </w:p>
        </w:tc>
        <w:tc>
          <w:tcPr>
            <w:tcW w:w="1559" w:type="dxa"/>
            <w:hideMark/>
          </w:tcPr>
          <w:p w14:paraId="3CEDB7B1" w14:textId="77777777" w:rsidR="00491F59" w:rsidRPr="00491F59" w:rsidRDefault="00491F59" w:rsidP="000A5113">
            <w:pPr>
              <w:widowControl/>
              <w:spacing w:before="40" w:after="20"/>
              <w:jc w:val="center"/>
              <w:rPr>
                <w:rFonts w:cs="Arial"/>
                <w:color w:val="000000"/>
                <w:sz w:val="18"/>
                <w:szCs w:val="18"/>
                <w:lang w:eastAsia="en-GB" w:bidi="ar-SA"/>
              </w:rPr>
            </w:pPr>
            <w:r w:rsidRPr="00491F59">
              <w:rPr>
                <w:rFonts w:cs="Arial"/>
                <w:color w:val="000000"/>
                <w:sz w:val="18"/>
                <w:szCs w:val="18"/>
                <w:lang w:eastAsia="en-GB" w:bidi="ar-SA"/>
              </w:rPr>
              <w:t>0.40</w:t>
            </w:r>
          </w:p>
        </w:tc>
        <w:tc>
          <w:tcPr>
            <w:tcW w:w="1276" w:type="dxa"/>
            <w:hideMark/>
          </w:tcPr>
          <w:p w14:paraId="06ACC736" w14:textId="690F233B" w:rsidR="00491F59" w:rsidRPr="00491F59" w:rsidRDefault="00340F22" w:rsidP="000A5113">
            <w:pPr>
              <w:widowControl/>
              <w:spacing w:before="40" w:after="20"/>
              <w:jc w:val="center"/>
              <w:rPr>
                <w:rFonts w:cs="Arial"/>
                <w:color w:val="000000"/>
                <w:sz w:val="18"/>
                <w:szCs w:val="18"/>
                <w:lang w:eastAsia="en-GB" w:bidi="ar-SA"/>
              </w:rPr>
            </w:pPr>
            <w:r>
              <w:rPr>
                <w:rFonts w:cs="Arial"/>
                <w:color w:val="000000"/>
                <w:sz w:val="18"/>
                <w:szCs w:val="18"/>
                <w:lang w:eastAsia="en-GB" w:bidi="ar-SA"/>
              </w:rPr>
              <w:t>0.</w:t>
            </w:r>
            <w:r w:rsidR="00491F59" w:rsidRPr="00491F59">
              <w:rPr>
                <w:rFonts w:cs="Arial"/>
                <w:color w:val="000000"/>
                <w:sz w:val="18"/>
                <w:szCs w:val="18"/>
                <w:lang w:eastAsia="en-GB" w:bidi="ar-SA"/>
              </w:rPr>
              <w:t>4</w:t>
            </w:r>
            <w:r>
              <w:rPr>
                <w:rFonts w:cs="Arial"/>
                <w:color w:val="000000"/>
                <w:sz w:val="18"/>
                <w:szCs w:val="18"/>
                <w:lang w:eastAsia="en-GB" w:bidi="ar-SA"/>
              </w:rPr>
              <w:t>%</w:t>
            </w:r>
          </w:p>
        </w:tc>
      </w:tr>
    </w:tbl>
    <w:p w14:paraId="3E226422" w14:textId="2B0814B8" w:rsidR="00BF7903" w:rsidRDefault="0068097C" w:rsidP="0068046B">
      <w:pPr>
        <w:widowControl/>
        <w:rPr>
          <w:rFonts w:cs="Arial"/>
          <w:bCs/>
          <w:color w:val="000000"/>
          <w:sz w:val="18"/>
          <w:szCs w:val="18"/>
          <w:lang w:eastAsia="en-GB" w:bidi="ar-SA"/>
        </w:rPr>
      </w:pPr>
      <w:r w:rsidRPr="0068097C">
        <w:rPr>
          <w:rFonts w:cs="Arial"/>
          <w:b/>
          <w:bCs/>
          <w:color w:val="000000"/>
          <w:sz w:val="18"/>
          <w:szCs w:val="18"/>
          <w:vertAlign w:val="superscript"/>
          <w:lang w:eastAsia="en-GB" w:bidi="ar-SA"/>
        </w:rPr>
        <w:t>†</w:t>
      </w:r>
      <w:r>
        <w:rPr>
          <w:rFonts w:cs="Arial"/>
          <w:b/>
          <w:bCs/>
          <w:color w:val="000000"/>
          <w:sz w:val="18"/>
          <w:szCs w:val="18"/>
          <w:vertAlign w:val="superscript"/>
          <w:lang w:eastAsia="en-GB" w:bidi="ar-SA"/>
        </w:rPr>
        <w:t xml:space="preserve"> </w:t>
      </w:r>
      <w:r>
        <w:rPr>
          <w:rFonts w:cs="Arial"/>
          <w:bCs/>
          <w:color w:val="000000"/>
          <w:sz w:val="18"/>
          <w:szCs w:val="18"/>
          <w:lang w:eastAsia="en-GB" w:bidi="ar-SA"/>
        </w:rPr>
        <w:t xml:space="preserve">Estimated dietary exposures from </w:t>
      </w:r>
      <w:r w:rsidR="007A474A">
        <w:rPr>
          <w:rFonts w:cs="Arial"/>
          <w:bCs/>
          <w:color w:val="000000"/>
          <w:sz w:val="18"/>
          <w:szCs w:val="18"/>
          <w:lang w:eastAsia="en-GB" w:bidi="ar-SA"/>
        </w:rPr>
        <w:t>USFDA</w:t>
      </w:r>
      <w:r>
        <w:rPr>
          <w:rFonts w:cs="Arial"/>
          <w:bCs/>
          <w:color w:val="000000"/>
          <w:sz w:val="18"/>
          <w:szCs w:val="18"/>
          <w:lang w:eastAsia="en-GB" w:bidi="ar-SA"/>
        </w:rPr>
        <w:t xml:space="preserve"> CEDI database</w:t>
      </w:r>
      <w:r w:rsidR="00D735F6">
        <w:rPr>
          <w:rFonts w:cs="Arial"/>
          <w:bCs/>
          <w:color w:val="000000"/>
          <w:sz w:val="18"/>
          <w:szCs w:val="18"/>
          <w:lang w:eastAsia="en-GB" w:bidi="ar-SA"/>
        </w:rPr>
        <w:t xml:space="preserve">: </w:t>
      </w:r>
      <w:hyperlink r:id="rId47" w:history="1">
        <w:r w:rsidR="00D735F6" w:rsidRPr="004611F7">
          <w:rPr>
            <w:rStyle w:val="Hyperlink"/>
            <w:rFonts w:cs="Arial"/>
            <w:bCs/>
            <w:sz w:val="18"/>
            <w:szCs w:val="18"/>
            <w:lang w:eastAsia="en-GB" w:bidi="ar-SA"/>
          </w:rPr>
          <w:t>http://www.fda.gov/Food/IngredientsPackagingLabeling/PackagingFCS/CEDI/ucm2006857.htm</w:t>
        </w:r>
      </w:hyperlink>
    </w:p>
    <w:p w14:paraId="5985E7AE" w14:textId="48A8BA00" w:rsidR="00D735F6" w:rsidRPr="00D735F6" w:rsidRDefault="0068097C" w:rsidP="0068046B">
      <w:pPr>
        <w:widowControl/>
        <w:rPr>
          <w:rFonts w:eastAsia="Calibri"/>
          <w:sz w:val="18"/>
          <w:szCs w:val="18"/>
          <w:lang w:bidi="ar-SA"/>
        </w:rPr>
      </w:pPr>
      <w:r w:rsidRPr="0068097C">
        <w:rPr>
          <w:rFonts w:cs="Arial"/>
          <w:b/>
          <w:bCs/>
          <w:color w:val="000000"/>
          <w:sz w:val="18"/>
          <w:szCs w:val="18"/>
          <w:vertAlign w:val="superscript"/>
          <w:lang w:eastAsia="en-GB" w:bidi="ar-SA"/>
        </w:rPr>
        <w:t>‡</w:t>
      </w:r>
      <w:r>
        <w:rPr>
          <w:rFonts w:cs="Arial"/>
          <w:bCs/>
          <w:color w:val="000000"/>
          <w:sz w:val="18"/>
          <w:szCs w:val="18"/>
          <w:lang w:eastAsia="en-GB" w:bidi="ar-SA"/>
        </w:rPr>
        <w:t xml:space="preserve"> Human oral derived no effect levels (DNELs) from European Chemicals Agency (ECHA) database</w:t>
      </w:r>
      <w:r w:rsidR="00D735F6">
        <w:rPr>
          <w:rFonts w:cs="Arial"/>
          <w:bCs/>
          <w:color w:val="000000"/>
          <w:sz w:val="18"/>
          <w:szCs w:val="18"/>
          <w:lang w:eastAsia="en-GB" w:bidi="ar-SA"/>
        </w:rPr>
        <w:t xml:space="preserve">: </w:t>
      </w:r>
      <w:hyperlink r:id="rId48" w:history="1">
        <w:r w:rsidR="00D735F6" w:rsidRPr="00D735F6">
          <w:rPr>
            <w:rStyle w:val="Hyperlink"/>
            <w:rFonts w:eastAsia="Calibri"/>
            <w:sz w:val="18"/>
            <w:szCs w:val="18"/>
            <w:lang w:bidi="ar-SA"/>
          </w:rPr>
          <w:t>http://echa.europa.eu/</w:t>
        </w:r>
      </w:hyperlink>
    </w:p>
    <w:sectPr w:rsidR="00D735F6" w:rsidRPr="00D735F6" w:rsidSect="00F7086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7C268" w14:textId="77777777" w:rsidR="008B36C0" w:rsidRDefault="008B36C0">
      <w:r>
        <w:separator/>
      </w:r>
    </w:p>
  </w:endnote>
  <w:endnote w:type="continuationSeparator" w:id="0">
    <w:p w14:paraId="07C45AFE" w14:textId="77777777" w:rsidR="008B36C0" w:rsidRDefault="008B36C0">
      <w:r>
        <w:continuationSeparator/>
      </w:r>
    </w:p>
  </w:endnote>
  <w:endnote w:type="continuationNotice" w:id="1">
    <w:p w14:paraId="39A7E9C1" w14:textId="77777777" w:rsidR="008B36C0" w:rsidRDefault="008B3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3787" w14:textId="77777777" w:rsidR="00D53D19" w:rsidRDefault="00D53D19"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F3788" w14:textId="77777777" w:rsidR="00D53D19" w:rsidRDefault="00D53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3789" w14:textId="77777777" w:rsidR="00D53D19" w:rsidRDefault="00D53D19"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F88">
      <w:rPr>
        <w:rStyle w:val="PageNumber"/>
        <w:noProof/>
      </w:rPr>
      <w:t>1</w:t>
    </w:r>
    <w:r>
      <w:rPr>
        <w:rStyle w:val="PageNumber"/>
      </w:rPr>
      <w:fldChar w:fldCharType="end"/>
    </w:r>
  </w:p>
  <w:p w14:paraId="7F2F378A" w14:textId="77777777" w:rsidR="00D53D19" w:rsidRDefault="00D53D1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58AF7" w14:textId="77777777" w:rsidR="008B36C0" w:rsidRDefault="008B36C0">
      <w:r>
        <w:separator/>
      </w:r>
    </w:p>
  </w:footnote>
  <w:footnote w:type="continuationSeparator" w:id="0">
    <w:p w14:paraId="1D21492F" w14:textId="77777777" w:rsidR="008B36C0" w:rsidRDefault="008B36C0">
      <w:r>
        <w:continuationSeparator/>
      </w:r>
    </w:p>
  </w:footnote>
  <w:footnote w:type="continuationNotice" w:id="1">
    <w:p w14:paraId="4CCD98C0" w14:textId="77777777" w:rsidR="008B36C0" w:rsidRDefault="008B36C0"/>
  </w:footnote>
  <w:footnote w:id="2">
    <w:p w14:paraId="44179BAA" w14:textId="2B97D41C" w:rsidR="00D53D19" w:rsidRPr="000A5113" w:rsidRDefault="00D53D19" w:rsidP="00EA5635">
      <w:pPr>
        <w:pStyle w:val="FootnoteText"/>
        <w:rPr>
          <w:rStyle w:val="Hyperlink"/>
          <w:sz w:val="18"/>
        </w:rPr>
      </w:pPr>
      <w:r w:rsidRPr="000A5113">
        <w:rPr>
          <w:rStyle w:val="FootnoteReference"/>
          <w:sz w:val="18"/>
        </w:rPr>
        <w:footnoteRef/>
      </w:r>
      <w:r w:rsidRPr="000A5113">
        <w:rPr>
          <w:sz w:val="18"/>
        </w:rPr>
        <w:t xml:space="preserve"> USFDA database of food contact substances regulated in the Code of Federal Regulations:</w:t>
      </w:r>
    </w:p>
    <w:p w14:paraId="6319B352" w14:textId="6ABC3AFB" w:rsidR="00D53D19" w:rsidRPr="000A5113" w:rsidRDefault="00745F88" w:rsidP="00EA5635">
      <w:pPr>
        <w:pStyle w:val="FootnoteText"/>
        <w:rPr>
          <w:sz w:val="18"/>
          <w:lang w:val="en-AU"/>
        </w:rPr>
      </w:pPr>
      <w:hyperlink r:id="rId1" w:history="1">
        <w:r w:rsidR="00D53D19" w:rsidRPr="000A5113">
          <w:rPr>
            <w:rStyle w:val="Hyperlink"/>
            <w:sz w:val="18"/>
            <w:lang w:val="en-AU"/>
          </w:rPr>
          <w:t>http://www.fda.gov/Food/IngredientsPackagingLabeling/PackagingFCS/IndirectAdditives/ucm115333.htm</w:t>
        </w:r>
      </w:hyperlink>
    </w:p>
    <w:p w14:paraId="02443D8A" w14:textId="77777777" w:rsidR="00D53D19" w:rsidRPr="00A11A91" w:rsidRDefault="00D53D19" w:rsidP="00EA5635">
      <w:pPr>
        <w:pStyle w:val="FootnoteText"/>
        <w:rPr>
          <w:sz w:val="4"/>
          <w:szCs w:val="4"/>
          <w:lang w:val="en-AU"/>
        </w:rPr>
      </w:pPr>
    </w:p>
  </w:footnote>
  <w:footnote w:id="3">
    <w:p w14:paraId="1FDDCCC1" w14:textId="7B62438C" w:rsidR="00D53D19" w:rsidRPr="00A11A91" w:rsidRDefault="00D53D19">
      <w:pPr>
        <w:pStyle w:val="FootnoteText"/>
        <w:rPr>
          <w:lang w:val="en-AU"/>
        </w:rPr>
      </w:pPr>
      <w:r w:rsidRPr="000A5113">
        <w:rPr>
          <w:rStyle w:val="FootnoteReference"/>
          <w:sz w:val="18"/>
        </w:rPr>
        <w:footnoteRef/>
      </w:r>
      <w:r w:rsidRPr="000A5113">
        <w:rPr>
          <w:sz w:val="18"/>
        </w:rPr>
        <w:t xml:space="preserve"> </w:t>
      </w:r>
      <w:r w:rsidRPr="000A5113">
        <w:rPr>
          <w:sz w:val="18"/>
          <w:lang w:val="en-AU"/>
        </w:rPr>
        <w:t>A detection limit of 0.01 mg/kg is applicable unless specified differently for an individual substance.</w:t>
      </w:r>
    </w:p>
  </w:footnote>
  <w:footnote w:id="4">
    <w:p w14:paraId="2BC3A0AE" w14:textId="7AB10DD6" w:rsidR="00D53D19" w:rsidRPr="000A5113" w:rsidRDefault="00D53D19">
      <w:pPr>
        <w:pStyle w:val="FootnoteText"/>
        <w:rPr>
          <w:sz w:val="18"/>
          <w:lang w:val="en-AU"/>
        </w:rPr>
      </w:pPr>
      <w:r w:rsidRPr="000A5113">
        <w:rPr>
          <w:rStyle w:val="FootnoteReference"/>
          <w:sz w:val="18"/>
        </w:rPr>
        <w:footnoteRef/>
      </w:r>
      <w:r w:rsidRPr="000A5113">
        <w:rPr>
          <w:sz w:val="18"/>
        </w:rPr>
        <w:t xml:space="preserve"> USFDA </w:t>
      </w:r>
      <w:hyperlink r:id="rId2" w:history="1">
        <w:r w:rsidRPr="000A5113">
          <w:rPr>
            <w:rStyle w:val="Hyperlink"/>
            <w:sz w:val="18"/>
          </w:rPr>
          <w:t>Cumulative Estimated Daily Intake (CEDI) Database for Food Contact Substances</w:t>
        </w:r>
      </w:hyperlink>
      <w:r w:rsidRPr="000A5113">
        <w:rPr>
          <w:rStyle w:val="Hyperlink"/>
          <w:sz w:val="18"/>
        </w:rPr>
        <w:t xml:space="preserve">. </w:t>
      </w:r>
      <w:r w:rsidRPr="000A5113">
        <w:rPr>
          <w:sz w:val="18"/>
        </w:rPr>
        <w:t>This database includes dietary exposure contributions from food contact other than food packaging (e.g. conveyor belts, pipes, kitchen appliances, utensils and cookware).</w:t>
      </w:r>
    </w:p>
  </w:footnote>
  <w:footnote w:id="5">
    <w:p w14:paraId="31E1D558" w14:textId="66EF5779" w:rsidR="00D53D19" w:rsidRPr="000A5113" w:rsidRDefault="00D53D19">
      <w:pPr>
        <w:pStyle w:val="FootnoteText"/>
        <w:rPr>
          <w:sz w:val="18"/>
          <w:lang w:val="en-AU"/>
        </w:rPr>
      </w:pPr>
      <w:r w:rsidRPr="000A5113">
        <w:rPr>
          <w:rStyle w:val="FootnoteReference"/>
          <w:sz w:val="18"/>
        </w:rPr>
        <w:footnoteRef/>
      </w:r>
      <w:r w:rsidRPr="000A5113">
        <w:rPr>
          <w:sz w:val="18"/>
        </w:rPr>
        <w:t xml:space="preserve"> There are currently over 3200 substances listed in a </w:t>
      </w:r>
      <w:hyperlink r:id="rId3" w:history="1">
        <w:r w:rsidRPr="000A5113">
          <w:rPr>
            <w:rStyle w:val="Hyperlink"/>
            <w:sz w:val="18"/>
          </w:rPr>
          <w:t>USFDA database of food contact substances that are included in the Code of Federal Regulations</w:t>
        </w:r>
      </w:hyperlink>
      <w:r w:rsidRPr="000A5113">
        <w:rPr>
          <w:rStyle w:val="Hyperlink"/>
          <w:sz w:val="18"/>
        </w:rPr>
        <w:t xml:space="preserve"> (CFR)</w:t>
      </w:r>
      <w:r w:rsidRPr="000A5113">
        <w:rPr>
          <w:sz w:val="18"/>
        </w:rPr>
        <w:t xml:space="preserve"> and over 1200 entries in the </w:t>
      </w:r>
      <w:hyperlink r:id="rId4" w:history="1">
        <w:r w:rsidRPr="000A5113">
          <w:rPr>
            <w:rStyle w:val="Hyperlink"/>
            <w:sz w:val="18"/>
          </w:rPr>
          <w:t>USFDA Food Contact Notification (FCN) database</w:t>
        </w:r>
      </w:hyperlink>
      <w:r w:rsidRPr="000A5113">
        <w:rPr>
          <w:sz w:val="18"/>
        </w:rPr>
        <w:t>.</w:t>
      </w:r>
    </w:p>
  </w:footnote>
  <w:footnote w:id="6">
    <w:p w14:paraId="17D871B7" w14:textId="06FBADBA" w:rsidR="00D53D19" w:rsidRPr="008763B6" w:rsidRDefault="00D53D19">
      <w:pPr>
        <w:pStyle w:val="FootnoteText"/>
        <w:rPr>
          <w:lang w:val="en-AU"/>
        </w:rPr>
      </w:pPr>
      <w:r w:rsidRPr="000A5113">
        <w:rPr>
          <w:rStyle w:val="FootnoteReference"/>
          <w:sz w:val="18"/>
        </w:rPr>
        <w:footnoteRef/>
      </w:r>
      <w:r w:rsidRPr="000A5113">
        <w:rPr>
          <w:sz w:val="18"/>
        </w:rPr>
        <w:t xml:space="preserve"> In cases where the use level of the food contact substance is low, it may be possible to dispense with migration studies altogether by assuming 100% migration of the substance into food. Semi-empirical methods using diffusion calculations may also be used to estimate migration levels (USFDA 2007).</w:t>
      </w:r>
    </w:p>
  </w:footnote>
  <w:footnote w:id="7">
    <w:p w14:paraId="6A45CD03" w14:textId="5E112196" w:rsidR="00D53D19" w:rsidRPr="000A5113" w:rsidRDefault="00D53D19">
      <w:pPr>
        <w:pStyle w:val="FootnoteText"/>
        <w:rPr>
          <w:sz w:val="18"/>
          <w:lang w:val="en-AU"/>
        </w:rPr>
      </w:pPr>
      <w:r w:rsidRPr="000A5113">
        <w:rPr>
          <w:rStyle w:val="FootnoteReference"/>
          <w:sz w:val="18"/>
        </w:rPr>
        <w:footnoteRef/>
      </w:r>
      <w:r w:rsidRPr="000A5113">
        <w:rPr>
          <w:sz w:val="18"/>
        </w:rPr>
        <w:t xml:space="preserve"> One chemical, epoxidi</w:t>
      </w:r>
      <w:r>
        <w:rPr>
          <w:sz w:val="18"/>
        </w:rPr>
        <w:t>s</w:t>
      </w:r>
      <w:r w:rsidRPr="000A5113">
        <w:rPr>
          <w:sz w:val="18"/>
        </w:rPr>
        <w:t>ed soybean oil (</w:t>
      </w:r>
      <w:proofErr w:type="spellStart"/>
      <w:r w:rsidRPr="000A5113">
        <w:rPr>
          <w:sz w:val="18"/>
        </w:rPr>
        <w:t>ESBO</w:t>
      </w:r>
      <w:proofErr w:type="spellEnd"/>
      <w:r w:rsidRPr="000A5113">
        <w:rPr>
          <w:sz w:val="18"/>
        </w:rPr>
        <w:t>) was detected at above the LOQ in this study (in three foods); however ESBO is not present in the USFDA CEDI database. Based on the levels detected, dietary exposure to ESBO from these foods was concluded to pose no health and safety risk to consumers (FSANZ 2011).</w:t>
      </w:r>
    </w:p>
  </w:footnote>
  <w:footnote w:id="8">
    <w:p w14:paraId="1DCBDC5D" w14:textId="5927FC8B" w:rsidR="00D53D19" w:rsidRPr="00A660C0" w:rsidRDefault="00D53D19">
      <w:pPr>
        <w:pStyle w:val="FootnoteText"/>
        <w:rPr>
          <w:lang w:val="en-AU"/>
        </w:rPr>
      </w:pPr>
      <w:r w:rsidRPr="000A5113">
        <w:rPr>
          <w:rStyle w:val="FootnoteReference"/>
          <w:sz w:val="18"/>
        </w:rPr>
        <w:footnoteRef/>
      </w:r>
      <w:r w:rsidRPr="000A5113">
        <w:rPr>
          <w:sz w:val="18"/>
        </w:rPr>
        <w:t xml:space="preserve"> The consumption factor (CF) is used by the USFDA in dietary exposure calculations to describe the fraction of the daily diet expected to contact specific packaging materials (USFDA 2007).</w:t>
      </w:r>
    </w:p>
  </w:footnote>
  <w:footnote w:id="9">
    <w:p w14:paraId="7C3C70C3" w14:textId="77777777" w:rsidR="00D53D19" w:rsidRPr="00BA1BF4" w:rsidRDefault="00D53D19" w:rsidP="005C529F">
      <w:pPr>
        <w:pStyle w:val="FootnoteText"/>
        <w:rPr>
          <w:lang w:val="en-AU"/>
        </w:rPr>
      </w:pPr>
      <w:r w:rsidRPr="000A5113">
        <w:rPr>
          <w:rStyle w:val="FootnoteReference"/>
          <w:sz w:val="18"/>
        </w:rPr>
        <w:footnoteRef/>
      </w:r>
      <w:r w:rsidRPr="000A5113">
        <w:rPr>
          <w:sz w:val="18"/>
        </w:rPr>
        <w:t xml:space="preserve"> </w:t>
      </w:r>
      <w:hyperlink r:id="rId5" w:history="1">
        <w:r w:rsidRPr="000A5113">
          <w:rPr>
            <w:rStyle w:val="Hyperlink"/>
            <w:sz w:val="18"/>
          </w:rPr>
          <w:t xml:space="preserve">The </w:t>
        </w:r>
        <w:proofErr w:type="spellStart"/>
        <w:r w:rsidRPr="000A5113">
          <w:rPr>
            <w:rStyle w:val="Hyperlink"/>
            <w:sz w:val="18"/>
          </w:rPr>
          <w:t>Flavor</w:t>
        </w:r>
        <w:proofErr w:type="spellEnd"/>
        <w:r w:rsidRPr="000A5113">
          <w:rPr>
            <w:rStyle w:val="Hyperlink"/>
            <w:sz w:val="18"/>
          </w:rPr>
          <w:t xml:space="preserve"> and Extract Manufacturers Association of the United States</w:t>
        </w:r>
      </w:hyperlink>
      <w:r w:rsidRPr="000A5113">
        <w:rPr>
          <w:sz w:val="18"/>
        </w:rPr>
        <w:t xml:space="preserve"> </w:t>
      </w:r>
    </w:p>
  </w:footnote>
  <w:footnote w:id="10">
    <w:p w14:paraId="3EF48FA8" w14:textId="3A5B7B41" w:rsidR="00D53D19" w:rsidRPr="003629A6" w:rsidRDefault="00D53D19" w:rsidP="00005131">
      <w:pPr>
        <w:pStyle w:val="FootnoteText"/>
        <w:rPr>
          <w:lang w:val="en-AU"/>
        </w:rPr>
      </w:pPr>
      <w:r w:rsidRPr="000A5113">
        <w:rPr>
          <w:rStyle w:val="FootnoteReference"/>
          <w:sz w:val="18"/>
        </w:rPr>
        <w:footnoteRef/>
      </w:r>
      <w:r w:rsidRPr="000A5113">
        <w:rPr>
          <w:sz w:val="18"/>
        </w:rPr>
        <w:t xml:space="preserve"> In phase 2 of the 24</w:t>
      </w:r>
      <w:r w:rsidRPr="000A5113">
        <w:rPr>
          <w:sz w:val="18"/>
          <w:vertAlign w:val="superscript"/>
        </w:rPr>
        <w:t>th</w:t>
      </w:r>
      <w:r w:rsidRPr="000A5113">
        <w:rPr>
          <w:sz w:val="18"/>
        </w:rPr>
        <w:t xml:space="preserve"> ATDS, the theoretical maximum daily exposure (TMDE) was calculated by assuming that 50% of foods and beverages consumed contained the chemical at the maximum detected level (FSANZ 2016). This is a worst case exposure scenario used for screening purposes only.</w:t>
      </w:r>
    </w:p>
  </w:footnote>
  <w:footnote w:id="11">
    <w:p w14:paraId="4737FF91" w14:textId="6E104067" w:rsidR="00D53D19" w:rsidRPr="005C0AB6" w:rsidRDefault="00D53D19" w:rsidP="00005131">
      <w:pPr>
        <w:pStyle w:val="FootnoteText"/>
        <w:rPr>
          <w:lang w:val="en-AU"/>
        </w:rPr>
      </w:pPr>
      <w:r w:rsidRPr="000A5113">
        <w:rPr>
          <w:rStyle w:val="FootnoteReference"/>
          <w:sz w:val="18"/>
        </w:rPr>
        <w:footnoteRef/>
      </w:r>
      <w:r w:rsidRPr="000A5113">
        <w:rPr>
          <w:sz w:val="18"/>
        </w:rPr>
        <w:t xml:space="preserve"> </w:t>
      </w:r>
      <w:r w:rsidRPr="000A5113">
        <w:rPr>
          <w:sz w:val="18"/>
          <w:lang w:val="en-AU"/>
        </w:rPr>
        <w:t>This level of dietary exposure is at the upper end for a food contact substance. For comparison, the USFDA CEDI database of ~1300 food contact substances contains only 6 substances with estimated dietary exposures greater than 0.075 mg/kg bw/day. Additional information on this database is provided in Sections 4 and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378B" w14:textId="77777777" w:rsidR="00D53D19" w:rsidRDefault="00D53D19">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90753E1"/>
    <w:multiLevelType w:val="hybridMultilevel"/>
    <w:tmpl w:val="3F46E588"/>
    <w:lvl w:ilvl="0" w:tplc="5350B7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5B96639B"/>
    <w:multiLevelType w:val="hybridMultilevel"/>
    <w:tmpl w:val="1084F08A"/>
    <w:lvl w:ilvl="0" w:tplc="64C68356">
      <w:start w:val="1"/>
      <w:numFmt w:val="lowerRoman"/>
      <w:lvlText w:val="%1."/>
      <w:lvlJc w:val="right"/>
      <w:pPr>
        <w:tabs>
          <w:tab w:val="num" w:pos="720"/>
        </w:tabs>
        <w:ind w:left="720" w:hanging="360"/>
      </w:pPr>
    </w:lvl>
    <w:lvl w:ilvl="1" w:tplc="FA38F0F2" w:tentative="1">
      <w:start w:val="1"/>
      <w:numFmt w:val="lowerRoman"/>
      <w:lvlText w:val="%2."/>
      <w:lvlJc w:val="right"/>
      <w:pPr>
        <w:tabs>
          <w:tab w:val="num" w:pos="1440"/>
        </w:tabs>
        <w:ind w:left="1440" w:hanging="360"/>
      </w:pPr>
    </w:lvl>
    <w:lvl w:ilvl="2" w:tplc="2FEAA48E" w:tentative="1">
      <w:start w:val="1"/>
      <w:numFmt w:val="lowerRoman"/>
      <w:lvlText w:val="%3."/>
      <w:lvlJc w:val="right"/>
      <w:pPr>
        <w:tabs>
          <w:tab w:val="num" w:pos="2160"/>
        </w:tabs>
        <w:ind w:left="2160" w:hanging="360"/>
      </w:pPr>
    </w:lvl>
    <w:lvl w:ilvl="3" w:tplc="53425E1C" w:tentative="1">
      <w:start w:val="1"/>
      <w:numFmt w:val="lowerRoman"/>
      <w:lvlText w:val="%4."/>
      <w:lvlJc w:val="right"/>
      <w:pPr>
        <w:tabs>
          <w:tab w:val="num" w:pos="2880"/>
        </w:tabs>
        <w:ind w:left="2880" w:hanging="360"/>
      </w:pPr>
    </w:lvl>
    <w:lvl w:ilvl="4" w:tplc="B8EEFA1E" w:tentative="1">
      <w:start w:val="1"/>
      <w:numFmt w:val="lowerRoman"/>
      <w:lvlText w:val="%5."/>
      <w:lvlJc w:val="right"/>
      <w:pPr>
        <w:tabs>
          <w:tab w:val="num" w:pos="3600"/>
        </w:tabs>
        <w:ind w:left="3600" w:hanging="360"/>
      </w:pPr>
    </w:lvl>
    <w:lvl w:ilvl="5" w:tplc="134A5128" w:tentative="1">
      <w:start w:val="1"/>
      <w:numFmt w:val="lowerRoman"/>
      <w:lvlText w:val="%6."/>
      <w:lvlJc w:val="right"/>
      <w:pPr>
        <w:tabs>
          <w:tab w:val="num" w:pos="4320"/>
        </w:tabs>
        <w:ind w:left="4320" w:hanging="360"/>
      </w:pPr>
    </w:lvl>
    <w:lvl w:ilvl="6" w:tplc="D23E2310" w:tentative="1">
      <w:start w:val="1"/>
      <w:numFmt w:val="lowerRoman"/>
      <w:lvlText w:val="%7."/>
      <w:lvlJc w:val="right"/>
      <w:pPr>
        <w:tabs>
          <w:tab w:val="num" w:pos="5040"/>
        </w:tabs>
        <w:ind w:left="5040" w:hanging="360"/>
      </w:pPr>
    </w:lvl>
    <w:lvl w:ilvl="7" w:tplc="815E5382" w:tentative="1">
      <w:start w:val="1"/>
      <w:numFmt w:val="lowerRoman"/>
      <w:lvlText w:val="%8."/>
      <w:lvlJc w:val="right"/>
      <w:pPr>
        <w:tabs>
          <w:tab w:val="num" w:pos="5760"/>
        </w:tabs>
        <w:ind w:left="5760" w:hanging="360"/>
      </w:pPr>
    </w:lvl>
    <w:lvl w:ilvl="8" w:tplc="1354D088" w:tentative="1">
      <w:start w:val="1"/>
      <w:numFmt w:val="lowerRoman"/>
      <w:lvlText w:val="%9."/>
      <w:lvlJc w:val="right"/>
      <w:pPr>
        <w:tabs>
          <w:tab w:val="num" w:pos="6480"/>
        </w:tabs>
        <w:ind w:left="6480" w:hanging="360"/>
      </w:pPr>
    </w:lvl>
  </w:abstractNum>
  <w:abstractNum w:abstractNumId="6">
    <w:nsid w:val="62DA154C"/>
    <w:multiLevelType w:val="hybridMultilevel"/>
    <w:tmpl w:val="5D029E7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1CF2"/>
    <w:rsid w:val="0000247B"/>
    <w:rsid w:val="0000469B"/>
    <w:rsid w:val="00004AF8"/>
    <w:rsid w:val="00005131"/>
    <w:rsid w:val="000108D8"/>
    <w:rsid w:val="000109EF"/>
    <w:rsid w:val="00020EEE"/>
    <w:rsid w:val="00021729"/>
    <w:rsid w:val="00024A4A"/>
    <w:rsid w:val="00024C37"/>
    <w:rsid w:val="00024F4F"/>
    <w:rsid w:val="00030015"/>
    <w:rsid w:val="000341D1"/>
    <w:rsid w:val="00035FF3"/>
    <w:rsid w:val="00036659"/>
    <w:rsid w:val="000370F0"/>
    <w:rsid w:val="00041B73"/>
    <w:rsid w:val="0004322C"/>
    <w:rsid w:val="00043592"/>
    <w:rsid w:val="0004468D"/>
    <w:rsid w:val="00046175"/>
    <w:rsid w:val="00046DBE"/>
    <w:rsid w:val="00050AEA"/>
    <w:rsid w:val="00051021"/>
    <w:rsid w:val="00051946"/>
    <w:rsid w:val="00051ED9"/>
    <w:rsid w:val="00056048"/>
    <w:rsid w:val="00056317"/>
    <w:rsid w:val="00057181"/>
    <w:rsid w:val="00060FCB"/>
    <w:rsid w:val="00061F4E"/>
    <w:rsid w:val="00063510"/>
    <w:rsid w:val="0006473A"/>
    <w:rsid w:val="00064B2D"/>
    <w:rsid w:val="00065F1F"/>
    <w:rsid w:val="0007283D"/>
    <w:rsid w:val="000736B1"/>
    <w:rsid w:val="00073919"/>
    <w:rsid w:val="00076924"/>
    <w:rsid w:val="00076D33"/>
    <w:rsid w:val="000772B4"/>
    <w:rsid w:val="00082DB3"/>
    <w:rsid w:val="00085152"/>
    <w:rsid w:val="00085A6F"/>
    <w:rsid w:val="0008723D"/>
    <w:rsid w:val="0009250C"/>
    <w:rsid w:val="00092CDA"/>
    <w:rsid w:val="00095C0E"/>
    <w:rsid w:val="00096DF4"/>
    <w:rsid w:val="000A27E9"/>
    <w:rsid w:val="000A3D8B"/>
    <w:rsid w:val="000A4FA1"/>
    <w:rsid w:val="000A5113"/>
    <w:rsid w:val="000A56AB"/>
    <w:rsid w:val="000A5DF8"/>
    <w:rsid w:val="000A6F21"/>
    <w:rsid w:val="000A766D"/>
    <w:rsid w:val="000B0D4C"/>
    <w:rsid w:val="000B399F"/>
    <w:rsid w:val="000B3DEA"/>
    <w:rsid w:val="000B54CF"/>
    <w:rsid w:val="000B6A76"/>
    <w:rsid w:val="000B6AF2"/>
    <w:rsid w:val="000B7362"/>
    <w:rsid w:val="000C0644"/>
    <w:rsid w:val="000C1016"/>
    <w:rsid w:val="000C380F"/>
    <w:rsid w:val="000C39C0"/>
    <w:rsid w:val="000C5BFF"/>
    <w:rsid w:val="000C7B06"/>
    <w:rsid w:val="000D1B95"/>
    <w:rsid w:val="000D5FD6"/>
    <w:rsid w:val="000D6D75"/>
    <w:rsid w:val="000D6F3C"/>
    <w:rsid w:val="000D6FD4"/>
    <w:rsid w:val="000D7952"/>
    <w:rsid w:val="000E0AE4"/>
    <w:rsid w:val="000E3DBC"/>
    <w:rsid w:val="000E587F"/>
    <w:rsid w:val="000E7F56"/>
    <w:rsid w:val="000F0A9E"/>
    <w:rsid w:val="000F3162"/>
    <w:rsid w:val="000F37DD"/>
    <w:rsid w:val="000F4341"/>
    <w:rsid w:val="000F5522"/>
    <w:rsid w:val="0010004A"/>
    <w:rsid w:val="001001FD"/>
    <w:rsid w:val="00101488"/>
    <w:rsid w:val="00101A06"/>
    <w:rsid w:val="00103A07"/>
    <w:rsid w:val="00105ED5"/>
    <w:rsid w:val="001076B8"/>
    <w:rsid w:val="001117D4"/>
    <w:rsid w:val="0011205C"/>
    <w:rsid w:val="00112105"/>
    <w:rsid w:val="0011212F"/>
    <w:rsid w:val="00113CE3"/>
    <w:rsid w:val="001146E3"/>
    <w:rsid w:val="00114762"/>
    <w:rsid w:val="00114C49"/>
    <w:rsid w:val="001150ED"/>
    <w:rsid w:val="00115A14"/>
    <w:rsid w:val="00117522"/>
    <w:rsid w:val="00117B35"/>
    <w:rsid w:val="00117D58"/>
    <w:rsid w:val="00120CA0"/>
    <w:rsid w:val="001239DE"/>
    <w:rsid w:val="001275C9"/>
    <w:rsid w:val="00131867"/>
    <w:rsid w:val="00132AE7"/>
    <w:rsid w:val="00133011"/>
    <w:rsid w:val="00137591"/>
    <w:rsid w:val="00137815"/>
    <w:rsid w:val="001405AA"/>
    <w:rsid w:val="00142316"/>
    <w:rsid w:val="00143479"/>
    <w:rsid w:val="00143938"/>
    <w:rsid w:val="00143FBC"/>
    <w:rsid w:val="00144E65"/>
    <w:rsid w:val="00145972"/>
    <w:rsid w:val="0014649C"/>
    <w:rsid w:val="00150B2B"/>
    <w:rsid w:val="001531E1"/>
    <w:rsid w:val="001542D8"/>
    <w:rsid w:val="00156485"/>
    <w:rsid w:val="00164380"/>
    <w:rsid w:val="00166971"/>
    <w:rsid w:val="00171D89"/>
    <w:rsid w:val="001766D5"/>
    <w:rsid w:val="00180C41"/>
    <w:rsid w:val="00182C4C"/>
    <w:rsid w:val="00182C63"/>
    <w:rsid w:val="001872B5"/>
    <w:rsid w:val="0019388B"/>
    <w:rsid w:val="00193C7D"/>
    <w:rsid w:val="00194360"/>
    <w:rsid w:val="00195270"/>
    <w:rsid w:val="00197D8D"/>
    <w:rsid w:val="001A1A75"/>
    <w:rsid w:val="001A3C96"/>
    <w:rsid w:val="001A7E9A"/>
    <w:rsid w:val="001B247D"/>
    <w:rsid w:val="001B30CF"/>
    <w:rsid w:val="001B5243"/>
    <w:rsid w:val="001B74D2"/>
    <w:rsid w:val="001C024F"/>
    <w:rsid w:val="001C19FD"/>
    <w:rsid w:val="001C1AC4"/>
    <w:rsid w:val="001C27A3"/>
    <w:rsid w:val="001C3E23"/>
    <w:rsid w:val="001C5295"/>
    <w:rsid w:val="001C730F"/>
    <w:rsid w:val="001D0844"/>
    <w:rsid w:val="001D1609"/>
    <w:rsid w:val="001D23E8"/>
    <w:rsid w:val="001D2B53"/>
    <w:rsid w:val="001D330B"/>
    <w:rsid w:val="001D6C65"/>
    <w:rsid w:val="001D7A6A"/>
    <w:rsid w:val="001E09FA"/>
    <w:rsid w:val="001E2262"/>
    <w:rsid w:val="001E5EAE"/>
    <w:rsid w:val="001E5EED"/>
    <w:rsid w:val="001E722A"/>
    <w:rsid w:val="001F0E05"/>
    <w:rsid w:val="001F25A5"/>
    <w:rsid w:val="001F3EFB"/>
    <w:rsid w:val="001F4207"/>
    <w:rsid w:val="001F42B3"/>
    <w:rsid w:val="001F4D62"/>
    <w:rsid w:val="002012DF"/>
    <w:rsid w:val="00201785"/>
    <w:rsid w:val="00203540"/>
    <w:rsid w:val="00204330"/>
    <w:rsid w:val="0020548F"/>
    <w:rsid w:val="002068B7"/>
    <w:rsid w:val="0020782B"/>
    <w:rsid w:val="00211C31"/>
    <w:rsid w:val="00212285"/>
    <w:rsid w:val="00214429"/>
    <w:rsid w:val="002155EC"/>
    <w:rsid w:val="0021612B"/>
    <w:rsid w:val="00216CF8"/>
    <w:rsid w:val="00217ECE"/>
    <w:rsid w:val="0022083A"/>
    <w:rsid w:val="00221939"/>
    <w:rsid w:val="00221D07"/>
    <w:rsid w:val="00223B54"/>
    <w:rsid w:val="00226D9E"/>
    <w:rsid w:val="00227E4A"/>
    <w:rsid w:val="00227FC5"/>
    <w:rsid w:val="002318E7"/>
    <w:rsid w:val="002321A4"/>
    <w:rsid w:val="00234FBB"/>
    <w:rsid w:val="0023631B"/>
    <w:rsid w:val="002379BA"/>
    <w:rsid w:val="0024530F"/>
    <w:rsid w:val="0024582E"/>
    <w:rsid w:val="00245C56"/>
    <w:rsid w:val="00246FDC"/>
    <w:rsid w:val="00247385"/>
    <w:rsid w:val="00250B17"/>
    <w:rsid w:val="0025196D"/>
    <w:rsid w:val="00253446"/>
    <w:rsid w:val="002547EF"/>
    <w:rsid w:val="002550FD"/>
    <w:rsid w:val="00256D65"/>
    <w:rsid w:val="002578E6"/>
    <w:rsid w:val="002621A2"/>
    <w:rsid w:val="00265989"/>
    <w:rsid w:val="0026724F"/>
    <w:rsid w:val="0026749D"/>
    <w:rsid w:val="00267555"/>
    <w:rsid w:val="0027043A"/>
    <w:rsid w:val="00271F00"/>
    <w:rsid w:val="00273A80"/>
    <w:rsid w:val="00274D21"/>
    <w:rsid w:val="00283C55"/>
    <w:rsid w:val="00283FF4"/>
    <w:rsid w:val="0028428E"/>
    <w:rsid w:val="00284C66"/>
    <w:rsid w:val="002878AE"/>
    <w:rsid w:val="0029204E"/>
    <w:rsid w:val="00293F22"/>
    <w:rsid w:val="0029631C"/>
    <w:rsid w:val="002A00C4"/>
    <w:rsid w:val="002A0194"/>
    <w:rsid w:val="002A5F8B"/>
    <w:rsid w:val="002A7F6C"/>
    <w:rsid w:val="002B3E3F"/>
    <w:rsid w:val="002B6B8F"/>
    <w:rsid w:val="002B6F54"/>
    <w:rsid w:val="002B7186"/>
    <w:rsid w:val="002B7CA8"/>
    <w:rsid w:val="002C199F"/>
    <w:rsid w:val="002C2827"/>
    <w:rsid w:val="002C393E"/>
    <w:rsid w:val="002C52BC"/>
    <w:rsid w:val="002C749E"/>
    <w:rsid w:val="002D2694"/>
    <w:rsid w:val="002D31DA"/>
    <w:rsid w:val="002D3FF3"/>
    <w:rsid w:val="002D6809"/>
    <w:rsid w:val="002D6840"/>
    <w:rsid w:val="002D6A8A"/>
    <w:rsid w:val="002D6C81"/>
    <w:rsid w:val="002E0FDF"/>
    <w:rsid w:val="002E1D80"/>
    <w:rsid w:val="002E233E"/>
    <w:rsid w:val="002E6C0F"/>
    <w:rsid w:val="002E6E92"/>
    <w:rsid w:val="002F04B4"/>
    <w:rsid w:val="002F2957"/>
    <w:rsid w:val="002F5F6C"/>
    <w:rsid w:val="002F6488"/>
    <w:rsid w:val="002F7E45"/>
    <w:rsid w:val="00302AC3"/>
    <w:rsid w:val="00303BBF"/>
    <w:rsid w:val="00303C01"/>
    <w:rsid w:val="00303C2C"/>
    <w:rsid w:val="003054E0"/>
    <w:rsid w:val="003066DC"/>
    <w:rsid w:val="00306C95"/>
    <w:rsid w:val="00306DFF"/>
    <w:rsid w:val="00307AA2"/>
    <w:rsid w:val="003125FE"/>
    <w:rsid w:val="0032029E"/>
    <w:rsid w:val="00320839"/>
    <w:rsid w:val="003213F9"/>
    <w:rsid w:val="0032158D"/>
    <w:rsid w:val="00321C3A"/>
    <w:rsid w:val="00323012"/>
    <w:rsid w:val="00323637"/>
    <w:rsid w:val="00323DBF"/>
    <w:rsid w:val="00324B67"/>
    <w:rsid w:val="003251CC"/>
    <w:rsid w:val="003309A8"/>
    <w:rsid w:val="003311F8"/>
    <w:rsid w:val="00332B12"/>
    <w:rsid w:val="0033433D"/>
    <w:rsid w:val="003369DC"/>
    <w:rsid w:val="00340A28"/>
    <w:rsid w:val="00340F22"/>
    <w:rsid w:val="0034201E"/>
    <w:rsid w:val="00343608"/>
    <w:rsid w:val="00343B82"/>
    <w:rsid w:val="00347816"/>
    <w:rsid w:val="00351B07"/>
    <w:rsid w:val="00352CF2"/>
    <w:rsid w:val="00353D24"/>
    <w:rsid w:val="00353D64"/>
    <w:rsid w:val="00354CB0"/>
    <w:rsid w:val="00354E63"/>
    <w:rsid w:val="00355FA8"/>
    <w:rsid w:val="003629A6"/>
    <w:rsid w:val="00364841"/>
    <w:rsid w:val="0037040F"/>
    <w:rsid w:val="0037155A"/>
    <w:rsid w:val="00371B29"/>
    <w:rsid w:val="00371FA1"/>
    <w:rsid w:val="0037656B"/>
    <w:rsid w:val="00380623"/>
    <w:rsid w:val="003818F2"/>
    <w:rsid w:val="0038371C"/>
    <w:rsid w:val="00384215"/>
    <w:rsid w:val="00391769"/>
    <w:rsid w:val="00393E87"/>
    <w:rsid w:val="00394B59"/>
    <w:rsid w:val="003953E1"/>
    <w:rsid w:val="003956B3"/>
    <w:rsid w:val="00397E88"/>
    <w:rsid w:val="003A6717"/>
    <w:rsid w:val="003A68BE"/>
    <w:rsid w:val="003A6EE0"/>
    <w:rsid w:val="003A73DE"/>
    <w:rsid w:val="003B0439"/>
    <w:rsid w:val="003B1805"/>
    <w:rsid w:val="003B3C9D"/>
    <w:rsid w:val="003B6C3F"/>
    <w:rsid w:val="003B6CC3"/>
    <w:rsid w:val="003B78E0"/>
    <w:rsid w:val="003C011D"/>
    <w:rsid w:val="003C053E"/>
    <w:rsid w:val="003C06B4"/>
    <w:rsid w:val="003C1886"/>
    <w:rsid w:val="003C4969"/>
    <w:rsid w:val="003C4AFF"/>
    <w:rsid w:val="003C5F46"/>
    <w:rsid w:val="003D100A"/>
    <w:rsid w:val="003D1A4C"/>
    <w:rsid w:val="003D28C3"/>
    <w:rsid w:val="003D2F35"/>
    <w:rsid w:val="003D4023"/>
    <w:rsid w:val="003D7085"/>
    <w:rsid w:val="003E02CB"/>
    <w:rsid w:val="003E351C"/>
    <w:rsid w:val="003E4075"/>
    <w:rsid w:val="003E41D5"/>
    <w:rsid w:val="003E46BA"/>
    <w:rsid w:val="003E7D22"/>
    <w:rsid w:val="003F10D0"/>
    <w:rsid w:val="003F2690"/>
    <w:rsid w:val="003F4583"/>
    <w:rsid w:val="003F6008"/>
    <w:rsid w:val="003F74C1"/>
    <w:rsid w:val="004000D0"/>
    <w:rsid w:val="004003CD"/>
    <w:rsid w:val="00403104"/>
    <w:rsid w:val="00405B1A"/>
    <w:rsid w:val="004109F7"/>
    <w:rsid w:val="00410AA2"/>
    <w:rsid w:val="00410C76"/>
    <w:rsid w:val="00411813"/>
    <w:rsid w:val="00411907"/>
    <w:rsid w:val="0041246C"/>
    <w:rsid w:val="00412D6C"/>
    <w:rsid w:val="00413732"/>
    <w:rsid w:val="00413CA8"/>
    <w:rsid w:val="0041795C"/>
    <w:rsid w:val="00417EE3"/>
    <w:rsid w:val="0042064F"/>
    <w:rsid w:val="004207EB"/>
    <w:rsid w:val="00421FDC"/>
    <w:rsid w:val="004221DE"/>
    <w:rsid w:val="00423940"/>
    <w:rsid w:val="00426046"/>
    <w:rsid w:val="00430792"/>
    <w:rsid w:val="0043263C"/>
    <w:rsid w:val="00434703"/>
    <w:rsid w:val="00434742"/>
    <w:rsid w:val="00434D54"/>
    <w:rsid w:val="00437276"/>
    <w:rsid w:val="00437F66"/>
    <w:rsid w:val="004403F9"/>
    <w:rsid w:val="00450AE8"/>
    <w:rsid w:val="00450DED"/>
    <w:rsid w:val="0045149B"/>
    <w:rsid w:val="00452314"/>
    <w:rsid w:val="00454B8B"/>
    <w:rsid w:val="00456590"/>
    <w:rsid w:val="00456596"/>
    <w:rsid w:val="00456B54"/>
    <w:rsid w:val="00457062"/>
    <w:rsid w:val="004620DB"/>
    <w:rsid w:val="004625D8"/>
    <w:rsid w:val="00464643"/>
    <w:rsid w:val="00466072"/>
    <w:rsid w:val="004665E1"/>
    <w:rsid w:val="00470958"/>
    <w:rsid w:val="004722F5"/>
    <w:rsid w:val="004727E3"/>
    <w:rsid w:val="00472ED4"/>
    <w:rsid w:val="00473835"/>
    <w:rsid w:val="004757B4"/>
    <w:rsid w:val="004765B4"/>
    <w:rsid w:val="0048186D"/>
    <w:rsid w:val="00483086"/>
    <w:rsid w:val="004830AC"/>
    <w:rsid w:val="00486793"/>
    <w:rsid w:val="00490CC4"/>
    <w:rsid w:val="004911E0"/>
    <w:rsid w:val="00491A85"/>
    <w:rsid w:val="00491F59"/>
    <w:rsid w:val="004937D1"/>
    <w:rsid w:val="00494FE0"/>
    <w:rsid w:val="00496356"/>
    <w:rsid w:val="004A2037"/>
    <w:rsid w:val="004A29D1"/>
    <w:rsid w:val="004A2A65"/>
    <w:rsid w:val="004B6761"/>
    <w:rsid w:val="004C2CE7"/>
    <w:rsid w:val="004C52BD"/>
    <w:rsid w:val="004C5F46"/>
    <w:rsid w:val="004C6311"/>
    <w:rsid w:val="004D04E2"/>
    <w:rsid w:val="004D1108"/>
    <w:rsid w:val="004D4A02"/>
    <w:rsid w:val="004E04EF"/>
    <w:rsid w:val="004E0561"/>
    <w:rsid w:val="004E1DDE"/>
    <w:rsid w:val="004E38D0"/>
    <w:rsid w:val="004E6CFA"/>
    <w:rsid w:val="004E7FFD"/>
    <w:rsid w:val="004F0FFA"/>
    <w:rsid w:val="004F12AA"/>
    <w:rsid w:val="004F4F98"/>
    <w:rsid w:val="004F69F6"/>
    <w:rsid w:val="004F6CE2"/>
    <w:rsid w:val="004F79AC"/>
    <w:rsid w:val="005017CF"/>
    <w:rsid w:val="00502471"/>
    <w:rsid w:val="00510724"/>
    <w:rsid w:val="00512552"/>
    <w:rsid w:val="00514855"/>
    <w:rsid w:val="00515D8A"/>
    <w:rsid w:val="00517ADE"/>
    <w:rsid w:val="005207D8"/>
    <w:rsid w:val="00520D16"/>
    <w:rsid w:val="005217D4"/>
    <w:rsid w:val="00524F71"/>
    <w:rsid w:val="00527CEB"/>
    <w:rsid w:val="00532E7B"/>
    <w:rsid w:val="005345D9"/>
    <w:rsid w:val="0053464E"/>
    <w:rsid w:val="00536EEE"/>
    <w:rsid w:val="0053765B"/>
    <w:rsid w:val="005427DD"/>
    <w:rsid w:val="00545008"/>
    <w:rsid w:val="00554628"/>
    <w:rsid w:val="00556003"/>
    <w:rsid w:val="00562917"/>
    <w:rsid w:val="005646BF"/>
    <w:rsid w:val="0056498A"/>
    <w:rsid w:val="00567768"/>
    <w:rsid w:val="00581C33"/>
    <w:rsid w:val="0058566C"/>
    <w:rsid w:val="0058584B"/>
    <w:rsid w:val="00586228"/>
    <w:rsid w:val="0058634E"/>
    <w:rsid w:val="00591792"/>
    <w:rsid w:val="00593E69"/>
    <w:rsid w:val="00594363"/>
    <w:rsid w:val="0059449A"/>
    <w:rsid w:val="00596816"/>
    <w:rsid w:val="00597CF2"/>
    <w:rsid w:val="005A16E6"/>
    <w:rsid w:val="005A1D97"/>
    <w:rsid w:val="005A2642"/>
    <w:rsid w:val="005A3051"/>
    <w:rsid w:val="005A3E3F"/>
    <w:rsid w:val="005A4852"/>
    <w:rsid w:val="005A504B"/>
    <w:rsid w:val="005B1730"/>
    <w:rsid w:val="005B21FB"/>
    <w:rsid w:val="005B61C2"/>
    <w:rsid w:val="005B676C"/>
    <w:rsid w:val="005B6AF4"/>
    <w:rsid w:val="005B7A73"/>
    <w:rsid w:val="005C04CB"/>
    <w:rsid w:val="005C0AB6"/>
    <w:rsid w:val="005C2031"/>
    <w:rsid w:val="005C2BDC"/>
    <w:rsid w:val="005C34F7"/>
    <w:rsid w:val="005C529F"/>
    <w:rsid w:val="005C697A"/>
    <w:rsid w:val="005C7588"/>
    <w:rsid w:val="005D128F"/>
    <w:rsid w:val="005D1688"/>
    <w:rsid w:val="005D16AD"/>
    <w:rsid w:val="005D2432"/>
    <w:rsid w:val="005D255B"/>
    <w:rsid w:val="005D39B0"/>
    <w:rsid w:val="005D46ED"/>
    <w:rsid w:val="005D72E1"/>
    <w:rsid w:val="005E084E"/>
    <w:rsid w:val="005E120C"/>
    <w:rsid w:val="005E1E51"/>
    <w:rsid w:val="005E215E"/>
    <w:rsid w:val="005E5D04"/>
    <w:rsid w:val="005E6E16"/>
    <w:rsid w:val="005F177A"/>
    <w:rsid w:val="005F400E"/>
    <w:rsid w:val="005F7342"/>
    <w:rsid w:val="005F7A4E"/>
    <w:rsid w:val="00600278"/>
    <w:rsid w:val="00603389"/>
    <w:rsid w:val="00603A08"/>
    <w:rsid w:val="0061063B"/>
    <w:rsid w:val="00610A3C"/>
    <w:rsid w:val="00611866"/>
    <w:rsid w:val="006130E6"/>
    <w:rsid w:val="00615712"/>
    <w:rsid w:val="00620C8D"/>
    <w:rsid w:val="00621522"/>
    <w:rsid w:val="00621D6E"/>
    <w:rsid w:val="006225E4"/>
    <w:rsid w:val="006226D9"/>
    <w:rsid w:val="00622E85"/>
    <w:rsid w:val="00623203"/>
    <w:rsid w:val="00627F48"/>
    <w:rsid w:val="00630C23"/>
    <w:rsid w:val="00630FA8"/>
    <w:rsid w:val="00631B2E"/>
    <w:rsid w:val="00631CD3"/>
    <w:rsid w:val="00633DC6"/>
    <w:rsid w:val="006378C6"/>
    <w:rsid w:val="00641227"/>
    <w:rsid w:val="00641341"/>
    <w:rsid w:val="00641500"/>
    <w:rsid w:val="00645BF4"/>
    <w:rsid w:val="006460AB"/>
    <w:rsid w:val="00646497"/>
    <w:rsid w:val="00651358"/>
    <w:rsid w:val="00654406"/>
    <w:rsid w:val="00654B89"/>
    <w:rsid w:val="00655CC1"/>
    <w:rsid w:val="00662EDC"/>
    <w:rsid w:val="00663F48"/>
    <w:rsid w:val="00663FCF"/>
    <w:rsid w:val="006652A2"/>
    <w:rsid w:val="00665919"/>
    <w:rsid w:val="00666555"/>
    <w:rsid w:val="006673D0"/>
    <w:rsid w:val="00667D7B"/>
    <w:rsid w:val="00670287"/>
    <w:rsid w:val="00673831"/>
    <w:rsid w:val="00674C55"/>
    <w:rsid w:val="0067561F"/>
    <w:rsid w:val="00676699"/>
    <w:rsid w:val="0068046B"/>
    <w:rsid w:val="0068097C"/>
    <w:rsid w:val="00690206"/>
    <w:rsid w:val="006906EF"/>
    <w:rsid w:val="0069085E"/>
    <w:rsid w:val="00691492"/>
    <w:rsid w:val="00692183"/>
    <w:rsid w:val="006937FF"/>
    <w:rsid w:val="006968FE"/>
    <w:rsid w:val="006972BC"/>
    <w:rsid w:val="00697327"/>
    <w:rsid w:val="006A2911"/>
    <w:rsid w:val="006A417A"/>
    <w:rsid w:val="006A48A7"/>
    <w:rsid w:val="006A5B18"/>
    <w:rsid w:val="006B14AC"/>
    <w:rsid w:val="006B189C"/>
    <w:rsid w:val="006B4BA1"/>
    <w:rsid w:val="006B5EBE"/>
    <w:rsid w:val="006B6E75"/>
    <w:rsid w:val="006C4191"/>
    <w:rsid w:val="006C4CA6"/>
    <w:rsid w:val="006C5885"/>
    <w:rsid w:val="006C5BD7"/>
    <w:rsid w:val="006C5CF5"/>
    <w:rsid w:val="006C6435"/>
    <w:rsid w:val="006C7EF4"/>
    <w:rsid w:val="006C7EFA"/>
    <w:rsid w:val="006D16DA"/>
    <w:rsid w:val="006D4360"/>
    <w:rsid w:val="006D61BF"/>
    <w:rsid w:val="006D798C"/>
    <w:rsid w:val="006E1647"/>
    <w:rsid w:val="006E1D81"/>
    <w:rsid w:val="006E4283"/>
    <w:rsid w:val="006F0766"/>
    <w:rsid w:val="006F145C"/>
    <w:rsid w:val="006F2976"/>
    <w:rsid w:val="006F4A82"/>
    <w:rsid w:val="00700166"/>
    <w:rsid w:val="007036C0"/>
    <w:rsid w:val="0070373B"/>
    <w:rsid w:val="007038C5"/>
    <w:rsid w:val="00710780"/>
    <w:rsid w:val="00714440"/>
    <w:rsid w:val="00716A75"/>
    <w:rsid w:val="00720067"/>
    <w:rsid w:val="00720099"/>
    <w:rsid w:val="00721D1E"/>
    <w:rsid w:val="007224FB"/>
    <w:rsid w:val="00724D37"/>
    <w:rsid w:val="00724FA4"/>
    <w:rsid w:val="00726F5F"/>
    <w:rsid w:val="007273BD"/>
    <w:rsid w:val="00727830"/>
    <w:rsid w:val="00727E80"/>
    <w:rsid w:val="00730800"/>
    <w:rsid w:val="007309CD"/>
    <w:rsid w:val="00732277"/>
    <w:rsid w:val="00735E6D"/>
    <w:rsid w:val="0074009E"/>
    <w:rsid w:val="007411AA"/>
    <w:rsid w:val="00745F88"/>
    <w:rsid w:val="0074707D"/>
    <w:rsid w:val="00747CA1"/>
    <w:rsid w:val="007505BD"/>
    <w:rsid w:val="007563EE"/>
    <w:rsid w:val="00760269"/>
    <w:rsid w:val="007602AA"/>
    <w:rsid w:val="0076229F"/>
    <w:rsid w:val="007646D2"/>
    <w:rsid w:val="007652EF"/>
    <w:rsid w:val="00770ECD"/>
    <w:rsid w:val="0077194C"/>
    <w:rsid w:val="00772BDC"/>
    <w:rsid w:val="00780792"/>
    <w:rsid w:val="00780E2E"/>
    <w:rsid w:val="00780FB8"/>
    <w:rsid w:val="00782A6A"/>
    <w:rsid w:val="00783B64"/>
    <w:rsid w:val="00784FD7"/>
    <w:rsid w:val="00793E8E"/>
    <w:rsid w:val="007953FB"/>
    <w:rsid w:val="00797058"/>
    <w:rsid w:val="007A25EC"/>
    <w:rsid w:val="007A2C29"/>
    <w:rsid w:val="007A37D7"/>
    <w:rsid w:val="007A41C5"/>
    <w:rsid w:val="007A44B4"/>
    <w:rsid w:val="007A4622"/>
    <w:rsid w:val="007A474A"/>
    <w:rsid w:val="007A4A9E"/>
    <w:rsid w:val="007A6A3D"/>
    <w:rsid w:val="007A7D3D"/>
    <w:rsid w:val="007A7F59"/>
    <w:rsid w:val="007B225D"/>
    <w:rsid w:val="007B36D0"/>
    <w:rsid w:val="007B40BE"/>
    <w:rsid w:val="007B509C"/>
    <w:rsid w:val="007C174F"/>
    <w:rsid w:val="007C1C64"/>
    <w:rsid w:val="007C2D7F"/>
    <w:rsid w:val="007C3CDD"/>
    <w:rsid w:val="007D03EA"/>
    <w:rsid w:val="007D0D39"/>
    <w:rsid w:val="007D270F"/>
    <w:rsid w:val="007D3117"/>
    <w:rsid w:val="007D5366"/>
    <w:rsid w:val="007D5814"/>
    <w:rsid w:val="007D5AA4"/>
    <w:rsid w:val="007D6C1E"/>
    <w:rsid w:val="007E1722"/>
    <w:rsid w:val="007E2A71"/>
    <w:rsid w:val="007E301F"/>
    <w:rsid w:val="007E3D5B"/>
    <w:rsid w:val="007E48BC"/>
    <w:rsid w:val="007E5BCA"/>
    <w:rsid w:val="007E6478"/>
    <w:rsid w:val="007E79F7"/>
    <w:rsid w:val="007E7BA2"/>
    <w:rsid w:val="007F1742"/>
    <w:rsid w:val="007F3630"/>
    <w:rsid w:val="007F6A01"/>
    <w:rsid w:val="008002C5"/>
    <w:rsid w:val="00801E0C"/>
    <w:rsid w:val="00802796"/>
    <w:rsid w:val="008028CB"/>
    <w:rsid w:val="008031A2"/>
    <w:rsid w:val="00807559"/>
    <w:rsid w:val="00810244"/>
    <w:rsid w:val="008128FA"/>
    <w:rsid w:val="0081461B"/>
    <w:rsid w:val="0081569D"/>
    <w:rsid w:val="00816484"/>
    <w:rsid w:val="00823EF6"/>
    <w:rsid w:val="00827A5C"/>
    <w:rsid w:val="0083024F"/>
    <w:rsid w:val="00830D6D"/>
    <w:rsid w:val="0083160E"/>
    <w:rsid w:val="00831F79"/>
    <w:rsid w:val="0083274C"/>
    <w:rsid w:val="00832E87"/>
    <w:rsid w:val="008334DA"/>
    <w:rsid w:val="0083580C"/>
    <w:rsid w:val="00840CB1"/>
    <w:rsid w:val="008438DE"/>
    <w:rsid w:val="0084458A"/>
    <w:rsid w:val="0084502B"/>
    <w:rsid w:val="008450BC"/>
    <w:rsid w:val="008462CA"/>
    <w:rsid w:val="0085334B"/>
    <w:rsid w:val="008539D6"/>
    <w:rsid w:val="00853A93"/>
    <w:rsid w:val="008558D9"/>
    <w:rsid w:val="008579EE"/>
    <w:rsid w:val="008600B2"/>
    <w:rsid w:val="00861A5E"/>
    <w:rsid w:val="00863DEA"/>
    <w:rsid w:val="0086625D"/>
    <w:rsid w:val="00866653"/>
    <w:rsid w:val="008669B8"/>
    <w:rsid w:val="00870214"/>
    <w:rsid w:val="00871F3A"/>
    <w:rsid w:val="00873D05"/>
    <w:rsid w:val="0087620F"/>
    <w:rsid w:val="008763B6"/>
    <w:rsid w:val="00876EC7"/>
    <w:rsid w:val="0087795A"/>
    <w:rsid w:val="00877CE8"/>
    <w:rsid w:val="00882A8E"/>
    <w:rsid w:val="00885C51"/>
    <w:rsid w:val="00885EB0"/>
    <w:rsid w:val="00890511"/>
    <w:rsid w:val="00891766"/>
    <w:rsid w:val="00891B4B"/>
    <w:rsid w:val="00891F4B"/>
    <w:rsid w:val="008924EE"/>
    <w:rsid w:val="0089264A"/>
    <w:rsid w:val="00895596"/>
    <w:rsid w:val="00896B85"/>
    <w:rsid w:val="008A13A6"/>
    <w:rsid w:val="008A22BE"/>
    <w:rsid w:val="008A25FD"/>
    <w:rsid w:val="008A4210"/>
    <w:rsid w:val="008A676B"/>
    <w:rsid w:val="008B06AD"/>
    <w:rsid w:val="008B12CC"/>
    <w:rsid w:val="008B1D01"/>
    <w:rsid w:val="008B36C0"/>
    <w:rsid w:val="008B67C6"/>
    <w:rsid w:val="008B6AE9"/>
    <w:rsid w:val="008C0D10"/>
    <w:rsid w:val="008C11A5"/>
    <w:rsid w:val="008C1B36"/>
    <w:rsid w:val="008C2859"/>
    <w:rsid w:val="008C33C3"/>
    <w:rsid w:val="008C6FA0"/>
    <w:rsid w:val="008C7B4A"/>
    <w:rsid w:val="008D00F8"/>
    <w:rsid w:val="008D06C6"/>
    <w:rsid w:val="008D0F7D"/>
    <w:rsid w:val="008D10B1"/>
    <w:rsid w:val="008D256B"/>
    <w:rsid w:val="008D5FBE"/>
    <w:rsid w:val="008E13CB"/>
    <w:rsid w:val="008E4763"/>
    <w:rsid w:val="008E4766"/>
    <w:rsid w:val="008E54E6"/>
    <w:rsid w:val="008E6250"/>
    <w:rsid w:val="008F1119"/>
    <w:rsid w:val="008F1E7E"/>
    <w:rsid w:val="008F3BC5"/>
    <w:rsid w:val="008F4B1D"/>
    <w:rsid w:val="008F4F4F"/>
    <w:rsid w:val="008F5AD5"/>
    <w:rsid w:val="008F6859"/>
    <w:rsid w:val="00902AF6"/>
    <w:rsid w:val="009036F4"/>
    <w:rsid w:val="00910568"/>
    <w:rsid w:val="00914BDE"/>
    <w:rsid w:val="0091749D"/>
    <w:rsid w:val="00920249"/>
    <w:rsid w:val="00921578"/>
    <w:rsid w:val="00924C80"/>
    <w:rsid w:val="009257D1"/>
    <w:rsid w:val="00925F56"/>
    <w:rsid w:val="009266F9"/>
    <w:rsid w:val="00927D41"/>
    <w:rsid w:val="00930194"/>
    <w:rsid w:val="0093242D"/>
    <w:rsid w:val="0093279C"/>
    <w:rsid w:val="00932F14"/>
    <w:rsid w:val="00934672"/>
    <w:rsid w:val="009360BD"/>
    <w:rsid w:val="00937D1D"/>
    <w:rsid w:val="0094247F"/>
    <w:rsid w:val="009429D6"/>
    <w:rsid w:val="00942D60"/>
    <w:rsid w:val="00944E75"/>
    <w:rsid w:val="009452EA"/>
    <w:rsid w:val="009530B4"/>
    <w:rsid w:val="00954C71"/>
    <w:rsid w:val="00954F69"/>
    <w:rsid w:val="009619A9"/>
    <w:rsid w:val="00961D15"/>
    <w:rsid w:val="00962469"/>
    <w:rsid w:val="0096262B"/>
    <w:rsid w:val="00962733"/>
    <w:rsid w:val="00963B9D"/>
    <w:rsid w:val="009644CE"/>
    <w:rsid w:val="0096523B"/>
    <w:rsid w:val="00966EE3"/>
    <w:rsid w:val="009675ED"/>
    <w:rsid w:val="0097030E"/>
    <w:rsid w:val="00970E50"/>
    <w:rsid w:val="00971B17"/>
    <w:rsid w:val="00972D06"/>
    <w:rsid w:val="00975275"/>
    <w:rsid w:val="009777E1"/>
    <w:rsid w:val="00981C60"/>
    <w:rsid w:val="00983057"/>
    <w:rsid w:val="00990EC6"/>
    <w:rsid w:val="0099328E"/>
    <w:rsid w:val="009A1200"/>
    <w:rsid w:val="009A2D2A"/>
    <w:rsid w:val="009A2EC1"/>
    <w:rsid w:val="009A391C"/>
    <w:rsid w:val="009A3C86"/>
    <w:rsid w:val="009A3E39"/>
    <w:rsid w:val="009A4A9F"/>
    <w:rsid w:val="009A50F2"/>
    <w:rsid w:val="009A573D"/>
    <w:rsid w:val="009B4D90"/>
    <w:rsid w:val="009B6595"/>
    <w:rsid w:val="009B70C9"/>
    <w:rsid w:val="009C241E"/>
    <w:rsid w:val="009C4A65"/>
    <w:rsid w:val="009C741D"/>
    <w:rsid w:val="009D1541"/>
    <w:rsid w:val="009D312A"/>
    <w:rsid w:val="009D38A6"/>
    <w:rsid w:val="009E0A61"/>
    <w:rsid w:val="009E22C6"/>
    <w:rsid w:val="009E3010"/>
    <w:rsid w:val="009E3791"/>
    <w:rsid w:val="009E73E0"/>
    <w:rsid w:val="009F007E"/>
    <w:rsid w:val="009F0610"/>
    <w:rsid w:val="009F1067"/>
    <w:rsid w:val="009F1C86"/>
    <w:rsid w:val="009F2465"/>
    <w:rsid w:val="009F7065"/>
    <w:rsid w:val="009F74C0"/>
    <w:rsid w:val="009F7D52"/>
    <w:rsid w:val="00A01EEA"/>
    <w:rsid w:val="00A02DFE"/>
    <w:rsid w:val="00A05C69"/>
    <w:rsid w:val="00A05C92"/>
    <w:rsid w:val="00A06044"/>
    <w:rsid w:val="00A06359"/>
    <w:rsid w:val="00A11A91"/>
    <w:rsid w:val="00A15805"/>
    <w:rsid w:val="00A17610"/>
    <w:rsid w:val="00A17AA0"/>
    <w:rsid w:val="00A20DC8"/>
    <w:rsid w:val="00A26167"/>
    <w:rsid w:val="00A26810"/>
    <w:rsid w:val="00A3700F"/>
    <w:rsid w:val="00A4007A"/>
    <w:rsid w:val="00A40123"/>
    <w:rsid w:val="00A4175D"/>
    <w:rsid w:val="00A42147"/>
    <w:rsid w:val="00A43CAE"/>
    <w:rsid w:val="00A47F07"/>
    <w:rsid w:val="00A50F7E"/>
    <w:rsid w:val="00A557D8"/>
    <w:rsid w:val="00A56DC7"/>
    <w:rsid w:val="00A61EE1"/>
    <w:rsid w:val="00A6247A"/>
    <w:rsid w:val="00A659C1"/>
    <w:rsid w:val="00A660C0"/>
    <w:rsid w:val="00A662E1"/>
    <w:rsid w:val="00A6768F"/>
    <w:rsid w:val="00A733F3"/>
    <w:rsid w:val="00A74FD1"/>
    <w:rsid w:val="00A77816"/>
    <w:rsid w:val="00A77BFA"/>
    <w:rsid w:val="00A83D65"/>
    <w:rsid w:val="00A8458F"/>
    <w:rsid w:val="00A84A58"/>
    <w:rsid w:val="00A86544"/>
    <w:rsid w:val="00A86FD5"/>
    <w:rsid w:val="00A874F5"/>
    <w:rsid w:val="00A92BC2"/>
    <w:rsid w:val="00A949A6"/>
    <w:rsid w:val="00A970E4"/>
    <w:rsid w:val="00AA10A4"/>
    <w:rsid w:val="00AA1FBB"/>
    <w:rsid w:val="00AA3D20"/>
    <w:rsid w:val="00AA7B29"/>
    <w:rsid w:val="00AA7B39"/>
    <w:rsid w:val="00AB0777"/>
    <w:rsid w:val="00AB094D"/>
    <w:rsid w:val="00AB22BA"/>
    <w:rsid w:val="00AB38F2"/>
    <w:rsid w:val="00AC0888"/>
    <w:rsid w:val="00AC2127"/>
    <w:rsid w:val="00AC254E"/>
    <w:rsid w:val="00AC42A3"/>
    <w:rsid w:val="00AC5E42"/>
    <w:rsid w:val="00AC6255"/>
    <w:rsid w:val="00AD1D80"/>
    <w:rsid w:val="00AD2901"/>
    <w:rsid w:val="00AD2B4C"/>
    <w:rsid w:val="00AD48CD"/>
    <w:rsid w:val="00AD4EAF"/>
    <w:rsid w:val="00AD4EE6"/>
    <w:rsid w:val="00AD72D0"/>
    <w:rsid w:val="00AE06CE"/>
    <w:rsid w:val="00AE097C"/>
    <w:rsid w:val="00AE1351"/>
    <w:rsid w:val="00AE27A1"/>
    <w:rsid w:val="00AE4267"/>
    <w:rsid w:val="00AF06FC"/>
    <w:rsid w:val="00AF22F3"/>
    <w:rsid w:val="00AF3391"/>
    <w:rsid w:val="00AF387F"/>
    <w:rsid w:val="00AF5E0A"/>
    <w:rsid w:val="00AF7E80"/>
    <w:rsid w:val="00B00E7F"/>
    <w:rsid w:val="00B02C9D"/>
    <w:rsid w:val="00B02EFC"/>
    <w:rsid w:val="00B034EB"/>
    <w:rsid w:val="00B05631"/>
    <w:rsid w:val="00B06DF8"/>
    <w:rsid w:val="00B071FA"/>
    <w:rsid w:val="00B1219D"/>
    <w:rsid w:val="00B12F1E"/>
    <w:rsid w:val="00B138D0"/>
    <w:rsid w:val="00B17287"/>
    <w:rsid w:val="00B173DA"/>
    <w:rsid w:val="00B219C4"/>
    <w:rsid w:val="00B21DCC"/>
    <w:rsid w:val="00B2215E"/>
    <w:rsid w:val="00B22238"/>
    <w:rsid w:val="00B22E01"/>
    <w:rsid w:val="00B2374A"/>
    <w:rsid w:val="00B243B4"/>
    <w:rsid w:val="00B25F37"/>
    <w:rsid w:val="00B269E7"/>
    <w:rsid w:val="00B3042D"/>
    <w:rsid w:val="00B32DB8"/>
    <w:rsid w:val="00B34E7A"/>
    <w:rsid w:val="00B35764"/>
    <w:rsid w:val="00B35B19"/>
    <w:rsid w:val="00B36F80"/>
    <w:rsid w:val="00B37BF0"/>
    <w:rsid w:val="00B40A3D"/>
    <w:rsid w:val="00B40D17"/>
    <w:rsid w:val="00B43954"/>
    <w:rsid w:val="00B44422"/>
    <w:rsid w:val="00B46EA0"/>
    <w:rsid w:val="00B47B8D"/>
    <w:rsid w:val="00B47BF1"/>
    <w:rsid w:val="00B47E1E"/>
    <w:rsid w:val="00B52774"/>
    <w:rsid w:val="00B53204"/>
    <w:rsid w:val="00B5556A"/>
    <w:rsid w:val="00B56647"/>
    <w:rsid w:val="00B56A15"/>
    <w:rsid w:val="00B634C0"/>
    <w:rsid w:val="00B66053"/>
    <w:rsid w:val="00B67EDD"/>
    <w:rsid w:val="00B72524"/>
    <w:rsid w:val="00B72748"/>
    <w:rsid w:val="00B728D0"/>
    <w:rsid w:val="00B731D3"/>
    <w:rsid w:val="00B74CF4"/>
    <w:rsid w:val="00B75245"/>
    <w:rsid w:val="00B753E1"/>
    <w:rsid w:val="00B75F68"/>
    <w:rsid w:val="00B7692B"/>
    <w:rsid w:val="00B7740E"/>
    <w:rsid w:val="00B777B3"/>
    <w:rsid w:val="00B80838"/>
    <w:rsid w:val="00B81829"/>
    <w:rsid w:val="00B836BB"/>
    <w:rsid w:val="00B839A3"/>
    <w:rsid w:val="00B844AA"/>
    <w:rsid w:val="00B902BD"/>
    <w:rsid w:val="00B9522C"/>
    <w:rsid w:val="00B97A64"/>
    <w:rsid w:val="00BA0B7A"/>
    <w:rsid w:val="00BA168C"/>
    <w:rsid w:val="00BA1BF4"/>
    <w:rsid w:val="00BA24E2"/>
    <w:rsid w:val="00BA517A"/>
    <w:rsid w:val="00BA6866"/>
    <w:rsid w:val="00BB1493"/>
    <w:rsid w:val="00BB1931"/>
    <w:rsid w:val="00BB3278"/>
    <w:rsid w:val="00BB43CD"/>
    <w:rsid w:val="00BB4B43"/>
    <w:rsid w:val="00BB5E0C"/>
    <w:rsid w:val="00BB618B"/>
    <w:rsid w:val="00BB6925"/>
    <w:rsid w:val="00BC1BE4"/>
    <w:rsid w:val="00BC1C81"/>
    <w:rsid w:val="00BC6C76"/>
    <w:rsid w:val="00BC798D"/>
    <w:rsid w:val="00BD0F46"/>
    <w:rsid w:val="00BD19B5"/>
    <w:rsid w:val="00BD1B06"/>
    <w:rsid w:val="00BD265E"/>
    <w:rsid w:val="00BD2A39"/>
    <w:rsid w:val="00BD2E80"/>
    <w:rsid w:val="00BD535B"/>
    <w:rsid w:val="00BD6EA3"/>
    <w:rsid w:val="00BE11B8"/>
    <w:rsid w:val="00BE36E6"/>
    <w:rsid w:val="00BE42D2"/>
    <w:rsid w:val="00BE5E31"/>
    <w:rsid w:val="00BF17BC"/>
    <w:rsid w:val="00BF3A53"/>
    <w:rsid w:val="00BF7903"/>
    <w:rsid w:val="00BF7FF0"/>
    <w:rsid w:val="00C01E03"/>
    <w:rsid w:val="00C03E82"/>
    <w:rsid w:val="00C03F8D"/>
    <w:rsid w:val="00C057F4"/>
    <w:rsid w:val="00C05EB3"/>
    <w:rsid w:val="00C06349"/>
    <w:rsid w:val="00C06A49"/>
    <w:rsid w:val="00C06B6C"/>
    <w:rsid w:val="00C12502"/>
    <w:rsid w:val="00C12CE2"/>
    <w:rsid w:val="00C12F63"/>
    <w:rsid w:val="00C14EA0"/>
    <w:rsid w:val="00C1566E"/>
    <w:rsid w:val="00C1621E"/>
    <w:rsid w:val="00C16AA0"/>
    <w:rsid w:val="00C17863"/>
    <w:rsid w:val="00C17E15"/>
    <w:rsid w:val="00C223CC"/>
    <w:rsid w:val="00C229D2"/>
    <w:rsid w:val="00C26C9C"/>
    <w:rsid w:val="00C27B80"/>
    <w:rsid w:val="00C31214"/>
    <w:rsid w:val="00C33AE2"/>
    <w:rsid w:val="00C34392"/>
    <w:rsid w:val="00C34F04"/>
    <w:rsid w:val="00C36578"/>
    <w:rsid w:val="00C36955"/>
    <w:rsid w:val="00C40AA5"/>
    <w:rsid w:val="00C42AB8"/>
    <w:rsid w:val="00C42D3E"/>
    <w:rsid w:val="00C4385A"/>
    <w:rsid w:val="00C46A03"/>
    <w:rsid w:val="00C46F70"/>
    <w:rsid w:val="00C47681"/>
    <w:rsid w:val="00C476D0"/>
    <w:rsid w:val="00C5296C"/>
    <w:rsid w:val="00C52E54"/>
    <w:rsid w:val="00C540D1"/>
    <w:rsid w:val="00C54763"/>
    <w:rsid w:val="00C61AC1"/>
    <w:rsid w:val="00C624E1"/>
    <w:rsid w:val="00C62FEF"/>
    <w:rsid w:val="00C679E3"/>
    <w:rsid w:val="00C709ED"/>
    <w:rsid w:val="00C7456F"/>
    <w:rsid w:val="00C76220"/>
    <w:rsid w:val="00C76294"/>
    <w:rsid w:val="00C762F9"/>
    <w:rsid w:val="00C801BD"/>
    <w:rsid w:val="00C80447"/>
    <w:rsid w:val="00C816A1"/>
    <w:rsid w:val="00C81A58"/>
    <w:rsid w:val="00C8251E"/>
    <w:rsid w:val="00C82C50"/>
    <w:rsid w:val="00C836D0"/>
    <w:rsid w:val="00C836E3"/>
    <w:rsid w:val="00C84020"/>
    <w:rsid w:val="00C84D76"/>
    <w:rsid w:val="00C85421"/>
    <w:rsid w:val="00C862C1"/>
    <w:rsid w:val="00C86577"/>
    <w:rsid w:val="00C86C81"/>
    <w:rsid w:val="00C87DFE"/>
    <w:rsid w:val="00C91C78"/>
    <w:rsid w:val="00C927EB"/>
    <w:rsid w:val="00C92E07"/>
    <w:rsid w:val="00C95F7B"/>
    <w:rsid w:val="00C96868"/>
    <w:rsid w:val="00CA0416"/>
    <w:rsid w:val="00CA1F57"/>
    <w:rsid w:val="00CA3A57"/>
    <w:rsid w:val="00CA7C1D"/>
    <w:rsid w:val="00CA7F87"/>
    <w:rsid w:val="00CB0F03"/>
    <w:rsid w:val="00CB2810"/>
    <w:rsid w:val="00CB5D00"/>
    <w:rsid w:val="00CB5DA7"/>
    <w:rsid w:val="00CB62B8"/>
    <w:rsid w:val="00CB795E"/>
    <w:rsid w:val="00CC320D"/>
    <w:rsid w:val="00CC3DC2"/>
    <w:rsid w:val="00CC4563"/>
    <w:rsid w:val="00CC54A5"/>
    <w:rsid w:val="00CC560B"/>
    <w:rsid w:val="00CC75E2"/>
    <w:rsid w:val="00CD2FE6"/>
    <w:rsid w:val="00CD34B8"/>
    <w:rsid w:val="00CD3B1E"/>
    <w:rsid w:val="00CD46EB"/>
    <w:rsid w:val="00CD6EFA"/>
    <w:rsid w:val="00CD797E"/>
    <w:rsid w:val="00CD7EBF"/>
    <w:rsid w:val="00CE02DB"/>
    <w:rsid w:val="00CE03C7"/>
    <w:rsid w:val="00CE1D8F"/>
    <w:rsid w:val="00CE4DEF"/>
    <w:rsid w:val="00CE5967"/>
    <w:rsid w:val="00CF0593"/>
    <w:rsid w:val="00CF05F3"/>
    <w:rsid w:val="00CF07EC"/>
    <w:rsid w:val="00CF1EC6"/>
    <w:rsid w:val="00CF20D3"/>
    <w:rsid w:val="00CF2182"/>
    <w:rsid w:val="00CF219E"/>
    <w:rsid w:val="00CF53F2"/>
    <w:rsid w:val="00CF772A"/>
    <w:rsid w:val="00D03A9E"/>
    <w:rsid w:val="00D03C98"/>
    <w:rsid w:val="00D04528"/>
    <w:rsid w:val="00D0490E"/>
    <w:rsid w:val="00D0508C"/>
    <w:rsid w:val="00D056F1"/>
    <w:rsid w:val="00D06E30"/>
    <w:rsid w:val="00D10544"/>
    <w:rsid w:val="00D11171"/>
    <w:rsid w:val="00D1233B"/>
    <w:rsid w:val="00D128F8"/>
    <w:rsid w:val="00D14FE1"/>
    <w:rsid w:val="00D15988"/>
    <w:rsid w:val="00D20658"/>
    <w:rsid w:val="00D22F3C"/>
    <w:rsid w:val="00D23DB6"/>
    <w:rsid w:val="00D24824"/>
    <w:rsid w:val="00D25533"/>
    <w:rsid w:val="00D30449"/>
    <w:rsid w:val="00D3195C"/>
    <w:rsid w:val="00D31C15"/>
    <w:rsid w:val="00D32413"/>
    <w:rsid w:val="00D32495"/>
    <w:rsid w:val="00D33F6E"/>
    <w:rsid w:val="00D40E69"/>
    <w:rsid w:val="00D40F1A"/>
    <w:rsid w:val="00D43FE6"/>
    <w:rsid w:val="00D5003D"/>
    <w:rsid w:val="00D50F21"/>
    <w:rsid w:val="00D51A95"/>
    <w:rsid w:val="00D51E02"/>
    <w:rsid w:val="00D522BB"/>
    <w:rsid w:val="00D53711"/>
    <w:rsid w:val="00D53D19"/>
    <w:rsid w:val="00D55085"/>
    <w:rsid w:val="00D60130"/>
    <w:rsid w:val="00D60568"/>
    <w:rsid w:val="00D6314E"/>
    <w:rsid w:val="00D70AD6"/>
    <w:rsid w:val="00D70C7A"/>
    <w:rsid w:val="00D721FE"/>
    <w:rsid w:val="00D735F6"/>
    <w:rsid w:val="00D755BB"/>
    <w:rsid w:val="00D81D38"/>
    <w:rsid w:val="00D8308B"/>
    <w:rsid w:val="00D8476C"/>
    <w:rsid w:val="00D84CD2"/>
    <w:rsid w:val="00D86925"/>
    <w:rsid w:val="00D86F35"/>
    <w:rsid w:val="00D91622"/>
    <w:rsid w:val="00D956BA"/>
    <w:rsid w:val="00D9649C"/>
    <w:rsid w:val="00DA10A8"/>
    <w:rsid w:val="00DA1853"/>
    <w:rsid w:val="00DA1D34"/>
    <w:rsid w:val="00DA4737"/>
    <w:rsid w:val="00DA58D7"/>
    <w:rsid w:val="00DA75D8"/>
    <w:rsid w:val="00DB0A20"/>
    <w:rsid w:val="00DB111C"/>
    <w:rsid w:val="00DB1E08"/>
    <w:rsid w:val="00DB2973"/>
    <w:rsid w:val="00DB2BF3"/>
    <w:rsid w:val="00DB5D89"/>
    <w:rsid w:val="00DB64EE"/>
    <w:rsid w:val="00DB7FF8"/>
    <w:rsid w:val="00DC1B56"/>
    <w:rsid w:val="00DC2129"/>
    <w:rsid w:val="00DC2191"/>
    <w:rsid w:val="00DC2265"/>
    <w:rsid w:val="00DC3022"/>
    <w:rsid w:val="00DC3BDC"/>
    <w:rsid w:val="00DC6570"/>
    <w:rsid w:val="00DD0BC5"/>
    <w:rsid w:val="00DD3471"/>
    <w:rsid w:val="00DD3C5E"/>
    <w:rsid w:val="00DD4389"/>
    <w:rsid w:val="00DD72A5"/>
    <w:rsid w:val="00DE3A23"/>
    <w:rsid w:val="00DE6BD2"/>
    <w:rsid w:val="00DE7FAD"/>
    <w:rsid w:val="00DF17C5"/>
    <w:rsid w:val="00DF18A2"/>
    <w:rsid w:val="00DF25C3"/>
    <w:rsid w:val="00E0166B"/>
    <w:rsid w:val="00E02BE8"/>
    <w:rsid w:val="00E04062"/>
    <w:rsid w:val="00E04867"/>
    <w:rsid w:val="00E063C6"/>
    <w:rsid w:val="00E065AC"/>
    <w:rsid w:val="00E066BA"/>
    <w:rsid w:val="00E1034E"/>
    <w:rsid w:val="00E11BAB"/>
    <w:rsid w:val="00E11C67"/>
    <w:rsid w:val="00E12F37"/>
    <w:rsid w:val="00E16929"/>
    <w:rsid w:val="00E17E1D"/>
    <w:rsid w:val="00E2003B"/>
    <w:rsid w:val="00E203C2"/>
    <w:rsid w:val="00E21671"/>
    <w:rsid w:val="00E22E34"/>
    <w:rsid w:val="00E24984"/>
    <w:rsid w:val="00E26305"/>
    <w:rsid w:val="00E26C98"/>
    <w:rsid w:val="00E279D8"/>
    <w:rsid w:val="00E302A8"/>
    <w:rsid w:val="00E319B1"/>
    <w:rsid w:val="00E32055"/>
    <w:rsid w:val="00E320D8"/>
    <w:rsid w:val="00E3510C"/>
    <w:rsid w:val="00E355F4"/>
    <w:rsid w:val="00E371FE"/>
    <w:rsid w:val="00E37B69"/>
    <w:rsid w:val="00E4164A"/>
    <w:rsid w:val="00E41866"/>
    <w:rsid w:val="00E4443E"/>
    <w:rsid w:val="00E44E0D"/>
    <w:rsid w:val="00E462F3"/>
    <w:rsid w:val="00E47DFA"/>
    <w:rsid w:val="00E51C56"/>
    <w:rsid w:val="00E52862"/>
    <w:rsid w:val="00E5492F"/>
    <w:rsid w:val="00E565A2"/>
    <w:rsid w:val="00E62DEF"/>
    <w:rsid w:val="00E64FFC"/>
    <w:rsid w:val="00E6681F"/>
    <w:rsid w:val="00E702A2"/>
    <w:rsid w:val="00E70A86"/>
    <w:rsid w:val="00E70B9E"/>
    <w:rsid w:val="00E722EC"/>
    <w:rsid w:val="00E72448"/>
    <w:rsid w:val="00E724D1"/>
    <w:rsid w:val="00E72985"/>
    <w:rsid w:val="00E72B44"/>
    <w:rsid w:val="00E73458"/>
    <w:rsid w:val="00E75461"/>
    <w:rsid w:val="00E761D2"/>
    <w:rsid w:val="00E777EC"/>
    <w:rsid w:val="00E8029E"/>
    <w:rsid w:val="00E80FCD"/>
    <w:rsid w:val="00E828CC"/>
    <w:rsid w:val="00E8364A"/>
    <w:rsid w:val="00E92273"/>
    <w:rsid w:val="00EA5635"/>
    <w:rsid w:val="00EA7D4C"/>
    <w:rsid w:val="00EA7F2F"/>
    <w:rsid w:val="00EB16F3"/>
    <w:rsid w:val="00EB2143"/>
    <w:rsid w:val="00EB70F5"/>
    <w:rsid w:val="00EB79F8"/>
    <w:rsid w:val="00EC00DE"/>
    <w:rsid w:val="00EC0233"/>
    <w:rsid w:val="00EC30E1"/>
    <w:rsid w:val="00EC3CB3"/>
    <w:rsid w:val="00EC4740"/>
    <w:rsid w:val="00EC480D"/>
    <w:rsid w:val="00EC4A70"/>
    <w:rsid w:val="00EC5830"/>
    <w:rsid w:val="00EC6545"/>
    <w:rsid w:val="00ED019D"/>
    <w:rsid w:val="00ED0F37"/>
    <w:rsid w:val="00ED172A"/>
    <w:rsid w:val="00ED1B1D"/>
    <w:rsid w:val="00ED27F5"/>
    <w:rsid w:val="00ED3975"/>
    <w:rsid w:val="00ED7562"/>
    <w:rsid w:val="00EE0709"/>
    <w:rsid w:val="00EE1E5E"/>
    <w:rsid w:val="00EE5731"/>
    <w:rsid w:val="00EF0E74"/>
    <w:rsid w:val="00EF20A1"/>
    <w:rsid w:val="00EF327F"/>
    <w:rsid w:val="00EF46CA"/>
    <w:rsid w:val="00EF4CFD"/>
    <w:rsid w:val="00EF542B"/>
    <w:rsid w:val="00EF5E69"/>
    <w:rsid w:val="00EF6AEC"/>
    <w:rsid w:val="00F009EA"/>
    <w:rsid w:val="00F0139E"/>
    <w:rsid w:val="00F020B3"/>
    <w:rsid w:val="00F06302"/>
    <w:rsid w:val="00F06E75"/>
    <w:rsid w:val="00F07EC4"/>
    <w:rsid w:val="00F11A60"/>
    <w:rsid w:val="00F11F6C"/>
    <w:rsid w:val="00F1209B"/>
    <w:rsid w:val="00F128A3"/>
    <w:rsid w:val="00F14BEC"/>
    <w:rsid w:val="00F14E50"/>
    <w:rsid w:val="00F155FD"/>
    <w:rsid w:val="00F160CA"/>
    <w:rsid w:val="00F17071"/>
    <w:rsid w:val="00F172AD"/>
    <w:rsid w:val="00F20D36"/>
    <w:rsid w:val="00F225C5"/>
    <w:rsid w:val="00F23288"/>
    <w:rsid w:val="00F23474"/>
    <w:rsid w:val="00F24FE0"/>
    <w:rsid w:val="00F2587A"/>
    <w:rsid w:val="00F2643A"/>
    <w:rsid w:val="00F34301"/>
    <w:rsid w:val="00F35D0F"/>
    <w:rsid w:val="00F3715D"/>
    <w:rsid w:val="00F375D8"/>
    <w:rsid w:val="00F40692"/>
    <w:rsid w:val="00F41364"/>
    <w:rsid w:val="00F420C8"/>
    <w:rsid w:val="00F42A4C"/>
    <w:rsid w:val="00F432BD"/>
    <w:rsid w:val="00F4518B"/>
    <w:rsid w:val="00F47969"/>
    <w:rsid w:val="00F500B5"/>
    <w:rsid w:val="00F51694"/>
    <w:rsid w:val="00F51E33"/>
    <w:rsid w:val="00F51FB5"/>
    <w:rsid w:val="00F5203E"/>
    <w:rsid w:val="00F52CAE"/>
    <w:rsid w:val="00F542A5"/>
    <w:rsid w:val="00F56AB5"/>
    <w:rsid w:val="00F57C6D"/>
    <w:rsid w:val="00F604DE"/>
    <w:rsid w:val="00F63CD5"/>
    <w:rsid w:val="00F6772A"/>
    <w:rsid w:val="00F70357"/>
    <w:rsid w:val="00F70860"/>
    <w:rsid w:val="00F71826"/>
    <w:rsid w:val="00F7337F"/>
    <w:rsid w:val="00F7376D"/>
    <w:rsid w:val="00F73F43"/>
    <w:rsid w:val="00F74D9A"/>
    <w:rsid w:val="00F750CD"/>
    <w:rsid w:val="00F834BD"/>
    <w:rsid w:val="00F84F53"/>
    <w:rsid w:val="00F90B28"/>
    <w:rsid w:val="00F90F96"/>
    <w:rsid w:val="00F926A7"/>
    <w:rsid w:val="00F92B39"/>
    <w:rsid w:val="00F94411"/>
    <w:rsid w:val="00F9493B"/>
    <w:rsid w:val="00F96A56"/>
    <w:rsid w:val="00F97E67"/>
    <w:rsid w:val="00F97EE7"/>
    <w:rsid w:val="00FA1E08"/>
    <w:rsid w:val="00FA2992"/>
    <w:rsid w:val="00FA41BD"/>
    <w:rsid w:val="00FA519B"/>
    <w:rsid w:val="00FA6AA3"/>
    <w:rsid w:val="00FA7291"/>
    <w:rsid w:val="00FA7D01"/>
    <w:rsid w:val="00FB0037"/>
    <w:rsid w:val="00FB3E12"/>
    <w:rsid w:val="00FB4D60"/>
    <w:rsid w:val="00FB5C15"/>
    <w:rsid w:val="00FB5D4D"/>
    <w:rsid w:val="00FB7512"/>
    <w:rsid w:val="00FB7D7A"/>
    <w:rsid w:val="00FC147B"/>
    <w:rsid w:val="00FC433F"/>
    <w:rsid w:val="00FC793A"/>
    <w:rsid w:val="00FD3B76"/>
    <w:rsid w:val="00FD53F8"/>
    <w:rsid w:val="00FD7547"/>
    <w:rsid w:val="00FD7B94"/>
    <w:rsid w:val="00FE0FA9"/>
    <w:rsid w:val="00FE20A4"/>
    <w:rsid w:val="00FE3D9D"/>
    <w:rsid w:val="00FE3DA8"/>
    <w:rsid w:val="00FE4EE8"/>
    <w:rsid w:val="00FF260A"/>
    <w:rsid w:val="00FF2CBA"/>
    <w:rsid w:val="00FF425D"/>
    <w:rsid w:val="00FF5F5C"/>
    <w:rsid w:val="00FF7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F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footnote text" w:uiPriority="99" w:qFormat="1"/>
    <w:lsdException w:name="caption" w:semiHidden="1" w:unhideWhenUsed="1"/>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D0D39"/>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7A474A"/>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7A474A"/>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7A474A"/>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7A474A"/>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7A474A"/>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7A474A"/>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7A474A"/>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7A474A"/>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7A474A"/>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7A474A"/>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FSFootnote Text"/>
    <w:basedOn w:val="Normal"/>
    <w:link w:val="FootnoteTextChar"/>
    <w:uiPriority w:val="99"/>
    <w:qFormat/>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character" w:customStyle="1" w:styleId="FootnoteTextChar">
    <w:name w:val="Footnote Text Char"/>
    <w:aliases w:val="Footnotes Text Char,FSFootnotes Text Char,FSFootnote Text Char"/>
    <w:basedOn w:val="DefaultParagraphFont"/>
    <w:link w:val="FootnoteText"/>
    <w:uiPriority w:val="99"/>
    <w:rsid w:val="004221DE"/>
    <w:rPr>
      <w:rFonts w:ascii="Arial" w:hAnsi="Arial"/>
      <w:lang w:eastAsia="en-US" w:bidi="en-US"/>
    </w:rPr>
  </w:style>
  <w:style w:type="paragraph" w:customStyle="1" w:styleId="Default">
    <w:name w:val="Default"/>
    <w:rsid w:val="004221DE"/>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rsid w:val="00354CB0"/>
    <w:pPr>
      <w:widowControl/>
      <w:ind w:left="720"/>
      <w:contextualSpacing/>
    </w:pPr>
    <w:rPr>
      <w:rFonts w:eastAsiaTheme="minorHAnsi" w:cstheme="minorBidi"/>
      <w:szCs w:val="22"/>
      <w:lang w:bidi="ar-SA"/>
    </w:rPr>
  </w:style>
  <w:style w:type="paragraph" w:styleId="Revision">
    <w:name w:val="Revision"/>
    <w:hidden/>
    <w:uiPriority w:val="99"/>
    <w:semiHidden/>
    <w:rsid w:val="000341D1"/>
    <w:rPr>
      <w:rFonts w:ascii="Arial" w:hAnsi="Arial"/>
      <w:sz w:val="22"/>
      <w:szCs w:val="24"/>
      <w:lang w:eastAsia="en-US" w:bidi="en-US"/>
    </w:rPr>
  </w:style>
  <w:style w:type="paragraph" w:styleId="NormalWeb">
    <w:name w:val="Normal (Web)"/>
    <w:basedOn w:val="Normal"/>
    <w:uiPriority w:val="99"/>
    <w:unhideWhenUsed/>
    <w:rsid w:val="005A4852"/>
    <w:pPr>
      <w:widowControl/>
      <w:spacing w:before="100" w:beforeAutospacing="1" w:after="100" w:afterAutospacing="1"/>
    </w:pPr>
    <w:rPr>
      <w:rFonts w:ascii="Times New Roman" w:eastAsiaTheme="minorHAnsi" w:hAnsi="Times New Roman"/>
      <w:sz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footnote text" w:uiPriority="99" w:qFormat="1"/>
    <w:lsdException w:name="caption" w:semiHidden="1" w:unhideWhenUsed="1"/>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D0D39"/>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7A474A"/>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7A474A"/>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7A474A"/>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7A474A"/>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7A474A"/>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7A474A"/>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7A474A"/>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7A474A"/>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7A474A"/>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7A474A"/>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FSFootnote Text"/>
    <w:basedOn w:val="Normal"/>
    <w:link w:val="FootnoteTextChar"/>
    <w:uiPriority w:val="99"/>
    <w:qFormat/>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character" w:customStyle="1" w:styleId="FootnoteTextChar">
    <w:name w:val="Footnote Text Char"/>
    <w:aliases w:val="Footnotes Text Char,FSFootnotes Text Char,FSFootnote Text Char"/>
    <w:basedOn w:val="DefaultParagraphFont"/>
    <w:link w:val="FootnoteText"/>
    <w:uiPriority w:val="99"/>
    <w:rsid w:val="004221DE"/>
    <w:rPr>
      <w:rFonts w:ascii="Arial" w:hAnsi="Arial"/>
      <w:lang w:eastAsia="en-US" w:bidi="en-US"/>
    </w:rPr>
  </w:style>
  <w:style w:type="paragraph" w:customStyle="1" w:styleId="Default">
    <w:name w:val="Default"/>
    <w:rsid w:val="004221DE"/>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rsid w:val="00354CB0"/>
    <w:pPr>
      <w:widowControl/>
      <w:ind w:left="720"/>
      <w:contextualSpacing/>
    </w:pPr>
    <w:rPr>
      <w:rFonts w:eastAsiaTheme="minorHAnsi" w:cstheme="minorBidi"/>
      <w:szCs w:val="22"/>
      <w:lang w:bidi="ar-SA"/>
    </w:rPr>
  </w:style>
  <w:style w:type="paragraph" w:styleId="Revision">
    <w:name w:val="Revision"/>
    <w:hidden/>
    <w:uiPriority w:val="99"/>
    <w:semiHidden/>
    <w:rsid w:val="000341D1"/>
    <w:rPr>
      <w:rFonts w:ascii="Arial" w:hAnsi="Arial"/>
      <w:sz w:val="22"/>
      <w:szCs w:val="24"/>
      <w:lang w:eastAsia="en-US" w:bidi="en-US"/>
    </w:rPr>
  </w:style>
  <w:style w:type="paragraph" w:styleId="NormalWeb">
    <w:name w:val="Normal (Web)"/>
    <w:basedOn w:val="Normal"/>
    <w:uiPriority w:val="99"/>
    <w:unhideWhenUsed/>
    <w:rsid w:val="005A4852"/>
    <w:pPr>
      <w:widowControl/>
      <w:spacing w:before="100" w:beforeAutospacing="1" w:after="100" w:afterAutospacing="1"/>
    </w:pPr>
    <w:rPr>
      <w:rFonts w:ascii="Times New Roman" w:eastAsiaTheme="minorHAnsi" w:hAnsi="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0042">
      <w:bodyDiv w:val="1"/>
      <w:marLeft w:val="0"/>
      <w:marRight w:val="0"/>
      <w:marTop w:val="0"/>
      <w:marBottom w:val="0"/>
      <w:divBdr>
        <w:top w:val="none" w:sz="0" w:space="0" w:color="auto"/>
        <w:left w:val="none" w:sz="0" w:space="0" w:color="auto"/>
        <w:bottom w:val="none" w:sz="0" w:space="0" w:color="auto"/>
        <w:right w:val="none" w:sz="0" w:space="0" w:color="auto"/>
      </w:divBdr>
    </w:div>
    <w:div w:id="166671675">
      <w:bodyDiv w:val="1"/>
      <w:marLeft w:val="0"/>
      <w:marRight w:val="0"/>
      <w:marTop w:val="0"/>
      <w:marBottom w:val="0"/>
      <w:divBdr>
        <w:top w:val="none" w:sz="0" w:space="0" w:color="auto"/>
        <w:left w:val="none" w:sz="0" w:space="0" w:color="auto"/>
        <w:bottom w:val="none" w:sz="0" w:space="0" w:color="auto"/>
        <w:right w:val="none" w:sz="0" w:space="0" w:color="auto"/>
      </w:divBdr>
      <w:divsChild>
        <w:div w:id="1623031450">
          <w:marLeft w:val="0"/>
          <w:marRight w:val="1"/>
          <w:marTop w:val="0"/>
          <w:marBottom w:val="0"/>
          <w:divBdr>
            <w:top w:val="none" w:sz="0" w:space="0" w:color="auto"/>
            <w:left w:val="none" w:sz="0" w:space="0" w:color="auto"/>
            <w:bottom w:val="none" w:sz="0" w:space="0" w:color="auto"/>
            <w:right w:val="none" w:sz="0" w:space="0" w:color="auto"/>
          </w:divBdr>
          <w:divsChild>
            <w:div w:id="1056473046">
              <w:marLeft w:val="0"/>
              <w:marRight w:val="0"/>
              <w:marTop w:val="0"/>
              <w:marBottom w:val="0"/>
              <w:divBdr>
                <w:top w:val="none" w:sz="0" w:space="0" w:color="auto"/>
                <w:left w:val="none" w:sz="0" w:space="0" w:color="auto"/>
                <w:bottom w:val="none" w:sz="0" w:space="0" w:color="auto"/>
                <w:right w:val="none" w:sz="0" w:space="0" w:color="auto"/>
              </w:divBdr>
              <w:divsChild>
                <w:div w:id="1345206925">
                  <w:marLeft w:val="0"/>
                  <w:marRight w:val="1"/>
                  <w:marTop w:val="0"/>
                  <w:marBottom w:val="0"/>
                  <w:divBdr>
                    <w:top w:val="none" w:sz="0" w:space="0" w:color="auto"/>
                    <w:left w:val="none" w:sz="0" w:space="0" w:color="auto"/>
                    <w:bottom w:val="none" w:sz="0" w:space="0" w:color="auto"/>
                    <w:right w:val="none" w:sz="0" w:space="0" w:color="auto"/>
                  </w:divBdr>
                  <w:divsChild>
                    <w:div w:id="197668119">
                      <w:marLeft w:val="0"/>
                      <w:marRight w:val="0"/>
                      <w:marTop w:val="0"/>
                      <w:marBottom w:val="0"/>
                      <w:divBdr>
                        <w:top w:val="none" w:sz="0" w:space="0" w:color="auto"/>
                        <w:left w:val="none" w:sz="0" w:space="0" w:color="auto"/>
                        <w:bottom w:val="none" w:sz="0" w:space="0" w:color="auto"/>
                        <w:right w:val="none" w:sz="0" w:space="0" w:color="auto"/>
                      </w:divBdr>
                      <w:divsChild>
                        <w:div w:id="386995772">
                          <w:marLeft w:val="0"/>
                          <w:marRight w:val="0"/>
                          <w:marTop w:val="0"/>
                          <w:marBottom w:val="0"/>
                          <w:divBdr>
                            <w:top w:val="none" w:sz="0" w:space="0" w:color="auto"/>
                            <w:left w:val="none" w:sz="0" w:space="0" w:color="auto"/>
                            <w:bottom w:val="none" w:sz="0" w:space="0" w:color="auto"/>
                            <w:right w:val="none" w:sz="0" w:space="0" w:color="auto"/>
                          </w:divBdr>
                          <w:divsChild>
                            <w:div w:id="2036075531">
                              <w:marLeft w:val="0"/>
                              <w:marRight w:val="0"/>
                              <w:marTop w:val="120"/>
                              <w:marBottom w:val="360"/>
                              <w:divBdr>
                                <w:top w:val="none" w:sz="0" w:space="0" w:color="auto"/>
                                <w:left w:val="none" w:sz="0" w:space="0" w:color="auto"/>
                                <w:bottom w:val="none" w:sz="0" w:space="0" w:color="auto"/>
                                <w:right w:val="none" w:sz="0" w:space="0" w:color="auto"/>
                              </w:divBdr>
                              <w:divsChild>
                                <w:div w:id="779569037">
                                  <w:marLeft w:val="0"/>
                                  <w:marRight w:val="0"/>
                                  <w:marTop w:val="0"/>
                                  <w:marBottom w:val="0"/>
                                  <w:divBdr>
                                    <w:top w:val="none" w:sz="0" w:space="0" w:color="auto"/>
                                    <w:left w:val="none" w:sz="0" w:space="0" w:color="auto"/>
                                    <w:bottom w:val="none" w:sz="0" w:space="0" w:color="auto"/>
                                    <w:right w:val="none" w:sz="0" w:space="0" w:color="auto"/>
                                  </w:divBdr>
                                </w:div>
                                <w:div w:id="3485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18279">
      <w:bodyDiv w:val="1"/>
      <w:marLeft w:val="0"/>
      <w:marRight w:val="0"/>
      <w:marTop w:val="0"/>
      <w:marBottom w:val="0"/>
      <w:divBdr>
        <w:top w:val="none" w:sz="0" w:space="0" w:color="auto"/>
        <w:left w:val="none" w:sz="0" w:space="0" w:color="auto"/>
        <w:bottom w:val="none" w:sz="0" w:space="0" w:color="auto"/>
        <w:right w:val="none" w:sz="0" w:space="0" w:color="auto"/>
      </w:divBdr>
    </w:div>
    <w:div w:id="283004710">
      <w:bodyDiv w:val="1"/>
      <w:marLeft w:val="0"/>
      <w:marRight w:val="0"/>
      <w:marTop w:val="0"/>
      <w:marBottom w:val="0"/>
      <w:divBdr>
        <w:top w:val="none" w:sz="0" w:space="0" w:color="auto"/>
        <w:left w:val="none" w:sz="0" w:space="0" w:color="auto"/>
        <w:bottom w:val="none" w:sz="0" w:space="0" w:color="auto"/>
        <w:right w:val="none" w:sz="0" w:space="0" w:color="auto"/>
      </w:divBdr>
      <w:divsChild>
        <w:div w:id="1719934972">
          <w:marLeft w:val="0"/>
          <w:marRight w:val="1"/>
          <w:marTop w:val="0"/>
          <w:marBottom w:val="0"/>
          <w:divBdr>
            <w:top w:val="none" w:sz="0" w:space="0" w:color="auto"/>
            <w:left w:val="none" w:sz="0" w:space="0" w:color="auto"/>
            <w:bottom w:val="none" w:sz="0" w:space="0" w:color="auto"/>
            <w:right w:val="none" w:sz="0" w:space="0" w:color="auto"/>
          </w:divBdr>
          <w:divsChild>
            <w:div w:id="1171722721">
              <w:marLeft w:val="0"/>
              <w:marRight w:val="0"/>
              <w:marTop w:val="0"/>
              <w:marBottom w:val="0"/>
              <w:divBdr>
                <w:top w:val="none" w:sz="0" w:space="0" w:color="auto"/>
                <w:left w:val="none" w:sz="0" w:space="0" w:color="auto"/>
                <w:bottom w:val="none" w:sz="0" w:space="0" w:color="auto"/>
                <w:right w:val="none" w:sz="0" w:space="0" w:color="auto"/>
              </w:divBdr>
              <w:divsChild>
                <w:div w:id="314337539">
                  <w:marLeft w:val="0"/>
                  <w:marRight w:val="1"/>
                  <w:marTop w:val="0"/>
                  <w:marBottom w:val="0"/>
                  <w:divBdr>
                    <w:top w:val="none" w:sz="0" w:space="0" w:color="auto"/>
                    <w:left w:val="none" w:sz="0" w:space="0" w:color="auto"/>
                    <w:bottom w:val="none" w:sz="0" w:space="0" w:color="auto"/>
                    <w:right w:val="none" w:sz="0" w:space="0" w:color="auto"/>
                  </w:divBdr>
                  <w:divsChild>
                    <w:div w:id="630019462">
                      <w:marLeft w:val="0"/>
                      <w:marRight w:val="0"/>
                      <w:marTop w:val="0"/>
                      <w:marBottom w:val="0"/>
                      <w:divBdr>
                        <w:top w:val="none" w:sz="0" w:space="0" w:color="auto"/>
                        <w:left w:val="none" w:sz="0" w:space="0" w:color="auto"/>
                        <w:bottom w:val="none" w:sz="0" w:space="0" w:color="auto"/>
                        <w:right w:val="none" w:sz="0" w:space="0" w:color="auto"/>
                      </w:divBdr>
                      <w:divsChild>
                        <w:div w:id="975646634">
                          <w:marLeft w:val="0"/>
                          <w:marRight w:val="0"/>
                          <w:marTop w:val="0"/>
                          <w:marBottom w:val="0"/>
                          <w:divBdr>
                            <w:top w:val="none" w:sz="0" w:space="0" w:color="auto"/>
                            <w:left w:val="none" w:sz="0" w:space="0" w:color="auto"/>
                            <w:bottom w:val="none" w:sz="0" w:space="0" w:color="auto"/>
                            <w:right w:val="none" w:sz="0" w:space="0" w:color="auto"/>
                          </w:divBdr>
                          <w:divsChild>
                            <w:div w:id="840777904">
                              <w:marLeft w:val="0"/>
                              <w:marRight w:val="0"/>
                              <w:marTop w:val="120"/>
                              <w:marBottom w:val="360"/>
                              <w:divBdr>
                                <w:top w:val="none" w:sz="0" w:space="0" w:color="auto"/>
                                <w:left w:val="none" w:sz="0" w:space="0" w:color="auto"/>
                                <w:bottom w:val="none" w:sz="0" w:space="0" w:color="auto"/>
                                <w:right w:val="none" w:sz="0" w:space="0" w:color="auto"/>
                              </w:divBdr>
                              <w:divsChild>
                                <w:div w:id="438527198">
                                  <w:marLeft w:val="0"/>
                                  <w:marRight w:val="0"/>
                                  <w:marTop w:val="0"/>
                                  <w:marBottom w:val="0"/>
                                  <w:divBdr>
                                    <w:top w:val="none" w:sz="0" w:space="0" w:color="auto"/>
                                    <w:left w:val="none" w:sz="0" w:space="0" w:color="auto"/>
                                    <w:bottom w:val="none" w:sz="0" w:space="0" w:color="auto"/>
                                    <w:right w:val="none" w:sz="0" w:space="0" w:color="auto"/>
                                  </w:divBdr>
                                </w:div>
                                <w:div w:id="10517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93306">
      <w:bodyDiv w:val="1"/>
      <w:marLeft w:val="0"/>
      <w:marRight w:val="0"/>
      <w:marTop w:val="0"/>
      <w:marBottom w:val="0"/>
      <w:divBdr>
        <w:top w:val="none" w:sz="0" w:space="0" w:color="auto"/>
        <w:left w:val="none" w:sz="0" w:space="0" w:color="auto"/>
        <w:bottom w:val="none" w:sz="0" w:space="0" w:color="auto"/>
        <w:right w:val="none" w:sz="0" w:space="0" w:color="auto"/>
      </w:divBdr>
      <w:divsChild>
        <w:div w:id="2087262117">
          <w:marLeft w:val="0"/>
          <w:marRight w:val="1"/>
          <w:marTop w:val="0"/>
          <w:marBottom w:val="0"/>
          <w:divBdr>
            <w:top w:val="none" w:sz="0" w:space="0" w:color="auto"/>
            <w:left w:val="none" w:sz="0" w:space="0" w:color="auto"/>
            <w:bottom w:val="none" w:sz="0" w:space="0" w:color="auto"/>
            <w:right w:val="none" w:sz="0" w:space="0" w:color="auto"/>
          </w:divBdr>
          <w:divsChild>
            <w:div w:id="268779124">
              <w:marLeft w:val="0"/>
              <w:marRight w:val="0"/>
              <w:marTop w:val="0"/>
              <w:marBottom w:val="0"/>
              <w:divBdr>
                <w:top w:val="none" w:sz="0" w:space="0" w:color="auto"/>
                <w:left w:val="none" w:sz="0" w:space="0" w:color="auto"/>
                <w:bottom w:val="none" w:sz="0" w:space="0" w:color="auto"/>
                <w:right w:val="none" w:sz="0" w:space="0" w:color="auto"/>
              </w:divBdr>
              <w:divsChild>
                <w:div w:id="1547567631">
                  <w:marLeft w:val="0"/>
                  <w:marRight w:val="1"/>
                  <w:marTop w:val="0"/>
                  <w:marBottom w:val="0"/>
                  <w:divBdr>
                    <w:top w:val="none" w:sz="0" w:space="0" w:color="auto"/>
                    <w:left w:val="none" w:sz="0" w:space="0" w:color="auto"/>
                    <w:bottom w:val="none" w:sz="0" w:space="0" w:color="auto"/>
                    <w:right w:val="none" w:sz="0" w:space="0" w:color="auto"/>
                  </w:divBdr>
                  <w:divsChild>
                    <w:div w:id="1213232228">
                      <w:marLeft w:val="0"/>
                      <w:marRight w:val="0"/>
                      <w:marTop w:val="0"/>
                      <w:marBottom w:val="0"/>
                      <w:divBdr>
                        <w:top w:val="none" w:sz="0" w:space="0" w:color="auto"/>
                        <w:left w:val="none" w:sz="0" w:space="0" w:color="auto"/>
                        <w:bottom w:val="none" w:sz="0" w:space="0" w:color="auto"/>
                        <w:right w:val="none" w:sz="0" w:space="0" w:color="auto"/>
                      </w:divBdr>
                      <w:divsChild>
                        <w:div w:id="1315378296">
                          <w:marLeft w:val="0"/>
                          <w:marRight w:val="0"/>
                          <w:marTop w:val="0"/>
                          <w:marBottom w:val="0"/>
                          <w:divBdr>
                            <w:top w:val="none" w:sz="0" w:space="0" w:color="auto"/>
                            <w:left w:val="none" w:sz="0" w:space="0" w:color="auto"/>
                            <w:bottom w:val="none" w:sz="0" w:space="0" w:color="auto"/>
                            <w:right w:val="none" w:sz="0" w:space="0" w:color="auto"/>
                          </w:divBdr>
                          <w:divsChild>
                            <w:div w:id="1223373880">
                              <w:marLeft w:val="0"/>
                              <w:marRight w:val="0"/>
                              <w:marTop w:val="120"/>
                              <w:marBottom w:val="360"/>
                              <w:divBdr>
                                <w:top w:val="none" w:sz="0" w:space="0" w:color="auto"/>
                                <w:left w:val="none" w:sz="0" w:space="0" w:color="auto"/>
                                <w:bottom w:val="none" w:sz="0" w:space="0" w:color="auto"/>
                                <w:right w:val="none" w:sz="0" w:space="0" w:color="auto"/>
                              </w:divBdr>
                              <w:divsChild>
                                <w:div w:id="704184702">
                                  <w:marLeft w:val="0"/>
                                  <w:marRight w:val="0"/>
                                  <w:marTop w:val="0"/>
                                  <w:marBottom w:val="0"/>
                                  <w:divBdr>
                                    <w:top w:val="none" w:sz="0" w:space="0" w:color="auto"/>
                                    <w:left w:val="none" w:sz="0" w:space="0" w:color="auto"/>
                                    <w:bottom w:val="none" w:sz="0" w:space="0" w:color="auto"/>
                                    <w:right w:val="none" w:sz="0" w:space="0" w:color="auto"/>
                                  </w:divBdr>
                                </w:div>
                                <w:div w:id="11460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932120">
      <w:bodyDiv w:val="1"/>
      <w:marLeft w:val="0"/>
      <w:marRight w:val="0"/>
      <w:marTop w:val="0"/>
      <w:marBottom w:val="0"/>
      <w:divBdr>
        <w:top w:val="none" w:sz="0" w:space="0" w:color="auto"/>
        <w:left w:val="none" w:sz="0" w:space="0" w:color="auto"/>
        <w:bottom w:val="none" w:sz="0" w:space="0" w:color="auto"/>
        <w:right w:val="none" w:sz="0" w:space="0" w:color="auto"/>
      </w:divBdr>
      <w:divsChild>
        <w:div w:id="1399472707">
          <w:marLeft w:val="0"/>
          <w:marRight w:val="1"/>
          <w:marTop w:val="0"/>
          <w:marBottom w:val="0"/>
          <w:divBdr>
            <w:top w:val="none" w:sz="0" w:space="0" w:color="auto"/>
            <w:left w:val="none" w:sz="0" w:space="0" w:color="auto"/>
            <w:bottom w:val="none" w:sz="0" w:space="0" w:color="auto"/>
            <w:right w:val="none" w:sz="0" w:space="0" w:color="auto"/>
          </w:divBdr>
          <w:divsChild>
            <w:div w:id="548306408">
              <w:marLeft w:val="0"/>
              <w:marRight w:val="0"/>
              <w:marTop w:val="0"/>
              <w:marBottom w:val="0"/>
              <w:divBdr>
                <w:top w:val="none" w:sz="0" w:space="0" w:color="auto"/>
                <w:left w:val="none" w:sz="0" w:space="0" w:color="auto"/>
                <w:bottom w:val="none" w:sz="0" w:space="0" w:color="auto"/>
                <w:right w:val="none" w:sz="0" w:space="0" w:color="auto"/>
              </w:divBdr>
              <w:divsChild>
                <w:div w:id="1399665271">
                  <w:marLeft w:val="0"/>
                  <w:marRight w:val="1"/>
                  <w:marTop w:val="0"/>
                  <w:marBottom w:val="0"/>
                  <w:divBdr>
                    <w:top w:val="none" w:sz="0" w:space="0" w:color="auto"/>
                    <w:left w:val="none" w:sz="0" w:space="0" w:color="auto"/>
                    <w:bottom w:val="none" w:sz="0" w:space="0" w:color="auto"/>
                    <w:right w:val="none" w:sz="0" w:space="0" w:color="auto"/>
                  </w:divBdr>
                  <w:divsChild>
                    <w:div w:id="105582111">
                      <w:marLeft w:val="0"/>
                      <w:marRight w:val="0"/>
                      <w:marTop w:val="0"/>
                      <w:marBottom w:val="0"/>
                      <w:divBdr>
                        <w:top w:val="none" w:sz="0" w:space="0" w:color="auto"/>
                        <w:left w:val="none" w:sz="0" w:space="0" w:color="auto"/>
                        <w:bottom w:val="none" w:sz="0" w:space="0" w:color="auto"/>
                        <w:right w:val="none" w:sz="0" w:space="0" w:color="auto"/>
                      </w:divBdr>
                      <w:divsChild>
                        <w:div w:id="139158015">
                          <w:marLeft w:val="0"/>
                          <w:marRight w:val="0"/>
                          <w:marTop w:val="0"/>
                          <w:marBottom w:val="0"/>
                          <w:divBdr>
                            <w:top w:val="none" w:sz="0" w:space="0" w:color="auto"/>
                            <w:left w:val="none" w:sz="0" w:space="0" w:color="auto"/>
                            <w:bottom w:val="none" w:sz="0" w:space="0" w:color="auto"/>
                            <w:right w:val="none" w:sz="0" w:space="0" w:color="auto"/>
                          </w:divBdr>
                          <w:divsChild>
                            <w:div w:id="1815683358">
                              <w:marLeft w:val="0"/>
                              <w:marRight w:val="0"/>
                              <w:marTop w:val="120"/>
                              <w:marBottom w:val="360"/>
                              <w:divBdr>
                                <w:top w:val="none" w:sz="0" w:space="0" w:color="auto"/>
                                <w:left w:val="none" w:sz="0" w:space="0" w:color="auto"/>
                                <w:bottom w:val="none" w:sz="0" w:space="0" w:color="auto"/>
                                <w:right w:val="none" w:sz="0" w:space="0" w:color="auto"/>
                              </w:divBdr>
                              <w:divsChild>
                                <w:div w:id="560142136">
                                  <w:marLeft w:val="0"/>
                                  <w:marRight w:val="0"/>
                                  <w:marTop w:val="0"/>
                                  <w:marBottom w:val="0"/>
                                  <w:divBdr>
                                    <w:top w:val="none" w:sz="0" w:space="0" w:color="auto"/>
                                    <w:left w:val="none" w:sz="0" w:space="0" w:color="auto"/>
                                    <w:bottom w:val="none" w:sz="0" w:space="0" w:color="auto"/>
                                    <w:right w:val="none" w:sz="0" w:space="0" w:color="auto"/>
                                  </w:divBdr>
                                </w:div>
                                <w:div w:id="1350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05459">
      <w:bodyDiv w:val="1"/>
      <w:marLeft w:val="0"/>
      <w:marRight w:val="0"/>
      <w:marTop w:val="0"/>
      <w:marBottom w:val="0"/>
      <w:divBdr>
        <w:top w:val="none" w:sz="0" w:space="0" w:color="auto"/>
        <w:left w:val="none" w:sz="0" w:space="0" w:color="auto"/>
        <w:bottom w:val="none" w:sz="0" w:space="0" w:color="auto"/>
        <w:right w:val="none" w:sz="0" w:space="0" w:color="auto"/>
      </w:divBdr>
    </w:div>
    <w:div w:id="836110651">
      <w:bodyDiv w:val="1"/>
      <w:marLeft w:val="0"/>
      <w:marRight w:val="0"/>
      <w:marTop w:val="0"/>
      <w:marBottom w:val="0"/>
      <w:divBdr>
        <w:top w:val="none" w:sz="0" w:space="0" w:color="auto"/>
        <w:left w:val="none" w:sz="0" w:space="0" w:color="auto"/>
        <w:bottom w:val="none" w:sz="0" w:space="0" w:color="auto"/>
        <w:right w:val="none" w:sz="0" w:space="0" w:color="auto"/>
      </w:divBdr>
      <w:divsChild>
        <w:div w:id="1182476722">
          <w:marLeft w:val="0"/>
          <w:marRight w:val="1"/>
          <w:marTop w:val="0"/>
          <w:marBottom w:val="0"/>
          <w:divBdr>
            <w:top w:val="none" w:sz="0" w:space="0" w:color="auto"/>
            <w:left w:val="none" w:sz="0" w:space="0" w:color="auto"/>
            <w:bottom w:val="none" w:sz="0" w:space="0" w:color="auto"/>
            <w:right w:val="none" w:sz="0" w:space="0" w:color="auto"/>
          </w:divBdr>
          <w:divsChild>
            <w:div w:id="1632712890">
              <w:marLeft w:val="0"/>
              <w:marRight w:val="0"/>
              <w:marTop w:val="0"/>
              <w:marBottom w:val="0"/>
              <w:divBdr>
                <w:top w:val="none" w:sz="0" w:space="0" w:color="auto"/>
                <w:left w:val="none" w:sz="0" w:space="0" w:color="auto"/>
                <w:bottom w:val="none" w:sz="0" w:space="0" w:color="auto"/>
                <w:right w:val="none" w:sz="0" w:space="0" w:color="auto"/>
              </w:divBdr>
              <w:divsChild>
                <w:div w:id="251361174">
                  <w:marLeft w:val="0"/>
                  <w:marRight w:val="1"/>
                  <w:marTop w:val="0"/>
                  <w:marBottom w:val="0"/>
                  <w:divBdr>
                    <w:top w:val="none" w:sz="0" w:space="0" w:color="auto"/>
                    <w:left w:val="none" w:sz="0" w:space="0" w:color="auto"/>
                    <w:bottom w:val="none" w:sz="0" w:space="0" w:color="auto"/>
                    <w:right w:val="none" w:sz="0" w:space="0" w:color="auto"/>
                  </w:divBdr>
                  <w:divsChild>
                    <w:div w:id="1120490532">
                      <w:marLeft w:val="0"/>
                      <w:marRight w:val="0"/>
                      <w:marTop w:val="0"/>
                      <w:marBottom w:val="0"/>
                      <w:divBdr>
                        <w:top w:val="none" w:sz="0" w:space="0" w:color="auto"/>
                        <w:left w:val="none" w:sz="0" w:space="0" w:color="auto"/>
                        <w:bottom w:val="none" w:sz="0" w:space="0" w:color="auto"/>
                        <w:right w:val="none" w:sz="0" w:space="0" w:color="auto"/>
                      </w:divBdr>
                      <w:divsChild>
                        <w:div w:id="1031033496">
                          <w:marLeft w:val="0"/>
                          <w:marRight w:val="0"/>
                          <w:marTop w:val="0"/>
                          <w:marBottom w:val="0"/>
                          <w:divBdr>
                            <w:top w:val="none" w:sz="0" w:space="0" w:color="auto"/>
                            <w:left w:val="none" w:sz="0" w:space="0" w:color="auto"/>
                            <w:bottom w:val="none" w:sz="0" w:space="0" w:color="auto"/>
                            <w:right w:val="none" w:sz="0" w:space="0" w:color="auto"/>
                          </w:divBdr>
                          <w:divsChild>
                            <w:div w:id="1813063641">
                              <w:marLeft w:val="0"/>
                              <w:marRight w:val="0"/>
                              <w:marTop w:val="120"/>
                              <w:marBottom w:val="360"/>
                              <w:divBdr>
                                <w:top w:val="none" w:sz="0" w:space="0" w:color="auto"/>
                                <w:left w:val="none" w:sz="0" w:space="0" w:color="auto"/>
                                <w:bottom w:val="none" w:sz="0" w:space="0" w:color="auto"/>
                                <w:right w:val="none" w:sz="0" w:space="0" w:color="auto"/>
                              </w:divBdr>
                              <w:divsChild>
                                <w:div w:id="1637904440">
                                  <w:marLeft w:val="0"/>
                                  <w:marRight w:val="0"/>
                                  <w:marTop w:val="0"/>
                                  <w:marBottom w:val="0"/>
                                  <w:divBdr>
                                    <w:top w:val="none" w:sz="0" w:space="0" w:color="auto"/>
                                    <w:left w:val="none" w:sz="0" w:space="0" w:color="auto"/>
                                    <w:bottom w:val="none" w:sz="0" w:space="0" w:color="auto"/>
                                    <w:right w:val="none" w:sz="0" w:space="0" w:color="auto"/>
                                  </w:divBdr>
                                </w:div>
                                <w:div w:id="11387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0159">
      <w:bodyDiv w:val="1"/>
      <w:marLeft w:val="0"/>
      <w:marRight w:val="0"/>
      <w:marTop w:val="0"/>
      <w:marBottom w:val="0"/>
      <w:divBdr>
        <w:top w:val="none" w:sz="0" w:space="0" w:color="auto"/>
        <w:left w:val="none" w:sz="0" w:space="0" w:color="auto"/>
        <w:bottom w:val="none" w:sz="0" w:space="0" w:color="auto"/>
        <w:right w:val="none" w:sz="0" w:space="0" w:color="auto"/>
      </w:divBdr>
      <w:divsChild>
        <w:div w:id="1225064696">
          <w:marLeft w:val="547"/>
          <w:marRight w:val="0"/>
          <w:marTop w:val="115"/>
          <w:marBottom w:val="0"/>
          <w:divBdr>
            <w:top w:val="none" w:sz="0" w:space="0" w:color="auto"/>
            <w:left w:val="none" w:sz="0" w:space="0" w:color="auto"/>
            <w:bottom w:val="none" w:sz="0" w:space="0" w:color="auto"/>
            <w:right w:val="none" w:sz="0" w:space="0" w:color="auto"/>
          </w:divBdr>
        </w:div>
        <w:div w:id="413821556">
          <w:marLeft w:val="547"/>
          <w:marRight w:val="0"/>
          <w:marTop w:val="115"/>
          <w:marBottom w:val="0"/>
          <w:divBdr>
            <w:top w:val="none" w:sz="0" w:space="0" w:color="auto"/>
            <w:left w:val="none" w:sz="0" w:space="0" w:color="auto"/>
            <w:bottom w:val="none" w:sz="0" w:space="0" w:color="auto"/>
            <w:right w:val="none" w:sz="0" w:space="0" w:color="auto"/>
          </w:divBdr>
        </w:div>
        <w:div w:id="711348193">
          <w:marLeft w:val="1426"/>
          <w:marRight w:val="0"/>
          <w:marTop w:val="96"/>
          <w:marBottom w:val="0"/>
          <w:divBdr>
            <w:top w:val="none" w:sz="0" w:space="0" w:color="auto"/>
            <w:left w:val="none" w:sz="0" w:space="0" w:color="auto"/>
            <w:bottom w:val="none" w:sz="0" w:space="0" w:color="auto"/>
            <w:right w:val="none" w:sz="0" w:space="0" w:color="auto"/>
          </w:divBdr>
        </w:div>
        <w:div w:id="1051732440">
          <w:marLeft w:val="1426"/>
          <w:marRight w:val="0"/>
          <w:marTop w:val="96"/>
          <w:marBottom w:val="0"/>
          <w:divBdr>
            <w:top w:val="none" w:sz="0" w:space="0" w:color="auto"/>
            <w:left w:val="none" w:sz="0" w:space="0" w:color="auto"/>
            <w:bottom w:val="none" w:sz="0" w:space="0" w:color="auto"/>
            <w:right w:val="none" w:sz="0" w:space="0" w:color="auto"/>
          </w:divBdr>
        </w:div>
        <w:div w:id="387805874">
          <w:marLeft w:val="1426"/>
          <w:marRight w:val="0"/>
          <w:marTop w:val="96"/>
          <w:marBottom w:val="0"/>
          <w:divBdr>
            <w:top w:val="none" w:sz="0" w:space="0" w:color="auto"/>
            <w:left w:val="none" w:sz="0" w:space="0" w:color="auto"/>
            <w:bottom w:val="none" w:sz="0" w:space="0" w:color="auto"/>
            <w:right w:val="none" w:sz="0" w:space="0" w:color="auto"/>
          </w:divBdr>
        </w:div>
        <w:div w:id="582222499">
          <w:marLeft w:val="1426"/>
          <w:marRight w:val="0"/>
          <w:marTop w:val="96"/>
          <w:marBottom w:val="0"/>
          <w:divBdr>
            <w:top w:val="none" w:sz="0" w:space="0" w:color="auto"/>
            <w:left w:val="none" w:sz="0" w:space="0" w:color="auto"/>
            <w:bottom w:val="none" w:sz="0" w:space="0" w:color="auto"/>
            <w:right w:val="none" w:sz="0" w:space="0" w:color="auto"/>
          </w:divBdr>
        </w:div>
        <w:div w:id="1205678622">
          <w:marLeft w:val="1426"/>
          <w:marRight w:val="0"/>
          <w:marTop w:val="96"/>
          <w:marBottom w:val="0"/>
          <w:divBdr>
            <w:top w:val="none" w:sz="0" w:space="0" w:color="auto"/>
            <w:left w:val="none" w:sz="0" w:space="0" w:color="auto"/>
            <w:bottom w:val="none" w:sz="0" w:space="0" w:color="auto"/>
            <w:right w:val="none" w:sz="0" w:space="0" w:color="auto"/>
          </w:divBdr>
        </w:div>
      </w:divsChild>
    </w:div>
    <w:div w:id="887110575">
      <w:bodyDiv w:val="1"/>
      <w:marLeft w:val="0"/>
      <w:marRight w:val="0"/>
      <w:marTop w:val="0"/>
      <w:marBottom w:val="0"/>
      <w:divBdr>
        <w:top w:val="none" w:sz="0" w:space="0" w:color="auto"/>
        <w:left w:val="none" w:sz="0" w:space="0" w:color="auto"/>
        <w:bottom w:val="none" w:sz="0" w:space="0" w:color="auto"/>
        <w:right w:val="none" w:sz="0" w:space="0" w:color="auto"/>
      </w:divBdr>
    </w:div>
    <w:div w:id="1451781460">
      <w:bodyDiv w:val="1"/>
      <w:marLeft w:val="0"/>
      <w:marRight w:val="0"/>
      <w:marTop w:val="0"/>
      <w:marBottom w:val="0"/>
      <w:divBdr>
        <w:top w:val="none" w:sz="0" w:space="0" w:color="auto"/>
        <w:left w:val="none" w:sz="0" w:space="0" w:color="auto"/>
        <w:bottom w:val="none" w:sz="0" w:space="0" w:color="auto"/>
        <w:right w:val="none" w:sz="0" w:space="0" w:color="auto"/>
      </w:divBdr>
      <w:divsChild>
        <w:div w:id="935094879">
          <w:marLeft w:val="0"/>
          <w:marRight w:val="1"/>
          <w:marTop w:val="0"/>
          <w:marBottom w:val="0"/>
          <w:divBdr>
            <w:top w:val="none" w:sz="0" w:space="0" w:color="auto"/>
            <w:left w:val="none" w:sz="0" w:space="0" w:color="auto"/>
            <w:bottom w:val="none" w:sz="0" w:space="0" w:color="auto"/>
            <w:right w:val="none" w:sz="0" w:space="0" w:color="auto"/>
          </w:divBdr>
          <w:divsChild>
            <w:div w:id="722482608">
              <w:marLeft w:val="0"/>
              <w:marRight w:val="0"/>
              <w:marTop w:val="0"/>
              <w:marBottom w:val="0"/>
              <w:divBdr>
                <w:top w:val="none" w:sz="0" w:space="0" w:color="auto"/>
                <w:left w:val="none" w:sz="0" w:space="0" w:color="auto"/>
                <w:bottom w:val="none" w:sz="0" w:space="0" w:color="auto"/>
                <w:right w:val="none" w:sz="0" w:space="0" w:color="auto"/>
              </w:divBdr>
              <w:divsChild>
                <w:div w:id="363600769">
                  <w:marLeft w:val="0"/>
                  <w:marRight w:val="1"/>
                  <w:marTop w:val="0"/>
                  <w:marBottom w:val="0"/>
                  <w:divBdr>
                    <w:top w:val="none" w:sz="0" w:space="0" w:color="auto"/>
                    <w:left w:val="none" w:sz="0" w:space="0" w:color="auto"/>
                    <w:bottom w:val="none" w:sz="0" w:space="0" w:color="auto"/>
                    <w:right w:val="none" w:sz="0" w:space="0" w:color="auto"/>
                  </w:divBdr>
                  <w:divsChild>
                    <w:div w:id="1861508190">
                      <w:marLeft w:val="0"/>
                      <w:marRight w:val="0"/>
                      <w:marTop w:val="0"/>
                      <w:marBottom w:val="0"/>
                      <w:divBdr>
                        <w:top w:val="none" w:sz="0" w:space="0" w:color="auto"/>
                        <w:left w:val="none" w:sz="0" w:space="0" w:color="auto"/>
                        <w:bottom w:val="none" w:sz="0" w:space="0" w:color="auto"/>
                        <w:right w:val="none" w:sz="0" w:space="0" w:color="auto"/>
                      </w:divBdr>
                      <w:divsChild>
                        <w:div w:id="1886989164">
                          <w:marLeft w:val="0"/>
                          <w:marRight w:val="0"/>
                          <w:marTop w:val="0"/>
                          <w:marBottom w:val="0"/>
                          <w:divBdr>
                            <w:top w:val="none" w:sz="0" w:space="0" w:color="auto"/>
                            <w:left w:val="none" w:sz="0" w:space="0" w:color="auto"/>
                            <w:bottom w:val="none" w:sz="0" w:space="0" w:color="auto"/>
                            <w:right w:val="none" w:sz="0" w:space="0" w:color="auto"/>
                          </w:divBdr>
                          <w:divsChild>
                            <w:div w:id="809983115">
                              <w:marLeft w:val="0"/>
                              <w:marRight w:val="0"/>
                              <w:marTop w:val="120"/>
                              <w:marBottom w:val="360"/>
                              <w:divBdr>
                                <w:top w:val="none" w:sz="0" w:space="0" w:color="auto"/>
                                <w:left w:val="none" w:sz="0" w:space="0" w:color="auto"/>
                                <w:bottom w:val="none" w:sz="0" w:space="0" w:color="auto"/>
                                <w:right w:val="none" w:sz="0" w:space="0" w:color="auto"/>
                              </w:divBdr>
                              <w:divsChild>
                                <w:div w:id="1970864230">
                                  <w:marLeft w:val="0"/>
                                  <w:marRight w:val="0"/>
                                  <w:marTop w:val="0"/>
                                  <w:marBottom w:val="0"/>
                                  <w:divBdr>
                                    <w:top w:val="none" w:sz="0" w:space="0" w:color="auto"/>
                                    <w:left w:val="none" w:sz="0" w:space="0" w:color="auto"/>
                                    <w:bottom w:val="none" w:sz="0" w:space="0" w:color="auto"/>
                                    <w:right w:val="none" w:sz="0" w:space="0" w:color="auto"/>
                                  </w:divBdr>
                                </w:div>
                                <w:div w:id="11821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89574">
      <w:bodyDiv w:val="1"/>
      <w:marLeft w:val="0"/>
      <w:marRight w:val="0"/>
      <w:marTop w:val="0"/>
      <w:marBottom w:val="0"/>
      <w:divBdr>
        <w:top w:val="none" w:sz="0" w:space="0" w:color="auto"/>
        <w:left w:val="none" w:sz="0" w:space="0" w:color="auto"/>
        <w:bottom w:val="none" w:sz="0" w:space="0" w:color="auto"/>
        <w:right w:val="none" w:sz="0" w:space="0" w:color="auto"/>
      </w:divBdr>
      <w:divsChild>
        <w:div w:id="527454791">
          <w:marLeft w:val="547"/>
          <w:marRight w:val="0"/>
          <w:marTop w:val="115"/>
          <w:marBottom w:val="0"/>
          <w:divBdr>
            <w:top w:val="none" w:sz="0" w:space="0" w:color="auto"/>
            <w:left w:val="none" w:sz="0" w:space="0" w:color="auto"/>
            <w:bottom w:val="none" w:sz="0" w:space="0" w:color="auto"/>
            <w:right w:val="none" w:sz="0" w:space="0" w:color="auto"/>
          </w:divBdr>
        </w:div>
        <w:div w:id="83233048">
          <w:marLeft w:val="547"/>
          <w:marRight w:val="0"/>
          <w:marTop w:val="115"/>
          <w:marBottom w:val="0"/>
          <w:divBdr>
            <w:top w:val="none" w:sz="0" w:space="0" w:color="auto"/>
            <w:left w:val="none" w:sz="0" w:space="0" w:color="auto"/>
            <w:bottom w:val="none" w:sz="0" w:space="0" w:color="auto"/>
            <w:right w:val="none" w:sz="0" w:space="0" w:color="auto"/>
          </w:divBdr>
        </w:div>
        <w:div w:id="356933524">
          <w:marLeft w:val="1426"/>
          <w:marRight w:val="0"/>
          <w:marTop w:val="96"/>
          <w:marBottom w:val="0"/>
          <w:divBdr>
            <w:top w:val="none" w:sz="0" w:space="0" w:color="auto"/>
            <w:left w:val="none" w:sz="0" w:space="0" w:color="auto"/>
            <w:bottom w:val="none" w:sz="0" w:space="0" w:color="auto"/>
            <w:right w:val="none" w:sz="0" w:space="0" w:color="auto"/>
          </w:divBdr>
        </w:div>
        <w:div w:id="2005164755">
          <w:marLeft w:val="1426"/>
          <w:marRight w:val="0"/>
          <w:marTop w:val="96"/>
          <w:marBottom w:val="0"/>
          <w:divBdr>
            <w:top w:val="none" w:sz="0" w:space="0" w:color="auto"/>
            <w:left w:val="none" w:sz="0" w:space="0" w:color="auto"/>
            <w:bottom w:val="none" w:sz="0" w:space="0" w:color="auto"/>
            <w:right w:val="none" w:sz="0" w:space="0" w:color="auto"/>
          </w:divBdr>
        </w:div>
        <w:div w:id="1865944455">
          <w:marLeft w:val="1426"/>
          <w:marRight w:val="0"/>
          <w:marTop w:val="96"/>
          <w:marBottom w:val="0"/>
          <w:divBdr>
            <w:top w:val="none" w:sz="0" w:space="0" w:color="auto"/>
            <w:left w:val="none" w:sz="0" w:space="0" w:color="auto"/>
            <w:bottom w:val="none" w:sz="0" w:space="0" w:color="auto"/>
            <w:right w:val="none" w:sz="0" w:space="0" w:color="auto"/>
          </w:divBdr>
        </w:div>
        <w:div w:id="745031832">
          <w:marLeft w:val="1426"/>
          <w:marRight w:val="0"/>
          <w:marTop w:val="96"/>
          <w:marBottom w:val="0"/>
          <w:divBdr>
            <w:top w:val="none" w:sz="0" w:space="0" w:color="auto"/>
            <w:left w:val="none" w:sz="0" w:space="0" w:color="auto"/>
            <w:bottom w:val="none" w:sz="0" w:space="0" w:color="auto"/>
            <w:right w:val="none" w:sz="0" w:space="0" w:color="auto"/>
          </w:divBdr>
        </w:div>
        <w:div w:id="1904019182">
          <w:marLeft w:val="1426"/>
          <w:marRight w:val="0"/>
          <w:marTop w:val="96"/>
          <w:marBottom w:val="0"/>
          <w:divBdr>
            <w:top w:val="none" w:sz="0" w:space="0" w:color="auto"/>
            <w:left w:val="none" w:sz="0" w:space="0" w:color="auto"/>
            <w:bottom w:val="none" w:sz="0" w:space="0" w:color="auto"/>
            <w:right w:val="none" w:sz="0" w:space="0" w:color="auto"/>
          </w:divBdr>
        </w:div>
      </w:divsChild>
    </w:div>
    <w:div w:id="1536774659">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 w:id="1646665335">
      <w:bodyDiv w:val="1"/>
      <w:marLeft w:val="0"/>
      <w:marRight w:val="0"/>
      <w:marTop w:val="0"/>
      <w:marBottom w:val="0"/>
      <w:divBdr>
        <w:top w:val="none" w:sz="0" w:space="0" w:color="auto"/>
        <w:left w:val="none" w:sz="0" w:space="0" w:color="auto"/>
        <w:bottom w:val="none" w:sz="0" w:space="0" w:color="auto"/>
        <w:right w:val="none" w:sz="0" w:space="0" w:color="auto"/>
      </w:divBdr>
      <w:divsChild>
        <w:div w:id="45876784">
          <w:marLeft w:val="0"/>
          <w:marRight w:val="1"/>
          <w:marTop w:val="0"/>
          <w:marBottom w:val="0"/>
          <w:divBdr>
            <w:top w:val="none" w:sz="0" w:space="0" w:color="auto"/>
            <w:left w:val="none" w:sz="0" w:space="0" w:color="auto"/>
            <w:bottom w:val="none" w:sz="0" w:space="0" w:color="auto"/>
            <w:right w:val="none" w:sz="0" w:space="0" w:color="auto"/>
          </w:divBdr>
          <w:divsChild>
            <w:div w:id="1596787139">
              <w:marLeft w:val="0"/>
              <w:marRight w:val="0"/>
              <w:marTop w:val="0"/>
              <w:marBottom w:val="0"/>
              <w:divBdr>
                <w:top w:val="none" w:sz="0" w:space="0" w:color="auto"/>
                <w:left w:val="none" w:sz="0" w:space="0" w:color="auto"/>
                <w:bottom w:val="none" w:sz="0" w:space="0" w:color="auto"/>
                <w:right w:val="none" w:sz="0" w:space="0" w:color="auto"/>
              </w:divBdr>
              <w:divsChild>
                <w:div w:id="360277168">
                  <w:marLeft w:val="0"/>
                  <w:marRight w:val="1"/>
                  <w:marTop w:val="0"/>
                  <w:marBottom w:val="0"/>
                  <w:divBdr>
                    <w:top w:val="none" w:sz="0" w:space="0" w:color="auto"/>
                    <w:left w:val="none" w:sz="0" w:space="0" w:color="auto"/>
                    <w:bottom w:val="none" w:sz="0" w:space="0" w:color="auto"/>
                    <w:right w:val="none" w:sz="0" w:space="0" w:color="auto"/>
                  </w:divBdr>
                  <w:divsChild>
                    <w:div w:id="1984658504">
                      <w:marLeft w:val="0"/>
                      <w:marRight w:val="0"/>
                      <w:marTop w:val="0"/>
                      <w:marBottom w:val="0"/>
                      <w:divBdr>
                        <w:top w:val="none" w:sz="0" w:space="0" w:color="auto"/>
                        <w:left w:val="none" w:sz="0" w:space="0" w:color="auto"/>
                        <w:bottom w:val="none" w:sz="0" w:space="0" w:color="auto"/>
                        <w:right w:val="none" w:sz="0" w:space="0" w:color="auto"/>
                      </w:divBdr>
                      <w:divsChild>
                        <w:div w:id="1627657067">
                          <w:marLeft w:val="0"/>
                          <w:marRight w:val="0"/>
                          <w:marTop w:val="0"/>
                          <w:marBottom w:val="0"/>
                          <w:divBdr>
                            <w:top w:val="none" w:sz="0" w:space="0" w:color="auto"/>
                            <w:left w:val="none" w:sz="0" w:space="0" w:color="auto"/>
                            <w:bottom w:val="none" w:sz="0" w:space="0" w:color="auto"/>
                            <w:right w:val="none" w:sz="0" w:space="0" w:color="auto"/>
                          </w:divBdr>
                          <w:divsChild>
                            <w:div w:id="1933977352">
                              <w:marLeft w:val="0"/>
                              <w:marRight w:val="0"/>
                              <w:marTop w:val="120"/>
                              <w:marBottom w:val="360"/>
                              <w:divBdr>
                                <w:top w:val="none" w:sz="0" w:space="0" w:color="auto"/>
                                <w:left w:val="none" w:sz="0" w:space="0" w:color="auto"/>
                                <w:bottom w:val="none" w:sz="0" w:space="0" w:color="auto"/>
                                <w:right w:val="none" w:sz="0" w:space="0" w:color="auto"/>
                              </w:divBdr>
                              <w:divsChild>
                                <w:div w:id="19151252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113339">
      <w:bodyDiv w:val="1"/>
      <w:marLeft w:val="0"/>
      <w:marRight w:val="0"/>
      <w:marTop w:val="0"/>
      <w:marBottom w:val="0"/>
      <w:divBdr>
        <w:top w:val="none" w:sz="0" w:space="0" w:color="auto"/>
        <w:left w:val="none" w:sz="0" w:space="0" w:color="auto"/>
        <w:bottom w:val="none" w:sz="0" w:space="0" w:color="auto"/>
        <w:right w:val="none" w:sz="0" w:space="0" w:color="auto"/>
      </w:divBdr>
      <w:divsChild>
        <w:div w:id="1296909470">
          <w:marLeft w:val="0"/>
          <w:marRight w:val="1"/>
          <w:marTop w:val="0"/>
          <w:marBottom w:val="0"/>
          <w:divBdr>
            <w:top w:val="none" w:sz="0" w:space="0" w:color="auto"/>
            <w:left w:val="none" w:sz="0" w:space="0" w:color="auto"/>
            <w:bottom w:val="none" w:sz="0" w:space="0" w:color="auto"/>
            <w:right w:val="none" w:sz="0" w:space="0" w:color="auto"/>
          </w:divBdr>
          <w:divsChild>
            <w:div w:id="1669402690">
              <w:marLeft w:val="0"/>
              <w:marRight w:val="0"/>
              <w:marTop w:val="0"/>
              <w:marBottom w:val="0"/>
              <w:divBdr>
                <w:top w:val="none" w:sz="0" w:space="0" w:color="auto"/>
                <w:left w:val="none" w:sz="0" w:space="0" w:color="auto"/>
                <w:bottom w:val="none" w:sz="0" w:space="0" w:color="auto"/>
                <w:right w:val="none" w:sz="0" w:space="0" w:color="auto"/>
              </w:divBdr>
              <w:divsChild>
                <w:div w:id="1141732843">
                  <w:marLeft w:val="0"/>
                  <w:marRight w:val="1"/>
                  <w:marTop w:val="0"/>
                  <w:marBottom w:val="0"/>
                  <w:divBdr>
                    <w:top w:val="none" w:sz="0" w:space="0" w:color="auto"/>
                    <w:left w:val="none" w:sz="0" w:space="0" w:color="auto"/>
                    <w:bottom w:val="none" w:sz="0" w:space="0" w:color="auto"/>
                    <w:right w:val="none" w:sz="0" w:space="0" w:color="auto"/>
                  </w:divBdr>
                  <w:divsChild>
                    <w:div w:id="113791282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424061369">
                              <w:marLeft w:val="0"/>
                              <w:marRight w:val="0"/>
                              <w:marTop w:val="120"/>
                              <w:marBottom w:val="360"/>
                              <w:divBdr>
                                <w:top w:val="none" w:sz="0" w:space="0" w:color="auto"/>
                                <w:left w:val="none" w:sz="0" w:space="0" w:color="auto"/>
                                <w:bottom w:val="none" w:sz="0" w:space="0" w:color="auto"/>
                                <w:right w:val="none" w:sz="0" w:space="0" w:color="auto"/>
                              </w:divBdr>
                              <w:divsChild>
                                <w:div w:id="1396972962">
                                  <w:marLeft w:val="0"/>
                                  <w:marRight w:val="0"/>
                                  <w:marTop w:val="0"/>
                                  <w:marBottom w:val="0"/>
                                  <w:divBdr>
                                    <w:top w:val="none" w:sz="0" w:space="0" w:color="auto"/>
                                    <w:left w:val="none" w:sz="0" w:space="0" w:color="auto"/>
                                    <w:bottom w:val="none" w:sz="0" w:space="0" w:color="auto"/>
                                    <w:right w:val="none" w:sz="0" w:space="0" w:color="auto"/>
                                  </w:divBdr>
                                </w:div>
                                <w:div w:id="14300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337382">
      <w:bodyDiv w:val="1"/>
      <w:marLeft w:val="0"/>
      <w:marRight w:val="0"/>
      <w:marTop w:val="0"/>
      <w:marBottom w:val="0"/>
      <w:divBdr>
        <w:top w:val="none" w:sz="0" w:space="0" w:color="auto"/>
        <w:left w:val="none" w:sz="0" w:space="0" w:color="auto"/>
        <w:bottom w:val="none" w:sz="0" w:space="0" w:color="auto"/>
        <w:right w:val="none" w:sz="0" w:space="0" w:color="auto"/>
      </w:divBdr>
      <w:divsChild>
        <w:div w:id="957108873">
          <w:marLeft w:val="0"/>
          <w:marRight w:val="1"/>
          <w:marTop w:val="0"/>
          <w:marBottom w:val="0"/>
          <w:divBdr>
            <w:top w:val="none" w:sz="0" w:space="0" w:color="auto"/>
            <w:left w:val="none" w:sz="0" w:space="0" w:color="auto"/>
            <w:bottom w:val="none" w:sz="0" w:space="0" w:color="auto"/>
            <w:right w:val="none" w:sz="0" w:space="0" w:color="auto"/>
          </w:divBdr>
          <w:divsChild>
            <w:div w:id="395905690">
              <w:marLeft w:val="0"/>
              <w:marRight w:val="0"/>
              <w:marTop w:val="0"/>
              <w:marBottom w:val="0"/>
              <w:divBdr>
                <w:top w:val="none" w:sz="0" w:space="0" w:color="auto"/>
                <w:left w:val="none" w:sz="0" w:space="0" w:color="auto"/>
                <w:bottom w:val="none" w:sz="0" w:space="0" w:color="auto"/>
                <w:right w:val="none" w:sz="0" w:space="0" w:color="auto"/>
              </w:divBdr>
              <w:divsChild>
                <w:div w:id="1035887704">
                  <w:marLeft w:val="0"/>
                  <w:marRight w:val="1"/>
                  <w:marTop w:val="0"/>
                  <w:marBottom w:val="0"/>
                  <w:divBdr>
                    <w:top w:val="none" w:sz="0" w:space="0" w:color="auto"/>
                    <w:left w:val="none" w:sz="0" w:space="0" w:color="auto"/>
                    <w:bottom w:val="none" w:sz="0" w:space="0" w:color="auto"/>
                    <w:right w:val="none" w:sz="0" w:space="0" w:color="auto"/>
                  </w:divBdr>
                  <w:divsChild>
                    <w:div w:id="1320621739">
                      <w:marLeft w:val="0"/>
                      <w:marRight w:val="0"/>
                      <w:marTop w:val="0"/>
                      <w:marBottom w:val="0"/>
                      <w:divBdr>
                        <w:top w:val="none" w:sz="0" w:space="0" w:color="auto"/>
                        <w:left w:val="none" w:sz="0" w:space="0" w:color="auto"/>
                        <w:bottom w:val="none" w:sz="0" w:space="0" w:color="auto"/>
                        <w:right w:val="none" w:sz="0" w:space="0" w:color="auto"/>
                      </w:divBdr>
                      <w:divsChild>
                        <w:div w:id="389154271">
                          <w:marLeft w:val="0"/>
                          <w:marRight w:val="0"/>
                          <w:marTop w:val="0"/>
                          <w:marBottom w:val="0"/>
                          <w:divBdr>
                            <w:top w:val="none" w:sz="0" w:space="0" w:color="auto"/>
                            <w:left w:val="none" w:sz="0" w:space="0" w:color="auto"/>
                            <w:bottom w:val="none" w:sz="0" w:space="0" w:color="auto"/>
                            <w:right w:val="none" w:sz="0" w:space="0" w:color="auto"/>
                          </w:divBdr>
                          <w:divsChild>
                            <w:div w:id="1258058117">
                              <w:marLeft w:val="0"/>
                              <w:marRight w:val="0"/>
                              <w:marTop w:val="120"/>
                              <w:marBottom w:val="360"/>
                              <w:divBdr>
                                <w:top w:val="none" w:sz="0" w:space="0" w:color="auto"/>
                                <w:left w:val="none" w:sz="0" w:space="0" w:color="auto"/>
                                <w:bottom w:val="none" w:sz="0" w:space="0" w:color="auto"/>
                                <w:right w:val="none" w:sz="0" w:space="0" w:color="auto"/>
                              </w:divBdr>
                              <w:divsChild>
                                <w:div w:id="851838949">
                                  <w:marLeft w:val="0"/>
                                  <w:marRight w:val="0"/>
                                  <w:marTop w:val="0"/>
                                  <w:marBottom w:val="0"/>
                                  <w:divBdr>
                                    <w:top w:val="none" w:sz="0" w:space="0" w:color="auto"/>
                                    <w:left w:val="none" w:sz="0" w:space="0" w:color="auto"/>
                                    <w:bottom w:val="none" w:sz="0" w:space="0" w:color="auto"/>
                                    <w:right w:val="none" w:sz="0" w:space="0" w:color="auto"/>
                                  </w:divBdr>
                                </w:div>
                                <w:div w:id="17356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803422">
      <w:bodyDiv w:val="1"/>
      <w:marLeft w:val="0"/>
      <w:marRight w:val="0"/>
      <w:marTop w:val="0"/>
      <w:marBottom w:val="0"/>
      <w:divBdr>
        <w:top w:val="none" w:sz="0" w:space="0" w:color="auto"/>
        <w:left w:val="none" w:sz="0" w:space="0" w:color="auto"/>
        <w:bottom w:val="none" w:sz="0" w:space="0" w:color="auto"/>
        <w:right w:val="none" w:sz="0" w:space="0" w:color="auto"/>
      </w:divBdr>
    </w:div>
    <w:div w:id="2037802672">
      <w:bodyDiv w:val="1"/>
      <w:marLeft w:val="0"/>
      <w:marRight w:val="0"/>
      <w:marTop w:val="0"/>
      <w:marBottom w:val="0"/>
      <w:divBdr>
        <w:top w:val="none" w:sz="0" w:space="0" w:color="auto"/>
        <w:left w:val="none" w:sz="0" w:space="0" w:color="auto"/>
        <w:bottom w:val="none" w:sz="0" w:space="0" w:color="auto"/>
        <w:right w:val="none" w:sz="0" w:space="0" w:color="auto"/>
      </w:divBdr>
      <w:divsChild>
        <w:div w:id="1589464206">
          <w:marLeft w:val="0"/>
          <w:marRight w:val="1"/>
          <w:marTop w:val="0"/>
          <w:marBottom w:val="0"/>
          <w:divBdr>
            <w:top w:val="none" w:sz="0" w:space="0" w:color="auto"/>
            <w:left w:val="none" w:sz="0" w:space="0" w:color="auto"/>
            <w:bottom w:val="none" w:sz="0" w:space="0" w:color="auto"/>
            <w:right w:val="none" w:sz="0" w:space="0" w:color="auto"/>
          </w:divBdr>
          <w:divsChild>
            <w:div w:id="1218466591">
              <w:marLeft w:val="0"/>
              <w:marRight w:val="0"/>
              <w:marTop w:val="0"/>
              <w:marBottom w:val="0"/>
              <w:divBdr>
                <w:top w:val="none" w:sz="0" w:space="0" w:color="auto"/>
                <w:left w:val="none" w:sz="0" w:space="0" w:color="auto"/>
                <w:bottom w:val="none" w:sz="0" w:space="0" w:color="auto"/>
                <w:right w:val="none" w:sz="0" w:space="0" w:color="auto"/>
              </w:divBdr>
              <w:divsChild>
                <w:div w:id="217329042">
                  <w:marLeft w:val="0"/>
                  <w:marRight w:val="1"/>
                  <w:marTop w:val="0"/>
                  <w:marBottom w:val="0"/>
                  <w:divBdr>
                    <w:top w:val="none" w:sz="0" w:space="0" w:color="auto"/>
                    <w:left w:val="none" w:sz="0" w:space="0" w:color="auto"/>
                    <w:bottom w:val="none" w:sz="0" w:space="0" w:color="auto"/>
                    <w:right w:val="none" w:sz="0" w:space="0" w:color="auto"/>
                  </w:divBdr>
                  <w:divsChild>
                    <w:div w:id="223219086">
                      <w:marLeft w:val="0"/>
                      <w:marRight w:val="0"/>
                      <w:marTop w:val="0"/>
                      <w:marBottom w:val="0"/>
                      <w:divBdr>
                        <w:top w:val="none" w:sz="0" w:space="0" w:color="auto"/>
                        <w:left w:val="none" w:sz="0" w:space="0" w:color="auto"/>
                        <w:bottom w:val="none" w:sz="0" w:space="0" w:color="auto"/>
                        <w:right w:val="none" w:sz="0" w:space="0" w:color="auto"/>
                      </w:divBdr>
                      <w:divsChild>
                        <w:div w:id="1069615345">
                          <w:marLeft w:val="0"/>
                          <w:marRight w:val="0"/>
                          <w:marTop w:val="0"/>
                          <w:marBottom w:val="0"/>
                          <w:divBdr>
                            <w:top w:val="none" w:sz="0" w:space="0" w:color="auto"/>
                            <w:left w:val="none" w:sz="0" w:space="0" w:color="auto"/>
                            <w:bottom w:val="none" w:sz="0" w:space="0" w:color="auto"/>
                            <w:right w:val="none" w:sz="0" w:space="0" w:color="auto"/>
                          </w:divBdr>
                          <w:divsChild>
                            <w:div w:id="1462266515">
                              <w:marLeft w:val="0"/>
                              <w:marRight w:val="0"/>
                              <w:marTop w:val="120"/>
                              <w:marBottom w:val="360"/>
                              <w:divBdr>
                                <w:top w:val="none" w:sz="0" w:space="0" w:color="auto"/>
                                <w:left w:val="none" w:sz="0" w:space="0" w:color="auto"/>
                                <w:bottom w:val="none" w:sz="0" w:space="0" w:color="auto"/>
                                <w:right w:val="none" w:sz="0" w:space="0" w:color="auto"/>
                              </w:divBdr>
                              <w:divsChild>
                                <w:div w:id="1804342668">
                                  <w:marLeft w:val="0"/>
                                  <w:marRight w:val="0"/>
                                  <w:marTop w:val="0"/>
                                  <w:marBottom w:val="0"/>
                                  <w:divBdr>
                                    <w:top w:val="none" w:sz="0" w:space="0" w:color="auto"/>
                                    <w:left w:val="none" w:sz="0" w:space="0" w:color="auto"/>
                                    <w:bottom w:val="none" w:sz="0" w:space="0" w:color="auto"/>
                                    <w:right w:val="none" w:sz="0" w:space="0" w:color="auto"/>
                                  </w:divBdr>
                                </w:div>
                                <w:div w:id="4360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www.efsa.europa.eu/sites/default/files/scientific_output/files/main_documents/21r.pdf" TargetMode="External"/><Relationship Id="rId39" Type="http://schemas.openxmlformats.org/officeDocument/2006/relationships/hyperlink" Target="http://www.nicnas.gov.au/__data/assets/pdf_file/0015/4371/PEC_10_Acrylonitrile_Full_Report_PDF.pdf" TargetMode="External"/><Relationship Id="rId21" Type="http://schemas.openxmlformats.org/officeDocument/2006/relationships/hyperlink" Target="http://eur-lex.europa.eu/legal-content/EN/ALL/?uri=CELEX:32011R0010" TargetMode="External"/><Relationship Id="rId34" Type="http://schemas.openxmlformats.org/officeDocument/2006/relationships/hyperlink" Target="http://www.foodstandards.gov.au/science/exposure/Documents/Principles%20_%20practices%20exposure%20assessment%202009.pdf" TargetMode="External"/><Relationship Id="rId42" Type="http://schemas.openxmlformats.org/officeDocument/2006/relationships/hyperlink" Target="http://www.fda.gov/Food/GuidanceRegulation/GuidanceDocumentsRegulatoryInformation/ucm081818.htm" TargetMode="External"/><Relationship Id="rId47" Type="http://schemas.openxmlformats.org/officeDocument/2006/relationships/hyperlink" Target="http://www.fda.gov/Food/IngredientsPackagingLabeling/PackagingFCS/CEDI/ucm2006857.htm"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efsa.europa.eu/en/efsajournal/pub/3978.htm" TargetMode="External"/><Relationship Id="rId11" Type="http://schemas.openxmlformats.org/officeDocument/2006/relationships/webSettings" Target="webSettings.xml"/><Relationship Id="rId24" Type="http://schemas.openxmlformats.org/officeDocument/2006/relationships/hyperlink" Target="http://www.efsa.europa.eu/en/efsajournal/pub/244" TargetMode="External"/><Relationship Id="rId32" Type="http://schemas.openxmlformats.org/officeDocument/2006/relationships/hyperlink" Target="http://www.who.int/foodsafety/publications/chemical-food/en/" TargetMode="External"/><Relationship Id="rId37" Type="http://schemas.openxmlformats.org/officeDocument/2006/relationships/hyperlink" Target="http://www.foodstandards.gov.au/publications/riskanalysisfoodregulation/Pages/default.aspx" TargetMode="External"/><Relationship Id="rId40" Type="http://schemas.openxmlformats.org/officeDocument/2006/relationships/hyperlink" Target="http://www.food.gov.uk/multimedia/pdfs/fsis0311.pdf" TargetMode="External"/><Relationship Id="rId45" Type="http://schemas.openxmlformats.org/officeDocument/2006/relationships/hyperlink" Target="http://www.inchem.org/documents/jecfa/jecmono/v19je01.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fsa.europa.eu/en/efsajournal/pub/243" TargetMode="External"/><Relationship Id="rId28" Type="http://schemas.openxmlformats.org/officeDocument/2006/relationships/hyperlink" Target="http://www.efsa.europa.eu/en/efsajournal/pub/4021" TargetMode="External"/><Relationship Id="rId36" Type="http://schemas.openxmlformats.org/officeDocument/2006/relationships/hyperlink" Target="http://www.foodstandards.gov.au/code/applications/Pages/applicationa1043worl4761.aspx"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tsdr.cdc.gov/toxprofiles/tp125.pdf" TargetMode="External"/><Relationship Id="rId31" Type="http://schemas.openxmlformats.org/officeDocument/2006/relationships/hyperlink" Target="http://www.efsa.europa.eu/en/supporting/pub/1006e" TargetMode="External"/><Relationship Id="rId44" Type="http://schemas.openxmlformats.org/officeDocument/2006/relationships/hyperlink" Target="https://www.gpo.gov/fdsys/pkg/FR-2016-01-04/pdf/2015-33026.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echa.europa.eu/documents/10162/13641/dinp_echa_review_report_2010_6_en.pdf" TargetMode="External"/><Relationship Id="rId27" Type="http://schemas.openxmlformats.org/officeDocument/2006/relationships/hyperlink" Target="http://www.efsa.europa.eu/en/efsajournal/pub/2750" TargetMode="External"/><Relationship Id="rId30" Type="http://schemas.openxmlformats.org/officeDocument/2006/relationships/hyperlink" Target="http://www.efsa.europa.eu/en/efsajournal/pub/4357" TargetMode="External"/><Relationship Id="rId35" Type="http://schemas.openxmlformats.org/officeDocument/2006/relationships/hyperlink" Target="http://www.foodstandards.gov.au/science/surveillance/Pages/surveyofchemicalmigr5148.aspx" TargetMode="External"/><Relationship Id="rId43" Type="http://schemas.openxmlformats.org/officeDocument/2006/relationships/hyperlink" Target="http://www.fda.gov/Food/IngredientsPackagingLabeling/PackagingFCS/Notifications/ucm308462.htm" TargetMode="External"/><Relationship Id="rId48" Type="http://schemas.openxmlformats.org/officeDocument/2006/relationships/hyperlink" Target="http://echa.europa.e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efsa.europa.eu/en/efsajournal/pub/428" TargetMode="External"/><Relationship Id="rId33" Type="http://schemas.openxmlformats.org/officeDocument/2006/relationships/hyperlink" Target="https://www.fsai.ie/news_centre/press_releases/total_diet_study_15032016.html" TargetMode="External"/><Relationship Id="rId38" Type="http://schemas.openxmlformats.org/officeDocument/2006/relationships/hyperlink" Target="http://www.foodstandards.gov.au/publications/Pages/24th-ATDS-Phase-2.aspx" TargetMode="External"/><Relationship Id="rId46" Type="http://schemas.openxmlformats.org/officeDocument/2006/relationships/hyperlink" Target="http://whqlibdoc.who.int/trs/WHO_TRS_930_eng.pdf" TargetMode="External"/><Relationship Id="rId20" Type="http://schemas.openxmlformats.org/officeDocument/2006/relationships/hyperlink" Target="http://www.atsdr.cdc.gov/toxprofiles/tp20.pdf" TargetMode="External"/><Relationship Id="rId41" Type="http://schemas.openxmlformats.org/officeDocument/2006/relationships/hyperlink" Target="http://www.fda.gov/Food/GuidanceRegulation/GuidanceDocumentsRegulatoryInformation/ucm081825.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da.gov/Food/IngredientsPackagingLabeling/PackagingFCS/IndirectAdditives/ucm115333.htm" TargetMode="External"/><Relationship Id="rId2" Type="http://schemas.openxmlformats.org/officeDocument/2006/relationships/hyperlink" Target="http://www.fda.gov/Food/IngredientsPackagingLabeling/PackagingFCS/CEDI/default.htm" TargetMode="External"/><Relationship Id="rId1" Type="http://schemas.openxmlformats.org/officeDocument/2006/relationships/hyperlink" Target="http://www.fda.gov/Food/IngredientsPackagingLabeling/PackagingFCS/IndirectAdditives/ucm115333.htm" TargetMode="External"/><Relationship Id="rId5" Type="http://schemas.openxmlformats.org/officeDocument/2006/relationships/hyperlink" Target="https://www.femaflavor.org/about-fema" TargetMode="External"/><Relationship Id="rId4" Type="http://schemas.openxmlformats.org/officeDocument/2006/relationships/hyperlink" Target="http://www.fda.gov/Food/IngredientsPackagingLabeling/PackagingFCS/Notifications/ucm1165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337</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Risk assessment</TermName>
          <TermId xmlns="http://schemas.microsoft.com/office/infopath/2007/PartnerControls">d2ef6396-f429-463e-8df0-9bad668c6cb8</TermId>
        </TermInfo>
      </Terms>
    </bd06d2da0152468b9236b575a71e0e7c>
    <a41428b017d04df981d58ffdf035d7b8 xmlns="ec50576e-4a27-4780-a1e1-e59563bc70b8">
      <Terms xmlns="http://schemas.microsoft.com/office/infopath/2007/PartnerControls"/>
    </a41428b017d04df981d58ffdf035d7b8>
    <_dlc_DocId xmlns="ff5de93e-c5e8-4efc-a1bd-21450292fcfe">X3VAMR3A5FUY-552-4216</_dlc_DocId>
    <_dlc_DocIdUrl xmlns="ff5de93e-c5e8-4efc-a1bd-21450292fcfe">
      <Url>http://teams/Sections/RAP/_layouts/15/DocIdRedir.aspx?ID=X3VAMR3A5FUY-552-4216</Url>
      <Description>X3VAMR3A5FUY-552-4216</Description>
    </_dlc_DocIdUrl>
    <_dlc_DocIdPersistId xmlns="ff5de93e-c5e8-4efc-a1bd-21450292fc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B802-77E2-4B72-8607-FEE3301FD921}"/>
</file>

<file path=customXml/itemProps2.xml><?xml version="1.0" encoding="utf-8"?>
<ds:datastoreItem xmlns:ds="http://schemas.openxmlformats.org/officeDocument/2006/customXml" ds:itemID="{75212E14-2E10-4532-BEF4-ED4B049D7679}"/>
</file>

<file path=customXml/itemProps3.xml><?xml version="1.0" encoding="utf-8"?>
<ds:datastoreItem xmlns:ds="http://schemas.openxmlformats.org/officeDocument/2006/customXml" ds:itemID="{86F75E2D-2683-4392-81ED-CDC3CABDFCE6}"/>
</file>

<file path=customXml/itemProps4.xml><?xml version="1.0" encoding="utf-8"?>
<ds:datastoreItem xmlns:ds="http://schemas.openxmlformats.org/officeDocument/2006/customXml" ds:itemID="{29772452-533D-4567-983B-074DC2361527}"/>
</file>

<file path=customXml/itemProps5.xml><?xml version="1.0" encoding="utf-8"?>
<ds:datastoreItem xmlns:ds="http://schemas.openxmlformats.org/officeDocument/2006/customXml" ds:itemID="{815AB802-77E2-4B72-8607-FEE3301FD921}"/>
</file>

<file path=customXml/itemProps6.xml><?xml version="1.0" encoding="utf-8"?>
<ds:datastoreItem xmlns:ds="http://schemas.openxmlformats.org/officeDocument/2006/customXml" ds:itemID="{29772452-533D-4567-983B-074DC2361527}"/>
</file>

<file path=docProps/app.xml><?xml version="1.0" encoding="utf-8"?>
<Properties xmlns="http://schemas.openxmlformats.org/officeDocument/2006/extended-properties" xmlns:vt="http://schemas.openxmlformats.org/officeDocument/2006/docPropsVTypes">
  <Template>Normal.dotm</Template>
  <TotalTime>8</TotalTime>
  <Pages>22</Pages>
  <Words>8857</Words>
  <Characters>55521</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64250</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fieldba</dc:creator>
  <cp:lastModifiedBy>humphc</cp:lastModifiedBy>
  <cp:revision>7</cp:revision>
  <cp:lastPrinted>2016-06-08T00:15:00Z</cp:lastPrinted>
  <dcterms:created xsi:type="dcterms:W3CDTF">2016-06-07T06:08:00Z</dcterms:created>
  <dcterms:modified xsi:type="dcterms:W3CDTF">2016-06-08T00:15:00Z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0x010100FB86A4CA77FAD24FB4C8632D8CBF0C4A</vt:lpwstr>
  </property>
  <property fmtid="{D5CDD505-2E9C-101B-9397-08002B2CF9AE}" pid="3" name="_dlc_DocIdItemGuid">
    <vt:lpwstr>d274f76f-6efe-45aa-9fcf-242c8e2e6843</vt:lpwstr>
  </property>
  <property fmtid="{D5CDD505-2E9C-101B-9397-08002B2CF9AE}" pid="4" name="BCS_">
    <vt:lpwstr>337;#Risk assessment|d2ef6396-f429-463e-8df0-9bad668c6cb8</vt:lpwstr>
  </property>
  <property fmtid="{D5CDD505-2E9C-101B-9397-08002B2CF9AE}" pid="5" name="a41428b017d04df981d58ffdf035d7b8">
    <vt:lpwstr/>
  </property>
  <property fmtid="{D5CDD505-2E9C-101B-9397-08002B2CF9AE}" pid="6" name="DisposalClass">
    <vt:lpwstr/>
  </property>
  <property fmtid="{D5CDD505-2E9C-101B-9397-08002B2CF9AE}" pid="7" name="SPPCopyMoveEvent">
    <vt:lpwstr>0</vt:lpwstr>
  </property>
</Properties>
</file>