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967683" w14:textId="77777777" w:rsidR="00776154" w:rsidRDefault="00776154" w:rsidP="00776154">
      <w:r>
        <w:rPr>
          <w:noProof/>
          <w:lang w:eastAsia="en-GB" w:bidi="ar-SA"/>
        </w:rPr>
        <w:drawing>
          <wp:anchor distT="0" distB="0" distL="114300" distR="114300" simplePos="0" relativeHeight="251658240" behindDoc="0" locked="0" layoutInCell="1" allowOverlap="1" wp14:anchorId="40E5C75F" wp14:editId="4A1E5596">
            <wp:simplePos x="0" y="0"/>
            <wp:positionH relativeFrom="column">
              <wp:align>left</wp:align>
            </wp:positionH>
            <wp:positionV relativeFrom="paragraph">
              <wp:align>top</wp:align>
            </wp:positionV>
            <wp:extent cx="3488055" cy="611505"/>
            <wp:effectExtent l="0" t="0" r="0" b="0"/>
            <wp:wrapSquare wrapText="bothSides"/>
            <wp:docPr id="3" name="Picture 3" descr="FS_Logo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S_Logo_K"/>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488055" cy="611505"/>
                    </a:xfrm>
                    <a:prstGeom prst="rect">
                      <a:avLst/>
                    </a:prstGeom>
                    <a:noFill/>
                    <a:ln>
                      <a:noFill/>
                    </a:ln>
                  </pic:spPr>
                </pic:pic>
              </a:graphicData>
            </a:graphic>
          </wp:anchor>
        </w:drawing>
      </w:r>
      <w:r>
        <w:br w:type="textWrapping" w:clear="all"/>
      </w:r>
    </w:p>
    <w:p w14:paraId="314D291A" w14:textId="5C84B857" w:rsidR="00776154" w:rsidRPr="00F2008A" w:rsidRDefault="00F2008A" w:rsidP="00776154">
      <w:pPr>
        <w:rPr>
          <w:b/>
          <w:sz w:val="28"/>
          <w:szCs w:val="28"/>
        </w:rPr>
      </w:pPr>
      <w:bookmarkStart w:id="0" w:name="_GoBack"/>
      <w:r w:rsidRPr="00F2008A">
        <w:rPr>
          <w:b/>
          <w:sz w:val="28"/>
          <w:szCs w:val="28"/>
        </w:rPr>
        <w:t>8 July 2021</w:t>
      </w:r>
    </w:p>
    <w:p w14:paraId="782E960B" w14:textId="7259BD28" w:rsidR="00776154" w:rsidRPr="00F2008A" w:rsidRDefault="00F2008A" w:rsidP="00776154">
      <w:pPr>
        <w:rPr>
          <w:b/>
          <w:sz w:val="28"/>
          <w:szCs w:val="28"/>
        </w:rPr>
      </w:pPr>
      <w:r w:rsidRPr="00F2008A">
        <w:rPr>
          <w:b/>
          <w:sz w:val="28"/>
          <w:szCs w:val="28"/>
        </w:rPr>
        <w:t>161-21</w:t>
      </w:r>
    </w:p>
    <w:p w14:paraId="2E3F2EC4" w14:textId="77777777" w:rsidR="00776154" w:rsidRPr="00776154" w:rsidRDefault="00776154" w:rsidP="00776154">
      <w:pPr>
        <w:pStyle w:val="FSTitle"/>
        <w:rPr>
          <w:rFonts w:eastAsia="Times New Roman"/>
          <w:sz w:val="32"/>
        </w:rPr>
      </w:pPr>
      <w:bookmarkStart w:id="1" w:name="_Toc74061223"/>
      <w:bookmarkEnd w:id="0"/>
      <w:r w:rsidRPr="00776154">
        <w:rPr>
          <w:rFonts w:eastAsia="Times New Roman"/>
          <w:sz w:val="32"/>
        </w:rPr>
        <w:t>Consultation paper</w:t>
      </w:r>
      <w:r>
        <w:rPr>
          <w:rFonts w:eastAsia="Times New Roman"/>
          <w:sz w:val="32"/>
        </w:rPr>
        <w:t xml:space="preserve"> 2</w:t>
      </w:r>
      <w:r w:rsidRPr="00776154">
        <w:rPr>
          <w:rFonts w:eastAsia="Times New Roman"/>
          <w:sz w:val="32"/>
        </w:rPr>
        <w:t xml:space="preserve"> – Nutrient Composition</w:t>
      </w:r>
      <w:bookmarkEnd w:id="1"/>
    </w:p>
    <w:p w14:paraId="48F1D7F7" w14:textId="50026BB9" w:rsidR="00776154" w:rsidRPr="00776154" w:rsidRDefault="00776154" w:rsidP="00776154">
      <w:pPr>
        <w:pStyle w:val="FSTitle"/>
        <w:rPr>
          <w:rFonts w:eastAsia="Times New Roman"/>
          <w:sz w:val="32"/>
        </w:rPr>
      </w:pPr>
      <w:bookmarkStart w:id="2" w:name="_Toc74061224"/>
      <w:r w:rsidRPr="00564E51">
        <w:rPr>
          <w:rFonts w:eastAsia="Times New Roman"/>
          <w:b w:val="0"/>
          <w:bCs w:val="0"/>
          <w:color w:val="000000" w:themeColor="text1"/>
          <w:sz w:val="32"/>
        </w:rPr>
        <w:t>Proposal P1028</w:t>
      </w:r>
      <w:r w:rsidRPr="00776154">
        <w:rPr>
          <w:rFonts w:eastAsia="Times New Roman"/>
          <w:b w:val="0"/>
          <w:bCs w:val="0"/>
          <w:color w:val="000000" w:themeColor="text1"/>
          <w:sz w:val="32"/>
        </w:rPr>
        <w:t xml:space="preserve"> – Infant Formula</w:t>
      </w:r>
      <w:bookmarkEnd w:id="2"/>
    </w:p>
    <w:p w14:paraId="00F6F281" w14:textId="77777777" w:rsidR="00776154" w:rsidRPr="00B37BF0" w:rsidRDefault="00776154" w:rsidP="00776154">
      <w:pPr>
        <w:pBdr>
          <w:bottom w:val="single" w:sz="12" w:space="1" w:color="auto"/>
        </w:pBdr>
        <w:spacing w:line="280" w:lineRule="exact"/>
        <w:rPr>
          <w:rFonts w:cs="Arial"/>
          <w:bCs/>
        </w:rPr>
      </w:pPr>
    </w:p>
    <w:p w14:paraId="1CC1F530" w14:textId="77777777" w:rsidR="00776154" w:rsidRPr="00B37BF0" w:rsidRDefault="00776154" w:rsidP="00776154"/>
    <w:p w14:paraId="57E8005D" w14:textId="77777777" w:rsidR="00776154" w:rsidRDefault="00776154" w:rsidP="00776154">
      <w:pPr>
        <w:pStyle w:val="Heading1"/>
      </w:pPr>
      <w:bookmarkStart w:id="3" w:name="_Toc286391001"/>
      <w:bookmarkStart w:id="4" w:name="_Toc300933414"/>
      <w:bookmarkStart w:id="5" w:name="_Toc432434630"/>
      <w:bookmarkStart w:id="6" w:name="_Toc437858746"/>
      <w:bookmarkStart w:id="7" w:name="_Toc440462423"/>
      <w:bookmarkStart w:id="8" w:name="_Toc440470820"/>
      <w:bookmarkStart w:id="9" w:name="_Toc73455599"/>
      <w:bookmarkStart w:id="10" w:name="_Toc73624872"/>
      <w:bookmarkStart w:id="11" w:name="_Toc76138261"/>
      <w:r w:rsidRPr="00092CDA">
        <w:t xml:space="preserve">Executive </w:t>
      </w:r>
      <w:bookmarkStart w:id="12" w:name="_Toc412794098"/>
      <w:bookmarkStart w:id="13" w:name="_Toc419280127"/>
      <w:bookmarkStart w:id="14" w:name="_Toc427310802"/>
      <w:bookmarkStart w:id="15" w:name="_Toc431488453"/>
      <w:bookmarkEnd w:id="3"/>
      <w:bookmarkEnd w:id="4"/>
      <w:bookmarkEnd w:id="12"/>
      <w:bookmarkEnd w:id="13"/>
      <w:bookmarkEnd w:id="14"/>
      <w:bookmarkEnd w:id="15"/>
      <w:r>
        <w:t>s</w:t>
      </w:r>
      <w:r w:rsidRPr="00092CDA">
        <w:t>ummary</w:t>
      </w:r>
      <w:bookmarkEnd w:id="5"/>
      <w:bookmarkEnd w:id="6"/>
      <w:bookmarkEnd w:id="7"/>
      <w:bookmarkEnd w:id="8"/>
      <w:bookmarkEnd w:id="9"/>
      <w:bookmarkEnd w:id="10"/>
      <w:bookmarkEnd w:id="11"/>
      <w:r>
        <w:t xml:space="preserve"> </w:t>
      </w:r>
    </w:p>
    <w:p w14:paraId="7E006958" w14:textId="77777777" w:rsidR="006D756C" w:rsidRDefault="006D756C" w:rsidP="006D756C">
      <w:pPr>
        <w:rPr>
          <w:lang w:eastAsia="en-AU"/>
        </w:rPr>
      </w:pPr>
      <w:r>
        <w:rPr>
          <w:lang w:eastAsia="en-AU"/>
        </w:rPr>
        <w:t xml:space="preserve">Food Standards Australia New Zealand (FSANZ) is reviewing regulatory requirements for infant formula under Proposal P1028 – </w:t>
      </w:r>
      <w:r w:rsidRPr="00E67F3A">
        <w:rPr>
          <w:i/>
          <w:lang w:eastAsia="en-AU"/>
        </w:rPr>
        <w:t>Infant formula</w:t>
      </w:r>
      <w:r>
        <w:rPr>
          <w:lang w:eastAsia="en-AU"/>
        </w:rPr>
        <w:t xml:space="preserve">. </w:t>
      </w:r>
    </w:p>
    <w:p w14:paraId="7A62D187" w14:textId="77777777" w:rsidR="00776154" w:rsidRPr="00A62C69" w:rsidRDefault="00776154" w:rsidP="00776154"/>
    <w:p w14:paraId="47E1BEA7" w14:textId="45102D1E" w:rsidR="00150678" w:rsidRPr="008E266B" w:rsidRDefault="00150678" w:rsidP="00150678">
      <w:r w:rsidRPr="00061A55">
        <w:rPr>
          <w:lang w:eastAsia="en-AU"/>
        </w:rPr>
        <w:t xml:space="preserve">The protection of public health and safety is a primary objective for </w:t>
      </w:r>
      <w:r>
        <w:rPr>
          <w:lang w:eastAsia="en-AU"/>
        </w:rPr>
        <w:t>FSANZ</w:t>
      </w:r>
      <w:r w:rsidRPr="00061A55">
        <w:rPr>
          <w:lang w:eastAsia="en-AU"/>
        </w:rPr>
        <w:t xml:space="preserve">. Infant formula must be safe for formula-fed infants to consume, and </w:t>
      </w:r>
      <w:r>
        <w:rPr>
          <w:lang w:eastAsia="en-AU"/>
        </w:rPr>
        <w:t>its nutrient composition must</w:t>
      </w:r>
      <w:r w:rsidRPr="00696C1A">
        <w:rPr>
          <w:lang w:eastAsia="en-AU"/>
        </w:rPr>
        <w:t xml:space="preserve"> </w:t>
      </w:r>
      <w:r>
        <w:rPr>
          <w:lang w:eastAsia="en-AU"/>
        </w:rPr>
        <w:t xml:space="preserve">support </w:t>
      </w:r>
      <w:r w:rsidRPr="00696C1A">
        <w:rPr>
          <w:lang w:eastAsia="en-AU"/>
        </w:rPr>
        <w:t>normal growth and development when infant formula</w:t>
      </w:r>
      <w:r>
        <w:rPr>
          <w:lang w:eastAsia="en-AU"/>
        </w:rPr>
        <w:t xml:space="preserve"> is</w:t>
      </w:r>
      <w:r w:rsidRPr="00696C1A">
        <w:rPr>
          <w:lang w:eastAsia="en-AU"/>
        </w:rPr>
        <w:t xml:space="preserve"> used as the sole </w:t>
      </w:r>
      <w:r w:rsidR="009B353C">
        <w:rPr>
          <w:lang w:eastAsia="en-AU"/>
        </w:rPr>
        <w:t xml:space="preserve">or principal </w:t>
      </w:r>
      <w:r w:rsidRPr="00696C1A">
        <w:rPr>
          <w:lang w:eastAsia="en-AU"/>
        </w:rPr>
        <w:t xml:space="preserve">source of nutrition up to </w:t>
      </w:r>
      <w:r>
        <w:rPr>
          <w:lang w:eastAsia="en-AU"/>
        </w:rPr>
        <w:t>12</w:t>
      </w:r>
      <w:r w:rsidRPr="00696C1A">
        <w:rPr>
          <w:lang w:eastAsia="en-AU"/>
        </w:rPr>
        <w:t xml:space="preserve"> months of age.</w:t>
      </w:r>
      <w:r>
        <w:rPr>
          <w:lang w:eastAsia="en-AU"/>
        </w:rPr>
        <w:t xml:space="preserve"> </w:t>
      </w:r>
    </w:p>
    <w:p w14:paraId="4A6B47A5" w14:textId="77777777" w:rsidR="00150678" w:rsidRDefault="00150678" w:rsidP="00776154"/>
    <w:p w14:paraId="3C0D1331" w14:textId="27AA46CF" w:rsidR="00776154" w:rsidRDefault="00776154" w:rsidP="00776154">
      <w:r w:rsidRPr="008E266B">
        <w:t xml:space="preserve">Infant formula is currently regulated under Standard 2.9.1 – Infant </w:t>
      </w:r>
      <w:r w:rsidR="0068522C">
        <w:t>f</w:t>
      </w:r>
      <w:r w:rsidRPr="008E266B">
        <w:t xml:space="preserve">ormula </w:t>
      </w:r>
      <w:r w:rsidR="0068522C">
        <w:t>p</w:t>
      </w:r>
      <w:r w:rsidRPr="008E266B">
        <w:t xml:space="preserve">roducts </w:t>
      </w:r>
      <w:r>
        <w:t xml:space="preserve">and Schedule 29 </w:t>
      </w:r>
      <w:r w:rsidRPr="008E266B">
        <w:t xml:space="preserve">– </w:t>
      </w:r>
      <w:r>
        <w:t xml:space="preserve">Special </w:t>
      </w:r>
      <w:r w:rsidR="0068522C">
        <w:t>p</w:t>
      </w:r>
      <w:r>
        <w:t xml:space="preserve">urpose </w:t>
      </w:r>
      <w:r w:rsidR="0068522C">
        <w:t>f</w:t>
      </w:r>
      <w:r>
        <w:t xml:space="preserve">oods </w:t>
      </w:r>
      <w:r w:rsidRPr="008E266B">
        <w:t xml:space="preserve">in the </w:t>
      </w:r>
      <w:r w:rsidRPr="00A60BB7">
        <w:t>Australia New Zealand Food Standards Code</w:t>
      </w:r>
      <w:r w:rsidR="0068522C" w:rsidRPr="00A60BB7">
        <w:t xml:space="preserve"> </w:t>
      </w:r>
      <w:r w:rsidR="0068522C">
        <w:t>(the Code)</w:t>
      </w:r>
      <w:r>
        <w:t xml:space="preserve">. Other standards also contain provisions related to definitions, calculations and nutrition information, such as Standard 1.1.2  </w:t>
      </w:r>
      <w:r w:rsidRPr="008E266B">
        <w:t>–</w:t>
      </w:r>
      <w:r>
        <w:t xml:space="preserve"> Definitions used throughout the Code, Standard 1.2.8 </w:t>
      </w:r>
      <w:r w:rsidRPr="008E266B">
        <w:t>–</w:t>
      </w:r>
      <w:r>
        <w:t xml:space="preserve"> </w:t>
      </w:r>
      <w:r w:rsidRPr="00F453AE">
        <w:t>Nutrition information requirements</w:t>
      </w:r>
      <w:r>
        <w:t xml:space="preserve"> and Schedule 11 </w:t>
      </w:r>
      <w:r w:rsidRPr="008E266B">
        <w:t>–</w:t>
      </w:r>
      <w:r w:rsidRPr="00F453AE">
        <w:t xml:space="preserve"> Calculation of values for nutrition information panel</w:t>
      </w:r>
      <w:r>
        <w:t>.</w:t>
      </w:r>
    </w:p>
    <w:p w14:paraId="279607A3" w14:textId="79FC82A8" w:rsidR="00776154" w:rsidRDefault="00776154" w:rsidP="00776154">
      <w:pPr>
        <w:rPr>
          <w:lang w:eastAsia="en-AU"/>
        </w:rPr>
      </w:pPr>
    </w:p>
    <w:p w14:paraId="2A74051F" w14:textId="161DC02E" w:rsidR="00CE3E89" w:rsidRDefault="00CE3E89" w:rsidP="00CE3E89">
      <w:pPr>
        <w:rPr>
          <w:lang w:bidi="ar-SA"/>
        </w:rPr>
      </w:pPr>
      <w:r w:rsidRPr="00061A55">
        <w:rPr>
          <w:lang w:eastAsia="en-AU"/>
        </w:rPr>
        <w:t xml:space="preserve">This </w:t>
      </w:r>
      <w:r>
        <w:rPr>
          <w:lang w:eastAsia="en-AU"/>
        </w:rPr>
        <w:t>paper is one of a series of consultation papers that discusses regulatory options for Standard 2.9.1 and Schedule 29. The consultation papers will inform the 1</w:t>
      </w:r>
      <w:r w:rsidRPr="00EE54B2">
        <w:rPr>
          <w:vertAlign w:val="superscript"/>
          <w:lang w:eastAsia="en-AU"/>
        </w:rPr>
        <w:t>st</w:t>
      </w:r>
      <w:r>
        <w:rPr>
          <w:lang w:eastAsia="en-AU"/>
        </w:rPr>
        <w:t xml:space="preserve"> Call for Submissions (CFS) which will </w:t>
      </w:r>
      <w:r>
        <w:rPr>
          <w:lang w:bidi="ar-SA"/>
        </w:rPr>
        <w:t xml:space="preserve">summarise the entirety of considerations and outline the proposed regulatory approach. </w:t>
      </w:r>
    </w:p>
    <w:p w14:paraId="0DECB95C" w14:textId="77777777" w:rsidR="00776154" w:rsidRDefault="00776154" w:rsidP="00776154">
      <w:pPr>
        <w:rPr>
          <w:lang w:eastAsia="en-AU"/>
        </w:rPr>
      </w:pPr>
    </w:p>
    <w:p w14:paraId="02B41898" w14:textId="7101A786" w:rsidR="004D1676" w:rsidRDefault="00776154" w:rsidP="004D1676">
      <w:pPr>
        <w:rPr>
          <w:lang w:eastAsia="en-AU"/>
        </w:rPr>
      </w:pPr>
      <w:r>
        <w:t xml:space="preserve">The focus of this paper </w:t>
      </w:r>
      <w:r w:rsidR="00F414CC">
        <w:t xml:space="preserve">is </w:t>
      </w:r>
      <w:r w:rsidRPr="00532925">
        <w:t xml:space="preserve">nutrient </w:t>
      </w:r>
      <w:r w:rsidR="002D1FAF">
        <w:t>composition</w:t>
      </w:r>
      <w:r w:rsidR="00F414CC">
        <w:t xml:space="preserve"> for </w:t>
      </w:r>
      <w:r w:rsidRPr="00532925">
        <w:t xml:space="preserve">macronutrients and </w:t>
      </w:r>
      <w:r w:rsidR="00F414CC">
        <w:t xml:space="preserve">energy, </w:t>
      </w:r>
      <w:r>
        <w:t>vitamins and minerals</w:t>
      </w:r>
      <w:r w:rsidR="00F414CC">
        <w:t>, permitted forms and</w:t>
      </w:r>
      <w:r>
        <w:t xml:space="preserve"> other nutritive substances</w:t>
      </w:r>
      <w:r w:rsidRPr="00532925">
        <w:t xml:space="preserve">. </w:t>
      </w:r>
      <w:r w:rsidR="00F414CC">
        <w:t>Where relevant,</w:t>
      </w:r>
      <w:r>
        <w:t xml:space="preserve"> the prescribed m</w:t>
      </w:r>
      <w:r w:rsidR="0032624D">
        <w:t xml:space="preserve">inimum and maximum </w:t>
      </w:r>
      <w:r w:rsidR="00176B9D">
        <w:t xml:space="preserve">type and value </w:t>
      </w:r>
      <w:r w:rsidR="00F414CC">
        <w:t xml:space="preserve">for the nutrient </w:t>
      </w:r>
      <w:r w:rsidR="0032624D">
        <w:t xml:space="preserve">is discussed, as well as </w:t>
      </w:r>
      <w:r>
        <w:t>related information such as calculations.</w:t>
      </w:r>
      <w:r>
        <w:rPr>
          <w:lang w:eastAsia="en-AU"/>
        </w:rPr>
        <w:t xml:space="preserve"> </w:t>
      </w:r>
      <w:r w:rsidR="00CE3E89">
        <w:rPr>
          <w:lang w:eastAsia="en-AU"/>
        </w:rPr>
        <w:t xml:space="preserve">This paper follows previous consultations undertaken in 2012, 2016 and 2017 which </w:t>
      </w:r>
      <w:r w:rsidR="00176B9D">
        <w:rPr>
          <w:lang w:eastAsia="en-AU"/>
        </w:rPr>
        <w:t xml:space="preserve">considered </w:t>
      </w:r>
      <w:r w:rsidR="00CE3E89">
        <w:rPr>
          <w:lang w:eastAsia="en-AU"/>
        </w:rPr>
        <w:t xml:space="preserve">these topics. </w:t>
      </w:r>
    </w:p>
    <w:p w14:paraId="3BC3A991" w14:textId="77777777" w:rsidR="004D1676" w:rsidRDefault="004D1676" w:rsidP="00CE3E89">
      <w:pPr>
        <w:tabs>
          <w:tab w:val="left" w:pos="3969"/>
        </w:tabs>
        <w:rPr>
          <w:lang w:eastAsia="en-AU"/>
        </w:rPr>
      </w:pPr>
    </w:p>
    <w:p w14:paraId="42693F8F" w14:textId="763C3308" w:rsidR="004164C2" w:rsidRDefault="00CE3E89" w:rsidP="004164C2">
      <w:pPr>
        <w:tabs>
          <w:tab w:val="left" w:pos="3969"/>
        </w:tabs>
        <w:rPr>
          <w:lang w:eastAsia="en-AU"/>
        </w:rPr>
      </w:pPr>
      <w:r>
        <w:rPr>
          <w:lang w:eastAsia="en-AU"/>
        </w:rPr>
        <w:t xml:space="preserve">Based on </w:t>
      </w:r>
      <w:r w:rsidR="00F414CC">
        <w:rPr>
          <w:lang w:eastAsia="en-AU"/>
        </w:rPr>
        <w:t>the</w:t>
      </w:r>
      <w:r w:rsidR="004D1676">
        <w:rPr>
          <w:lang w:eastAsia="en-AU"/>
        </w:rPr>
        <w:t xml:space="preserve"> </w:t>
      </w:r>
      <w:r>
        <w:rPr>
          <w:lang w:eastAsia="en-AU"/>
        </w:rPr>
        <w:t xml:space="preserve">assessment to date, including consideration of stakeholder views from previous consultations, FSANZ </w:t>
      </w:r>
      <w:r w:rsidR="00176B9D">
        <w:rPr>
          <w:lang w:eastAsia="en-AU"/>
        </w:rPr>
        <w:t>proposes</w:t>
      </w:r>
      <w:r>
        <w:rPr>
          <w:lang w:eastAsia="en-AU"/>
        </w:rPr>
        <w:t xml:space="preserve"> a number of regulatory/risk management approaches within this paper. Proposed approaches are made with consideration to the objectives of the proposal, the requirements of the </w:t>
      </w:r>
      <w:r w:rsidRPr="005F5D83">
        <w:rPr>
          <w:i/>
        </w:rPr>
        <w:t xml:space="preserve">Food Standards Australia New Zealand Act 1991 </w:t>
      </w:r>
      <w:r w:rsidRPr="005F5D83">
        <w:t>(</w:t>
      </w:r>
      <w:r>
        <w:t xml:space="preserve">the </w:t>
      </w:r>
      <w:r w:rsidRPr="005F5D83">
        <w:t xml:space="preserve">FSANZ Act) </w:t>
      </w:r>
      <w:r>
        <w:rPr>
          <w:lang w:eastAsia="en-AU"/>
        </w:rPr>
        <w:t>and relevant risk management principles. One</w:t>
      </w:r>
      <w:r w:rsidRPr="00061A55">
        <w:rPr>
          <w:lang w:eastAsia="en-AU"/>
        </w:rPr>
        <w:t xml:space="preserve"> </w:t>
      </w:r>
      <w:r>
        <w:rPr>
          <w:lang w:eastAsia="en-AU"/>
        </w:rPr>
        <w:t xml:space="preserve">supporting document </w:t>
      </w:r>
      <w:r w:rsidR="00176B9D">
        <w:rPr>
          <w:lang w:eastAsia="en-AU"/>
        </w:rPr>
        <w:t xml:space="preserve">providing further details on the nutrition risk assessment </w:t>
      </w:r>
      <w:r>
        <w:rPr>
          <w:lang w:eastAsia="en-AU"/>
        </w:rPr>
        <w:t>accompanies</w:t>
      </w:r>
      <w:r w:rsidRPr="00061A55">
        <w:rPr>
          <w:lang w:eastAsia="en-AU"/>
        </w:rPr>
        <w:t xml:space="preserve"> </w:t>
      </w:r>
      <w:r w:rsidRPr="00050D6C">
        <w:rPr>
          <w:lang w:eastAsia="en-AU"/>
        </w:rPr>
        <w:t xml:space="preserve">this </w:t>
      </w:r>
      <w:r>
        <w:rPr>
          <w:lang w:eastAsia="en-AU"/>
        </w:rPr>
        <w:t>Consultation p</w:t>
      </w:r>
      <w:r w:rsidRPr="00050D6C">
        <w:rPr>
          <w:lang w:eastAsia="en-AU"/>
        </w:rPr>
        <w:t>aper</w:t>
      </w:r>
      <w:r>
        <w:rPr>
          <w:lang w:eastAsia="en-AU"/>
        </w:rPr>
        <w:t>.</w:t>
      </w:r>
    </w:p>
    <w:p w14:paraId="2D0D9A41" w14:textId="732DE15B" w:rsidR="004164C2" w:rsidRDefault="004164C2" w:rsidP="004164C2">
      <w:pPr>
        <w:tabs>
          <w:tab w:val="left" w:pos="3969"/>
        </w:tabs>
      </w:pPr>
    </w:p>
    <w:p w14:paraId="6E236A8C" w14:textId="5371120C" w:rsidR="004164C2" w:rsidRDefault="004164C2" w:rsidP="004164C2">
      <w:pPr>
        <w:tabs>
          <w:tab w:val="left" w:pos="3969"/>
        </w:tabs>
      </w:pPr>
      <w:r>
        <w:t xml:space="preserve">The 2016 Consultation paper concluded that </w:t>
      </w:r>
      <w:r w:rsidR="00262B87">
        <w:t>some</w:t>
      </w:r>
      <w:r>
        <w:t xml:space="preserve"> </w:t>
      </w:r>
      <w:r w:rsidR="00262B87">
        <w:t>nutrients</w:t>
      </w:r>
      <w:r>
        <w:t xml:space="preserve"> </w:t>
      </w:r>
      <w:r w:rsidR="00176B9D">
        <w:t>would not</w:t>
      </w:r>
      <w:r>
        <w:t xml:space="preserve"> be reviewed again </w:t>
      </w:r>
      <w:r w:rsidR="0007721F">
        <w:t xml:space="preserve">as </w:t>
      </w:r>
      <w:r>
        <w:t xml:space="preserve">no issues </w:t>
      </w:r>
      <w:r w:rsidR="0007721F">
        <w:t>were</w:t>
      </w:r>
      <w:r>
        <w:t xml:space="preserve"> identified and all criteria</w:t>
      </w:r>
      <w:r w:rsidR="004026FC">
        <w:t xml:space="preserve"> for nutritional safety</w:t>
      </w:r>
      <w:r>
        <w:t xml:space="preserve"> </w:t>
      </w:r>
      <w:r w:rsidR="00176B9D">
        <w:t xml:space="preserve">were </w:t>
      </w:r>
      <w:r>
        <w:t xml:space="preserve">met. These nutrients included </w:t>
      </w:r>
      <w:r w:rsidR="00313605">
        <w:t xml:space="preserve">vitamin K, thiamine, riboflavin, pantothenic acid, vitamin </w:t>
      </w:r>
      <w:r w:rsidR="00630752">
        <w:t>B</w:t>
      </w:r>
      <w:r w:rsidR="00313605" w:rsidRPr="00A60BB7">
        <w:rPr>
          <w:vertAlign w:val="subscript"/>
        </w:rPr>
        <w:t>12</w:t>
      </w:r>
      <w:r w:rsidR="00313605">
        <w:t>, biotin, sodium, chloride and magnesium</w:t>
      </w:r>
      <w:r w:rsidR="00262B87">
        <w:t xml:space="preserve"> (</w:t>
      </w:r>
      <w:r w:rsidR="00630752">
        <w:t>f</w:t>
      </w:r>
      <w:r w:rsidR="00262B87">
        <w:t xml:space="preserve">urther details can be found in Table 13 and 15 in the 2016 </w:t>
      </w:r>
      <w:hyperlink r:id="rId15" w:history="1">
        <w:r w:rsidR="00262B87" w:rsidRPr="00262B87">
          <w:rPr>
            <w:rStyle w:val="Hyperlink"/>
          </w:rPr>
          <w:t>SD1 Attachment A1.1 – Nutrition Assessment</w:t>
        </w:r>
      </w:hyperlink>
      <w:r w:rsidR="00262B87">
        <w:t>)</w:t>
      </w:r>
      <w:r w:rsidR="00313605">
        <w:t>. However, sinc</w:t>
      </w:r>
      <w:r w:rsidR="00E8440A">
        <w:t>e then</w:t>
      </w:r>
      <w:r w:rsidR="00176B9D">
        <w:t>,</w:t>
      </w:r>
      <w:r w:rsidR="00313605">
        <w:t xml:space="preserve"> </w:t>
      </w:r>
      <w:r w:rsidR="00696C1A">
        <w:t xml:space="preserve">new European regulations for nutrient </w:t>
      </w:r>
      <w:r w:rsidR="00696C1A">
        <w:lastRenderedPageBreak/>
        <w:t xml:space="preserve">composition were introduced </w:t>
      </w:r>
      <w:r w:rsidR="00696C1A">
        <w:rPr>
          <w:lang w:eastAsia="en-AU"/>
        </w:rPr>
        <w:t xml:space="preserve">and </w:t>
      </w:r>
      <w:r w:rsidR="006229FF">
        <w:rPr>
          <w:lang w:eastAsia="en-AU"/>
        </w:rPr>
        <w:t>therefore</w:t>
      </w:r>
      <w:r w:rsidR="00696C1A">
        <w:rPr>
          <w:lang w:eastAsia="en-AU"/>
        </w:rPr>
        <w:t xml:space="preserve"> some </w:t>
      </w:r>
      <w:r w:rsidR="003139BB">
        <w:rPr>
          <w:lang w:eastAsia="en-AU"/>
        </w:rPr>
        <w:t xml:space="preserve">further assessment has been undertaken </w:t>
      </w:r>
      <w:r w:rsidR="00696C1A">
        <w:rPr>
          <w:lang w:eastAsia="en-AU"/>
        </w:rPr>
        <w:t xml:space="preserve">in this report. </w:t>
      </w:r>
    </w:p>
    <w:p w14:paraId="4D3722D6" w14:textId="42F7F9B2" w:rsidR="004164C2" w:rsidRDefault="004164C2" w:rsidP="004164C2">
      <w:pPr>
        <w:tabs>
          <w:tab w:val="left" w:pos="3969"/>
        </w:tabs>
      </w:pPr>
    </w:p>
    <w:p w14:paraId="3E330325" w14:textId="06317473" w:rsidR="006A431A" w:rsidRDefault="006A431A" w:rsidP="004164C2">
      <w:pPr>
        <w:tabs>
          <w:tab w:val="left" w:pos="3969"/>
        </w:tabs>
      </w:pPr>
      <w:r>
        <w:rPr>
          <w:lang w:eastAsia="en-AU"/>
        </w:rPr>
        <w:t xml:space="preserve">We are </w:t>
      </w:r>
      <w:r w:rsidRPr="00061A55">
        <w:rPr>
          <w:lang w:eastAsia="en-AU"/>
        </w:rPr>
        <w:t>seek</w:t>
      </w:r>
      <w:r>
        <w:rPr>
          <w:lang w:eastAsia="en-AU"/>
        </w:rPr>
        <w:t>ing</w:t>
      </w:r>
      <w:r w:rsidRPr="00061A55">
        <w:rPr>
          <w:lang w:eastAsia="en-AU"/>
        </w:rPr>
        <w:t xml:space="preserve"> </w:t>
      </w:r>
      <w:r>
        <w:rPr>
          <w:lang w:eastAsia="en-AU"/>
        </w:rPr>
        <w:t xml:space="preserve">stakeholder </w:t>
      </w:r>
      <w:r w:rsidRPr="00061A55">
        <w:rPr>
          <w:lang w:eastAsia="en-AU"/>
        </w:rPr>
        <w:t xml:space="preserve">comment on </w:t>
      </w:r>
      <w:r>
        <w:rPr>
          <w:lang w:eastAsia="en-AU"/>
        </w:rPr>
        <w:t>key issues and proposed approaches</w:t>
      </w:r>
      <w:r w:rsidRPr="00061A55">
        <w:rPr>
          <w:lang w:eastAsia="en-AU"/>
        </w:rPr>
        <w:t xml:space="preserve">. </w:t>
      </w:r>
      <w:r>
        <w:rPr>
          <w:lang w:eastAsia="en-AU"/>
        </w:rPr>
        <w:t>Key q</w:t>
      </w:r>
      <w:r w:rsidRPr="008E266B">
        <w:t>uestions</w:t>
      </w:r>
      <w:r>
        <w:t xml:space="preserve"> for stakeholders </w:t>
      </w:r>
      <w:r w:rsidRPr="008E266B">
        <w:t xml:space="preserve">are </w:t>
      </w:r>
      <w:r>
        <w:t>listed in the final section to the paper.</w:t>
      </w:r>
    </w:p>
    <w:p w14:paraId="28090CCA" w14:textId="77777777" w:rsidR="004164C2" w:rsidRDefault="004164C2" w:rsidP="004164C2">
      <w:pPr>
        <w:ind w:left="720"/>
        <w:rPr>
          <w:rFonts w:cs="Arial"/>
          <w:lang w:val="en-AU"/>
        </w:rPr>
      </w:pPr>
    </w:p>
    <w:p w14:paraId="772EE879" w14:textId="77777777" w:rsidR="004164C2" w:rsidRDefault="004164C2" w:rsidP="00776154">
      <w:pPr>
        <w:rPr>
          <w:rFonts w:cs="Arial"/>
          <w:color w:val="000000"/>
          <w:szCs w:val="22"/>
        </w:rPr>
        <w:sectPr w:rsidR="004164C2" w:rsidSect="00776154">
          <w:footerReference w:type="even" r:id="rId16"/>
          <w:footerReference w:type="default" r:id="rId17"/>
          <w:headerReference w:type="first" r:id="rId18"/>
          <w:pgSz w:w="11906" w:h="16838"/>
          <w:pgMar w:top="1418" w:right="1418" w:bottom="1418" w:left="1418" w:header="709" w:footer="709" w:gutter="0"/>
          <w:pgNumType w:fmt="lowerRoman" w:start="1"/>
          <w:cols w:space="708"/>
          <w:docGrid w:linePitch="360"/>
        </w:sectPr>
      </w:pPr>
    </w:p>
    <w:sdt>
      <w:sdtPr>
        <w:rPr>
          <w:rFonts w:asciiTheme="minorHAnsi" w:hAnsiTheme="minorHAnsi" w:cstheme="minorHAnsi"/>
          <w:b w:val="0"/>
          <w:caps/>
          <w:sz w:val="22"/>
          <w:szCs w:val="20"/>
        </w:rPr>
        <w:id w:val="-825812196"/>
        <w:docPartObj>
          <w:docPartGallery w:val="Table of Contents"/>
          <w:docPartUnique/>
        </w:docPartObj>
      </w:sdtPr>
      <w:sdtEndPr>
        <w:rPr>
          <w:b/>
          <w:noProof/>
          <w:sz w:val="20"/>
        </w:rPr>
      </w:sdtEndPr>
      <w:sdtContent>
        <w:p w14:paraId="0626B497" w14:textId="77777777" w:rsidR="00776154" w:rsidRDefault="00776154" w:rsidP="00776154">
          <w:pPr>
            <w:pStyle w:val="TOCHeading"/>
            <w:jc w:val="center"/>
          </w:pPr>
          <w:r>
            <w:t xml:space="preserve">Table of Contents </w:t>
          </w:r>
        </w:p>
        <w:p w14:paraId="09D39867" w14:textId="582297A6" w:rsidR="00BF3F3E" w:rsidRDefault="00162584">
          <w:pPr>
            <w:pStyle w:val="TOC1"/>
            <w:rPr>
              <w:rFonts w:eastAsiaTheme="minorEastAsia" w:cstheme="minorBidi"/>
              <w:b w:val="0"/>
              <w:bCs w:val="0"/>
              <w:caps w:val="0"/>
              <w:noProof/>
              <w:sz w:val="22"/>
              <w:szCs w:val="22"/>
              <w:lang w:eastAsia="en-GB" w:bidi="ar-SA"/>
            </w:rPr>
          </w:pPr>
          <w:r>
            <w:fldChar w:fldCharType="begin"/>
          </w:r>
          <w:r>
            <w:instrText xml:space="preserve"> TOC \o "1-2" \h \z \u </w:instrText>
          </w:r>
          <w:r>
            <w:fldChar w:fldCharType="separate"/>
          </w:r>
          <w:hyperlink w:anchor="_Toc76138261" w:history="1">
            <w:r w:rsidR="00BF3F3E" w:rsidRPr="00AC330E">
              <w:rPr>
                <w:rStyle w:val="Hyperlink"/>
                <w:noProof/>
              </w:rPr>
              <w:t>Executive summary</w:t>
            </w:r>
            <w:r w:rsidR="00BF3F3E">
              <w:rPr>
                <w:noProof/>
                <w:webHidden/>
              </w:rPr>
              <w:tab/>
            </w:r>
            <w:r w:rsidR="00BF3F3E">
              <w:rPr>
                <w:noProof/>
                <w:webHidden/>
              </w:rPr>
              <w:fldChar w:fldCharType="begin"/>
            </w:r>
            <w:r w:rsidR="00BF3F3E">
              <w:rPr>
                <w:noProof/>
                <w:webHidden/>
              </w:rPr>
              <w:instrText xml:space="preserve"> PAGEREF _Toc76138261 \h </w:instrText>
            </w:r>
            <w:r w:rsidR="00BF3F3E">
              <w:rPr>
                <w:noProof/>
                <w:webHidden/>
              </w:rPr>
            </w:r>
            <w:r w:rsidR="00BF3F3E">
              <w:rPr>
                <w:noProof/>
                <w:webHidden/>
              </w:rPr>
              <w:fldChar w:fldCharType="separate"/>
            </w:r>
            <w:r w:rsidR="00BF3F3E">
              <w:rPr>
                <w:noProof/>
                <w:webHidden/>
              </w:rPr>
              <w:t>i</w:t>
            </w:r>
            <w:r w:rsidR="00BF3F3E">
              <w:rPr>
                <w:noProof/>
                <w:webHidden/>
              </w:rPr>
              <w:fldChar w:fldCharType="end"/>
            </w:r>
          </w:hyperlink>
        </w:p>
        <w:p w14:paraId="158A4F22" w14:textId="67A2095F" w:rsidR="00BF3F3E" w:rsidRDefault="001938AB">
          <w:pPr>
            <w:pStyle w:val="TOC1"/>
            <w:rPr>
              <w:rFonts w:eastAsiaTheme="minorEastAsia" w:cstheme="minorBidi"/>
              <w:b w:val="0"/>
              <w:bCs w:val="0"/>
              <w:caps w:val="0"/>
              <w:noProof/>
              <w:sz w:val="22"/>
              <w:szCs w:val="22"/>
              <w:lang w:eastAsia="en-GB" w:bidi="ar-SA"/>
            </w:rPr>
          </w:pPr>
          <w:hyperlink w:anchor="_Toc76138262" w:history="1">
            <w:r w:rsidR="00BF3F3E" w:rsidRPr="00AC330E">
              <w:rPr>
                <w:rStyle w:val="Hyperlink"/>
                <w:noProof/>
              </w:rPr>
              <w:t>Abbreviations and glossary</w:t>
            </w:r>
            <w:r w:rsidR="00BF3F3E">
              <w:rPr>
                <w:noProof/>
                <w:webHidden/>
              </w:rPr>
              <w:tab/>
            </w:r>
            <w:r w:rsidR="00BF3F3E">
              <w:rPr>
                <w:noProof/>
                <w:webHidden/>
              </w:rPr>
              <w:fldChar w:fldCharType="begin"/>
            </w:r>
            <w:r w:rsidR="00BF3F3E">
              <w:rPr>
                <w:noProof/>
                <w:webHidden/>
              </w:rPr>
              <w:instrText xml:space="preserve"> PAGEREF _Toc76138262 \h </w:instrText>
            </w:r>
            <w:r w:rsidR="00BF3F3E">
              <w:rPr>
                <w:noProof/>
                <w:webHidden/>
              </w:rPr>
            </w:r>
            <w:r w:rsidR="00BF3F3E">
              <w:rPr>
                <w:noProof/>
                <w:webHidden/>
              </w:rPr>
              <w:fldChar w:fldCharType="separate"/>
            </w:r>
            <w:r w:rsidR="00BF3F3E">
              <w:rPr>
                <w:noProof/>
                <w:webHidden/>
              </w:rPr>
              <w:t>5</w:t>
            </w:r>
            <w:r w:rsidR="00BF3F3E">
              <w:rPr>
                <w:noProof/>
                <w:webHidden/>
              </w:rPr>
              <w:fldChar w:fldCharType="end"/>
            </w:r>
          </w:hyperlink>
        </w:p>
        <w:p w14:paraId="760A892A" w14:textId="3A763B10" w:rsidR="00BF3F3E" w:rsidRDefault="001938AB">
          <w:pPr>
            <w:pStyle w:val="TOC1"/>
            <w:tabs>
              <w:tab w:val="left" w:pos="440"/>
            </w:tabs>
            <w:rPr>
              <w:rFonts w:eastAsiaTheme="minorEastAsia" w:cstheme="minorBidi"/>
              <w:b w:val="0"/>
              <w:bCs w:val="0"/>
              <w:caps w:val="0"/>
              <w:noProof/>
              <w:sz w:val="22"/>
              <w:szCs w:val="22"/>
              <w:lang w:eastAsia="en-GB" w:bidi="ar-SA"/>
            </w:rPr>
          </w:pPr>
          <w:hyperlink w:anchor="_Toc76138263" w:history="1">
            <w:r w:rsidR="00BF3F3E" w:rsidRPr="00AC330E">
              <w:rPr>
                <w:rStyle w:val="Hyperlink"/>
                <w:noProof/>
              </w:rPr>
              <w:t>1</w:t>
            </w:r>
            <w:r w:rsidR="00BF3F3E">
              <w:rPr>
                <w:rFonts w:eastAsiaTheme="minorEastAsia" w:cstheme="minorBidi"/>
                <w:b w:val="0"/>
                <w:bCs w:val="0"/>
                <w:caps w:val="0"/>
                <w:noProof/>
                <w:sz w:val="22"/>
                <w:szCs w:val="22"/>
                <w:lang w:eastAsia="en-GB" w:bidi="ar-SA"/>
              </w:rPr>
              <w:tab/>
            </w:r>
            <w:r w:rsidR="00BF3F3E" w:rsidRPr="00AC330E">
              <w:rPr>
                <w:rStyle w:val="Hyperlink"/>
                <w:noProof/>
              </w:rPr>
              <w:t>Introduction</w:t>
            </w:r>
            <w:r w:rsidR="00BF3F3E">
              <w:rPr>
                <w:noProof/>
                <w:webHidden/>
              </w:rPr>
              <w:tab/>
            </w:r>
            <w:r w:rsidR="00BF3F3E">
              <w:rPr>
                <w:noProof/>
                <w:webHidden/>
              </w:rPr>
              <w:fldChar w:fldCharType="begin"/>
            </w:r>
            <w:r w:rsidR="00BF3F3E">
              <w:rPr>
                <w:noProof/>
                <w:webHidden/>
              </w:rPr>
              <w:instrText xml:space="preserve"> PAGEREF _Toc76138263 \h </w:instrText>
            </w:r>
            <w:r w:rsidR="00BF3F3E">
              <w:rPr>
                <w:noProof/>
                <w:webHidden/>
              </w:rPr>
            </w:r>
            <w:r w:rsidR="00BF3F3E">
              <w:rPr>
                <w:noProof/>
                <w:webHidden/>
              </w:rPr>
              <w:fldChar w:fldCharType="separate"/>
            </w:r>
            <w:r w:rsidR="00BF3F3E">
              <w:rPr>
                <w:noProof/>
                <w:webHidden/>
              </w:rPr>
              <w:t>8</w:t>
            </w:r>
            <w:r w:rsidR="00BF3F3E">
              <w:rPr>
                <w:noProof/>
                <w:webHidden/>
              </w:rPr>
              <w:fldChar w:fldCharType="end"/>
            </w:r>
          </w:hyperlink>
        </w:p>
        <w:p w14:paraId="0D3D0AD8" w14:textId="393586F7" w:rsidR="00BF3F3E" w:rsidRDefault="001938AB">
          <w:pPr>
            <w:pStyle w:val="TOC2"/>
            <w:tabs>
              <w:tab w:val="left" w:pos="880"/>
              <w:tab w:val="right" w:leader="dot" w:pos="9016"/>
            </w:tabs>
            <w:rPr>
              <w:rFonts w:eastAsiaTheme="minorEastAsia" w:cstheme="minorBidi"/>
              <w:smallCaps w:val="0"/>
              <w:noProof/>
              <w:sz w:val="22"/>
              <w:szCs w:val="22"/>
              <w:lang w:eastAsia="en-GB" w:bidi="ar-SA"/>
            </w:rPr>
          </w:pPr>
          <w:hyperlink w:anchor="_Toc76138264" w:history="1">
            <w:r w:rsidR="00BF3F3E" w:rsidRPr="00AC330E">
              <w:rPr>
                <w:rStyle w:val="Hyperlink"/>
                <w:noProof/>
              </w:rPr>
              <w:t>1.1</w:t>
            </w:r>
            <w:r w:rsidR="00BF3F3E">
              <w:rPr>
                <w:rFonts w:eastAsiaTheme="minorEastAsia" w:cstheme="minorBidi"/>
                <w:smallCaps w:val="0"/>
                <w:noProof/>
                <w:sz w:val="22"/>
                <w:szCs w:val="22"/>
                <w:lang w:eastAsia="en-GB" w:bidi="ar-SA"/>
              </w:rPr>
              <w:tab/>
            </w:r>
            <w:r w:rsidR="00BF3F3E" w:rsidRPr="00AC330E">
              <w:rPr>
                <w:rStyle w:val="Hyperlink"/>
                <w:noProof/>
              </w:rPr>
              <w:t>The proposal to date</w:t>
            </w:r>
            <w:r w:rsidR="00BF3F3E">
              <w:rPr>
                <w:noProof/>
                <w:webHidden/>
              </w:rPr>
              <w:tab/>
            </w:r>
            <w:r w:rsidR="00BF3F3E">
              <w:rPr>
                <w:noProof/>
                <w:webHidden/>
              </w:rPr>
              <w:fldChar w:fldCharType="begin"/>
            </w:r>
            <w:r w:rsidR="00BF3F3E">
              <w:rPr>
                <w:noProof/>
                <w:webHidden/>
              </w:rPr>
              <w:instrText xml:space="preserve"> PAGEREF _Toc76138264 \h </w:instrText>
            </w:r>
            <w:r w:rsidR="00BF3F3E">
              <w:rPr>
                <w:noProof/>
                <w:webHidden/>
              </w:rPr>
            </w:r>
            <w:r w:rsidR="00BF3F3E">
              <w:rPr>
                <w:noProof/>
                <w:webHidden/>
              </w:rPr>
              <w:fldChar w:fldCharType="separate"/>
            </w:r>
            <w:r w:rsidR="00BF3F3E">
              <w:rPr>
                <w:noProof/>
                <w:webHidden/>
              </w:rPr>
              <w:t>8</w:t>
            </w:r>
            <w:r w:rsidR="00BF3F3E">
              <w:rPr>
                <w:noProof/>
                <w:webHidden/>
              </w:rPr>
              <w:fldChar w:fldCharType="end"/>
            </w:r>
          </w:hyperlink>
        </w:p>
        <w:p w14:paraId="79D5BA3C" w14:textId="7F391FCA" w:rsidR="00BF3F3E" w:rsidRDefault="001938AB">
          <w:pPr>
            <w:pStyle w:val="TOC2"/>
            <w:tabs>
              <w:tab w:val="left" w:pos="880"/>
              <w:tab w:val="right" w:leader="dot" w:pos="9016"/>
            </w:tabs>
            <w:rPr>
              <w:rFonts w:eastAsiaTheme="minorEastAsia" w:cstheme="minorBidi"/>
              <w:smallCaps w:val="0"/>
              <w:noProof/>
              <w:sz w:val="22"/>
              <w:szCs w:val="22"/>
              <w:lang w:eastAsia="en-GB" w:bidi="ar-SA"/>
            </w:rPr>
          </w:pPr>
          <w:hyperlink w:anchor="_Toc76138265" w:history="1">
            <w:r w:rsidR="00BF3F3E" w:rsidRPr="00AC330E">
              <w:rPr>
                <w:rStyle w:val="Hyperlink"/>
                <w:noProof/>
              </w:rPr>
              <w:t>1.2</w:t>
            </w:r>
            <w:r w:rsidR="00BF3F3E">
              <w:rPr>
                <w:rFonts w:eastAsiaTheme="minorEastAsia" w:cstheme="minorBidi"/>
                <w:smallCaps w:val="0"/>
                <w:noProof/>
                <w:sz w:val="22"/>
                <w:szCs w:val="22"/>
                <w:lang w:eastAsia="en-GB" w:bidi="ar-SA"/>
              </w:rPr>
              <w:tab/>
            </w:r>
            <w:r w:rsidR="00BF3F3E" w:rsidRPr="00AC330E">
              <w:rPr>
                <w:rStyle w:val="Hyperlink"/>
                <w:noProof/>
              </w:rPr>
              <w:t>Progressing the proposal</w:t>
            </w:r>
            <w:r w:rsidR="00BF3F3E">
              <w:rPr>
                <w:noProof/>
                <w:webHidden/>
              </w:rPr>
              <w:tab/>
            </w:r>
            <w:r w:rsidR="00BF3F3E">
              <w:rPr>
                <w:noProof/>
                <w:webHidden/>
              </w:rPr>
              <w:fldChar w:fldCharType="begin"/>
            </w:r>
            <w:r w:rsidR="00BF3F3E">
              <w:rPr>
                <w:noProof/>
                <w:webHidden/>
              </w:rPr>
              <w:instrText xml:space="preserve"> PAGEREF _Toc76138265 \h </w:instrText>
            </w:r>
            <w:r w:rsidR="00BF3F3E">
              <w:rPr>
                <w:noProof/>
                <w:webHidden/>
              </w:rPr>
            </w:r>
            <w:r w:rsidR="00BF3F3E">
              <w:rPr>
                <w:noProof/>
                <w:webHidden/>
              </w:rPr>
              <w:fldChar w:fldCharType="separate"/>
            </w:r>
            <w:r w:rsidR="00BF3F3E">
              <w:rPr>
                <w:noProof/>
                <w:webHidden/>
              </w:rPr>
              <w:t>9</w:t>
            </w:r>
            <w:r w:rsidR="00BF3F3E">
              <w:rPr>
                <w:noProof/>
                <w:webHidden/>
              </w:rPr>
              <w:fldChar w:fldCharType="end"/>
            </w:r>
          </w:hyperlink>
        </w:p>
        <w:p w14:paraId="175691BA" w14:textId="2366AAEA" w:rsidR="00BF3F3E" w:rsidRDefault="001938AB">
          <w:pPr>
            <w:pStyle w:val="TOC2"/>
            <w:tabs>
              <w:tab w:val="left" w:pos="880"/>
              <w:tab w:val="right" w:leader="dot" w:pos="9016"/>
            </w:tabs>
            <w:rPr>
              <w:rFonts w:eastAsiaTheme="minorEastAsia" w:cstheme="minorBidi"/>
              <w:smallCaps w:val="0"/>
              <w:noProof/>
              <w:sz w:val="22"/>
              <w:szCs w:val="22"/>
              <w:lang w:eastAsia="en-GB" w:bidi="ar-SA"/>
            </w:rPr>
          </w:pPr>
          <w:hyperlink w:anchor="_Toc76138266" w:history="1">
            <w:r w:rsidR="00BF3F3E" w:rsidRPr="00AC330E">
              <w:rPr>
                <w:rStyle w:val="Hyperlink"/>
                <w:noProof/>
              </w:rPr>
              <w:t>1.3</w:t>
            </w:r>
            <w:r w:rsidR="00BF3F3E">
              <w:rPr>
                <w:rFonts w:eastAsiaTheme="minorEastAsia" w:cstheme="minorBidi"/>
                <w:smallCaps w:val="0"/>
                <w:noProof/>
                <w:sz w:val="22"/>
                <w:szCs w:val="22"/>
                <w:lang w:eastAsia="en-GB" w:bidi="ar-SA"/>
              </w:rPr>
              <w:tab/>
            </w:r>
            <w:r w:rsidR="00BF3F3E" w:rsidRPr="00AC330E">
              <w:rPr>
                <w:rStyle w:val="Hyperlink"/>
                <w:noProof/>
              </w:rPr>
              <w:t>Consultation paper 2 – Nutrient composition</w:t>
            </w:r>
            <w:r w:rsidR="00BF3F3E">
              <w:rPr>
                <w:noProof/>
                <w:webHidden/>
              </w:rPr>
              <w:tab/>
            </w:r>
            <w:r w:rsidR="00BF3F3E">
              <w:rPr>
                <w:noProof/>
                <w:webHidden/>
              </w:rPr>
              <w:fldChar w:fldCharType="begin"/>
            </w:r>
            <w:r w:rsidR="00BF3F3E">
              <w:rPr>
                <w:noProof/>
                <w:webHidden/>
              </w:rPr>
              <w:instrText xml:space="preserve"> PAGEREF _Toc76138266 \h </w:instrText>
            </w:r>
            <w:r w:rsidR="00BF3F3E">
              <w:rPr>
                <w:noProof/>
                <w:webHidden/>
              </w:rPr>
            </w:r>
            <w:r w:rsidR="00BF3F3E">
              <w:rPr>
                <w:noProof/>
                <w:webHidden/>
              </w:rPr>
              <w:fldChar w:fldCharType="separate"/>
            </w:r>
            <w:r w:rsidR="00BF3F3E">
              <w:rPr>
                <w:noProof/>
                <w:webHidden/>
              </w:rPr>
              <w:t>9</w:t>
            </w:r>
            <w:r w:rsidR="00BF3F3E">
              <w:rPr>
                <w:noProof/>
                <w:webHidden/>
              </w:rPr>
              <w:fldChar w:fldCharType="end"/>
            </w:r>
          </w:hyperlink>
        </w:p>
        <w:p w14:paraId="6F213ED8" w14:textId="08525F64" w:rsidR="00BF3F3E" w:rsidRDefault="001938AB">
          <w:pPr>
            <w:pStyle w:val="TOC2"/>
            <w:tabs>
              <w:tab w:val="left" w:pos="880"/>
              <w:tab w:val="right" w:leader="dot" w:pos="9016"/>
            </w:tabs>
            <w:rPr>
              <w:rFonts w:eastAsiaTheme="minorEastAsia" w:cstheme="minorBidi"/>
              <w:smallCaps w:val="0"/>
              <w:noProof/>
              <w:sz w:val="22"/>
              <w:szCs w:val="22"/>
              <w:lang w:eastAsia="en-GB" w:bidi="ar-SA"/>
            </w:rPr>
          </w:pPr>
          <w:hyperlink w:anchor="_Toc76138267" w:history="1">
            <w:r w:rsidR="00BF3F3E" w:rsidRPr="00AC330E">
              <w:rPr>
                <w:rStyle w:val="Hyperlink"/>
                <w:noProof/>
              </w:rPr>
              <w:t>1.4</w:t>
            </w:r>
            <w:r w:rsidR="00BF3F3E">
              <w:rPr>
                <w:rFonts w:eastAsiaTheme="minorEastAsia" w:cstheme="minorBidi"/>
                <w:smallCaps w:val="0"/>
                <w:noProof/>
                <w:sz w:val="22"/>
                <w:szCs w:val="22"/>
                <w:lang w:eastAsia="en-GB" w:bidi="ar-SA"/>
              </w:rPr>
              <w:tab/>
            </w:r>
            <w:r w:rsidR="00BF3F3E" w:rsidRPr="00AC330E">
              <w:rPr>
                <w:rStyle w:val="Hyperlink"/>
                <w:noProof/>
              </w:rPr>
              <w:t>Background</w:t>
            </w:r>
            <w:r w:rsidR="00BF3F3E">
              <w:rPr>
                <w:noProof/>
                <w:webHidden/>
              </w:rPr>
              <w:tab/>
            </w:r>
            <w:r w:rsidR="00BF3F3E">
              <w:rPr>
                <w:noProof/>
                <w:webHidden/>
              </w:rPr>
              <w:fldChar w:fldCharType="begin"/>
            </w:r>
            <w:r w:rsidR="00BF3F3E">
              <w:rPr>
                <w:noProof/>
                <w:webHidden/>
              </w:rPr>
              <w:instrText xml:space="preserve"> PAGEREF _Toc76138267 \h </w:instrText>
            </w:r>
            <w:r w:rsidR="00BF3F3E">
              <w:rPr>
                <w:noProof/>
                <w:webHidden/>
              </w:rPr>
            </w:r>
            <w:r w:rsidR="00BF3F3E">
              <w:rPr>
                <w:noProof/>
                <w:webHidden/>
              </w:rPr>
              <w:fldChar w:fldCharType="separate"/>
            </w:r>
            <w:r w:rsidR="00BF3F3E">
              <w:rPr>
                <w:noProof/>
                <w:webHidden/>
              </w:rPr>
              <w:t>10</w:t>
            </w:r>
            <w:r w:rsidR="00BF3F3E">
              <w:rPr>
                <w:noProof/>
                <w:webHidden/>
              </w:rPr>
              <w:fldChar w:fldCharType="end"/>
            </w:r>
          </w:hyperlink>
        </w:p>
        <w:p w14:paraId="6974E019" w14:textId="7144CBC6" w:rsidR="00BF3F3E" w:rsidRDefault="001938AB">
          <w:pPr>
            <w:pStyle w:val="TOC1"/>
            <w:tabs>
              <w:tab w:val="left" w:pos="440"/>
            </w:tabs>
            <w:rPr>
              <w:rFonts w:eastAsiaTheme="minorEastAsia" w:cstheme="minorBidi"/>
              <w:b w:val="0"/>
              <w:bCs w:val="0"/>
              <w:caps w:val="0"/>
              <w:noProof/>
              <w:sz w:val="22"/>
              <w:szCs w:val="22"/>
              <w:lang w:eastAsia="en-GB" w:bidi="ar-SA"/>
            </w:rPr>
          </w:pPr>
          <w:hyperlink w:anchor="_Toc76138268" w:history="1">
            <w:r w:rsidR="00BF3F3E" w:rsidRPr="00AC330E">
              <w:rPr>
                <w:rStyle w:val="Hyperlink"/>
                <w:noProof/>
              </w:rPr>
              <w:t>2</w:t>
            </w:r>
            <w:r w:rsidR="00BF3F3E">
              <w:rPr>
                <w:rFonts w:eastAsiaTheme="minorEastAsia" w:cstheme="minorBidi"/>
                <w:b w:val="0"/>
                <w:bCs w:val="0"/>
                <w:caps w:val="0"/>
                <w:noProof/>
                <w:sz w:val="22"/>
                <w:szCs w:val="22"/>
                <w:lang w:eastAsia="en-GB" w:bidi="ar-SA"/>
              </w:rPr>
              <w:tab/>
            </w:r>
            <w:r w:rsidR="00BF3F3E" w:rsidRPr="00AC330E">
              <w:rPr>
                <w:rStyle w:val="Hyperlink"/>
                <w:noProof/>
              </w:rPr>
              <w:t>Submitter comments to the 2016 Consultation paper: general composition issues</w:t>
            </w:r>
            <w:r w:rsidR="00BF3F3E">
              <w:rPr>
                <w:noProof/>
                <w:webHidden/>
              </w:rPr>
              <w:tab/>
            </w:r>
            <w:r w:rsidR="00BF3F3E">
              <w:rPr>
                <w:noProof/>
                <w:webHidden/>
              </w:rPr>
              <w:fldChar w:fldCharType="begin"/>
            </w:r>
            <w:r w:rsidR="00BF3F3E">
              <w:rPr>
                <w:noProof/>
                <w:webHidden/>
              </w:rPr>
              <w:instrText xml:space="preserve"> PAGEREF _Toc76138268 \h </w:instrText>
            </w:r>
            <w:r w:rsidR="00BF3F3E">
              <w:rPr>
                <w:noProof/>
                <w:webHidden/>
              </w:rPr>
            </w:r>
            <w:r w:rsidR="00BF3F3E">
              <w:rPr>
                <w:noProof/>
                <w:webHidden/>
              </w:rPr>
              <w:fldChar w:fldCharType="separate"/>
            </w:r>
            <w:r w:rsidR="00BF3F3E">
              <w:rPr>
                <w:noProof/>
                <w:webHidden/>
              </w:rPr>
              <w:t>12</w:t>
            </w:r>
            <w:r w:rsidR="00BF3F3E">
              <w:rPr>
                <w:noProof/>
                <w:webHidden/>
              </w:rPr>
              <w:fldChar w:fldCharType="end"/>
            </w:r>
          </w:hyperlink>
        </w:p>
        <w:p w14:paraId="43C61432" w14:textId="1A133CF9" w:rsidR="00BF3F3E" w:rsidRDefault="001938AB">
          <w:pPr>
            <w:pStyle w:val="TOC1"/>
            <w:tabs>
              <w:tab w:val="left" w:pos="440"/>
            </w:tabs>
            <w:rPr>
              <w:rFonts w:eastAsiaTheme="minorEastAsia" w:cstheme="minorBidi"/>
              <w:b w:val="0"/>
              <w:bCs w:val="0"/>
              <w:caps w:val="0"/>
              <w:noProof/>
              <w:sz w:val="22"/>
              <w:szCs w:val="22"/>
              <w:lang w:eastAsia="en-GB" w:bidi="ar-SA"/>
            </w:rPr>
          </w:pPr>
          <w:hyperlink w:anchor="_Toc76138269" w:history="1">
            <w:r w:rsidR="00BF3F3E" w:rsidRPr="00AC330E">
              <w:rPr>
                <w:rStyle w:val="Hyperlink"/>
                <w:noProof/>
              </w:rPr>
              <w:t>3</w:t>
            </w:r>
            <w:r w:rsidR="00BF3F3E">
              <w:rPr>
                <w:rFonts w:eastAsiaTheme="minorEastAsia" w:cstheme="minorBidi"/>
                <w:b w:val="0"/>
                <w:bCs w:val="0"/>
                <w:caps w:val="0"/>
                <w:noProof/>
                <w:sz w:val="22"/>
                <w:szCs w:val="22"/>
                <w:lang w:eastAsia="en-GB" w:bidi="ar-SA"/>
              </w:rPr>
              <w:tab/>
            </w:r>
            <w:r w:rsidR="00BF3F3E" w:rsidRPr="00AC330E">
              <w:rPr>
                <w:rStyle w:val="Hyperlink"/>
                <w:noProof/>
              </w:rPr>
              <w:t>Energy</w:t>
            </w:r>
            <w:r w:rsidR="00BF3F3E">
              <w:rPr>
                <w:noProof/>
                <w:webHidden/>
              </w:rPr>
              <w:tab/>
            </w:r>
            <w:r w:rsidR="00BF3F3E">
              <w:rPr>
                <w:noProof/>
                <w:webHidden/>
              </w:rPr>
              <w:fldChar w:fldCharType="begin"/>
            </w:r>
            <w:r w:rsidR="00BF3F3E">
              <w:rPr>
                <w:noProof/>
                <w:webHidden/>
              </w:rPr>
              <w:instrText xml:space="preserve"> PAGEREF _Toc76138269 \h </w:instrText>
            </w:r>
            <w:r w:rsidR="00BF3F3E">
              <w:rPr>
                <w:noProof/>
                <w:webHidden/>
              </w:rPr>
            </w:r>
            <w:r w:rsidR="00BF3F3E">
              <w:rPr>
                <w:noProof/>
                <w:webHidden/>
              </w:rPr>
              <w:fldChar w:fldCharType="separate"/>
            </w:r>
            <w:r w:rsidR="00BF3F3E">
              <w:rPr>
                <w:noProof/>
                <w:webHidden/>
              </w:rPr>
              <w:t>14</w:t>
            </w:r>
            <w:r w:rsidR="00BF3F3E">
              <w:rPr>
                <w:noProof/>
                <w:webHidden/>
              </w:rPr>
              <w:fldChar w:fldCharType="end"/>
            </w:r>
          </w:hyperlink>
        </w:p>
        <w:p w14:paraId="21019855" w14:textId="6B207F5C" w:rsidR="00BF3F3E" w:rsidRDefault="001938AB">
          <w:pPr>
            <w:pStyle w:val="TOC2"/>
            <w:tabs>
              <w:tab w:val="left" w:pos="880"/>
              <w:tab w:val="right" w:leader="dot" w:pos="9016"/>
            </w:tabs>
            <w:rPr>
              <w:rFonts w:eastAsiaTheme="minorEastAsia" w:cstheme="minorBidi"/>
              <w:smallCaps w:val="0"/>
              <w:noProof/>
              <w:sz w:val="22"/>
              <w:szCs w:val="22"/>
              <w:lang w:eastAsia="en-GB" w:bidi="ar-SA"/>
            </w:rPr>
          </w:pPr>
          <w:hyperlink w:anchor="_Toc76138270" w:history="1">
            <w:r w:rsidR="00BF3F3E" w:rsidRPr="00AC330E">
              <w:rPr>
                <w:rStyle w:val="Hyperlink"/>
                <w:noProof/>
              </w:rPr>
              <w:t>3.1</w:t>
            </w:r>
            <w:r w:rsidR="00BF3F3E">
              <w:rPr>
                <w:rFonts w:eastAsiaTheme="minorEastAsia" w:cstheme="minorBidi"/>
                <w:smallCaps w:val="0"/>
                <w:noProof/>
                <w:sz w:val="22"/>
                <w:szCs w:val="22"/>
                <w:lang w:eastAsia="en-GB" w:bidi="ar-SA"/>
              </w:rPr>
              <w:tab/>
            </w:r>
            <w:r w:rsidR="00BF3F3E" w:rsidRPr="00AC330E">
              <w:rPr>
                <w:rStyle w:val="Hyperlink"/>
                <w:noProof/>
              </w:rPr>
              <w:t>Energy content</w:t>
            </w:r>
            <w:r w:rsidR="00BF3F3E">
              <w:rPr>
                <w:noProof/>
                <w:webHidden/>
              </w:rPr>
              <w:tab/>
            </w:r>
            <w:r w:rsidR="00BF3F3E">
              <w:rPr>
                <w:noProof/>
                <w:webHidden/>
              </w:rPr>
              <w:fldChar w:fldCharType="begin"/>
            </w:r>
            <w:r w:rsidR="00BF3F3E">
              <w:rPr>
                <w:noProof/>
                <w:webHidden/>
              </w:rPr>
              <w:instrText xml:space="preserve"> PAGEREF _Toc76138270 \h </w:instrText>
            </w:r>
            <w:r w:rsidR="00BF3F3E">
              <w:rPr>
                <w:noProof/>
                <w:webHidden/>
              </w:rPr>
            </w:r>
            <w:r w:rsidR="00BF3F3E">
              <w:rPr>
                <w:noProof/>
                <w:webHidden/>
              </w:rPr>
              <w:fldChar w:fldCharType="separate"/>
            </w:r>
            <w:r w:rsidR="00BF3F3E">
              <w:rPr>
                <w:noProof/>
                <w:webHidden/>
              </w:rPr>
              <w:t>14</w:t>
            </w:r>
            <w:r w:rsidR="00BF3F3E">
              <w:rPr>
                <w:noProof/>
                <w:webHidden/>
              </w:rPr>
              <w:fldChar w:fldCharType="end"/>
            </w:r>
          </w:hyperlink>
        </w:p>
        <w:p w14:paraId="553DCA5F" w14:textId="227A2C0C" w:rsidR="00BF3F3E" w:rsidRDefault="001938AB">
          <w:pPr>
            <w:pStyle w:val="TOC2"/>
            <w:tabs>
              <w:tab w:val="left" w:pos="880"/>
              <w:tab w:val="right" w:leader="dot" w:pos="9016"/>
            </w:tabs>
            <w:rPr>
              <w:rFonts w:eastAsiaTheme="minorEastAsia" w:cstheme="minorBidi"/>
              <w:smallCaps w:val="0"/>
              <w:noProof/>
              <w:sz w:val="22"/>
              <w:szCs w:val="22"/>
              <w:lang w:eastAsia="en-GB" w:bidi="ar-SA"/>
            </w:rPr>
          </w:pPr>
          <w:hyperlink w:anchor="_Toc76138271" w:history="1">
            <w:r w:rsidR="00BF3F3E" w:rsidRPr="00AC330E">
              <w:rPr>
                <w:rStyle w:val="Hyperlink"/>
                <w:noProof/>
              </w:rPr>
              <w:t>3.2</w:t>
            </w:r>
            <w:r w:rsidR="00BF3F3E">
              <w:rPr>
                <w:rFonts w:eastAsiaTheme="minorEastAsia" w:cstheme="minorBidi"/>
                <w:smallCaps w:val="0"/>
                <w:noProof/>
                <w:sz w:val="22"/>
                <w:szCs w:val="22"/>
                <w:lang w:eastAsia="en-GB" w:bidi="ar-SA"/>
              </w:rPr>
              <w:tab/>
            </w:r>
            <w:r w:rsidR="00BF3F3E" w:rsidRPr="00AC330E">
              <w:rPr>
                <w:rStyle w:val="Hyperlink"/>
                <w:noProof/>
              </w:rPr>
              <w:t>Calculation of energy content</w:t>
            </w:r>
            <w:r w:rsidR="00BF3F3E">
              <w:rPr>
                <w:noProof/>
                <w:webHidden/>
              </w:rPr>
              <w:tab/>
            </w:r>
            <w:r w:rsidR="00BF3F3E">
              <w:rPr>
                <w:noProof/>
                <w:webHidden/>
              </w:rPr>
              <w:fldChar w:fldCharType="begin"/>
            </w:r>
            <w:r w:rsidR="00BF3F3E">
              <w:rPr>
                <w:noProof/>
                <w:webHidden/>
              </w:rPr>
              <w:instrText xml:space="preserve"> PAGEREF _Toc76138271 \h </w:instrText>
            </w:r>
            <w:r w:rsidR="00BF3F3E">
              <w:rPr>
                <w:noProof/>
                <w:webHidden/>
              </w:rPr>
            </w:r>
            <w:r w:rsidR="00BF3F3E">
              <w:rPr>
                <w:noProof/>
                <w:webHidden/>
              </w:rPr>
              <w:fldChar w:fldCharType="separate"/>
            </w:r>
            <w:r w:rsidR="00BF3F3E">
              <w:rPr>
                <w:noProof/>
                <w:webHidden/>
              </w:rPr>
              <w:t>14</w:t>
            </w:r>
            <w:r w:rsidR="00BF3F3E">
              <w:rPr>
                <w:noProof/>
                <w:webHidden/>
              </w:rPr>
              <w:fldChar w:fldCharType="end"/>
            </w:r>
          </w:hyperlink>
        </w:p>
        <w:p w14:paraId="3E898204" w14:textId="37BD87A2" w:rsidR="00BF3F3E" w:rsidRDefault="001938AB">
          <w:pPr>
            <w:pStyle w:val="TOC1"/>
            <w:tabs>
              <w:tab w:val="left" w:pos="440"/>
            </w:tabs>
            <w:rPr>
              <w:rFonts w:eastAsiaTheme="minorEastAsia" w:cstheme="minorBidi"/>
              <w:b w:val="0"/>
              <w:bCs w:val="0"/>
              <w:caps w:val="0"/>
              <w:noProof/>
              <w:sz w:val="22"/>
              <w:szCs w:val="22"/>
              <w:lang w:eastAsia="en-GB" w:bidi="ar-SA"/>
            </w:rPr>
          </w:pPr>
          <w:hyperlink w:anchor="_Toc76138272" w:history="1">
            <w:r w:rsidR="00BF3F3E" w:rsidRPr="00AC330E">
              <w:rPr>
                <w:rStyle w:val="Hyperlink"/>
                <w:noProof/>
              </w:rPr>
              <w:t>4</w:t>
            </w:r>
            <w:r w:rsidR="00BF3F3E">
              <w:rPr>
                <w:rFonts w:eastAsiaTheme="minorEastAsia" w:cstheme="minorBidi"/>
                <w:b w:val="0"/>
                <w:bCs w:val="0"/>
                <w:caps w:val="0"/>
                <w:noProof/>
                <w:sz w:val="22"/>
                <w:szCs w:val="22"/>
                <w:lang w:eastAsia="en-GB" w:bidi="ar-SA"/>
              </w:rPr>
              <w:tab/>
            </w:r>
            <w:r w:rsidR="00BF3F3E" w:rsidRPr="00AC330E">
              <w:rPr>
                <w:rStyle w:val="Hyperlink"/>
                <w:noProof/>
              </w:rPr>
              <w:t>Protein</w:t>
            </w:r>
            <w:r w:rsidR="00BF3F3E">
              <w:rPr>
                <w:noProof/>
                <w:webHidden/>
              </w:rPr>
              <w:tab/>
            </w:r>
            <w:r w:rsidR="00BF3F3E">
              <w:rPr>
                <w:noProof/>
                <w:webHidden/>
              </w:rPr>
              <w:fldChar w:fldCharType="begin"/>
            </w:r>
            <w:r w:rsidR="00BF3F3E">
              <w:rPr>
                <w:noProof/>
                <w:webHidden/>
              </w:rPr>
              <w:instrText xml:space="preserve"> PAGEREF _Toc76138272 \h </w:instrText>
            </w:r>
            <w:r w:rsidR="00BF3F3E">
              <w:rPr>
                <w:noProof/>
                <w:webHidden/>
              </w:rPr>
            </w:r>
            <w:r w:rsidR="00BF3F3E">
              <w:rPr>
                <w:noProof/>
                <w:webHidden/>
              </w:rPr>
              <w:fldChar w:fldCharType="separate"/>
            </w:r>
            <w:r w:rsidR="00BF3F3E">
              <w:rPr>
                <w:noProof/>
                <w:webHidden/>
              </w:rPr>
              <w:t>15</w:t>
            </w:r>
            <w:r w:rsidR="00BF3F3E">
              <w:rPr>
                <w:noProof/>
                <w:webHidden/>
              </w:rPr>
              <w:fldChar w:fldCharType="end"/>
            </w:r>
          </w:hyperlink>
        </w:p>
        <w:p w14:paraId="3C4DB5AF" w14:textId="2516B2C8" w:rsidR="00BF3F3E" w:rsidRDefault="001938AB">
          <w:pPr>
            <w:pStyle w:val="TOC2"/>
            <w:tabs>
              <w:tab w:val="left" w:pos="880"/>
              <w:tab w:val="right" w:leader="dot" w:pos="9016"/>
            </w:tabs>
            <w:rPr>
              <w:rFonts w:eastAsiaTheme="minorEastAsia" w:cstheme="minorBidi"/>
              <w:smallCaps w:val="0"/>
              <w:noProof/>
              <w:sz w:val="22"/>
              <w:szCs w:val="22"/>
              <w:lang w:eastAsia="en-GB" w:bidi="ar-SA"/>
            </w:rPr>
          </w:pPr>
          <w:hyperlink w:anchor="_Toc76138273" w:history="1">
            <w:r w:rsidR="00BF3F3E" w:rsidRPr="00AC330E">
              <w:rPr>
                <w:rStyle w:val="Hyperlink"/>
                <w:noProof/>
              </w:rPr>
              <w:t>4.1</w:t>
            </w:r>
            <w:r w:rsidR="00BF3F3E">
              <w:rPr>
                <w:rFonts w:eastAsiaTheme="minorEastAsia" w:cstheme="minorBidi"/>
                <w:smallCaps w:val="0"/>
                <w:noProof/>
                <w:sz w:val="22"/>
                <w:szCs w:val="22"/>
                <w:lang w:eastAsia="en-GB" w:bidi="ar-SA"/>
              </w:rPr>
              <w:tab/>
            </w:r>
            <w:r w:rsidR="00BF3F3E" w:rsidRPr="00AC330E">
              <w:rPr>
                <w:rStyle w:val="Hyperlink"/>
                <w:noProof/>
              </w:rPr>
              <w:t>Calculation of protein content</w:t>
            </w:r>
            <w:r w:rsidR="00BF3F3E">
              <w:rPr>
                <w:noProof/>
                <w:webHidden/>
              </w:rPr>
              <w:tab/>
            </w:r>
            <w:r w:rsidR="00BF3F3E">
              <w:rPr>
                <w:noProof/>
                <w:webHidden/>
              </w:rPr>
              <w:fldChar w:fldCharType="begin"/>
            </w:r>
            <w:r w:rsidR="00BF3F3E">
              <w:rPr>
                <w:noProof/>
                <w:webHidden/>
              </w:rPr>
              <w:instrText xml:space="preserve"> PAGEREF _Toc76138273 \h </w:instrText>
            </w:r>
            <w:r w:rsidR="00BF3F3E">
              <w:rPr>
                <w:noProof/>
                <w:webHidden/>
              </w:rPr>
            </w:r>
            <w:r w:rsidR="00BF3F3E">
              <w:rPr>
                <w:noProof/>
                <w:webHidden/>
              </w:rPr>
              <w:fldChar w:fldCharType="separate"/>
            </w:r>
            <w:r w:rsidR="00BF3F3E">
              <w:rPr>
                <w:noProof/>
                <w:webHidden/>
              </w:rPr>
              <w:t>15</w:t>
            </w:r>
            <w:r w:rsidR="00BF3F3E">
              <w:rPr>
                <w:noProof/>
                <w:webHidden/>
              </w:rPr>
              <w:fldChar w:fldCharType="end"/>
            </w:r>
          </w:hyperlink>
        </w:p>
        <w:p w14:paraId="0C3FD970" w14:textId="1F29C592" w:rsidR="00BF3F3E" w:rsidRDefault="001938AB">
          <w:pPr>
            <w:pStyle w:val="TOC2"/>
            <w:tabs>
              <w:tab w:val="left" w:pos="880"/>
              <w:tab w:val="right" w:leader="dot" w:pos="9016"/>
            </w:tabs>
            <w:rPr>
              <w:rFonts w:eastAsiaTheme="minorEastAsia" w:cstheme="minorBidi"/>
              <w:smallCaps w:val="0"/>
              <w:noProof/>
              <w:sz w:val="22"/>
              <w:szCs w:val="22"/>
              <w:lang w:eastAsia="en-GB" w:bidi="ar-SA"/>
            </w:rPr>
          </w:pPr>
          <w:hyperlink w:anchor="_Toc76138274" w:history="1">
            <w:r w:rsidR="00BF3F3E" w:rsidRPr="00AC330E">
              <w:rPr>
                <w:rStyle w:val="Hyperlink"/>
                <w:noProof/>
              </w:rPr>
              <w:t>4.2</w:t>
            </w:r>
            <w:r w:rsidR="00BF3F3E">
              <w:rPr>
                <w:rFonts w:eastAsiaTheme="minorEastAsia" w:cstheme="minorBidi"/>
                <w:smallCaps w:val="0"/>
                <w:noProof/>
                <w:sz w:val="22"/>
                <w:szCs w:val="22"/>
                <w:lang w:eastAsia="en-GB" w:bidi="ar-SA"/>
              </w:rPr>
              <w:tab/>
            </w:r>
            <w:r w:rsidR="00BF3F3E" w:rsidRPr="00AC330E">
              <w:rPr>
                <w:rStyle w:val="Hyperlink"/>
                <w:noProof/>
              </w:rPr>
              <w:t>Protein range</w:t>
            </w:r>
            <w:r w:rsidR="00BF3F3E">
              <w:rPr>
                <w:noProof/>
                <w:webHidden/>
              </w:rPr>
              <w:tab/>
            </w:r>
            <w:r w:rsidR="00BF3F3E">
              <w:rPr>
                <w:noProof/>
                <w:webHidden/>
              </w:rPr>
              <w:fldChar w:fldCharType="begin"/>
            </w:r>
            <w:r w:rsidR="00BF3F3E">
              <w:rPr>
                <w:noProof/>
                <w:webHidden/>
              </w:rPr>
              <w:instrText xml:space="preserve"> PAGEREF _Toc76138274 \h </w:instrText>
            </w:r>
            <w:r w:rsidR="00BF3F3E">
              <w:rPr>
                <w:noProof/>
                <w:webHidden/>
              </w:rPr>
            </w:r>
            <w:r w:rsidR="00BF3F3E">
              <w:rPr>
                <w:noProof/>
                <w:webHidden/>
              </w:rPr>
              <w:fldChar w:fldCharType="separate"/>
            </w:r>
            <w:r w:rsidR="00BF3F3E">
              <w:rPr>
                <w:noProof/>
                <w:webHidden/>
              </w:rPr>
              <w:t>20</w:t>
            </w:r>
            <w:r w:rsidR="00BF3F3E">
              <w:rPr>
                <w:noProof/>
                <w:webHidden/>
              </w:rPr>
              <w:fldChar w:fldCharType="end"/>
            </w:r>
          </w:hyperlink>
        </w:p>
        <w:p w14:paraId="08854F85" w14:textId="79FD1BAA" w:rsidR="00BF3F3E" w:rsidRDefault="001938AB">
          <w:pPr>
            <w:pStyle w:val="TOC2"/>
            <w:tabs>
              <w:tab w:val="left" w:pos="880"/>
              <w:tab w:val="right" w:leader="dot" w:pos="9016"/>
            </w:tabs>
            <w:rPr>
              <w:rFonts w:eastAsiaTheme="minorEastAsia" w:cstheme="minorBidi"/>
              <w:smallCaps w:val="0"/>
              <w:noProof/>
              <w:sz w:val="22"/>
              <w:szCs w:val="22"/>
              <w:lang w:eastAsia="en-GB" w:bidi="ar-SA"/>
            </w:rPr>
          </w:pPr>
          <w:hyperlink w:anchor="_Toc76138275" w:history="1">
            <w:r w:rsidR="00BF3F3E" w:rsidRPr="00AC330E">
              <w:rPr>
                <w:rStyle w:val="Hyperlink"/>
                <w:noProof/>
              </w:rPr>
              <w:t>4.3</w:t>
            </w:r>
            <w:r w:rsidR="00BF3F3E">
              <w:rPr>
                <w:rFonts w:eastAsiaTheme="minorEastAsia" w:cstheme="minorBidi"/>
                <w:smallCaps w:val="0"/>
                <w:noProof/>
                <w:sz w:val="22"/>
                <w:szCs w:val="22"/>
                <w:lang w:eastAsia="en-GB" w:bidi="ar-SA"/>
              </w:rPr>
              <w:tab/>
            </w:r>
            <w:r w:rsidR="00BF3F3E" w:rsidRPr="00AC330E">
              <w:rPr>
                <w:rStyle w:val="Hyperlink"/>
                <w:noProof/>
              </w:rPr>
              <w:t>Protein source</w:t>
            </w:r>
            <w:r w:rsidR="00BF3F3E">
              <w:rPr>
                <w:noProof/>
                <w:webHidden/>
              </w:rPr>
              <w:tab/>
            </w:r>
            <w:r w:rsidR="00BF3F3E">
              <w:rPr>
                <w:noProof/>
                <w:webHidden/>
              </w:rPr>
              <w:fldChar w:fldCharType="begin"/>
            </w:r>
            <w:r w:rsidR="00BF3F3E">
              <w:rPr>
                <w:noProof/>
                <w:webHidden/>
              </w:rPr>
              <w:instrText xml:space="preserve"> PAGEREF _Toc76138275 \h </w:instrText>
            </w:r>
            <w:r w:rsidR="00BF3F3E">
              <w:rPr>
                <w:noProof/>
                <w:webHidden/>
              </w:rPr>
            </w:r>
            <w:r w:rsidR="00BF3F3E">
              <w:rPr>
                <w:noProof/>
                <w:webHidden/>
              </w:rPr>
              <w:fldChar w:fldCharType="separate"/>
            </w:r>
            <w:r w:rsidR="00BF3F3E">
              <w:rPr>
                <w:noProof/>
                <w:webHidden/>
              </w:rPr>
              <w:t>23</w:t>
            </w:r>
            <w:r w:rsidR="00BF3F3E">
              <w:rPr>
                <w:noProof/>
                <w:webHidden/>
              </w:rPr>
              <w:fldChar w:fldCharType="end"/>
            </w:r>
          </w:hyperlink>
        </w:p>
        <w:p w14:paraId="7D484CC5" w14:textId="24683DEA" w:rsidR="00BF3F3E" w:rsidRDefault="001938AB">
          <w:pPr>
            <w:pStyle w:val="TOC2"/>
            <w:tabs>
              <w:tab w:val="left" w:pos="880"/>
              <w:tab w:val="right" w:leader="dot" w:pos="9016"/>
            </w:tabs>
            <w:rPr>
              <w:rFonts w:eastAsiaTheme="minorEastAsia" w:cstheme="minorBidi"/>
              <w:smallCaps w:val="0"/>
              <w:noProof/>
              <w:sz w:val="22"/>
              <w:szCs w:val="22"/>
              <w:lang w:eastAsia="en-GB" w:bidi="ar-SA"/>
            </w:rPr>
          </w:pPr>
          <w:hyperlink w:anchor="_Toc76138276" w:history="1">
            <w:r w:rsidR="00BF3F3E" w:rsidRPr="00AC330E">
              <w:rPr>
                <w:rStyle w:val="Hyperlink"/>
                <w:noProof/>
              </w:rPr>
              <w:t>4.4</w:t>
            </w:r>
            <w:r w:rsidR="00BF3F3E">
              <w:rPr>
                <w:rFonts w:eastAsiaTheme="minorEastAsia" w:cstheme="minorBidi"/>
                <w:smallCaps w:val="0"/>
                <w:noProof/>
                <w:sz w:val="22"/>
                <w:szCs w:val="22"/>
                <w:lang w:eastAsia="en-GB" w:bidi="ar-SA"/>
              </w:rPr>
              <w:tab/>
            </w:r>
            <w:r w:rsidR="00BF3F3E" w:rsidRPr="00AC330E">
              <w:rPr>
                <w:rStyle w:val="Hyperlink"/>
                <w:noProof/>
              </w:rPr>
              <w:t>Protein quality</w:t>
            </w:r>
            <w:r w:rsidR="00BF3F3E">
              <w:rPr>
                <w:noProof/>
                <w:webHidden/>
              </w:rPr>
              <w:tab/>
            </w:r>
            <w:r w:rsidR="00BF3F3E">
              <w:rPr>
                <w:noProof/>
                <w:webHidden/>
              </w:rPr>
              <w:fldChar w:fldCharType="begin"/>
            </w:r>
            <w:r w:rsidR="00BF3F3E">
              <w:rPr>
                <w:noProof/>
                <w:webHidden/>
              </w:rPr>
              <w:instrText xml:space="preserve"> PAGEREF _Toc76138276 \h </w:instrText>
            </w:r>
            <w:r w:rsidR="00BF3F3E">
              <w:rPr>
                <w:noProof/>
                <w:webHidden/>
              </w:rPr>
            </w:r>
            <w:r w:rsidR="00BF3F3E">
              <w:rPr>
                <w:noProof/>
                <w:webHidden/>
              </w:rPr>
              <w:fldChar w:fldCharType="separate"/>
            </w:r>
            <w:r w:rsidR="00BF3F3E">
              <w:rPr>
                <w:noProof/>
                <w:webHidden/>
              </w:rPr>
              <w:t>25</w:t>
            </w:r>
            <w:r w:rsidR="00BF3F3E">
              <w:rPr>
                <w:noProof/>
                <w:webHidden/>
              </w:rPr>
              <w:fldChar w:fldCharType="end"/>
            </w:r>
          </w:hyperlink>
        </w:p>
        <w:p w14:paraId="59B62F41" w14:textId="47C56370" w:rsidR="00BF3F3E" w:rsidRDefault="001938AB">
          <w:pPr>
            <w:pStyle w:val="TOC2"/>
            <w:tabs>
              <w:tab w:val="left" w:pos="880"/>
              <w:tab w:val="right" w:leader="dot" w:pos="9016"/>
            </w:tabs>
            <w:rPr>
              <w:rFonts w:eastAsiaTheme="minorEastAsia" w:cstheme="minorBidi"/>
              <w:smallCaps w:val="0"/>
              <w:noProof/>
              <w:sz w:val="22"/>
              <w:szCs w:val="22"/>
              <w:lang w:eastAsia="en-GB" w:bidi="ar-SA"/>
            </w:rPr>
          </w:pPr>
          <w:hyperlink w:anchor="_Toc76138277" w:history="1">
            <w:r w:rsidR="00BF3F3E" w:rsidRPr="00AC330E">
              <w:rPr>
                <w:rStyle w:val="Hyperlink"/>
                <w:noProof/>
              </w:rPr>
              <w:t>4.5</w:t>
            </w:r>
            <w:r w:rsidR="00BF3F3E">
              <w:rPr>
                <w:rFonts w:eastAsiaTheme="minorEastAsia" w:cstheme="minorBidi"/>
                <w:smallCaps w:val="0"/>
                <w:noProof/>
                <w:sz w:val="22"/>
                <w:szCs w:val="22"/>
                <w:lang w:eastAsia="en-GB" w:bidi="ar-SA"/>
              </w:rPr>
              <w:tab/>
            </w:r>
            <w:r w:rsidR="00BF3F3E" w:rsidRPr="00AC330E">
              <w:rPr>
                <w:rStyle w:val="Hyperlink"/>
                <w:noProof/>
              </w:rPr>
              <w:t>Amino acid content</w:t>
            </w:r>
            <w:r w:rsidR="00BF3F3E">
              <w:rPr>
                <w:noProof/>
                <w:webHidden/>
              </w:rPr>
              <w:tab/>
            </w:r>
            <w:r w:rsidR="00BF3F3E">
              <w:rPr>
                <w:noProof/>
                <w:webHidden/>
              </w:rPr>
              <w:fldChar w:fldCharType="begin"/>
            </w:r>
            <w:r w:rsidR="00BF3F3E">
              <w:rPr>
                <w:noProof/>
                <w:webHidden/>
              </w:rPr>
              <w:instrText xml:space="preserve"> PAGEREF _Toc76138277 \h </w:instrText>
            </w:r>
            <w:r w:rsidR="00BF3F3E">
              <w:rPr>
                <w:noProof/>
                <w:webHidden/>
              </w:rPr>
            </w:r>
            <w:r w:rsidR="00BF3F3E">
              <w:rPr>
                <w:noProof/>
                <w:webHidden/>
              </w:rPr>
              <w:fldChar w:fldCharType="separate"/>
            </w:r>
            <w:r w:rsidR="00BF3F3E">
              <w:rPr>
                <w:noProof/>
                <w:webHidden/>
              </w:rPr>
              <w:t>26</w:t>
            </w:r>
            <w:r w:rsidR="00BF3F3E">
              <w:rPr>
                <w:noProof/>
                <w:webHidden/>
              </w:rPr>
              <w:fldChar w:fldCharType="end"/>
            </w:r>
          </w:hyperlink>
        </w:p>
        <w:p w14:paraId="3D3FBD09" w14:textId="49A8464F" w:rsidR="00BF3F3E" w:rsidRDefault="001938AB">
          <w:pPr>
            <w:pStyle w:val="TOC1"/>
            <w:tabs>
              <w:tab w:val="left" w:pos="440"/>
            </w:tabs>
            <w:rPr>
              <w:rFonts w:eastAsiaTheme="minorEastAsia" w:cstheme="minorBidi"/>
              <w:b w:val="0"/>
              <w:bCs w:val="0"/>
              <w:caps w:val="0"/>
              <w:noProof/>
              <w:sz w:val="22"/>
              <w:szCs w:val="22"/>
              <w:lang w:eastAsia="en-GB" w:bidi="ar-SA"/>
            </w:rPr>
          </w:pPr>
          <w:hyperlink w:anchor="_Toc76138278" w:history="1">
            <w:r w:rsidR="00BF3F3E" w:rsidRPr="00AC330E">
              <w:rPr>
                <w:rStyle w:val="Hyperlink"/>
                <w:noProof/>
              </w:rPr>
              <w:t>5</w:t>
            </w:r>
            <w:r w:rsidR="00BF3F3E">
              <w:rPr>
                <w:rFonts w:eastAsiaTheme="minorEastAsia" w:cstheme="minorBidi"/>
                <w:b w:val="0"/>
                <w:bCs w:val="0"/>
                <w:caps w:val="0"/>
                <w:noProof/>
                <w:sz w:val="22"/>
                <w:szCs w:val="22"/>
                <w:lang w:eastAsia="en-GB" w:bidi="ar-SA"/>
              </w:rPr>
              <w:tab/>
            </w:r>
            <w:r w:rsidR="00BF3F3E" w:rsidRPr="00AC330E">
              <w:rPr>
                <w:rStyle w:val="Hyperlink"/>
                <w:noProof/>
              </w:rPr>
              <w:t>Fat</w:t>
            </w:r>
            <w:r w:rsidR="00BF3F3E">
              <w:rPr>
                <w:noProof/>
                <w:webHidden/>
              </w:rPr>
              <w:tab/>
            </w:r>
            <w:r w:rsidR="00BF3F3E">
              <w:rPr>
                <w:noProof/>
                <w:webHidden/>
              </w:rPr>
              <w:fldChar w:fldCharType="begin"/>
            </w:r>
            <w:r w:rsidR="00BF3F3E">
              <w:rPr>
                <w:noProof/>
                <w:webHidden/>
              </w:rPr>
              <w:instrText xml:space="preserve"> PAGEREF _Toc76138278 \h </w:instrText>
            </w:r>
            <w:r w:rsidR="00BF3F3E">
              <w:rPr>
                <w:noProof/>
                <w:webHidden/>
              </w:rPr>
            </w:r>
            <w:r w:rsidR="00BF3F3E">
              <w:rPr>
                <w:noProof/>
                <w:webHidden/>
              </w:rPr>
              <w:fldChar w:fldCharType="separate"/>
            </w:r>
            <w:r w:rsidR="00BF3F3E">
              <w:rPr>
                <w:noProof/>
                <w:webHidden/>
              </w:rPr>
              <w:t>28</w:t>
            </w:r>
            <w:r w:rsidR="00BF3F3E">
              <w:rPr>
                <w:noProof/>
                <w:webHidden/>
              </w:rPr>
              <w:fldChar w:fldCharType="end"/>
            </w:r>
          </w:hyperlink>
        </w:p>
        <w:p w14:paraId="5143D5BD" w14:textId="156D3906" w:rsidR="00BF3F3E" w:rsidRDefault="001938AB">
          <w:pPr>
            <w:pStyle w:val="TOC2"/>
            <w:tabs>
              <w:tab w:val="left" w:pos="880"/>
              <w:tab w:val="right" w:leader="dot" w:pos="9016"/>
            </w:tabs>
            <w:rPr>
              <w:rFonts w:eastAsiaTheme="minorEastAsia" w:cstheme="minorBidi"/>
              <w:smallCaps w:val="0"/>
              <w:noProof/>
              <w:sz w:val="22"/>
              <w:szCs w:val="22"/>
              <w:lang w:eastAsia="en-GB" w:bidi="ar-SA"/>
            </w:rPr>
          </w:pPr>
          <w:hyperlink w:anchor="_Toc76138279" w:history="1">
            <w:r w:rsidR="00BF3F3E" w:rsidRPr="00AC330E">
              <w:rPr>
                <w:rStyle w:val="Hyperlink"/>
                <w:noProof/>
              </w:rPr>
              <w:t>5.1</w:t>
            </w:r>
            <w:r w:rsidR="00BF3F3E">
              <w:rPr>
                <w:rFonts w:eastAsiaTheme="minorEastAsia" w:cstheme="minorBidi"/>
                <w:smallCaps w:val="0"/>
                <w:noProof/>
                <w:sz w:val="22"/>
                <w:szCs w:val="22"/>
                <w:lang w:eastAsia="en-GB" w:bidi="ar-SA"/>
              </w:rPr>
              <w:tab/>
            </w:r>
            <w:r w:rsidR="00BF3F3E" w:rsidRPr="00AC330E">
              <w:rPr>
                <w:rStyle w:val="Hyperlink"/>
                <w:noProof/>
              </w:rPr>
              <w:t>Fat content</w:t>
            </w:r>
            <w:r w:rsidR="00BF3F3E">
              <w:rPr>
                <w:noProof/>
                <w:webHidden/>
              </w:rPr>
              <w:tab/>
            </w:r>
            <w:r w:rsidR="00BF3F3E">
              <w:rPr>
                <w:noProof/>
                <w:webHidden/>
              </w:rPr>
              <w:fldChar w:fldCharType="begin"/>
            </w:r>
            <w:r w:rsidR="00BF3F3E">
              <w:rPr>
                <w:noProof/>
                <w:webHidden/>
              </w:rPr>
              <w:instrText xml:space="preserve"> PAGEREF _Toc76138279 \h </w:instrText>
            </w:r>
            <w:r w:rsidR="00BF3F3E">
              <w:rPr>
                <w:noProof/>
                <w:webHidden/>
              </w:rPr>
            </w:r>
            <w:r w:rsidR="00BF3F3E">
              <w:rPr>
                <w:noProof/>
                <w:webHidden/>
              </w:rPr>
              <w:fldChar w:fldCharType="separate"/>
            </w:r>
            <w:r w:rsidR="00BF3F3E">
              <w:rPr>
                <w:noProof/>
                <w:webHidden/>
              </w:rPr>
              <w:t>28</w:t>
            </w:r>
            <w:r w:rsidR="00BF3F3E">
              <w:rPr>
                <w:noProof/>
                <w:webHidden/>
              </w:rPr>
              <w:fldChar w:fldCharType="end"/>
            </w:r>
          </w:hyperlink>
        </w:p>
        <w:p w14:paraId="326B9AD6" w14:textId="348B83A9" w:rsidR="00BF3F3E" w:rsidRDefault="001938AB">
          <w:pPr>
            <w:pStyle w:val="TOC2"/>
            <w:tabs>
              <w:tab w:val="left" w:pos="880"/>
              <w:tab w:val="right" w:leader="dot" w:pos="9016"/>
            </w:tabs>
            <w:rPr>
              <w:rFonts w:eastAsiaTheme="minorEastAsia" w:cstheme="minorBidi"/>
              <w:smallCaps w:val="0"/>
              <w:noProof/>
              <w:sz w:val="22"/>
              <w:szCs w:val="22"/>
              <w:lang w:eastAsia="en-GB" w:bidi="ar-SA"/>
            </w:rPr>
          </w:pPr>
          <w:hyperlink w:anchor="_Toc76138280" w:history="1">
            <w:r w:rsidR="00BF3F3E" w:rsidRPr="00AC330E">
              <w:rPr>
                <w:rStyle w:val="Hyperlink"/>
                <w:noProof/>
              </w:rPr>
              <w:t>5.2</w:t>
            </w:r>
            <w:r w:rsidR="00BF3F3E">
              <w:rPr>
                <w:rFonts w:eastAsiaTheme="minorEastAsia" w:cstheme="minorBidi"/>
                <w:smallCaps w:val="0"/>
                <w:noProof/>
                <w:sz w:val="22"/>
                <w:szCs w:val="22"/>
                <w:lang w:eastAsia="en-GB" w:bidi="ar-SA"/>
              </w:rPr>
              <w:tab/>
            </w:r>
            <w:r w:rsidR="00BF3F3E" w:rsidRPr="00AC330E">
              <w:rPr>
                <w:rStyle w:val="Hyperlink"/>
                <w:rFonts w:eastAsia="Arial Unicode MS"/>
                <w:noProof/>
              </w:rPr>
              <w:t>Units of expression</w:t>
            </w:r>
            <w:r w:rsidR="00BF3F3E">
              <w:rPr>
                <w:noProof/>
                <w:webHidden/>
              </w:rPr>
              <w:tab/>
            </w:r>
            <w:r w:rsidR="00BF3F3E">
              <w:rPr>
                <w:noProof/>
                <w:webHidden/>
              </w:rPr>
              <w:fldChar w:fldCharType="begin"/>
            </w:r>
            <w:r w:rsidR="00BF3F3E">
              <w:rPr>
                <w:noProof/>
                <w:webHidden/>
              </w:rPr>
              <w:instrText xml:space="preserve"> PAGEREF _Toc76138280 \h </w:instrText>
            </w:r>
            <w:r w:rsidR="00BF3F3E">
              <w:rPr>
                <w:noProof/>
                <w:webHidden/>
              </w:rPr>
            </w:r>
            <w:r w:rsidR="00BF3F3E">
              <w:rPr>
                <w:noProof/>
                <w:webHidden/>
              </w:rPr>
              <w:fldChar w:fldCharType="separate"/>
            </w:r>
            <w:r w:rsidR="00BF3F3E">
              <w:rPr>
                <w:noProof/>
                <w:webHidden/>
              </w:rPr>
              <w:t>29</w:t>
            </w:r>
            <w:r w:rsidR="00BF3F3E">
              <w:rPr>
                <w:noProof/>
                <w:webHidden/>
              </w:rPr>
              <w:fldChar w:fldCharType="end"/>
            </w:r>
          </w:hyperlink>
        </w:p>
        <w:p w14:paraId="651FE226" w14:textId="6214933E" w:rsidR="00BF3F3E" w:rsidRDefault="001938AB">
          <w:pPr>
            <w:pStyle w:val="TOC2"/>
            <w:tabs>
              <w:tab w:val="left" w:pos="880"/>
              <w:tab w:val="right" w:leader="dot" w:pos="9016"/>
            </w:tabs>
            <w:rPr>
              <w:rFonts w:eastAsiaTheme="minorEastAsia" w:cstheme="minorBidi"/>
              <w:smallCaps w:val="0"/>
              <w:noProof/>
              <w:sz w:val="22"/>
              <w:szCs w:val="22"/>
              <w:lang w:eastAsia="en-GB" w:bidi="ar-SA"/>
            </w:rPr>
          </w:pPr>
          <w:hyperlink w:anchor="_Toc76138281" w:history="1">
            <w:r w:rsidR="00BF3F3E" w:rsidRPr="00AC330E">
              <w:rPr>
                <w:rStyle w:val="Hyperlink"/>
                <w:noProof/>
              </w:rPr>
              <w:t>5.3</w:t>
            </w:r>
            <w:r w:rsidR="00BF3F3E">
              <w:rPr>
                <w:rFonts w:eastAsiaTheme="minorEastAsia" w:cstheme="minorBidi"/>
                <w:smallCaps w:val="0"/>
                <w:noProof/>
                <w:sz w:val="22"/>
                <w:szCs w:val="22"/>
                <w:lang w:eastAsia="en-GB" w:bidi="ar-SA"/>
              </w:rPr>
              <w:tab/>
            </w:r>
            <w:r w:rsidR="00BF3F3E" w:rsidRPr="00AC330E">
              <w:rPr>
                <w:rStyle w:val="Hyperlink"/>
                <w:noProof/>
              </w:rPr>
              <w:t>Essential fatty acid composition: LA and ALA</w:t>
            </w:r>
            <w:r w:rsidR="00BF3F3E">
              <w:rPr>
                <w:noProof/>
                <w:webHidden/>
              </w:rPr>
              <w:tab/>
            </w:r>
            <w:r w:rsidR="00BF3F3E">
              <w:rPr>
                <w:noProof/>
                <w:webHidden/>
              </w:rPr>
              <w:fldChar w:fldCharType="begin"/>
            </w:r>
            <w:r w:rsidR="00BF3F3E">
              <w:rPr>
                <w:noProof/>
                <w:webHidden/>
              </w:rPr>
              <w:instrText xml:space="preserve"> PAGEREF _Toc76138281 \h </w:instrText>
            </w:r>
            <w:r w:rsidR="00BF3F3E">
              <w:rPr>
                <w:noProof/>
                <w:webHidden/>
              </w:rPr>
            </w:r>
            <w:r w:rsidR="00BF3F3E">
              <w:rPr>
                <w:noProof/>
                <w:webHidden/>
              </w:rPr>
              <w:fldChar w:fldCharType="separate"/>
            </w:r>
            <w:r w:rsidR="00BF3F3E">
              <w:rPr>
                <w:noProof/>
                <w:webHidden/>
              </w:rPr>
              <w:t>31</w:t>
            </w:r>
            <w:r w:rsidR="00BF3F3E">
              <w:rPr>
                <w:noProof/>
                <w:webHidden/>
              </w:rPr>
              <w:fldChar w:fldCharType="end"/>
            </w:r>
          </w:hyperlink>
        </w:p>
        <w:p w14:paraId="1333C6EA" w14:textId="4026033C" w:rsidR="00BF3F3E" w:rsidRDefault="001938AB">
          <w:pPr>
            <w:pStyle w:val="TOC2"/>
            <w:tabs>
              <w:tab w:val="left" w:pos="880"/>
              <w:tab w:val="right" w:leader="dot" w:pos="9016"/>
            </w:tabs>
            <w:rPr>
              <w:rFonts w:eastAsiaTheme="minorEastAsia" w:cstheme="minorBidi"/>
              <w:smallCaps w:val="0"/>
              <w:noProof/>
              <w:sz w:val="22"/>
              <w:szCs w:val="22"/>
              <w:lang w:eastAsia="en-GB" w:bidi="ar-SA"/>
            </w:rPr>
          </w:pPr>
          <w:hyperlink w:anchor="_Toc76138282" w:history="1">
            <w:r w:rsidR="00BF3F3E" w:rsidRPr="00AC330E">
              <w:rPr>
                <w:rStyle w:val="Hyperlink"/>
                <w:noProof/>
              </w:rPr>
              <w:t>5.4</w:t>
            </w:r>
            <w:r w:rsidR="00BF3F3E">
              <w:rPr>
                <w:rFonts w:eastAsiaTheme="minorEastAsia" w:cstheme="minorBidi"/>
                <w:smallCaps w:val="0"/>
                <w:noProof/>
                <w:sz w:val="22"/>
                <w:szCs w:val="22"/>
                <w:lang w:eastAsia="en-GB" w:bidi="ar-SA"/>
              </w:rPr>
              <w:tab/>
            </w:r>
            <w:r w:rsidR="00BF3F3E" w:rsidRPr="00AC330E">
              <w:rPr>
                <w:rStyle w:val="Hyperlink"/>
                <w:noProof/>
              </w:rPr>
              <w:t>Long chain polyunsaturated fatty acids and other LC-PUFA, ratios and sources</w:t>
            </w:r>
            <w:r w:rsidR="00BF3F3E">
              <w:rPr>
                <w:noProof/>
                <w:webHidden/>
              </w:rPr>
              <w:tab/>
            </w:r>
            <w:r w:rsidR="00BF3F3E">
              <w:rPr>
                <w:noProof/>
                <w:webHidden/>
              </w:rPr>
              <w:fldChar w:fldCharType="begin"/>
            </w:r>
            <w:r w:rsidR="00BF3F3E">
              <w:rPr>
                <w:noProof/>
                <w:webHidden/>
              </w:rPr>
              <w:instrText xml:space="preserve"> PAGEREF _Toc76138282 \h </w:instrText>
            </w:r>
            <w:r w:rsidR="00BF3F3E">
              <w:rPr>
                <w:noProof/>
                <w:webHidden/>
              </w:rPr>
            </w:r>
            <w:r w:rsidR="00BF3F3E">
              <w:rPr>
                <w:noProof/>
                <w:webHidden/>
              </w:rPr>
              <w:fldChar w:fldCharType="separate"/>
            </w:r>
            <w:r w:rsidR="00BF3F3E">
              <w:rPr>
                <w:noProof/>
                <w:webHidden/>
              </w:rPr>
              <w:t>36</w:t>
            </w:r>
            <w:r w:rsidR="00BF3F3E">
              <w:rPr>
                <w:noProof/>
                <w:webHidden/>
              </w:rPr>
              <w:fldChar w:fldCharType="end"/>
            </w:r>
          </w:hyperlink>
        </w:p>
        <w:p w14:paraId="4462C331" w14:textId="5D4FCF72" w:rsidR="00BF3F3E" w:rsidRDefault="001938AB">
          <w:pPr>
            <w:pStyle w:val="TOC2"/>
            <w:tabs>
              <w:tab w:val="left" w:pos="880"/>
              <w:tab w:val="right" w:leader="dot" w:pos="9016"/>
            </w:tabs>
            <w:rPr>
              <w:rFonts w:eastAsiaTheme="minorEastAsia" w:cstheme="minorBidi"/>
              <w:smallCaps w:val="0"/>
              <w:noProof/>
              <w:sz w:val="22"/>
              <w:szCs w:val="22"/>
              <w:lang w:eastAsia="en-GB" w:bidi="ar-SA"/>
            </w:rPr>
          </w:pPr>
          <w:hyperlink w:anchor="_Toc76138283" w:history="1">
            <w:r w:rsidR="00BF3F3E" w:rsidRPr="00AC330E">
              <w:rPr>
                <w:rStyle w:val="Hyperlink"/>
                <w:noProof/>
              </w:rPr>
              <w:t xml:space="preserve">5.5 </w:t>
            </w:r>
            <w:r w:rsidR="00BF3F3E">
              <w:rPr>
                <w:rFonts w:eastAsiaTheme="minorEastAsia" w:cstheme="minorBidi"/>
                <w:smallCaps w:val="0"/>
                <w:noProof/>
                <w:sz w:val="22"/>
                <w:szCs w:val="22"/>
                <w:lang w:eastAsia="en-GB" w:bidi="ar-SA"/>
              </w:rPr>
              <w:tab/>
            </w:r>
            <w:r w:rsidR="00BF3F3E" w:rsidRPr="00AC330E">
              <w:rPr>
                <w:rStyle w:val="Hyperlink"/>
                <w:noProof/>
              </w:rPr>
              <w:t>Fat source</w:t>
            </w:r>
            <w:r w:rsidR="00BF3F3E">
              <w:rPr>
                <w:noProof/>
                <w:webHidden/>
              </w:rPr>
              <w:tab/>
            </w:r>
            <w:r w:rsidR="00BF3F3E">
              <w:rPr>
                <w:noProof/>
                <w:webHidden/>
              </w:rPr>
              <w:fldChar w:fldCharType="begin"/>
            </w:r>
            <w:r w:rsidR="00BF3F3E">
              <w:rPr>
                <w:noProof/>
                <w:webHidden/>
              </w:rPr>
              <w:instrText xml:space="preserve"> PAGEREF _Toc76138283 \h </w:instrText>
            </w:r>
            <w:r w:rsidR="00BF3F3E">
              <w:rPr>
                <w:noProof/>
                <w:webHidden/>
              </w:rPr>
            </w:r>
            <w:r w:rsidR="00BF3F3E">
              <w:rPr>
                <w:noProof/>
                <w:webHidden/>
              </w:rPr>
              <w:fldChar w:fldCharType="separate"/>
            </w:r>
            <w:r w:rsidR="00BF3F3E">
              <w:rPr>
                <w:noProof/>
                <w:webHidden/>
              </w:rPr>
              <w:t>39</w:t>
            </w:r>
            <w:r w:rsidR="00BF3F3E">
              <w:rPr>
                <w:noProof/>
                <w:webHidden/>
              </w:rPr>
              <w:fldChar w:fldCharType="end"/>
            </w:r>
          </w:hyperlink>
        </w:p>
        <w:p w14:paraId="1BE713E2" w14:textId="56E789EC" w:rsidR="00BF3F3E" w:rsidRDefault="001938AB">
          <w:pPr>
            <w:pStyle w:val="TOC2"/>
            <w:tabs>
              <w:tab w:val="left" w:pos="880"/>
              <w:tab w:val="right" w:leader="dot" w:pos="9016"/>
            </w:tabs>
            <w:rPr>
              <w:rFonts w:eastAsiaTheme="minorEastAsia" w:cstheme="minorBidi"/>
              <w:smallCaps w:val="0"/>
              <w:noProof/>
              <w:sz w:val="22"/>
              <w:szCs w:val="22"/>
              <w:lang w:eastAsia="en-GB" w:bidi="ar-SA"/>
            </w:rPr>
          </w:pPr>
          <w:hyperlink w:anchor="_Toc76138284" w:history="1">
            <w:r w:rsidR="00BF3F3E" w:rsidRPr="00AC330E">
              <w:rPr>
                <w:rStyle w:val="Hyperlink"/>
                <w:noProof/>
              </w:rPr>
              <w:t>5.6</w:t>
            </w:r>
            <w:r w:rsidR="00BF3F3E">
              <w:rPr>
                <w:rFonts w:eastAsiaTheme="minorEastAsia" w:cstheme="minorBidi"/>
                <w:smallCaps w:val="0"/>
                <w:noProof/>
                <w:sz w:val="22"/>
                <w:szCs w:val="22"/>
                <w:lang w:eastAsia="en-GB" w:bidi="ar-SA"/>
              </w:rPr>
              <w:tab/>
            </w:r>
            <w:r w:rsidR="00BF3F3E" w:rsidRPr="00AC330E">
              <w:rPr>
                <w:rStyle w:val="Hyperlink"/>
                <w:noProof/>
              </w:rPr>
              <w:t>Restrictions on certain fats</w:t>
            </w:r>
            <w:r w:rsidR="00BF3F3E">
              <w:rPr>
                <w:noProof/>
                <w:webHidden/>
              </w:rPr>
              <w:tab/>
            </w:r>
            <w:r w:rsidR="00BF3F3E">
              <w:rPr>
                <w:noProof/>
                <w:webHidden/>
              </w:rPr>
              <w:fldChar w:fldCharType="begin"/>
            </w:r>
            <w:r w:rsidR="00BF3F3E">
              <w:rPr>
                <w:noProof/>
                <w:webHidden/>
              </w:rPr>
              <w:instrText xml:space="preserve"> PAGEREF _Toc76138284 \h </w:instrText>
            </w:r>
            <w:r w:rsidR="00BF3F3E">
              <w:rPr>
                <w:noProof/>
                <w:webHidden/>
              </w:rPr>
            </w:r>
            <w:r w:rsidR="00BF3F3E">
              <w:rPr>
                <w:noProof/>
                <w:webHidden/>
              </w:rPr>
              <w:fldChar w:fldCharType="separate"/>
            </w:r>
            <w:r w:rsidR="00BF3F3E">
              <w:rPr>
                <w:noProof/>
                <w:webHidden/>
              </w:rPr>
              <w:t>40</w:t>
            </w:r>
            <w:r w:rsidR="00BF3F3E">
              <w:rPr>
                <w:noProof/>
                <w:webHidden/>
              </w:rPr>
              <w:fldChar w:fldCharType="end"/>
            </w:r>
          </w:hyperlink>
        </w:p>
        <w:p w14:paraId="0AF279DB" w14:textId="45563330" w:rsidR="00BF3F3E" w:rsidRDefault="001938AB">
          <w:pPr>
            <w:pStyle w:val="TOC1"/>
            <w:tabs>
              <w:tab w:val="left" w:pos="440"/>
            </w:tabs>
            <w:rPr>
              <w:rFonts w:eastAsiaTheme="minorEastAsia" w:cstheme="minorBidi"/>
              <w:b w:val="0"/>
              <w:bCs w:val="0"/>
              <w:caps w:val="0"/>
              <w:noProof/>
              <w:sz w:val="22"/>
              <w:szCs w:val="22"/>
              <w:lang w:eastAsia="en-GB" w:bidi="ar-SA"/>
            </w:rPr>
          </w:pPr>
          <w:hyperlink w:anchor="_Toc76138285" w:history="1">
            <w:r w:rsidR="00BF3F3E" w:rsidRPr="00AC330E">
              <w:rPr>
                <w:rStyle w:val="Hyperlink"/>
                <w:noProof/>
              </w:rPr>
              <w:t>6</w:t>
            </w:r>
            <w:r w:rsidR="00BF3F3E">
              <w:rPr>
                <w:rFonts w:eastAsiaTheme="minorEastAsia" w:cstheme="minorBidi"/>
                <w:b w:val="0"/>
                <w:bCs w:val="0"/>
                <w:caps w:val="0"/>
                <w:noProof/>
                <w:sz w:val="22"/>
                <w:szCs w:val="22"/>
                <w:lang w:eastAsia="en-GB" w:bidi="ar-SA"/>
              </w:rPr>
              <w:tab/>
            </w:r>
            <w:r w:rsidR="00BF3F3E" w:rsidRPr="00AC330E">
              <w:rPr>
                <w:rStyle w:val="Hyperlink"/>
                <w:noProof/>
              </w:rPr>
              <w:t>Carbohydrate</w:t>
            </w:r>
            <w:r w:rsidR="00BF3F3E">
              <w:rPr>
                <w:noProof/>
                <w:webHidden/>
              </w:rPr>
              <w:tab/>
            </w:r>
            <w:r w:rsidR="00BF3F3E">
              <w:rPr>
                <w:noProof/>
                <w:webHidden/>
              </w:rPr>
              <w:fldChar w:fldCharType="begin"/>
            </w:r>
            <w:r w:rsidR="00BF3F3E">
              <w:rPr>
                <w:noProof/>
                <w:webHidden/>
              </w:rPr>
              <w:instrText xml:space="preserve"> PAGEREF _Toc76138285 \h </w:instrText>
            </w:r>
            <w:r w:rsidR="00BF3F3E">
              <w:rPr>
                <w:noProof/>
                <w:webHidden/>
              </w:rPr>
            </w:r>
            <w:r w:rsidR="00BF3F3E">
              <w:rPr>
                <w:noProof/>
                <w:webHidden/>
              </w:rPr>
              <w:fldChar w:fldCharType="separate"/>
            </w:r>
            <w:r w:rsidR="00BF3F3E">
              <w:rPr>
                <w:noProof/>
                <w:webHidden/>
              </w:rPr>
              <w:t>47</w:t>
            </w:r>
            <w:r w:rsidR="00BF3F3E">
              <w:rPr>
                <w:noProof/>
                <w:webHidden/>
              </w:rPr>
              <w:fldChar w:fldCharType="end"/>
            </w:r>
          </w:hyperlink>
        </w:p>
        <w:p w14:paraId="1339753E" w14:textId="209C3BB5" w:rsidR="00BF3F3E" w:rsidRDefault="001938AB">
          <w:pPr>
            <w:pStyle w:val="TOC2"/>
            <w:tabs>
              <w:tab w:val="left" w:pos="880"/>
              <w:tab w:val="right" w:leader="dot" w:pos="9016"/>
            </w:tabs>
            <w:rPr>
              <w:rFonts w:eastAsiaTheme="minorEastAsia" w:cstheme="minorBidi"/>
              <w:smallCaps w:val="0"/>
              <w:noProof/>
              <w:sz w:val="22"/>
              <w:szCs w:val="22"/>
              <w:lang w:eastAsia="en-GB" w:bidi="ar-SA"/>
            </w:rPr>
          </w:pPr>
          <w:hyperlink w:anchor="_Toc76138286" w:history="1">
            <w:r w:rsidR="00BF3F3E" w:rsidRPr="00AC330E">
              <w:rPr>
                <w:rStyle w:val="Hyperlink"/>
                <w:noProof/>
              </w:rPr>
              <w:t>6.1</w:t>
            </w:r>
            <w:r w:rsidR="00BF3F3E">
              <w:rPr>
                <w:rFonts w:eastAsiaTheme="minorEastAsia" w:cstheme="minorBidi"/>
                <w:smallCaps w:val="0"/>
                <w:noProof/>
                <w:sz w:val="22"/>
                <w:szCs w:val="22"/>
                <w:lang w:eastAsia="en-GB" w:bidi="ar-SA"/>
              </w:rPr>
              <w:tab/>
            </w:r>
            <w:r w:rsidR="00BF3F3E" w:rsidRPr="00AC330E">
              <w:rPr>
                <w:rStyle w:val="Hyperlink"/>
                <w:noProof/>
              </w:rPr>
              <w:t>Definitions and calculations relevant to carbohydrate identity</w:t>
            </w:r>
            <w:r w:rsidR="00BF3F3E">
              <w:rPr>
                <w:noProof/>
                <w:webHidden/>
              </w:rPr>
              <w:tab/>
            </w:r>
            <w:r w:rsidR="00BF3F3E">
              <w:rPr>
                <w:noProof/>
                <w:webHidden/>
              </w:rPr>
              <w:fldChar w:fldCharType="begin"/>
            </w:r>
            <w:r w:rsidR="00BF3F3E">
              <w:rPr>
                <w:noProof/>
                <w:webHidden/>
              </w:rPr>
              <w:instrText xml:space="preserve"> PAGEREF _Toc76138286 \h </w:instrText>
            </w:r>
            <w:r w:rsidR="00BF3F3E">
              <w:rPr>
                <w:noProof/>
                <w:webHidden/>
              </w:rPr>
            </w:r>
            <w:r w:rsidR="00BF3F3E">
              <w:rPr>
                <w:noProof/>
                <w:webHidden/>
              </w:rPr>
              <w:fldChar w:fldCharType="separate"/>
            </w:r>
            <w:r w:rsidR="00BF3F3E">
              <w:rPr>
                <w:noProof/>
                <w:webHidden/>
              </w:rPr>
              <w:t>47</w:t>
            </w:r>
            <w:r w:rsidR="00BF3F3E">
              <w:rPr>
                <w:noProof/>
                <w:webHidden/>
              </w:rPr>
              <w:fldChar w:fldCharType="end"/>
            </w:r>
          </w:hyperlink>
        </w:p>
        <w:p w14:paraId="1E538538" w14:textId="3DEB9D7A" w:rsidR="00BF3F3E" w:rsidRDefault="001938AB">
          <w:pPr>
            <w:pStyle w:val="TOC2"/>
            <w:tabs>
              <w:tab w:val="left" w:pos="880"/>
              <w:tab w:val="right" w:leader="dot" w:pos="9016"/>
            </w:tabs>
            <w:rPr>
              <w:rFonts w:eastAsiaTheme="minorEastAsia" w:cstheme="minorBidi"/>
              <w:smallCaps w:val="0"/>
              <w:noProof/>
              <w:sz w:val="22"/>
              <w:szCs w:val="22"/>
              <w:lang w:eastAsia="en-GB" w:bidi="ar-SA"/>
            </w:rPr>
          </w:pPr>
          <w:hyperlink w:anchor="_Toc76138287" w:history="1">
            <w:r w:rsidR="00BF3F3E" w:rsidRPr="00AC330E">
              <w:rPr>
                <w:rStyle w:val="Hyperlink"/>
                <w:noProof/>
              </w:rPr>
              <w:t>6.2</w:t>
            </w:r>
            <w:r w:rsidR="00BF3F3E">
              <w:rPr>
                <w:rFonts w:eastAsiaTheme="minorEastAsia" w:cstheme="minorBidi"/>
                <w:smallCaps w:val="0"/>
                <w:noProof/>
                <w:sz w:val="22"/>
                <w:szCs w:val="22"/>
                <w:lang w:eastAsia="en-GB" w:bidi="ar-SA"/>
              </w:rPr>
              <w:tab/>
            </w:r>
            <w:r w:rsidR="00BF3F3E" w:rsidRPr="00AC330E">
              <w:rPr>
                <w:rStyle w:val="Hyperlink"/>
                <w:noProof/>
              </w:rPr>
              <w:t>Dietary fibre</w:t>
            </w:r>
            <w:r w:rsidR="00BF3F3E">
              <w:rPr>
                <w:noProof/>
                <w:webHidden/>
              </w:rPr>
              <w:tab/>
            </w:r>
            <w:r w:rsidR="00BF3F3E">
              <w:rPr>
                <w:noProof/>
                <w:webHidden/>
              </w:rPr>
              <w:fldChar w:fldCharType="begin"/>
            </w:r>
            <w:r w:rsidR="00BF3F3E">
              <w:rPr>
                <w:noProof/>
                <w:webHidden/>
              </w:rPr>
              <w:instrText xml:space="preserve"> PAGEREF _Toc76138287 \h </w:instrText>
            </w:r>
            <w:r w:rsidR="00BF3F3E">
              <w:rPr>
                <w:noProof/>
                <w:webHidden/>
              </w:rPr>
            </w:r>
            <w:r w:rsidR="00BF3F3E">
              <w:rPr>
                <w:noProof/>
                <w:webHidden/>
              </w:rPr>
              <w:fldChar w:fldCharType="separate"/>
            </w:r>
            <w:r w:rsidR="00BF3F3E">
              <w:rPr>
                <w:noProof/>
                <w:webHidden/>
              </w:rPr>
              <w:t>48</w:t>
            </w:r>
            <w:r w:rsidR="00BF3F3E">
              <w:rPr>
                <w:noProof/>
                <w:webHidden/>
              </w:rPr>
              <w:fldChar w:fldCharType="end"/>
            </w:r>
          </w:hyperlink>
        </w:p>
        <w:p w14:paraId="052A89F1" w14:textId="1D995EAF" w:rsidR="00BF3F3E" w:rsidRDefault="001938AB">
          <w:pPr>
            <w:pStyle w:val="TOC2"/>
            <w:tabs>
              <w:tab w:val="left" w:pos="880"/>
              <w:tab w:val="right" w:leader="dot" w:pos="9016"/>
            </w:tabs>
            <w:rPr>
              <w:rFonts w:eastAsiaTheme="minorEastAsia" w:cstheme="minorBidi"/>
              <w:smallCaps w:val="0"/>
              <w:noProof/>
              <w:sz w:val="22"/>
              <w:szCs w:val="22"/>
              <w:lang w:eastAsia="en-GB" w:bidi="ar-SA"/>
            </w:rPr>
          </w:pPr>
          <w:hyperlink w:anchor="_Toc76138288" w:history="1">
            <w:r w:rsidR="00BF3F3E" w:rsidRPr="00AC330E">
              <w:rPr>
                <w:rStyle w:val="Hyperlink"/>
                <w:noProof/>
              </w:rPr>
              <w:t>6.3</w:t>
            </w:r>
            <w:r w:rsidR="00BF3F3E">
              <w:rPr>
                <w:rFonts w:eastAsiaTheme="minorEastAsia" w:cstheme="minorBidi"/>
                <w:smallCaps w:val="0"/>
                <w:noProof/>
                <w:sz w:val="22"/>
                <w:szCs w:val="22"/>
                <w:lang w:eastAsia="en-GB" w:bidi="ar-SA"/>
              </w:rPr>
              <w:tab/>
            </w:r>
            <w:r w:rsidR="00BF3F3E" w:rsidRPr="00AC330E">
              <w:rPr>
                <w:rStyle w:val="Hyperlink"/>
                <w:noProof/>
              </w:rPr>
              <w:t>Carbohydrate source</w:t>
            </w:r>
            <w:r w:rsidR="00BF3F3E">
              <w:rPr>
                <w:noProof/>
                <w:webHidden/>
              </w:rPr>
              <w:tab/>
            </w:r>
            <w:r w:rsidR="00BF3F3E">
              <w:rPr>
                <w:noProof/>
                <w:webHidden/>
              </w:rPr>
              <w:fldChar w:fldCharType="begin"/>
            </w:r>
            <w:r w:rsidR="00BF3F3E">
              <w:rPr>
                <w:noProof/>
                <w:webHidden/>
              </w:rPr>
              <w:instrText xml:space="preserve"> PAGEREF _Toc76138288 \h </w:instrText>
            </w:r>
            <w:r w:rsidR="00BF3F3E">
              <w:rPr>
                <w:noProof/>
                <w:webHidden/>
              </w:rPr>
            </w:r>
            <w:r w:rsidR="00BF3F3E">
              <w:rPr>
                <w:noProof/>
                <w:webHidden/>
              </w:rPr>
              <w:fldChar w:fldCharType="separate"/>
            </w:r>
            <w:r w:rsidR="00BF3F3E">
              <w:rPr>
                <w:noProof/>
                <w:webHidden/>
              </w:rPr>
              <w:t>50</w:t>
            </w:r>
            <w:r w:rsidR="00BF3F3E">
              <w:rPr>
                <w:noProof/>
                <w:webHidden/>
              </w:rPr>
              <w:fldChar w:fldCharType="end"/>
            </w:r>
          </w:hyperlink>
        </w:p>
        <w:p w14:paraId="4BFA98CC" w14:textId="797A03DB" w:rsidR="00BF3F3E" w:rsidRDefault="001938AB">
          <w:pPr>
            <w:pStyle w:val="TOC2"/>
            <w:tabs>
              <w:tab w:val="left" w:pos="880"/>
              <w:tab w:val="right" w:leader="dot" w:pos="9016"/>
            </w:tabs>
            <w:rPr>
              <w:rFonts w:eastAsiaTheme="minorEastAsia" w:cstheme="minorBidi"/>
              <w:smallCaps w:val="0"/>
              <w:noProof/>
              <w:sz w:val="22"/>
              <w:szCs w:val="22"/>
              <w:lang w:eastAsia="en-GB" w:bidi="ar-SA"/>
            </w:rPr>
          </w:pPr>
          <w:hyperlink w:anchor="_Toc76138289" w:history="1">
            <w:r w:rsidR="00BF3F3E" w:rsidRPr="00AC330E">
              <w:rPr>
                <w:rStyle w:val="Hyperlink"/>
                <w:noProof/>
              </w:rPr>
              <w:t>6.4</w:t>
            </w:r>
            <w:r w:rsidR="00BF3F3E">
              <w:rPr>
                <w:rFonts w:eastAsiaTheme="minorEastAsia" w:cstheme="minorBidi"/>
                <w:smallCaps w:val="0"/>
                <w:noProof/>
                <w:sz w:val="22"/>
                <w:szCs w:val="22"/>
                <w:lang w:eastAsia="en-GB" w:bidi="ar-SA"/>
              </w:rPr>
              <w:tab/>
            </w:r>
            <w:r w:rsidR="00BF3F3E" w:rsidRPr="00AC330E">
              <w:rPr>
                <w:rStyle w:val="Hyperlink"/>
                <w:noProof/>
              </w:rPr>
              <w:t>Permitted range for total carbohydrate content</w:t>
            </w:r>
            <w:r w:rsidR="00BF3F3E">
              <w:rPr>
                <w:noProof/>
                <w:webHidden/>
              </w:rPr>
              <w:tab/>
            </w:r>
            <w:r w:rsidR="00BF3F3E">
              <w:rPr>
                <w:noProof/>
                <w:webHidden/>
              </w:rPr>
              <w:fldChar w:fldCharType="begin"/>
            </w:r>
            <w:r w:rsidR="00BF3F3E">
              <w:rPr>
                <w:noProof/>
                <w:webHidden/>
              </w:rPr>
              <w:instrText xml:space="preserve"> PAGEREF _Toc76138289 \h </w:instrText>
            </w:r>
            <w:r w:rsidR="00BF3F3E">
              <w:rPr>
                <w:noProof/>
                <w:webHidden/>
              </w:rPr>
            </w:r>
            <w:r w:rsidR="00BF3F3E">
              <w:rPr>
                <w:noProof/>
                <w:webHidden/>
              </w:rPr>
              <w:fldChar w:fldCharType="separate"/>
            </w:r>
            <w:r w:rsidR="00BF3F3E">
              <w:rPr>
                <w:noProof/>
                <w:webHidden/>
              </w:rPr>
              <w:t>52</w:t>
            </w:r>
            <w:r w:rsidR="00BF3F3E">
              <w:rPr>
                <w:noProof/>
                <w:webHidden/>
              </w:rPr>
              <w:fldChar w:fldCharType="end"/>
            </w:r>
          </w:hyperlink>
        </w:p>
        <w:p w14:paraId="67C4B76D" w14:textId="6B61EF08" w:rsidR="00BF3F3E" w:rsidRDefault="001938AB">
          <w:pPr>
            <w:pStyle w:val="TOC1"/>
            <w:tabs>
              <w:tab w:val="left" w:pos="440"/>
            </w:tabs>
            <w:rPr>
              <w:rFonts w:eastAsiaTheme="minorEastAsia" w:cstheme="minorBidi"/>
              <w:b w:val="0"/>
              <w:bCs w:val="0"/>
              <w:caps w:val="0"/>
              <w:noProof/>
              <w:sz w:val="22"/>
              <w:szCs w:val="22"/>
              <w:lang w:eastAsia="en-GB" w:bidi="ar-SA"/>
            </w:rPr>
          </w:pPr>
          <w:hyperlink w:anchor="_Toc76138290" w:history="1">
            <w:r w:rsidR="00BF3F3E" w:rsidRPr="00AC330E">
              <w:rPr>
                <w:rStyle w:val="Hyperlink"/>
                <w:noProof/>
              </w:rPr>
              <w:t>7</w:t>
            </w:r>
            <w:r w:rsidR="00BF3F3E">
              <w:rPr>
                <w:rFonts w:eastAsiaTheme="minorEastAsia" w:cstheme="minorBidi"/>
                <w:b w:val="0"/>
                <w:bCs w:val="0"/>
                <w:caps w:val="0"/>
                <w:noProof/>
                <w:sz w:val="22"/>
                <w:szCs w:val="22"/>
                <w:lang w:eastAsia="en-GB" w:bidi="ar-SA"/>
              </w:rPr>
              <w:tab/>
            </w:r>
            <w:r w:rsidR="00BF3F3E" w:rsidRPr="00AC330E">
              <w:rPr>
                <w:rStyle w:val="Hyperlink"/>
                <w:noProof/>
              </w:rPr>
              <w:t>Micronutrients</w:t>
            </w:r>
            <w:r w:rsidR="00BF3F3E">
              <w:rPr>
                <w:noProof/>
                <w:webHidden/>
              </w:rPr>
              <w:tab/>
            </w:r>
            <w:r w:rsidR="00BF3F3E">
              <w:rPr>
                <w:noProof/>
                <w:webHidden/>
              </w:rPr>
              <w:fldChar w:fldCharType="begin"/>
            </w:r>
            <w:r w:rsidR="00BF3F3E">
              <w:rPr>
                <w:noProof/>
                <w:webHidden/>
              </w:rPr>
              <w:instrText xml:space="preserve"> PAGEREF _Toc76138290 \h </w:instrText>
            </w:r>
            <w:r w:rsidR="00BF3F3E">
              <w:rPr>
                <w:noProof/>
                <w:webHidden/>
              </w:rPr>
            </w:r>
            <w:r w:rsidR="00BF3F3E">
              <w:rPr>
                <w:noProof/>
                <w:webHidden/>
              </w:rPr>
              <w:fldChar w:fldCharType="separate"/>
            </w:r>
            <w:r w:rsidR="00BF3F3E">
              <w:rPr>
                <w:noProof/>
                <w:webHidden/>
              </w:rPr>
              <w:t>53</w:t>
            </w:r>
            <w:r w:rsidR="00BF3F3E">
              <w:rPr>
                <w:noProof/>
                <w:webHidden/>
              </w:rPr>
              <w:fldChar w:fldCharType="end"/>
            </w:r>
          </w:hyperlink>
        </w:p>
        <w:p w14:paraId="00BDD154" w14:textId="6AE7EAFC" w:rsidR="00BF3F3E" w:rsidRDefault="001938AB">
          <w:pPr>
            <w:pStyle w:val="TOC2"/>
            <w:tabs>
              <w:tab w:val="left" w:pos="880"/>
              <w:tab w:val="right" w:leader="dot" w:pos="9016"/>
            </w:tabs>
            <w:rPr>
              <w:rFonts w:eastAsiaTheme="minorEastAsia" w:cstheme="minorBidi"/>
              <w:smallCaps w:val="0"/>
              <w:noProof/>
              <w:sz w:val="22"/>
              <w:szCs w:val="22"/>
              <w:lang w:eastAsia="en-GB" w:bidi="ar-SA"/>
            </w:rPr>
          </w:pPr>
          <w:hyperlink w:anchor="_Toc76138291" w:history="1">
            <w:r w:rsidR="00BF3F3E" w:rsidRPr="00AC330E">
              <w:rPr>
                <w:rStyle w:val="Hyperlink"/>
                <w:noProof/>
              </w:rPr>
              <w:t>7.1</w:t>
            </w:r>
            <w:r w:rsidR="00BF3F3E">
              <w:rPr>
                <w:rFonts w:eastAsiaTheme="minorEastAsia" w:cstheme="minorBidi"/>
                <w:smallCaps w:val="0"/>
                <w:noProof/>
                <w:sz w:val="22"/>
                <w:szCs w:val="22"/>
                <w:lang w:eastAsia="en-GB" w:bidi="ar-SA"/>
              </w:rPr>
              <w:tab/>
            </w:r>
            <w:r w:rsidR="00BF3F3E" w:rsidRPr="00AC330E">
              <w:rPr>
                <w:rStyle w:val="Hyperlink"/>
                <w:noProof/>
              </w:rPr>
              <w:t>Guideline and maximum amounts</w:t>
            </w:r>
            <w:r w:rsidR="00BF3F3E">
              <w:rPr>
                <w:noProof/>
                <w:webHidden/>
              </w:rPr>
              <w:tab/>
            </w:r>
            <w:r w:rsidR="00BF3F3E">
              <w:rPr>
                <w:noProof/>
                <w:webHidden/>
              </w:rPr>
              <w:fldChar w:fldCharType="begin"/>
            </w:r>
            <w:r w:rsidR="00BF3F3E">
              <w:rPr>
                <w:noProof/>
                <w:webHidden/>
              </w:rPr>
              <w:instrText xml:space="preserve"> PAGEREF _Toc76138291 \h </w:instrText>
            </w:r>
            <w:r w:rsidR="00BF3F3E">
              <w:rPr>
                <w:noProof/>
                <w:webHidden/>
              </w:rPr>
            </w:r>
            <w:r w:rsidR="00BF3F3E">
              <w:rPr>
                <w:noProof/>
                <w:webHidden/>
              </w:rPr>
              <w:fldChar w:fldCharType="separate"/>
            </w:r>
            <w:r w:rsidR="00BF3F3E">
              <w:rPr>
                <w:noProof/>
                <w:webHidden/>
              </w:rPr>
              <w:t>53</w:t>
            </w:r>
            <w:r w:rsidR="00BF3F3E">
              <w:rPr>
                <w:noProof/>
                <w:webHidden/>
              </w:rPr>
              <w:fldChar w:fldCharType="end"/>
            </w:r>
          </w:hyperlink>
        </w:p>
        <w:p w14:paraId="0D14393E" w14:textId="2514A966" w:rsidR="00BF3F3E" w:rsidRDefault="001938AB">
          <w:pPr>
            <w:pStyle w:val="TOC2"/>
            <w:tabs>
              <w:tab w:val="left" w:pos="880"/>
              <w:tab w:val="right" w:leader="dot" w:pos="9016"/>
            </w:tabs>
            <w:rPr>
              <w:rFonts w:eastAsiaTheme="minorEastAsia" w:cstheme="minorBidi"/>
              <w:smallCaps w:val="0"/>
              <w:noProof/>
              <w:sz w:val="22"/>
              <w:szCs w:val="22"/>
              <w:lang w:eastAsia="en-GB" w:bidi="ar-SA"/>
            </w:rPr>
          </w:pPr>
          <w:hyperlink w:anchor="_Toc76138292" w:history="1">
            <w:r w:rsidR="00BF3F3E" w:rsidRPr="00AC330E">
              <w:rPr>
                <w:rStyle w:val="Hyperlink"/>
                <w:noProof/>
              </w:rPr>
              <w:t>7.2</w:t>
            </w:r>
            <w:r w:rsidR="00BF3F3E">
              <w:rPr>
                <w:rFonts w:eastAsiaTheme="minorEastAsia" w:cstheme="minorBidi"/>
                <w:smallCaps w:val="0"/>
                <w:noProof/>
                <w:sz w:val="22"/>
                <w:szCs w:val="22"/>
                <w:lang w:eastAsia="en-GB" w:bidi="ar-SA"/>
              </w:rPr>
              <w:tab/>
            </w:r>
            <w:r w:rsidR="00BF3F3E" w:rsidRPr="00AC330E">
              <w:rPr>
                <w:rStyle w:val="Hyperlink"/>
                <w:noProof/>
              </w:rPr>
              <w:t>Vitamin equivalents and conversion factors</w:t>
            </w:r>
            <w:r w:rsidR="00BF3F3E">
              <w:rPr>
                <w:noProof/>
                <w:webHidden/>
              </w:rPr>
              <w:tab/>
            </w:r>
            <w:r w:rsidR="00BF3F3E">
              <w:rPr>
                <w:noProof/>
                <w:webHidden/>
              </w:rPr>
              <w:fldChar w:fldCharType="begin"/>
            </w:r>
            <w:r w:rsidR="00BF3F3E">
              <w:rPr>
                <w:noProof/>
                <w:webHidden/>
              </w:rPr>
              <w:instrText xml:space="preserve"> PAGEREF _Toc76138292 \h </w:instrText>
            </w:r>
            <w:r w:rsidR="00BF3F3E">
              <w:rPr>
                <w:noProof/>
                <w:webHidden/>
              </w:rPr>
            </w:r>
            <w:r w:rsidR="00BF3F3E">
              <w:rPr>
                <w:noProof/>
                <w:webHidden/>
              </w:rPr>
              <w:fldChar w:fldCharType="separate"/>
            </w:r>
            <w:r w:rsidR="00BF3F3E">
              <w:rPr>
                <w:noProof/>
                <w:webHidden/>
              </w:rPr>
              <w:t>57</w:t>
            </w:r>
            <w:r w:rsidR="00BF3F3E">
              <w:rPr>
                <w:noProof/>
                <w:webHidden/>
              </w:rPr>
              <w:fldChar w:fldCharType="end"/>
            </w:r>
          </w:hyperlink>
        </w:p>
        <w:p w14:paraId="5BE4BC11" w14:textId="64B6E10B" w:rsidR="00BF3F3E" w:rsidRDefault="001938AB">
          <w:pPr>
            <w:pStyle w:val="TOC2"/>
            <w:tabs>
              <w:tab w:val="left" w:pos="880"/>
              <w:tab w:val="right" w:leader="dot" w:pos="9016"/>
            </w:tabs>
            <w:rPr>
              <w:rFonts w:eastAsiaTheme="minorEastAsia" w:cstheme="minorBidi"/>
              <w:smallCaps w:val="0"/>
              <w:noProof/>
              <w:sz w:val="22"/>
              <w:szCs w:val="22"/>
              <w:lang w:eastAsia="en-GB" w:bidi="ar-SA"/>
            </w:rPr>
          </w:pPr>
          <w:hyperlink w:anchor="_Toc76138293" w:history="1">
            <w:r w:rsidR="00BF3F3E" w:rsidRPr="00AC330E">
              <w:rPr>
                <w:rStyle w:val="Hyperlink"/>
                <w:noProof/>
              </w:rPr>
              <w:t>7.3</w:t>
            </w:r>
            <w:r w:rsidR="00BF3F3E">
              <w:rPr>
                <w:rFonts w:eastAsiaTheme="minorEastAsia" w:cstheme="minorBidi"/>
                <w:smallCaps w:val="0"/>
                <w:noProof/>
                <w:sz w:val="22"/>
                <w:szCs w:val="22"/>
                <w:lang w:eastAsia="en-GB" w:bidi="ar-SA"/>
              </w:rPr>
              <w:tab/>
            </w:r>
            <w:r w:rsidR="00BF3F3E" w:rsidRPr="00AC330E">
              <w:rPr>
                <w:rStyle w:val="Hyperlink"/>
                <w:noProof/>
              </w:rPr>
              <w:t>Permitted ranges for micronutrients</w:t>
            </w:r>
            <w:r w:rsidR="00BF3F3E">
              <w:rPr>
                <w:noProof/>
                <w:webHidden/>
              </w:rPr>
              <w:tab/>
            </w:r>
            <w:r w:rsidR="00BF3F3E">
              <w:rPr>
                <w:noProof/>
                <w:webHidden/>
              </w:rPr>
              <w:fldChar w:fldCharType="begin"/>
            </w:r>
            <w:r w:rsidR="00BF3F3E">
              <w:rPr>
                <w:noProof/>
                <w:webHidden/>
              </w:rPr>
              <w:instrText xml:space="preserve"> PAGEREF _Toc76138293 \h </w:instrText>
            </w:r>
            <w:r w:rsidR="00BF3F3E">
              <w:rPr>
                <w:noProof/>
                <w:webHidden/>
              </w:rPr>
            </w:r>
            <w:r w:rsidR="00BF3F3E">
              <w:rPr>
                <w:noProof/>
                <w:webHidden/>
              </w:rPr>
              <w:fldChar w:fldCharType="separate"/>
            </w:r>
            <w:r w:rsidR="00BF3F3E">
              <w:rPr>
                <w:noProof/>
                <w:webHidden/>
              </w:rPr>
              <w:t>63</w:t>
            </w:r>
            <w:r w:rsidR="00BF3F3E">
              <w:rPr>
                <w:noProof/>
                <w:webHidden/>
              </w:rPr>
              <w:fldChar w:fldCharType="end"/>
            </w:r>
          </w:hyperlink>
        </w:p>
        <w:p w14:paraId="710FB486" w14:textId="36FC7135" w:rsidR="00BF3F3E" w:rsidRDefault="001938AB">
          <w:pPr>
            <w:pStyle w:val="TOC2"/>
            <w:tabs>
              <w:tab w:val="left" w:pos="880"/>
              <w:tab w:val="right" w:leader="dot" w:pos="9016"/>
            </w:tabs>
            <w:rPr>
              <w:rFonts w:eastAsiaTheme="minorEastAsia" w:cstheme="minorBidi"/>
              <w:smallCaps w:val="0"/>
              <w:noProof/>
              <w:sz w:val="22"/>
              <w:szCs w:val="22"/>
              <w:lang w:eastAsia="en-GB" w:bidi="ar-SA"/>
            </w:rPr>
          </w:pPr>
          <w:hyperlink w:anchor="_Toc76138294" w:history="1">
            <w:r w:rsidR="00BF3F3E" w:rsidRPr="00AC330E">
              <w:rPr>
                <w:rStyle w:val="Hyperlink"/>
                <w:noProof/>
              </w:rPr>
              <w:t>7.4</w:t>
            </w:r>
            <w:r w:rsidR="00BF3F3E">
              <w:rPr>
                <w:rFonts w:eastAsiaTheme="minorEastAsia" w:cstheme="minorBidi"/>
                <w:smallCaps w:val="0"/>
                <w:noProof/>
                <w:sz w:val="22"/>
                <w:szCs w:val="22"/>
                <w:lang w:eastAsia="en-GB" w:bidi="ar-SA"/>
              </w:rPr>
              <w:tab/>
            </w:r>
            <w:r w:rsidR="00BF3F3E" w:rsidRPr="00AC330E">
              <w:rPr>
                <w:rStyle w:val="Hyperlink"/>
                <w:noProof/>
              </w:rPr>
              <w:t>Other ratios, equivalents and nutrient interactions</w:t>
            </w:r>
            <w:r w:rsidR="00BF3F3E">
              <w:rPr>
                <w:noProof/>
                <w:webHidden/>
              </w:rPr>
              <w:tab/>
            </w:r>
            <w:r w:rsidR="00BF3F3E">
              <w:rPr>
                <w:noProof/>
                <w:webHidden/>
              </w:rPr>
              <w:fldChar w:fldCharType="begin"/>
            </w:r>
            <w:r w:rsidR="00BF3F3E">
              <w:rPr>
                <w:noProof/>
                <w:webHidden/>
              </w:rPr>
              <w:instrText xml:space="preserve"> PAGEREF _Toc76138294 \h </w:instrText>
            </w:r>
            <w:r w:rsidR="00BF3F3E">
              <w:rPr>
                <w:noProof/>
                <w:webHidden/>
              </w:rPr>
            </w:r>
            <w:r w:rsidR="00BF3F3E">
              <w:rPr>
                <w:noProof/>
                <w:webHidden/>
              </w:rPr>
              <w:fldChar w:fldCharType="separate"/>
            </w:r>
            <w:r w:rsidR="00BF3F3E">
              <w:rPr>
                <w:noProof/>
                <w:webHidden/>
              </w:rPr>
              <w:t>91</w:t>
            </w:r>
            <w:r w:rsidR="00BF3F3E">
              <w:rPr>
                <w:noProof/>
                <w:webHidden/>
              </w:rPr>
              <w:fldChar w:fldCharType="end"/>
            </w:r>
          </w:hyperlink>
        </w:p>
        <w:p w14:paraId="028D60D6" w14:textId="2E4DDFEE" w:rsidR="00BF3F3E" w:rsidRDefault="001938AB">
          <w:pPr>
            <w:pStyle w:val="TOC2"/>
            <w:tabs>
              <w:tab w:val="left" w:pos="880"/>
              <w:tab w:val="right" w:leader="dot" w:pos="9016"/>
            </w:tabs>
            <w:rPr>
              <w:rFonts w:eastAsiaTheme="minorEastAsia" w:cstheme="minorBidi"/>
              <w:smallCaps w:val="0"/>
              <w:noProof/>
              <w:sz w:val="22"/>
              <w:szCs w:val="22"/>
              <w:lang w:eastAsia="en-GB" w:bidi="ar-SA"/>
            </w:rPr>
          </w:pPr>
          <w:hyperlink w:anchor="_Toc76138295" w:history="1">
            <w:r w:rsidR="00BF3F3E" w:rsidRPr="00AC330E">
              <w:rPr>
                <w:rStyle w:val="Hyperlink"/>
                <w:noProof/>
              </w:rPr>
              <w:t xml:space="preserve">7.5 </w:t>
            </w:r>
            <w:r w:rsidR="00BF3F3E">
              <w:rPr>
                <w:rFonts w:eastAsiaTheme="minorEastAsia" w:cstheme="minorBidi"/>
                <w:smallCaps w:val="0"/>
                <w:noProof/>
                <w:sz w:val="22"/>
                <w:szCs w:val="22"/>
                <w:lang w:eastAsia="en-GB" w:bidi="ar-SA"/>
              </w:rPr>
              <w:tab/>
            </w:r>
            <w:r w:rsidR="00BF3F3E" w:rsidRPr="00AC330E">
              <w:rPr>
                <w:rStyle w:val="Hyperlink"/>
                <w:noProof/>
              </w:rPr>
              <w:t>Permitted forms of vitamins, minerals and electrolytes</w:t>
            </w:r>
            <w:r w:rsidR="00BF3F3E">
              <w:rPr>
                <w:noProof/>
                <w:webHidden/>
              </w:rPr>
              <w:tab/>
            </w:r>
            <w:r w:rsidR="00BF3F3E">
              <w:rPr>
                <w:noProof/>
                <w:webHidden/>
              </w:rPr>
              <w:fldChar w:fldCharType="begin"/>
            </w:r>
            <w:r w:rsidR="00BF3F3E">
              <w:rPr>
                <w:noProof/>
                <w:webHidden/>
              </w:rPr>
              <w:instrText xml:space="preserve"> PAGEREF _Toc76138295 \h </w:instrText>
            </w:r>
            <w:r w:rsidR="00BF3F3E">
              <w:rPr>
                <w:noProof/>
                <w:webHidden/>
              </w:rPr>
            </w:r>
            <w:r w:rsidR="00BF3F3E">
              <w:rPr>
                <w:noProof/>
                <w:webHidden/>
              </w:rPr>
              <w:fldChar w:fldCharType="separate"/>
            </w:r>
            <w:r w:rsidR="00BF3F3E">
              <w:rPr>
                <w:noProof/>
                <w:webHidden/>
              </w:rPr>
              <w:t>95</w:t>
            </w:r>
            <w:r w:rsidR="00BF3F3E">
              <w:rPr>
                <w:noProof/>
                <w:webHidden/>
              </w:rPr>
              <w:fldChar w:fldCharType="end"/>
            </w:r>
          </w:hyperlink>
        </w:p>
        <w:p w14:paraId="04C89171" w14:textId="00B633FD" w:rsidR="00BF3F3E" w:rsidRDefault="001938AB">
          <w:pPr>
            <w:pStyle w:val="TOC2"/>
            <w:tabs>
              <w:tab w:val="left" w:pos="880"/>
              <w:tab w:val="right" w:leader="dot" w:pos="9016"/>
            </w:tabs>
            <w:rPr>
              <w:rFonts w:eastAsiaTheme="minorEastAsia" w:cstheme="minorBidi"/>
              <w:smallCaps w:val="0"/>
              <w:noProof/>
              <w:sz w:val="22"/>
              <w:szCs w:val="22"/>
              <w:lang w:eastAsia="en-GB" w:bidi="ar-SA"/>
            </w:rPr>
          </w:pPr>
          <w:hyperlink w:anchor="_Toc76138296" w:history="1">
            <w:r w:rsidR="00BF3F3E" w:rsidRPr="00AC330E">
              <w:rPr>
                <w:rStyle w:val="Hyperlink"/>
                <w:noProof/>
              </w:rPr>
              <w:t>7.6</w:t>
            </w:r>
            <w:r w:rsidR="00BF3F3E">
              <w:rPr>
                <w:rFonts w:eastAsiaTheme="minorEastAsia" w:cstheme="minorBidi"/>
                <w:smallCaps w:val="0"/>
                <w:noProof/>
                <w:sz w:val="22"/>
                <w:szCs w:val="22"/>
                <w:lang w:eastAsia="en-GB" w:bidi="ar-SA"/>
              </w:rPr>
              <w:tab/>
            </w:r>
            <w:r w:rsidR="00BF3F3E" w:rsidRPr="00AC330E">
              <w:rPr>
                <w:rStyle w:val="Hyperlink"/>
                <w:noProof/>
              </w:rPr>
              <w:t>Fluoride</w:t>
            </w:r>
            <w:r w:rsidR="00BF3F3E">
              <w:rPr>
                <w:noProof/>
                <w:webHidden/>
              </w:rPr>
              <w:tab/>
            </w:r>
            <w:r w:rsidR="00BF3F3E">
              <w:rPr>
                <w:noProof/>
                <w:webHidden/>
              </w:rPr>
              <w:fldChar w:fldCharType="begin"/>
            </w:r>
            <w:r w:rsidR="00BF3F3E">
              <w:rPr>
                <w:noProof/>
                <w:webHidden/>
              </w:rPr>
              <w:instrText xml:space="preserve"> PAGEREF _Toc76138296 \h </w:instrText>
            </w:r>
            <w:r w:rsidR="00BF3F3E">
              <w:rPr>
                <w:noProof/>
                <w:webHidden/>
              </w:rPr>
            </w:r>
            <w:r w:rsidR="00BF3F3E">
              <w:rPr>
                <w:noProof/>
                <w:webHidden/>
              </w:rPr>
              <w:fldChar w:fldCharType="separate"/>
            </w:r>
            <w:r w:rsidR="00BF3F3E">
              <w:rPr>
                <w:noProof/>
                <w:webHidden/>
              </w:rPr>
              <w:t>98</w:t>
            </w:r>
            <w:r w:rsidR="00BF3F3E">
              <w:rPr>
                <w:noProof/>
                <w:webHidden/>
              </w:rPr>
              <w:fldChar w:fldCharType="end"/>
            </w:r>
          </w:hyperlink>
        </w:p>
        <w:p w14:paraId="1D80492A" w14:textId="554F4272" w:rsidR="00BF3F3E" w:rsidRDefault="001938AB">
          <w:pPr>
            <w:pStyle w:val="TOC1"/>
            <w:tabs>
              <w:tab w:val="left" w:pos="440"/>
            </w:tabs>
            <w:rPr>
              <w:rFonts w:eastAsiaTheme="minorEastAsia" w:cstheme="minorBidi"/>
              <w:b w:val="0"/>
              <w:bCs w:val="0"/>
              <w:caps w:val="0"/>
              <w:noProof/>
              <w:sz w:val="22"/>
              <w:szCs w:val="22"/>
              <w:lang w:eastAsia="en-GB" w:bidi="ar-SA"/>
            </w:rPr>
          </w:pPr>
          <w:hyperlink w:anchor="_Toc76138297" w:history="1">
            <w:r w:rsidR="00BF3F3E" w:rsidRPr="00AC330E">
              <w:rPr>
                <w:rStyle w:val="Hyperlink"/>
                <w:noProof/>
              </w:rPr>
              <w:t>8</w:t>
            </w:r>
            <w:r w:rsidR="00BF3F3E">
              <w:rPr>
                <w:rFonts w:eastAsiaTheme="minorEastAsia" w:cstheme="minorBidi"/>
                <w:b w:val="0"/>
                <w:bCs w:val="0"/>
                <w:caps w:val="0"/>
                <w:noProof/>
                <w:sz w:val="22"/>
                <w:szCs w:val="22"/>
                <w:lang w:eastAsia="en-GB" w:bidi="ar-SA"/>
              </w:rPr>
              <w:tab/>
            </w:r>
            <w:r w:rsidR="00BF3F3E" w:rsidRPr="00AC330E">
              <w:rPr>
                <w:rStyle w:val="Hyperlink"/>
                <w:noProof/>
              </w:rPr>
              <w:t>Other optional substances</w:t>
            </w:r>
            <w:r w:rsidR="00BF3F3E">
              <w:rPr>
                <w:noProof/>
                <w:webHidden/>
              </w:rPr>
              <w:tab/>
            </w:r>
            <w:r w:rsidR="00BF3F3E">
              <w:rPr>
                <w:noProof/>
                <w:webHidden/>
              </w:rPr>
              <w:fldChar w:fldCharType="begin"/>
            </w:r>
            <w:r w:rsidR="00BF3F3E">
              <w:rPr>
                <w:noProof/>
                <w:webHidden/>
              </w:rPr>
              <w:instrText xml:space="preserve"> PAGEREF _Toc76138297 \h </w:instrText>
            </w:r>
            <w:r w:rsidR="00BF3F3E">
              <w:rPr>
                <w:noProof/>
                <w:webHidden/>
              </w:rPr>
            </w:r>
            <w:r w:rsidR="00BF3F3E">
              <w:rPr>
                <w:noProof/>
                <w:webHidden/>
              </w:rPr>
              <w:fldChar w:fldCharType="separate"/>
            </w:r>
            <w:r w:rsidR="00BF3F3E">
              <w:rPr>
                <w:noProof/>
                <w:webHidden/>
              </w:rPr>
              <w:t>101</w:t>
            </w:r>
            <w:r w:rsidR="00BF3F3E">
              <w:rPr>
                <w:noProof/>
                <w:webHidden/>
              </w:rPr>
              <w:fldChar w:fldCharType="end"/>
            </w:r>
          </w:hyperlink>
        </w:p>
        <w:p w14:paraId="5D8381B3" w14:textId="6C0FC7D7" w:rsidR="00BF3F3E" w:rsidRDefault="001938AB">
          <w:pPr>
            <w:pStyle w:val="TOC2"/>
            <w:tabs>
              <w:tab w:val="left" w:pos="880"/>
              <w:tab w:val="right" w:leader="dot" w:pos="9016"/>
            </w:tabs>
            <w:rPr>
              <w:rFonts w:eastAsiaTheme="minorEastAsia" w:cstheme="minorBidi"/>
              <w:smallCaps w:val="0"/>
              <w:noProof/>
              <w:sz w:val="22"/>
              <w:szCs w:val="22"/>
              <w:lang w:eastAsia="en-GB" w:bidi="ar-SA"/>
            </w:rPr>
          </w:pPr>
          <w:hyperlink w:anchor="_Toc76138298" w:history="1">
            <w:r w:rsidR="00BF3F3E" w:rsidRPr="00AC330E">
              <w:rPr>
                <w:rStyle w:val="Hyperlink"/>
                <w:noProof/>
              </w:rPr>
              <w:t>8.1</w:t>
            </w:r>
            <w:r w:rsidR="00BF3F3E">
              <w:rPr>
                <w:rFonts w:eastAsiaTheme="minorEastAsia" w:cstheme="minorBidi"/>
                <w:smallCaps w:val="0"/>
                <w:noProof/>
                <w:sz w:val="22"/>
                <w:szCs w:val="22"/>
                <w:lang w:eastAsia="en-GB" w:bidi="ar-SA"/>
              </w:rPr>
              <w:tab/>
            </w:r>
            <w:r w:rsidR="00BF3F3E" w:rsidRPr="00AC330E">
              <w:rPr>
                <w:rStyle w:val="Hyperlink"/>
                <w:noProof/>
              </w:rPr>
              <w:t>Choline</w:t>
            </w:r>
            <w:r w:rsidR="00BF3F3E">
              <w:rPr>
                <w:noProof/>
                <w:webHidden/>
              </w:rPr>
              <w:tab/>
            </w:r>
            <w:r w:rsidR="00BF3F3E">
              <w:rPr>
                <w:noProof/>
                <w:webHidden/>
              </w:rPr>
              <w:fldChar w:fldCharType="begin"/>
            </w:r>
            <w:r w:rsidR="00BF3F3E">
              <w:rPr>
                <w:noProof/>
                <w:webHidden/>
              </w:rPr>
              <w:instrText xml:space="preserve"> PAGEREF _Toc76138298 \h </w:instrText>
            </w:r>
            <w:r w:rsidR="00BF3F3E">
              <w:rPr>
                <w:noProof/>
                <w:webHidden/>
              </w:rPr>
            </w:r>
            <w:r w:rsidR="00BF3F3E">
              <w:rPr>
                <w:noProof/>
                <w:webHidden/>
              </w:rPr>
              <w:fldChar w:fldCharType="separate"/>
            </w:r>
            <w:r w:rsidR="00BF3F3E">
              <w:rPr>
                <w:noProof/>
                <w:webHidden/>
              </w:rPr>
              <w:t>101</w:t>
            </w:r>
            <w:r w:rsidR="00BF3F3E">
              <w:rPr>
                <w:noProof/>
                <w:webHidden/>
              </w:rPr>
              <w:fldChar w:fldCharType="end"/>
            </w:r>
          </w:hyperlink>
        </w:p>
        <w:p w14:paraId="19139C7D" w14:textId="70FB5CD8" w:rsidR="00BF3F3E" w:rsidRDefault="001938AB">
          <w:pPr>
            <w:pStyle w:val="TOC2"/>
            <w:tabs>
              <w:tab w:val="left" w:pos="880"/>
              <w:tab w:val="right" w:leader="dot" w:pos="9016"/>
            </w:tabs>
            <w:rPr>
              <w:rFonts w:eastAsiaTheme="minorEastAsia" w:cstheme="minorBidi"/>
              <w:smallCaps w:val="0"/>
              <w:noProof/>
              <w:sz w:val="22"/>
              <w:szCs w:val="22"/>
              <w:lang w:eastAsia="en-GB" w:bidi="ar-SA"/>
            </w:rPr>
          </w:pPr>
          <w:hyperlink w:anchor="_Toc76138299" w:history="1">
            <w:r w:rsidR="00BF3F3E" w:rsidRPr="00AC330E">
              <w:rPr>
                <w:rStyle w:val="Hyperlink"/>
                <w:noProof/>
              </w:rPr>
              <w:t>8.2</w:t>
            </w:r>
            <w:r w:rsidR="00BF3F3E">
              <w:rPr>
                <w:rFonts w:eastAsiaTheme="minorEastAsia" w:cstheme="minorBidi"/>
                <w:smallCaps w:val="0"/>
                <w:noProof/>
                <w:sz w:val="22"/>
                <w:szCs w:val="22"/>
                <w:lang w:eastAsia="en-GB" w:bidi="ar-SA"/>
              </w:rPr>
              <w:tab/>
            </w:r>
            <w:r w:rsidR="00BF3F3E" w:rsidRPr="00AC330E">
              <w:rPr>
                <w:rStyle w:val="Hyperlink"/>
                <w:noProof/>
              </w:rPr>
              <w:t>L-carnitine</w:t>
            </w:r>
            <w:r w:rsidR="00BF3F3E">
              <w:rPr>
                <w:noProof/>
                <w:webHidden/>
              </w:rPr>
              <w:tab/>
            </w:r>
            <w:r w:rsidR="00BF3F3E">
              <w:rPr>
                <w:noProof/>
                <w:webHidden/>
              </w:rPr>
              <w:fldChar w:fldCharType="begin"/>
            </w:r>
            <w:r w:rsidR="00BF3F3E">
              <w:rPr>
                <w:noProof/>
                <w:webHidden/>
              </w:rPr>
              <w:instrText xml:space="preserve"> PAGEREF _Toc76138299 \h </w:instrText>
            </w:r>
            <w:r w:rsidR="00BF3F3E">
              <w:rPr>
                <w:noProof/>
                <w:webHidden/>
              </w:rPr>
            </w:r>
            <w:r w:rsidR="00BF3F3E">
              <w:rPr>
                <w:noProof/>
                <w:webHidden/>
              </w:rPr>
              <w:fldChar w:fldCharType="separate"/>
            </w:r>
            <w:r w:rsidR="00BF3F3E">
              <w:rPr>
                <w:noProof/>
                <w:webHidden/>
              </w:rPr>
              <w:t>103</w:t>
            </w:r>
            <w:r w:rsidR="00BF3F3E">
              <w:rPr>
                <w:noProof/>
                <w:webHidden/>
              </w:rPr>
              <w:fldChar w:fldCharType="end"/>
            </w:r>
          </w:hyperlink>
        </w:p>
        <w:p w14:paraId="20672B26" w14:textId="6246182C" w:rsidR="00BF3F3E" w:rsidRDefault="001938AB">
          <w:pPr>
            <w:pStyle w:val="TOC2"/>
            <w:tabs>
              <w:tab w:val="left" w:pos="880"/>
              <w:tab w:val="right" w:leader="dot" w:pos="9016"/>
            </w:tabs>
            <w:rPr>
              <w:rFonts w:eastAsiaTheme="minorEastAsia" w:cstheme="minorBidi"/>
              <w:smallCaps w:val="0"/>
              <w:noProof/>
              <w:sz w:val="22"/>
              <w:szCs w:val="22"/>
              <w:lang w:eastAsia="en-GB" w:bidi="ar-SA"/>
            </w:rPr>
          </w:pPr>
          <w:hyperlink w:anchor="_Toc76138300" w:history="1">
            <w:r w:rsidR="00BF3F3E" w:rsidRPr="00AC330E">
              <w:rPr>
                <w:rStyle w:val="Hyperlink"/>
                <w:noProof/>
              </w:rPr>
              <w:t>8.3</w:t>
            </w:r>
            <w:r w:rsidR="00BF3F3E">
              <w:rPr>
                <w:rFonts w:eastAsiaTheme="minorEastAsia" w:cstheme="minorBidi"/>
                <w:smallCaps w:val="0"/>
                <w:noProof/>
                <w:sz w:val="22"/>
                <w:szCs w:val="22"/>
                <w:lang w:eastAsia="en-GB" w:bidi="ar-SA"/>
              </w:rPr>
              <w:tab/>
            </w:r>
            <w:r w:rsidR="00BF3F3E" w:rsidRPr="00AC330E">
              <w:rPr>
                <w:rStyle w:val="Hyperlink"/>
                <w:noProof/>
              </w:rPr>
              <w:t>Inositol</w:t>
            </w:r>
            <w:r w:rsidR="00BF3F3E">
              <w:rPr>
                <w:noProof/>
                <w:webHidden/>
              </w:rPr>
              <w:tab/>
            </w:r>
            <w:r w:rsidR="00BF3F3E">
              <w:rPr>
                <w:noProof/>
                <w:webHidden/>
              </w:rPr>
              <w:fldChar w:fldCharType="begin"/>
            </w:r>
            <w:r w:rsidR="00BF3F3E">
              <w:rPr>
                <w:noProof/>
                <w:webHidden/>
              </w:rPr>
              <w:instrText xml:space="preserve"> PAGEREF _Toc76138300 \h </w:instrText>
            </w:r>
            <w:r w:rsidR="00BF3F3E">
              <w:rPr>
                <w:noProof/>
                <w:webHidden/>
              </w:rPr>
            </w:r>
            <w:r w:rsidR="00BF3F3E">
              <w:rPr>
                <w:noProof/>
                <w:webHidden/>
              </w:rPr>
              <w:fldChar w:fldCharType="separate"/>
            </w:r>
            <w:r w:rsidR="00BF3F3E">
              <w:rPr>
                <w:noProof/>
                <w:webHidden/>
              </w:rPr>
              <w:t>106</w:t>
            </w:r>
            <w:r w:rsidR="00BF3F3E">
              <w:rPr>
                <w:noProof/>
                <w:webHidden/>
              </w:rPr>
              <w:fldChar w:fldCharType="end"/>
            </w:r>
          </w:hyperlink>
        </w:p>
        <w:p w14:paraId="30EF0C13" w14:textId="4B593164" w:rsidR="00BF3F3E" w:rsidRDefault="001938AB">
          <w:pPr>
            <w:pStyle w:val="TOC2"/>
            <w:tabs>
              <w:tab w:val="left" w:pos="880"/>
              <w:tab w:val="right" w:leader="dot" w:pos="9016"/>
            </w:tabs>
            <w:rPr>
              <w:rFonts w:eastAsiaTheme="minorEastAsia" w:cstheme="minorBidi"/>
              <w:smallCaps w:val="0"/>
              <w:noProof/>
              <w:sz w:val="22"/>
              <w:szCs w:val="22"/>
              <w:lang w:eastAsia="en-GB" w:bidi="ar-SA"/>
            </w:rPr>
          </w:pPr>
          <w:hyperlink w:anchor="_Toc76138301" w:history="1">
            <w:r w:rsidR="00BF3F3E" w:rsidRPr="00AC330E">
              <w:rPr>
                <w:rStyle w:val="Hyperlink"/>
                <w:noProof/>
              </w:rPr>
              <w:t>8.4</w:t>
            </w:r>
            <w:r w:rsidR="00BF3F3E">
              <w:rPr>
                <w:rFonts w:eastAsiaTheme="minorEastAsia" w:cstheme="minorBidi"/>
                <w:smallCaps w:val="0"/>
                <w:noProof/>
                <w:sz w:val="22"/>
                <w:szCs w:val="22"/>
                <w:lang w:eastAsia="en-GB" w:bidi="ar-SA"/>
              </w:rPr>
              <w:tab/>
            </w:r>
            <w:r w:rsidR="00BF3F3E" w:rsidRPr="00AC330E">
              <w:rPr>
                <w:rStyle w:val="Hyperlink"/>
                <w:noProof/>
              </w:rPr>
              <w:t>Nucleotides</w:t>
            </w:r>
            <w:r w:rsidR="00BF3F3E">
              <w:rPr>
                <w:noProof/>
                <w:webHidden/>
              </w:rPr>
              <w:tab/>
            </w:r>
            <w:r w:rsidR="00BF3F3E">
              <w:rPr>
                <w:noProof/>
                <w:webHidden/>
              </w:rPr>
              <w:fldChar w:fldCharType="begin"/>
            </w:r>
            <w:r w:rsidR="00BF3F3E">
              <w:rPr>
                <w:noProof/>
                <w:webHidden/>
              </w:rPr>
              <w:instrText xml:space="preserve"> PAGEREF _Toc76138301 \h </w:instrText>
            </w:r>
            <w:r w:rsidR="00BF3F3E">
              <w:rPr>
                <w:noProof/>
                <w:webHidden/>
              </w:rPr>
            </w:r>
            <w:r w:rsidR="00BF3F3E">
              <w:rPr>
                <w:noProof/>
                <w:webHidden/>
              </w:rPr>
              <w:fldChar w:fldCharType="separate"/>
            </w:r>
            <w:r w:rsidR="00BF3F3E">
              <w:rPr>
                <w:noProof/>
                <w:webHidden/>
              </w:rPr>
              <w:t>107</w:t>
            </w:r>
            <w:r w:rsidR="00BF3F3E">
              <w:rPr>
                <w:noProof/>
                <w:webHidden/>
              </w:rPr>
              <w:fldChar w:fldCharType="end"/>
            </w:r>
          </w:hyperlink>
        </w:p>
        <w:p w14:paraId="5DAF0260" w14:textId="064B3743" w:rsidR="00BF3F3E" w:rsidRDefault="001938AB">
          <w:pPr>
            <w:pStyle w:val="TOC1"/>
            <w:tabs>
              <w:tab w:val="left" w:pos="440"/>
            </w:tabs>
            <w:rPr>
              <w:rFonts w:eastAsiaTheme="minorEastAsia" w:cstheme="minorBidi"/>
              <w:b w:val="0"/>
              <w:bCs w:val="0"/>
              <w:caps w:val="0"/>
              <w:noProof/>
              <w:sz w:val="22"/>
              <w:szCs w:val="22"/>
              <w:lang w:eastAsia="en-GB" w:bidi="ar-SA"/>
            </w:rPr>
          </w:pPr>
          <w:hyperlink w:anchor="_Toc76138302" w:history="1">
            <w:r w:rsidR="00BF3F3E" w:rsidRPr="00AC330E">
              <w:rPr>
                <w:rStyle w:val="Hyperlink"/>
                <w:noProof/>
              </w:rPr>
              <w:t>9.</w:t>
            </w:r>
            <w:r w:rsidR="00BF3F3E">
              <w:rPr>
                <w:rFonts w:eastAsiaTheme="minorEastAsia" w:cstheme="minorBidi"/>
                <w:b w:val="0"/>
                <w:bCs w:val="0"/>
                <w:caps w:val="0"/>
                <w:noProof/>
                <w:sz w:val="22"/>
                <w:szCs w:val="22"/>
                <w:lang w:eastAsia="en-GB" w:bidi="ar-SA"/>
              </w:rPr>
              <w:tab/>
            </w:r>
            <w:r w:rsidR="00BF3F3E" w:rsidRPr="00AC330E">
              <w:rPr>
                <w:rStyle w:val="Hyperlink"/>
                <w:noProof/>
              </w:rPr>
              <w:t>List of questions to submitters</w:t>
            </w:r>
            <w:r w:rsidR="00BF3F3E">
              <w:rPr>
                <w:noProof/>
                <w:webHidden/>
              </w:rPr>
              <w:tab/>
            </w:r>
            <w:r w:rsidR="00BF3F3E">
              <w:rPr>
                <w:noProof/>
                <w:webHidden/>
              </w:rPr>
              <w:fldChar w:fldCharType="begin"/>
            </w:r>
            <w:r w:rsidR="00BF3F3E">
              <w:rPr>
                <w:noProof/>
                <w:webHidden/>
              </w:rPr>
              <w:instrText xml:space="preserve"> PAGEREF _Toc76138302 \h </w:instrText>
            </w:r>
            <w:r w:rsidR="00BF3F3E">
              <w:rPr>
                <w:noProof/>
                <w:webHidden/>
              </w:rPr>
            </w:r>
            <w:r w:rsidR="00BF3F3E">
              <w:rPr>
                <w:noProof/>
                <w:webHidden/>
              </w:rPr>
              <w:fldChar w:fldCharType="separate"/>
            </w:r>
            <w:r w:rsidR="00BF3F3E">
              <w:rPr>
                <w:noProof/>
                <w:webHidden/>
              </w:rPr>
              <w:t>108</w:t>
            </w:r>
            <w:r w:rsidR="00BF3F3E">
              <w:rPr>
                <w:noProof/>
                <w:webHidden/>
              </w:rPr>
              <w:fldChar w:fldCharType="end"/>
            </w:r>
          </w:hyperlink>
        </w:p>
        <w:p w14:paraId="1DFB1609" w14:textId="3EDF6082" w:rsidR="00BF3F3E" w:rsidRDefault="001938AB">
          <w:pPr>
            <w:pStyle w:val="TOC1"/>
            <w:rPr>
              <w:rFonts w:eastAsiaTheme="minorEastAsia" w:cstheme="minorBidi"/>
              <w:b w:val="0"/>
              <w:bCs w:val="0"/>
              <w:caps w:val="0"/>
              <w:noProof/>
              <w:sz w:val="22"/>
              <w:szCs w:val="22"/>
              <w:lang w:eastAsia="en-GB" w:bidi="ar-SA"/>
            </w:rPr>
          </w:pPr>
          <w:hyperlink w:anchor="_Toc76138303" w:history="1">
            <w:r w:rsidR="00BF3F3E" w:rsidRPr="00AC330E">
              <w:rPr>
                <w:rStyle w:val="Hyperlink"/>
                <w:noProof/>
              </w:rPr>
              <w:t>References</w:t>
            </w:r>
            <w:r w:rsidR="00BF3F3E">
              <w:rPr>
                <w:noProof/>
                <w:webHidden/>
              </w:rPr>
              <w:tab/>
            </w:r>
            <w:r w:rsidR="00BF3F3E">
              <w:rPr>
                <w:noProof/>
                <w:webHidden/>
              </w:rPr>
              <w:fldChar w:fldCharType="begin"/>
            </w:r>
            <w:r w:rsidR="00BF3F3E">
              <w:rPr>
                <w:noProof/>
                <w:webHidden/>
              </w:rPr>
              <w:instrText xml:space="preserve"> PAGEREF _Toc76138303 \h </w:instrText>
            </w:r>
            <w:r w:rsidR="00BF3F3E">
              <w:rPr>
                <w:noProof/>
                <w:webHidden/>
              </w:rPr>
            </w:r>
            <w:r w:rsidR="00BF3F3E">
              <w:rPr>
                <w:noProof/>
                <w:webHidden/>
              </w:rPr>
              <w:fldChar w:fldCharType="separate"/>
            </w:r>
            <w:r w:rsidR="00BF3F3E">
              <w:rPr>
                <w:noProof/>
                <w:webHidden/>
              </w:rPr>
              <w:t>110</w:t>
            </w:r>
            <w:r w:rsidR="00BF3F3E">
              <w:rPr>
                <w:noProof/>
                <w:webHidden/>
              </w:rPr>
              <w:fldChar w:fldCharType="end"/>
            </w:r>
          </w:hyperlink>
        </w:p>
        <w:p w14:paraId="44892618" w14:textId="73ECEE7A" w:rsidR="00BF3F3E" w:rsidRDefault="001938AB">
          <w:pPr>
            <w:pStyle w:val="TOC1"/>
            <w:rPr>
              <w:rFonts w:eastAsiaTheme="minorEastAsia" w:cstheme="minorBidi"/>
              <w:b w:val="0"/>
              <w:bCs w:val="0"/>
              <w:caps w:val="0"/>
              <w:noProof/>
              <w:sz w:val="22"/>
              <w:szCs w:val="22"/>
              <w:lang w:eastAsia="en-GB" w:bidi="ar-SA"/>
            </w:rPr>
          </w:pPr>
          <w:hyperlink w:anchor="_Toc76138304" w:history="1">
            <w:r w:rsidR="00BF3F3E" w:rsidRPr="00AC330E">
              <w:rPr>
                <w:rStyle w:val="Hyperlink"/>
                <w:noProof/>
              </w:rPr>
              <w:t>Appendix 1: Summary of submitter comments and FSANZ proposed approach</w:t>
            </w:r>
            <w:r w:rsidR="00BF3F3E">
              <w:rPr>
                <w:noProof/>
                <w:webHidden/>
              </w:rPr>
              <w:tab/>
            </w:r>
            <w:r w:rsidR="00BF3F3E">
              <w:rPr>
                <w:noProof/>
                <w:webHidden/>
              </w:rPr>
              <w:fldChar w:fldCharType="begin"/>
            </w:r>
            <w:r w:rsidR="00BF3F3E">
              <w:rPr>
                <w:noProof/>
                <w:webHidden/>
              </w:rPr>
              <w:instrText xml:space="preserve"> PAGEREF _Toc76138304 \h </w:instrText>
            </w:r>
            <w:r w:rsidR="00BF3F3E">
              <w:rPr>
                <w:noProof/>
                <w:webHidden/>
              </w:rPr>
            </w:r>
            <w:r w:rsidR="00BF3F3E">
              <w:rPr>
                <w:noProof/>
                <w:webHidden/>
              </w:rPr>
              <w:fldChar w:fldCharType="separate"/>
            </w:r>
            <w:r w:rsidR="00BF3F3E">
              <w:rPr>
                <w:noProof/>
                <w:webHidden/>
              </w:rPr>
              <w:t>116</w:t>
            </w:r>
            <w:r w:rsidR="00BF3F3E">
              <w:rPr>
                <w:noProof/>
                <w:webHidden/>
              </w:rPr>
              <w:fldChar w:fldCharType="end"/>
            </w:r>
          </w:hyperlink>
        </w:p>
        <w:p w14:paraId="5C8743DA" w14:textId="764D4527" w:rsidR="00BF3F3E" w:rsidRDefault="001938AB">
          <w:pPr>
            <w:pStyle w:val="TOC1"/>
            <w:rPr>
              <w:rFonts w:eastAsiaTheme="minorEastAsia" w:cstheme="minorBidi"/>
              <w:b w:val="0"/>
              <w:bCs w:val="0"/>
              <w:caps w:val="0"/>
              <w:noProof/>
              <w:sz w:val="22"/>
              <w:szCs w:val="22"/>
              <w:lang w:eastAsia="en-GB" w:bidi="ar-SA"/>
            </w:rPr>
          </w:pPr>
          <w:hyperlink w:anchor="_Toc76138305" w:history="1">
            <w:r w:rsidR="00BF3F3E" w:rsidRPr="00AC330E">
              <w:rPr>
                <w:rStyle w:val="Hyperlink"/>
                <w:noProof/>
              </w:rPr>
              <w:t>Appendix 2: Nitrogen conversion factors - examples for illustrative purposes</w:t>
            </w:r>
            <w:r w:rsidR="00BF3F3E">
              <w:rPr>
                <w:noProof/>
                <w:webHidden/>
              </w:rPr>
              <w:tab/>
            </w:r>
            <w:r w:rsidR="00BF3F3E">
              <w:rPr>
                <w:noProof/>
                <w:webHidden/>
              </w:rPr>
              <w:fldChar w:fldCharType="begin"/>
            </w:r>
            <w:r w:rsidR="00BF3F3E">
              <w:rPr>
                <w:noProof/>
                <w:webHidden/>
              </w:rPr>
              <w:instrText xml:space="preserve"> PAGEREF _Toc76138305 \h </w:instrText>
            </w:r>
            <w:r w:rsidR="00BF3F3E">
              <w:rPr>
                <w:noProof/>
                <w:webHidden/>
              </w:rPr>
            </w:r>
            <w:r w:rsidR="00BF3F3E">
              <w:rPr>
                <w:noProof/>
                <w:webHidden/>
              </w:rPr>
              <w:fldChar w:fldCharType="separate"/>
            </w:r>
            <w:r w:rsidR="00BF3F3E">
              <w:rPr>
                <w:noProof/>
                <w:webHidden/>
              </w:rPr>
              <w:t>126</w:t>
            </w:r>
            <w:r w:rsidR="00BF3F3E">
              <w:rPr>
                <w:noProof/>
                <w:webHidden/>
              </w:rPr>
              <w:fldChar w:fldCharType="end"/>
            </w:r>
          </w:hyperlink>
        </w:p>
        <w:p w14:paraId="4C42F9EE" w14:textId="12124D85" w:rsidR="00BF3F3E" w:rsidRDefault="001938AB">
          <w:pPr>
            <w:pStyle w:val="TOC1"/>
            <w:rPr>
              <w:rFonts w:eastAsiaTheme="minorEastAsia" w:cstheme="minorBidi"/>
              <w:b w:val="0"/>
              <w:bCs w:val="0"/>
              <w:caps w:val="0"/>
              <w:noProof/>
              <w:sz w:val="22"/>
              <w:szCs w:val="22"/>
              <w:lang w:eastAsia="en-GB" w:bidi="ar-SA"/>
            </w:rPr>
          </w:pPr>
          <w:hyperlink w:anchor="_Toc76138306" w:history="1">
            <w:r w:rsidR="00BF3F3E" w:rsidRPr="00AC330E">
              <w:rPr>
                <w:rStyle w:val="Hyperlink"/>
                <w:noProof/>
              </w:rPr>
              <w:t>Appendix 3: Fluoride and infant formula calculation</w:t>
            </w:r>
            <w:r w:rsidR="00BF3F3E">
              <w:rPr>
                <w:noProof/>
                <w:webHidden/>
              </w:rPr>
              <w:tab/>
            </w:r>
            <w:r w:rsidR="00BF3F3E">
              <w:rPr>
                <w:noProof/>
                <w:webHidden/>
              </w:rPr>
              <w:fldChar w:fldCharType="begin"/>
            </w:r>
            <w:r w:rsidR="00BF3F3E">
              <w:rPr>
                <w:noProof/>
                <w:webHidden/>
              </w:rPr>
              <w:instrText xml:space="preserve"> PAGEREF _Toc76138306 \h </w:instrText>
            </w:r>
            <w:r w:rsidR="00BF3F3E">
              <w:rPr>
                <w:noProof/>
                <w:webHidden/>
              </w:rPr>
            </w:r>
            <w:r w:rsidR="00BF3F3E">
              <w:rPr>
                <w:noProof/>
                <w:webHidden/>
              </w:rPr>
              <w:fldChar w:fldCharType="separate"/>
            </w:r>
            <w:r w:rsidR="00BF3F3E">
              <w:rPr>
                <w:noProof/>
                <w:webHidden/>
              </w:rPr>
              <w:t>128</w:t>
            </w:r>
            <w:r w:rsidR="00BF3F3E">
              <w:rPr>
                <w:noProof/>
                <w:webHidden/>
              </w:rPr>
              <w:fldChar w:fldCharType="end"/>
            </w:r>
          </w:hyperlink>
        </w:p>
        <w:p w14:paraId="079BDDBF" w14:textId="5787A50C" w:rsidR="00776154" w:rsidRPr="00C55F19" w:rsidRDefault="00162584" w:rsidP="006642D1">
          <w:pPr>
            <w:pStyle w:val="TOC1"/>
          </w:pPr>
          <w:r>
            <w:fldChar w:fldCharType="end"/>
          </w:r>
        </w:p>
      </w:sdtContent>
    </w:sdt>
    <w:p w14:paraId="01969E44" w14:textId="000E6522" w:rsidR="00776154" w:rsidRPr="00A60BB7" w:rsidRDefault="00A60BB7" w:rsidP="00776154">
      <w:pPr>
        <w:rPr>
          <w:b/>
          <w:u w:val="single"/>
        </w:rPr>
      </w:pPr>
      <w:bookmarkStart w:id="16" w:name="_Toc432434632"/>
      <w:bookmarkStart w:id="17" w:name="_Toc437858747"/>
      <w:bookmarkStart w:id="18" w:name="_Toc440462424"/>
      <w:bookmarkStart w:id="19" w:name="_Toc440470821"/>
      <w:r w:rsidRPr="00A60BB7">
        <w:rPr>
          <w:b/>
          <w:u w:val="single"/>
        </w:rPr>
        <w:t>SUPPORTING DOCUMENT:</w:t>
      </w:r>
    </w:p>
    <w:p w14:paraId="31764804" w14:textId="77777777" w:rsidR="00A60BB7" w:rsidRPr="00AE7074" w:rsidRDefault="00A60BB7" w:rsidP="00A60BB7">
      <w:pPr>
        <w:pStyle w:val="FSTitle"/>
        <w:ind w:firstLine="567"/>
        <w:rPr>
          <w:rFonts w:eastAsia="Times New Roman" w:cs="Times New Roman"/>
          <w:b w:val="0"/>
          <w:bCs w:val="0"/>
          <w:sz w:val="2"/>
        </w:rPr>
      </w:pPr>
    </w:p>
    <w:p w14:paraId="0A423AD2" w14:textId="5651881A" w:rsidR="00776154" w:rsidRPr="00A60BB7" w:rsidRDefault="001938AB" w:rsidP="00A60BB7">
      <w:pPr>
        <w:pStyle w:val="FSTitle"/>
        <w:ind w:firstLine="567"/>
        <w:rPr>
          <w:b w:val="0"/>
        </w:rPr>
      </w:pPr>
      <w:hyperlink r:id="rId19" w:history="1">
        <w:bookmarkStart w:id="20" w:name="_Toc74061225"/>
        <w:r w:rsidR="00A60BB7" w:rsidRPr="00A60BB7">
          <w:rPr>
            <w:rStyle w:val="Hyperlink"/>
            <w:rFonts w:eastAsia="Times New Roman" w:cs="Times New Roman"/>
            <w:b w:val="0"/>
            <w:bCs w:val="0"/>
          </w:rPr>
          <w:t>SD 1: Nutrition Risk Assessment</w:t>
        </w:r>
        <w:bookmarkEnd w:id="20"/>
      </w:hyperlink>
      <w:r w:rsidR="00776154">
        <w:br w:type="page"/>
      </w:r>
    </w:p>
    <w:p w14:paraId="29D752E6" w14:textId="77777777" w:rsidR="00776154" w:rsidRPr="005F5D83" w:rsidRDefault="00776154" w:rsidP="00776154">
      <w:pPr>
        <w:pStyle w:val="Heading1"/>
      </w:pPr>
      <w:bookmarkStart w:id="21" w:name="_Toc438129573"/>
      <w:bookmarkStart w:id="22" w:name="_Toc443301497"/>
      <w:bookmarkStart w:id="23" w:name="_Toc73455600"/>
      <w:bookmarkStart w:id="24" w:name="_Toc73624873"/>
      <w:bookmarkStart w:id="25" w:name="_Toc76138262"/>
      <w:r w:rsidRPr="005F5D83">
        <w:lastRenderedPageBreak/>
        <w:t>Abbreviations and glossary</w:t>
      </w:r>
      <w:bookmarkEnd w:id="21"/>
      <w:bookmarkEnd w:id="22"/>
      <w:bookmarkEnd w:id="23"/>
      <w:bookmarkEnd w:id="24"/>
      <w:bookmarkEnd w:id="25"/>
    </w:p>
    <w:tbl>
      <w:tblPr>
        <w:tblStyle w:val="TableGrid"/>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6525"/>
      </w:tblGrid>
      <w:tr w:rsidR="003E3687" w:rsidRPr="005F5D83" w14:paraId="7D0F4AF3" w14:textId="77777777" w:rsidTr="00BE5B3E">
        <w:trPr>
          <w:trHeight w:val="192"/>
        </w:trPr>
        <w:tc>
          <w:tcPr>
            <w:tcW w:w="1404" w:type="pct"/>
          </w:tcPr>
          <w:p w14:paraId="1FB06DD1" w14:textId="05A5AFEB" w:rsidR="003E3687" w:rsidRPr="003276BB" w:rsidRDefault="003E3687" w:rsidP="00776154">
            <w:pPr>
              <w:spacing w:beforeLines="40" w:before="96" w:afterLines="40" w:after="96"/>
              <w:rPr>
                <w:rFonts w:asciiTheme="minorHAnsi" w:hAnsiTheme="minorHAnsi" w:cstheme="minorHAnsi"/>
                <w:bCs/>
                <w:szCs w:val="20"/>
                <w:lang w:bidi="ar-SA"/>
              </w:rPr>
            </w:pPr>
            <w:r w:rsidRPr="003276BB">
              <w:rPr>
                <w:rFonts w:asciiTheme="minorHAnsi" w:hAnsiTheme="minorHAnsi" w:cstheme="minorHAnsi"/>
                <w:bCs/>
                <w:szCs w:val="20"/>
                <w:lang w:bidi="ar-SA"/>
              </w:rPr>
              <w:t>25OHD</w:t>
            </w:r>
          </w:p>
        </w:tc>
        <w:tc>
          <w:tcPr>
            <w:tcW w:w="3596" w:type="pct"/>
          </w:tcPr>
          <w:p w14:paraId="4E71C13E" w14:textId="32468442" w:rsidR="003E3687" w:rsidRPr="003276BB" w:rsidRDefault="003E3687" w:rsidP="00776154">
            <w:pPr>
              <w:spacing w:beforeLines="40" w:before="96" w:afterLines="40" w:after="96"/>
              <w:rPr>
                <w:rFonts w:asciiTheme="minorHAnsi" w:hAnsiTheme="minorHAnsi" w:cstheme="minorHAnsi"/>
                <w:bCs/>
                <w:szCs w:val="20"/>
                <w:lang w:bidi="ar-SA"/>
              </w:rPr>
            </w:pPr>
            <w:r w:rsidRPr="003276BB">
              <w:rPr>
                <w:rFonts w:asciiTheme="minorHAnsi" w:hAnsiTheme="minorHAnsi" w:cstheme="minorHAnsi"/>
                <w:bCs/>
                <w:szCs w:val="20"/>
                <w:lang w:bidi="ar-SA"/>
              </w:rPr>
              <w:t>25-hydroxyvitamin D—a biomarker of serum vitamin D status</w:t>
            </w:r>
          </w:p>
        </w:tc>
      </w:tr>
      <w:tr w:rsidR="00776154" w:rsidRPr="005F5D83" w14:paraId="2AAE422F" w14:textId="77777777" w:rsidTr="00BE5B3E">
        <w:tc>
          <w:tcPr>
            <w:tcW w:w="1404" w:type="pct"/>
          </w:tcPr>
          <w:p w14:paraId="64D85CD4" w14:textId="77777777" w:rsidR="00776154" w:rsidRPr="003276BB" w:rsidRDefault="00776154" w:rsidP="00776154">
            <w:pPr>
              <w:spacing w:beforeLines="40" w:before="96" w:afterLines="40" w:after="96"/>
              <w:rPr>
                <w:rFonts w:asciiTheme="minorHAnsi" w:hAnsiTheme="minorHAnsi" w:cstheme="minorHAnsi"/>
                <w:bCs/>
                <w:szCs w:val="20"/>
                <w:lang w:bidi="ar-SA"/>
              </w:rPr>
            </w:pPr>
            <w:r w:rsidRPr="003276BB">
              <w:rPr>
                <w:rFonts w:asciiTheme="minorHAnsi" w:hAnsiTheme="minorHAnsi" w:cstheme="minorHAnsi"/>
                <w:szCs w:val="20"/>
              </w:rPr>
              <w:t>AA</w:t>
            </w:r>
          </w:p>
        </w:tc>
        <w:tc>
          <w:tcPr>
            <w:tcW w:w="3596" w:type="pct"/>
          </w:tcPr>
          <w:p w14:paraId="5B6E1F29" w14:textId="77777777" w:rsidR="00776154" w:rsidRPr="003276BB" w:rsidRDefault="00776154" w:rsidP="00776154">
            <w:pPr>
              <w:spacing w:beforeLines="40" w:before="96" w:afterLines="40" w:after="96"/>
              <w:rPr>
                <w:rFonts w:asciiTheme="minorHAnsi" w:hAnsiTheme="minorHAnsi" w:cstheme="minorHAnsi"/>
                <w:bCs/>
                <w:szCs w:val="20"/>
                <w:lang w:bidi="ar-SA"/>
              </w:rPr>
            </w:pPr>
            <w:r w:rsidRPr="003276BB">
              <w:rPr>
                <w:rFonts w:asciiTheme="minorHAnsi" w:hAnsiTheme="minorHAnsi" w:cstheme="minorHAnsi"/>
                <w:szCs w:val="20"/>
                <w:lang w:bidi="ar-SA"/>
              </w:rPr>
              <w:t>Arachidonic acid</w:t>
            </w:r>
            <w:r w:rsidRPr="003276BB">
              <w:rPr>
                <w:rFonts w:asciiTheme="minorHAnsi" w:eastAsia="Arial Unicode MS" w:hAnsiTheme="minorHAnsi" w:cstheme="minorHAnsi"/>
                <w:szCs w:val="20"/>
                <w:lang w:bidi="ar-SA"/>
              </w:rPr>
              <w:t xml:space="preserve"> </w:t>
            </w:r>
            <w:r w:rsidRPr="003276BB">
              <w:rPr>
                <w:rFonts w:asciiTheme="minorHAnsi" w:hAnsiTheme="minorHAnsi" w:cstheme="minorHAnsi"/>
                <w:szCs w:val="20"/>
                <w:lang w:bidi="ar-SA"/>
              </w:rPr>
              <w:t xml:space="preserve">C20:4, n-6 </w:t>
            </w:r>
          </w:p>
        </w:tc>
      </w:tr>
      <w:tr w:rsidR="00E33010" w:rsidRPr="005F5D83" w14:paraId="64C287A2" w14:textId="77777777" w:rsidTr="00BE5B3E">
        <w:tc>
          <w:tcPr>
            <w:tcW w:w="1404" w:type="pct"/>
          </w:tcPr>
          <w:p w14:paraId="76049CCC" w14:textId="1C86454C" w:rsidR="00E33010" w:rsidRPr="003276BB" w:rsidRDefault="00E33010" w:rsidP="00776154">
            <w:pPr>
              <w:spacing w:beforeLines="40" w:before="96" w:afterLines="40" w:after="96"/>
              <w:rPr>
                <w:rFonts w:asciiTheme="minorHAnsi" w:hAnsiTheme="minorHAnsi" w:cstheme="minorHAnsi"/>
                <w:szCs w:val="20"/>
              </w:rPr>
            </w:pPr>
            <w:r w:rsidRPr="003276BB">
              <w:rPr>
                <w:rFonts w:asciiTheme="minorHAnsi" w:hAnsiTheme="minorHAnsi" w:cstheme="minorHAnsi"/>
                <w:szCs w:val="20"/>
              </w:rPr>
              <w:t>AAA</w:t>
            </w:r>
          </w:p>
        </w:tc>
        <w:tc>
          <w:tcPr>
            <w:tcW w:w="3596" w:type="pct"/>
          </w:tcPr>
          <w:p w14:paraId="2A003373" w14:textId="14430426" w:rsidR="00E33010" w:rsidRPr="003276BB" w:rsidRDefault="00E33010" w:rsidP="001332E7">
            <w:pPr>
              <w:spacing w:beforeLines="40" w:before="96" w:afterLines="40" w:after="96"/>
              <w:rPr>
                <w:rFonts w:asciiTheme="minorHAnsi" w:hAnsiTheme="minorHAnsi" w:cstheme="minorHAnsi"/>
                <w:szCs w:val="20"/>
                <w:lang w:bidi="ar-SA"/>
              </w:rPr>
            </w:pPr>
            <w:r w:rsidRPr="003276BB">
              <w:rPr>
                <w:rFonts w:asciiTheme="minorHAnsi" w:hAnsiTheme="minorHAnsi" w:cstheme="minorHAnsi"/>
                <w:szCs w:val="20"/>
                <w:lang w:bidi="ar-SA"/>
              </w:rPr>
              <w:t xml:space="preserve">Aromatic </w:t>
            </w:r>
            <w:r w:rsidR="001332E7" w:rsidRPr="003276BB">
              <w:rPr>
                <w:rFonts w:asciiTheme="minorHAnsi" w:hAnsiTheme="minorHAnsi" w:cstheme="minorHAnsi"/>
                <w:szCs w:val="20"/>
                <w:lang w:bidi="ar-SA"/>
              </w:rPr>
              <w:t>a</w:t>
            </w:r>
            <w:r w:rsidRPr="003276BB">
              <w:rPr>
                <w:rFonts w:asciiTheme="minorHAnsi" w:hAnsiTheme="minorHAnsi" w:cstheme="minorHAnsi"/>
                <w:szCs w:val="20"/>
                <w:lang w:bidi="ar-SA"/>
              </w:rPr>
              <w:t xml:space="preserve">mino </w:t>
            </w:r>
            <w:r w:rsidR="001332E7" w:rsidRPr="003276BB">
              <w:rPr>
                <w:rFonts w:asciiTheme="minorHAnsi" w:hAnsiTheme="minorHAnsi" w:cstheme="minorHAnsi"/>
                <w:szCs w:val="20"/>
                <w:lang w:bidi="ar-SA"/>
              </w:rPr>
              <w:t>a</w:t>
            </w:r>
            <w:r w:rsidRPr="003276BB">
              <w:rPr>
                <w:rFonts w:asciiTheme="minorHAnsi" w:hAnsiTheme="minorHAnsi" w:cstheme="minorHAnsi"/>
                <w:szCs w:val="20"/>
                <w:lang w:bidi="ar-SA"/>
              </w:rPr>
              <w:t>cids (</w:t>
            </w:r>
            <w:r w:rsidRPr="003276BB">
              <w:rPr>
                <w:rFonts w:asciiTheme="minorHAnsi" w:hAnsiTheme="minorHAnsi" w:cstheme="minorHAnsi"/>
                <w:szCs w:val="20"/>
              </w:rPr>
              <w:t>tyrosine and phenylalanine)</w:t>
            </w:r>
          </w:p>
        </w:tc>
      </w:tr>
      <w:tr w:rsidR="00776154" w:rsidRPr="005F5D83" w14:paraId="4DD7E8AF" w14:textId="77777777" w:rsidTr="00BE5B3E">
        <w:tc>
          <w:tcPr>
            <w:tcW w:w="1404" w:type="pct"/>
          </w:tcPr>
          <w:p w14:paraId="63865A9B" w14:textId="77777777" w:rsidR="00776154" w:rsidRPr="003276BB" w:rsidRDefault="00776154" w:rsidP="00776154">
            <w:pPr>
              <w:spacing w:beforeLines="40" w:before="96" w:afterLines="40" w:after="96"/>
              <w:rPr>
                <w:rFonts w:asciiTheme="minorHAnsi" w:hAnsiTheme="minorHAnsi" w:cstheme="minorHAnsi"/>
                <w:szCs w:val="20"/>
              </w:rPr>
            </w:pPr>
            <w:r w:rsidRPr="003276BB">
              <w:rPr>
                <w:rFonts w:asciiTheme="minorHAnsi" w:eastAsia="Arial Unicode MS" w:hAnsiTheme="minorHAnsi" w:cstheme="minorHAnsi"/>
                <w:szCs w:val="20"/>
                <w:lang w:bidi="ar-SA"/>
              </w:rPr>
              <w:t>AI</w:t>
            </w:r>
          </w:p>
        </w:tc>
        <w:tc>
          <w:tcPr>
            <w:tcW w:w="3596" w:type="pct"/>
          </w:tcPr>
          <w:p w14:paraId="344ECB3E" w14:textId="457D4E99" w:rsidR="00776154" w:rsidRPr="003276BB" w:rsidRDefault="00737E5E" w:rsidP="00C67F08">
            <w:pPr>
              <w:spacing w:beforeLines="40" w:before="96" w:afterLines="40" w:after="96"/>
              <w:rPr>
                <w:rFonts w:asciiTheme="minorHAnsi" w:hAnsiTheme="minorHAnsi" w:cstheme="minorHAnsi"/>
                <w:szCs w:val="20"/>
              </w:rPr>
            </w:pPr>
            <w:r w:rsidRPr="003276BB">
              <w:rPr>
                <w:rFonts w:asciiTheme="minorHAnsi" w:hAnsiTheme="minorHAnsi" w:cstheme="minorHAnsi"/>
                <w:szCs w:val="20"/>
                <w:lang w:bidi="ar-SA"/>
              </w:rPr>
              <w:t xml:space="preserve">Adequate </w:t>
            </w:r>
            <w:r w:rsidR="001332E7" w:rsidRPr="003276BB">
              <w:rPr>
                <w:rFonts w:asciiTheme="minorHAnsi" w:hAnsiTheme="minorHAnsi" w:cstheme="minorHAnsi"/>
                <w:szCs w:val="20"/>
                <w:lang w:bidi="ar-SA"/>
              </w:rPr>
              <w:t>i</w:t>
            </w:r>
            <w:r w:rsidRPr="003276BB">
              <w:rPr>
                <w:rFonts w:asciiTheme="minorHAnsi" w:hAnsiTheme="minorHAnsi" w:cstheme="minorHAnsi"/>
                <w:szCs w:val="20"/>
                <w:lang w:bidi="ar-SA"/>
              </w:rPr>
              <w:t>ntake—</w:t>
            </w:r>
            <w:r w:rsidR="00C67F08">
              <w:rPr>
                <w:rFonts w:asciiTheme="minorHAnsi" w:hAnsiTheme="minorHAnsi" w:cstheme="minorHAnsi"/>
                <w:szCs w:val="20"/>
                <w:lang w:bidi="ar-SA"/>
              </w:rPr>
              <w:t>t</w:t>
            </w:r>
            <w:r w:rsidR="00C67F08" w:rsidRPr="003276BB">
              <w:rPr>
                <w:rFonts w:asciiTheme="minorHAnsi" w:hAnsiTheme="minorHAnsi" w:cstheme="minorHAnsi"/>
                <w:szCs w:val="20"/>
                <w:lang w:bidi="ar-SA"/>
              </w:rPr>
              <w:t xml:space="preserve">he </w:t>
            </w:r>
            <w:r w:rsidR="00776154" w:rsidRPr="003276BB">
              <w:rPr>
                <w:rFonts w:asciiTheme="minorHAnsi" w:hAnsiTheme="minorHAnsi" w:cstheme="minorHAnsi"/>
                <w:szCs w:val="20"/>
                <w:lang w:bidi="ar-SA"/>
              </w:rPr>
              <w:t xml:space="preserve">average daily nutrient intake level based on observed or experimentally-determined approximations or estimates of nutrient intake by a group (or groups) of apparently healthy people that are assumed to be adequate. </w:t>
            </w:r>
          </w:p>
        </w:tc>
      </w:tr>
      <w:tr w:rsidR="00776154" w:rsidRPr="005F5D83" w14:paraId="513C46D7" w14:textId="77777777" w:rsidTr="00BE5B3E">
        <w:tc>
          <w:tcPr>
            <w:tcW w:w="1404" w:type="pct"/>
          </w:tcPr>
          <w:p w14:paraId="40A87C93" w14:textId="77777777" w:rsidR="00776154" w:rsidRPr="003276BB" w:rsidRDefault="00776154" w:rsidP="00776154">
            <w:pPr>
              <w:spacing w:beforeLines="40" w:before="96" w:afterLines="40" w:after="96"/>
              <w:rPr>
                <w:rFonts w:asciiTheme="minorHAnsi" w:hAnsiTheme="minorHAnsi" w:cstheme="minorHAnsi"/>
                <w:szCs w:val="20"/>
              </w:rPr>
            </w:pPr>
            <w:r w:rsidRPr="003276BB">
              <w:rPr>
                <w:rFonts w:asciiTheme="minorHAnsi" w:hAnsiTheme="minorHAnsi" w:cstheme="minorHAnsi"/>
                <w:szCs w:val="20"/>
              </w:rPr>
              <w:t xml:space="preserve">Amino acids </w:t>
            </w:r>
          </w:p>
        </w:tc>
        <w:tc>
          <w:tcPr>
            <w:tcW w:w="3596" w:type="pct"/>
          </w:tcPr>
          <w:p w14:paraId="1ABFF590" w14:textId="0E4CD8C9" w:rsidR="00776154" w:rsidRPr="003276BB" w:rsidRDefault="00776154" w:rsidP="00776154">
            <w:pPr>
              <w:spacing w:beforeLines="40" w:before="96" w:afterLines="40" w:after="96"/>
              <w:rPr>
                <w:rFonts w:asciiTheme="minorHAnsi" w:hAnsiTheme="minorHAnsi" w:cstheme="minorHAnsi"/>
                <w:szCs w:val="20"/>
              </w:rPr>
            </w:pPr>
            <w:r w:rsidRPr="003276BB">
              <w:rPr>
                <w:rFonts w:asciiTheme="minorHAnsi" w:hAnsiTheme="minorHAnsi" w:cstheme="minorHAnsi"/>
                <w:szCs w:val="20"/>
              </w:rPr>
              <w:t>In this paper, refers to L-amino acids which are the only forms that are biologically active/available</w:t>
            </w:r>
            <w:r w:rsidR="00117F4D" w:rsidRPr="003276BB">
              <w:rPr>
                <w:rFonts w:asciiTheme="minorHAnsi" w:hAnsiTheme="minorHAnsi" w:cstheme="minorHAnsi"/>
                <w:szCs w:val="20"/>
              </w:rPr>
              <w:t>.</w:t>
            </w:r>
            <w:r w:rsidRPr="003276BB">
              <w:rPr>
                <w:rFonts w:asciiTheme="minorHAnsi" w:hAnsiTheme="minorHAnsi" w:cstheme="minorHAnsi"/>
                <w:szCs w:val="20"/>
              </w:rPr>
              <w:t xml:space="preserve"> </w:t>
            </w:r>
          </w:p>
        </w:tc>
      </w:tr>
      <w:tr w:rsidR="00776154" w:rsidRPr="005F5D83" w14:paraId="25F65247" w14:textId="77777777" w:rsidTr="00BE5B3E">
        <w:tc>
          <w:tcPr>
            <w:tcW w:w="1404" w:type="pct"/>
          </w:tcPr>
          <w:p w14:paraId="1076826C" w14:textId="77777777" w:rsidR="00776154" w:rsidRPr="003276BB" w:rsidRDefault="00776154" w:rsidP="00776154">
            <w:pPr>
              <w:spacing w:beforeLines="40" w:before="96" w:afterLines="40" w:after="96"/>
              <w:rPr>
                <w:rFonts w:asciiTheme="minorHAnsi" w:hAnsiTheme="minorHAnsi" w:cstheme="minorHAnsi"/>
                <w:szCs w:val="20"/>
              </w:rPr>
            </w:pPr>
            <w:r w:rsidRPr="003276BB">
              <w:rPr>
                <w:rFonts w:asciiTheme="minorHAnsi" w:hAnsiTheme="minorHAnsi" w:cstheme="minorHAnsi"/>
                <w:szCs w:val="20"/>
                <w:lang w:bidi="ar-SA"/>
              </w:rPr>
              <w:t>ANZ</w:t>
            </w:r>
          </w:p>
        </w:tc>
        <w:tc>
          <w:tcPr>
            <w:tcW w:w="3596" w:type="pct"/>
          </w:tcPr>
          <w:p w14:paraId="2D761452" w14:textId="77777777" w:rsidR="00776154" w:rsidRPr="003276BB" w:rsidRDefault="00776154" w:rsidP="00776154">
            <w:pPr>
              <w:spacing w:beforeLines="40" w:before="96" w:afterLines="40" w:after="96"/>
              <w:rPr>
                <w:rFonts w:asciiTheme="minorHAnsi" w:hAnsiTheme="minorHAnsi" w:cstheme="minorHAnsi"/>
                <w:b/>
                <w:szCs w:val="20"/>
              </w:rPr>
            </w:pPr>
            <w:r w:rsidRPr="003276BB">
              <w:rPr>
                <w:rFonts w:asciiTheme="minorHAnsi" w:hAnsiTheme="minorHAnsi" w:cstheme="minorHAnsi"/>
                <w:szCs w:val="20"/>
                <w:lang w:bidi="ar-SA"/>
              </w:rPr>
              <w:t>Australia and New Zealand</w:t>
            </w:r>
          </w:p>
        </w:tc>
      </w:tr>
      <w:tr w:rsidR="00776154" w:rsidRPr="005F5D83" w14:paraId="5EB0BFF4" w14:textId="77777777" w:rsidTr="00BE5B3E">
        <w:tc>
          <w:tcPr>
            <w:tcW w:w="1404" w:type="pct"/>
          </w:tcPr>
          <w:p w14:paraId="75BF2204" w14:textId="77777777" w:rsidR="00776154" w:rsidRPr="003276BB" w:rsidRDefault="00776154" w:rsidP="00776154">
            <w:pPr>
              <w:spacing w:beforeLines="40" w:before="96" w:afterLines="40" w:after="96"/>
              <w:rPr>
                <w:rFonts w:asciiTheme="minorHAnsi" w:hAnsiTheme="minorHAnsi" w:cstheme="minorHAnsi"/>
                <w:szCs w:val="20"/>
              </w:rPr>
            </w:pPr>
            <w:r w:rsidRPr="003276BB">
              <w:rPr>
                <w:rFonts w:asciiTheme="minorHAnsi" w:hAnsiTheme="minorHAnsi" w:cstheme="minorHAnsi"/>
                <w:szCs w:val="20"/>
                <w:lang w:bidi="ar-SA"/>
              </w:rPr>
              <w:t>ANZFA</w:t>
            </w:r>
          </w:p>
        </w:tc>
        <w:tc>
          <w:tcPr>
            <w:tcW w:w="3596" w:type="pct"/>
          </w:tcPr>
          <w:p w14:paraId="4088E472" w14:textId="16517E7F" w:rsidR="00776154" w:rsidRPr="003276BB" w:rsidRDefault="00776154" w:rsidP="00776154">
            <w:pPr>
              <w:spacing w:beforeLines="40" w:before="96" w:afterLines="40" w:after="96"/>
              <w:rPr>
                <w:rFonts w:asciiTheme="minorHAnsi" w:hAnsiTheme="minorHAnsi" w:cstheme="minorHAnsi"/>
                <w:b/>
                <w:szCs w:val="20"/>
              </w:rPr>
            </w:pPr>
            <w:r w:rsidRPr="003276BB">
              <w:rPr>
                <w:rFonts w:asciiTheme="minorHAnsi" w:hAnsiTheme="minorHAnsi" w:cstheme="minorHAnsi"/>
                <w:szCs w:val="20"/>
                <w:lang w:bidi="ar-SA"/>
              </w:rPr>
              <w:t>Australia New Zealand Food Authority</w:t>
            </w:r>
            <w:r w:rsidR="00C67F08">
              <w:rPr>
                <w:rFonts w:asciiTheme="minorHAnsi" w:hAnsiTheme="minorHAnsi" w:cstheme="minorHAnsi"/>
                <w:szCs w:val="20"/>
              </w:rPr>
              <w:t>,</w:t>
            </w:r>
            <w:r w:rsidRPr="003276BB">
              <w:rPr>
                <w:rFonts w:asciiTheme="minorHAnsi" w:hAnsiTheme="minorHAnsi" w:cstheme="minorHAnsi"/>
                <w:szCs w:val="20"/>
              </w:rPr>
              <w:t xml:space="preserve"> the former name for FSANZ</w:t>
            </w:r>
          </w:p>
        </w:tc>
      </w:tr>
      <w:tr w:rsidR="00776154" w:rsidRPr="005F5D83" w14:paraId="1EEEE2CD" w14:textId="77777777" w:rsidTr="00BE5B3E">
        <w:tc>
          <w:tcPr>
            <w:tcW w:w="1404" w:type="pct"/>
          </w:tcPr>
          <w:p w14:paraId="0A2DD988" w14:textId="77777777" w:rsidR="00776154" w:rsidRPr="003276BB" w:rsidRDefault="00776154" w:rsidP="00776154">
            <w:pPr>
              <w:spacing w:beforeLines="40" w:before="96" w:afterLines="40" w:after="96"/>
              <w:rPr>
                <w:rFonts w:asciiTheme="minorHAnsi" w:hAnsiTheme="minorHAnsi" w:cstheme="minorHAnsi"/>
                <w:szCs w:val="20"/>
              </w:rPr>
            </w:pPr>
            <w:r w:rsidRPr="003276BB">
              <w:rPr>
                <w:rFonts w:asciiTheme="minorHAnsi" w:hAnsiTheme="minorHAnsi" w:cstheme="minorHAnsi"/>
                <w:szCs w:val="20"/>
              </w:rPr>
              <w:t xml:space="preserve">ATDS </w:t>
            </w:r>
          </w:p>
        </w:tc>
        <w:tc>
          <w:tcPr>
            <w:tcW w:w="3596" w:type="pct"/>
          </w:tcPr>
          <w:p w14:paraId="1BFEF44D" w14:textId="77777777" w:rsidR="00776154" w:rsidRPr="003276BB" w:rsidRDefault="00776154" w:rsidP="00776154">
            <w:pPr>
              <w:spacing w:beforeLines="40" w:before="96" w:afterLines="40" w:after="96"/>
              <w:rPr>
                <w:rFonts w:asciiTheme="minorHAnsi" w:hAnsiTheme="minorHAnsi" w:cstheme="minorHAnsi"/>
                <w:b/>
                <w:szCs w:val="20"/>
              </w:rPr>
            </w:pPr>
            <w:r w:rsidRPr="003276BB">
              <w:rPr>
                <w:rFonts w:asciiTheme="minorHAnsi" w:hAnsiTheme="minorHAnsi" w:cstheme="minorHAnsi"/>
                <w:szCs w:val="20"/>
              </w:rPr>
              <w:t>Australian Total Diet Study</w:t>
            </w:r>
          </w:p>
        </w:tc>
      </w:tr>
      <w:tr w:rsidR="00776154" w:rsidRPr="005F5D83" w14:paraId="02201E80" w14:textId="77777777" w:rsidTr="00BE5B3E">
        <w:tc>
          <w:tcPr>
            <w:tcW w:w="1404" w:type="pct"/>
          </w:tcPr>
          <w:p w14:paraId="4D7F881F" w14:textId="77777777" w:rsidR="00776154" w:rsidRPr="003276BB" w:rsidRDefault="00776154" w:rsidP="00776154">
            <w:pPr>
              <w:spacing w:beforeLines="40" w:before="96" w:afterLines="40" w:after="96"/>
              <w:rPr>
                <w:rFonts w:asciiTheme="minorHAnsi" w:hAnsiTheme="minorHAnsi" w:cstheme="minorHAnsi"/>
                <w:szCs w:val="20"/>
              </w:rPr>
            </w:pPr>
            <w:r w:rsidRPr="003276BB">
              <w:rPr>
                <w:rFonts w:asciiTheme="minorHAnsi" w:hAnsiTheme="minorHAnsi" w:cstheme="minorHAnsi"/>
                <w:szCs w:val="20"/>
              </w:rPr>
              <w:t>α</w:t>
            </w:r>
            <w:r w:rsidRPr="003276BB">
              <w:rPr>
                <w:rFonts w:asciiTheme="minorHAnsi" w:hAnsiTheme="minorHAnsi" w:cstheme="minorHAnsi"/>
                <w:szCs w:val="20"/>
                <w:lang w:bidi="ar-SA"/>
              </w:rPr>
              <w:t xml:space="preserve">-TE </w:t>
            </w:r>
          </w:p>
        </w:tc>
        <w:tc>
          <w:tcPr>
            <w:tcW w:w="3596" w:type="pct"/>
          </w:tcPr>
          <w:p w14:paraId="3095E933" w14:textId="77777777" w:rsidR="00776154" w:rsidRPr="003276BB" w:rsidRDefault="00776154" w:rsidP="00776154">
            <w:pPr>
              <w:spacing w:beforeLines="40" w:before="96" w:afterLines="40" w:after="96"/>
              <w:rPr>
                <w:rFonts w:asciiTheme="minorHAnsi" w:hAnsiTheme="minorHAnsi" w:cstheme="minorHAnsi"/>
                <w:szCs w:val="20"/>
              </w:rPr>
            </w:pPr>
            <w:r w:rsidRPr="003276BB">
              <w:rPr>
                <w:rFonts w:asciiTheme="minorHAnsi" w:hAnsiTheme="minorHAnsi" w:cstheme="minorHAnsi"/>
                <w:szCs w:val="20"/>
                <w:lang w:bidi="ar-SA"/>
              </w:rPr>
              <w:t>Alpha-tocopherol equivalent</w:t>
            </w:r>
          </w:p>
        </w:tc>
      </w:tr>
      <w:tr w:rsidR="00776154" w:rsidRPr="005F5D83" w14:paraId="34891643" w14:textId="77777777" w:rsidTr="00BE5B3E">
        <w:tc>
          <w:tcPr>
            <w:tcW w:w="1404" w:type="pct"/>
          </w:tcPr>
          <w:p w14:paraId="253EC73A" w14:textId="77777777" w:rsidR="00776154" w:rsidRPr="003276BB" w:rsidRDefault="00776154" w:rsidP="00776154">
            <w:pPr>
              <w:spacing w:beforeLines="40" w:before="96" w:afterLines="40" w:after="96"/>
              <w:rPr>
                <w:rFonts w:asciiTheme="minorHAnsi" w:hAnsiTheme="minorHAnsi" w:cstheme="minorHAnsi"/>
                <w:szCs w:val="20"/>
              </w:rPr>
            </w:pPr>
            <w:r w:rsidRPr="003276BB">
              <w:rPr>
                <w:rFonts w:asciiTheme="minorHAnsi" w:hAnsiTheme="minorHAnsi" w:cstheme="minorHAnsi"/>
                <w:bCs/>
                <w:szCs w:val="20"/>
                <w:lang w:bidi="ar-SA"/>
              </w:rPr>
              <w:t>Breast milk</w:t>
            </w:r>
          </w:p>
        </w:tc>
        <w:tc>
          <w:tcPr>
            <w:tcW w:w="3596" w:type="pct"/>
          </w:tcPr>
          <w:p w14:paraId="746DD4C9" w14:textId="46528D88" w:rsidR="00776154" w:rsidRPr="003276BB" w:rsidRDefault="00776154" w:rsidP="001075C4">
            <w:pPr>
              <w:spacing w:beforeLines="40" w:before="96" w:afterLines="40" w:after="96"/>
              <w:rPr>
                <w:rFonts w:asciiTheme="minorHAnsi" w:hAnsiTheme="minorHAnsi" w:cstheme="minorHAnsi"/>
                <w:szCs w:val="20"/>
              </w:rPr>
            </w:pPr>
            <w:r w:rsidRPr="003276BB">
              <w:rPr>
                <w:rFonts w:asciiTheme="minorHAnsi" w:hAnsiTheme="minorHAnsi" w:cstheme="minorHAnsi"/>
                <w:szCs w:val="20"/>
              </w:rPr>
              <w:t>A</w:t>
            </w:r>
            <w:r w:rsidRPr="003276BB">
              <w:rPr>
                <w:rFonts w:asciiTheme="minorHAnsi" w:hAnsiTheme="minorHAnsi" w:cstheme="minorHAnsi"/>
                <w:szCs w:val="20"/>
                <w:lang w:bidi="ar-SA"/>
              </w:rPr>
              <w:t xml:space="preserve"> general term for human milk provided from a mother’s breast </w:t>
            </w:r>
            <w:r w:rsidR="00C67F08">
              <w:rPr>
                <w:rFonts w:asciiTheme="minorHAnsi" w:hAnsiTheme="minorHAnsi" w:cstheme="minorHAnsi"/>
                <w:szCs w:val="20"/>
                <w:lang w:bidi="ar-SA"/>
              </w:rPr>
              <w:t>(</w:t>
            </w:r>
            <w:r w:rsidRPr="003276BB">
              <w:rPr>
                <w:rFonts w:asciiTheme="minorHAnsi" w:hAnsiTheme="minorHAnsi" w:cstheme="minorHAnsi"/>
                <w:szCs w:val="20"/>
                <w:lang w:bidi="ar-SA"/>
              </w:rPr>
              <w:t>described as mature milk to distinguish it from colostrum).</w:t>
            </w:r>
          </w:p>
        </w:tc>
      </w:tr>
      <w:tr w:rsidR="00776154" w:rsidRPr="005F5D83" w14:paraId="5655146A" w14:textId="77777777" w:rsidTr="00BE5B3E">
        <w:tc>
          <w:tcPr>
            <w:tcW w:w="1404" w:type="pct"/>
          </w:tcPr>
          <w:p w14:paraId="0A27C9E8" w14:textId="77777777" w:rsidR="00776154" w:rsidRPr="003276BB" w:rsidRDefault="00776154" w:rsidP="00776154">
            <w:pPr>
              <w:spacing w:beforeLines="40" w:before="96" w:afterLines="40" w:after="96"/>
              <w:rPr>
                <w:rFonts w:asciiTheme="minorHAnsi" w:hAnsiTheme="minorHAnsi" w:cstheme="minorHAnsi"/>
                <w:szCs w:val="20"/>
              </w:rPr>
            </w:pPr>
            <w:r w:rsidRPr="003276BB">
              <w:rPr>
                <w:rFonts w:asciiTheme="minorHAnsi" w:hAnsiTheme="minorHAnsi" w:cstheme="minorHAnsi"/>
                <w:szCs w:val="20"/>
              </w:rPr>
              <w:t xml:space="preserve">CAC </w:t>
            </w:r>
          </w:p>
        </w:tc>
        <w:tc>
          <w:tcPr>
            <w:tcW w:w="3596" w:type="pct"/>
          </w:tcPr>
          <w:p w14:paraId="33797A49" w14:textId="77777777" w:rsidR="00776154" w:rsidRPr="003276BB" w:rsidRDefault="00776154" w:rsidP="00776154">
            <w:pPr>
              <w:spacing w:beforeLines="40" w:before="96" w:afterLines="40" w:after="96"/>
              <w:rPr>
                <w:rFonts w:asciiTheme="minorHAnsi" w:hAnsiTheme="minorHAnsi" w:cstheme="minorHAnsi"/>
                <w:szCs w:val="20"/>
              </w:rPr>
            </w:pPr>
            <w:r w:rsidRPr="003276BB">
              <w:rPr>
                <w:rFonts w:asciiTheme="minorHAnsi" w:hAnsiTheme="minorHAnsi" w:cstheme="minorHAnsi"/>
                <w:szCs w:val="20"/>
              </w:rPr>
              <w:t>Codex Alimentarius Commission</w:t>
            </w:r>
          </w:p>
        </w:tc>
      </w:tr>
      <w:tr w:rsidR="00776154" w:rsidRPr="005F5D83" w14:paraId="6CBB8D18" w14:textId="77777777" w:rsidTr="00BE5B3E">
        <w:tc>
          <w:tcPr>
            <w:tcW w:w="1404" w:type="pct"/>
          </w:tcPr>
          <w:p w14:paraId="082E4B2F" w14:textId="77777777" w:rsidR="00776154" w:rsidRPr="003276BB" w:rsidRDefault="00776154" w:rsidP="00776154">
            <w:pPr>
              <w:spacing w:beforeLines="40" w:before="96" w:afterLines="40" w:after="96"/>
              <w:rPr>
                <w:rFonts w:asciiTheme="minorHAnsi" w:hAnsiTheme="minorHAnsi" w:cstheme="minorHAnsi"/>
                <w:szCs w:val="20"/>
              </w:rPr>
            </w:pPr>
            <w:r w:rsidRPr="003276BB">
              <w:rPr>
                <w:rFonts w:asciiTheme="minorHAnsi" w:hAnsiTheme="minorHAnsi" w:cstheme="minorHAnsi"/>
                <w:szCs w:val="20"/>
              </w:rPr>
              <w:t xml:space="preserve">CCNFSDU </w:t>
            </w:r>
          </w:p>
        </w:tc>
        <w:tc>
          <w:tcPr>
            <w:tcW w:w="3596" w:type="pct"/>
          </w:tcPr>
          <w:p w14:paraId="7306F395" w14:textId="77777777" w:rsidR="00776154" w:rsidRPr="003276BB" w:rsidRDefault="00776154" w:rsidP="00776154">
            <w:pPr>
              <w:spacing w:beforeLines="40" w:before="96" w:afterLines="40" w:after="96"/>
              <w:rPr>
                <w:rFonts w:asciiTheme="minorHAnsi" w:hAnsiTheme="minorHAnsi" w:cstheme="minorHAnsi"/>
                <w:szCs w:val="20"/>
              </w:rPr>
            </w:pPr>
            <w:r w:rsidRPr="003276BB">
              <w:rPr>
                <w:rFonts w:asciiTheme="minorHAnsi" w:hAnsiTheme="minorHAnsi" w:cstheme="minorHAnsi"/>
                <w:szCs w:val="20"/>
              </w:rPr>
              <w:t>Codex Committee on Nutrition and Foods for Special Dietary Uses</w:t>
            </w:r>
          </w:p>
        </w:tc>
      </w:tr>
      <w:tr w:rsidR="004A6124" w:rsidRPr="005F5D83" w14:paraId="07342602" w14:textId="77777777" w:rsidTr="00BE5B3E">
        <w:tc>
          <w:tcPr>
            <w:tcW w:w="1404" w:type="pct"/>
          </w:tcPr>
          <w:p w14:paraId="5108D8EF" w14:textId="349D3127" w:rsidR="004A6124" w:rsidRPr="003276BB" w:rsidRDefault="004A6124" w:rsidP="00776154">
            <w:pPr>
              <w:spacing w:beforeLines="40" w:before="96" w:afterLines="40" w:after="96"/>
              <w:rPr>
                <w:rFonts w:asciiTheme="minorHAnsi" w:hAnsiTheme="minorHAnsi" w:cstheme="minorHAnsi"/>
                <w:szCs w:val="20"/>
              </w:rPr>
            </w:pPr>
            <w:r w:rsidRPr="003276BB">
              <w:rPr>
                <w:rFonts w:asciiTheme="minorHAnsi" w:hAnsiTheme="minorHAnsi" w:cstheme="minorHAnsi"/>
                <w:szCs w:val="20"/>
              </w:rPr>
              <w:t>CLA</w:t>
            </w:r>
          </w:p>
        </w:tc>
        <w:tc>
          <w:tcPr>
            <w:tcW w:w="3596" w:type="pct"/>
          </w:tcPr>
          <w:p w14:paraId="5B7734DF" w14:textId="26FA5C70" w:rsidR="004A6124" w:rsidRPr="003276BB" w:rsidRDefault="004A6124" w:rsidP="00776154">
            <w:pPr>
              <w:spacing w:beforeLines="40" w:before="96" w:afterLines="40" w:after="96"/>
              <w:rPr>
                <w:rFonts w:asciiTheme="minorHAnsi" w:hAnsiTheme="minorHAnsi" w:cstheme="minorHAnsi"/>
                <w:szCs w:val="20"/>
              </w:rPr>
            </w:pPr>
            <w:r w:rsidRPr="003276BB">
              <w:rPr>
                <w:rFonts w:asciiTheme="minorHAnsi" w:hAnsiTheme="minorHAnsi" w:cstheme="minorHAnsi"/>
                <w:szCs w:val="20"/>
                <w:lang w:val="en-AU" w:eastAsia="en-AU" w:bidi="ar-SA"/>
              </w:rPr>
              <w:t>Conjugated linoleic acid</w:t>
            </w:r>
          </w:p>
        </w:tc>
      </w:tr>
      <w:tr w:rsidR="00776154" w:rsidRPr="005F5D83" w14:paraId="05E66F93" w14:textId="77777777" w:rsidTr="00BE5B3E">
        <w:tc>
          <w:tcPr>
            <w:tcW w:w="1404" w:type="pct"/>
          </w:tcPr>
          <w:p w14:paraId="7220B632" w14:textId="77777777" w:rsidR="00776154" w:rsidRPr="003276BB" w:rsidRDefault="00776154" w:rsidP="00776154">
            <w:pPr>
              <w:spacing w:beforeLines="40" w:before="96" w:afterLines="40" w:after="96"/>
              <w:rPr>
                <w:rFonts w:asciiTheme="minorHAnsi" w:hAnsiTheme="minorHAnsi" w:cstheme="minorHAnsi"/>
                <w:szCs w:val="20"/>
              </w:rPr>
            </w:pPr>
            <w:r w:rsidRPr="003276BB">
              <w:rPr>
                <w:rFonts w:asciiTheme="minorHAnsi" w:hAnsiTheme="minorHAnsi" w:cstheme="minorHAnsi"/>
                <w:szCs w:val="20"/>
              </w:rPr>
              <w:t>Codex</w:t>
            </w:r>
          </w:p>
        </w:tc>
        <w:tc>
          <w:tcPr>
            <w:tcW w:w="3596" w:type="pct"/>
          </w:tcPr>
          <w:p w14:paraId="6BFA8C54" w14:textId="77777777" w:rsidR="00776154" w:rsidRPr="003276BB" w:rsidRDefault="00776154" w:rsidP="00776154">
            <w:pPr>
              <w:spacing w:beforeLines="40" w:before="96" w:afterLines="40" w:after="96"/>
              <w:rPr>
                <w:rFonts w:asciiTheme="minorHAnsi" w:hAnsiTheme="minorHAnsi" w:cstheme="minorHAnsi"/>
                <w:szCs w:val="20"/>
              </w:rPr>
            </w:pPr>
            <w:r w:rsidRPr="003276BB">
              <w:rPr>
                <w:rFonts w:asciiTheme="minorHAnsi" w:hAnsiTheme="minorHAnsi" w:cstheme="minorHAnsi"/>
                <w:szCs w:val="20"/>
              </w:rPr>
              <w:t>Refers to Codex Alimentarius</w:t>
            </w:r>
          </w:p>
        </w:tc>
      </w:tr>
      <w:tr w:rsidR="00776154" w:rsidRPr="005F5D83" w14:paraId="0EB67A92" w14:textId="77777777" w:rsidTr="00BE5B3E">
        <w:tc>
          <w:tcPr>
            <w:tcW w:w="1404" w:type="pct"/>
          </w:tcPr>
          <w:p w14:paraId="74531405" w14:textId="77777777" w:rsidR="00776154" w:rsidRPr="003276BB" w:rsidRDefault="00776154" w:rsidP="00776154">
            <w:pPr>
              <w:spacing w:beforeLines="40" w:before="96" w:afterLines="40" w:after="96"/>
              <w:rPr>
                <w:rFonts w:asciiTheme="minorHAnsi" w:hAnsiTheme="minorHAnsi" w:cstheme="minorHAnsi"/>
                <w:szCs w:val="20"/>
              </w:rPr>
            </w:pPr>
            <w:r w:rsidRPr="003276BB">
              <w:rPr>
                <w:rFonts w:asciiTheme="minorHAnsi" w:hAnsiTheme="minorHAnsi" w:cstheme="minorHAnsi"/>
                <w:bCs/>
                <w:szCs w:val="20"/>
                <w:lang w:bidi="ar-SA"/>
              </w:rPr>
              <w:t>Complementary feeding</w:t>
            </w:r>
          </w:p>
        </w:tc>
        <w:tc>
          <w:tcPr>
            <w:tcW w:w="3596" w:type="pct"/>
          </w:tcPr>
          <w:p w14:paraId="3233F7CE" w14:textId="778BEF9E" w:rsidR="00776154" w:rsidRPr="003276BB" w:rsidRDefault="00117F4D" w:rsidP="00117F4D">
            <w:pPr>
              <w:spacing w:beforeLines="40" w:before="96" w:afterLines="40" w:after="96"/>
              <w:rPr>
                <w:rFonts w:asciiTheme="minorHAnsi" w:hAnsiTheme="minorHAnsi" w:cstheme="minorHAnsi"/>
                <w:szCs w:val="20"/>
                <w:lang w:bidi="ar-SA"/>
              </w:rPr>
            </w:pPr>
            <w:r w:rsidRPr="003276BB">
              <w:rPr>
                <w:rFonts w:asciiTheme="minorHAnsi" w:hAnsiTheme="minorHAnsi" w:cstheme="minorHAnsi"/>
                <w:szCs w:val="20"/>
                <w:lang w:bidi="ar-SA"/>
              </w:rPr>
              <w:t>T</w:t>
            </w:r>
            <w:r w:rsidR="00776154" w:rsidRPr="003276BB">
              <w:rPr>
                <w:rFonts w:asciiTheme="minorHAnsi" w:hAnsiTheme="minorHAnsi" w:cstheme="minorHAnsi"/>
                <w:szCs w:val="20"/>
                <w:lang w:bidi="ar-SA"/>
              </w:rPr>
              <w:t>he gradual introduction of solid food and fluids along with the usual milk feed (breast milk or infant formula) to an infant’s diet (Ministry of Health, 2008).</w:t>
            </w:r>
          </w:p>
        </w:tc>
      </w:tr>
      <w:tr w:rsidR="00EB0F36" w:rsidRPr="005F5D83" w14:paraId="160942B2" w14:textId="77777777" w:rsidTr="00BE5B3E">
        <w:tc>
          <w:tcPr>
            <w:tcW w:w="1404" w:type="pct"/>
          </w:tcPr>
          <w:p w14:paraId="55A302FC" w14:textId="53C506C3" w:rsidR="00EB0F36" w:rsidRPr="003276BB" w:rsidRDefault="00EB0F36" w:rsidP="00776154">
            <w:pPr>
              <w:spacing w:beforeLines="40" w:before="96" w:afterLines="40" w:after="96"/>
              <w:rPr>
                <w:rFonts w:asciiTheme="minorHAnsi" w:hAnsiTheme="minorHAnsi" w:cstheme="minorHAnsi"/>
                <w:bCs/>
                <w:szCs w:val="20"/>
                <w:lang w:bidi="ar-SA"/>
              </w:rPr>
            </w:pPr>
            <w:r w:rsidRPr="003276BB">
              <w:rPr>
                <w:rFonts w:asciiTheme="minorHAnsi" w:hAnsiTheme="minorHAnsi" w:cstheme="minorHAnsi"/>
                <w:bCs/>
                <w:szCs w:val="20"/>
                <w:lang w:bidi="ar-SA"/>
              </w:rPr>
              <w:t>CRIS</w:t>
            </w:r>
          </w:p>
        </w:tc>
        <w:tc>
          <w:tcPr>
            <w:tcW w:w="3596" w:type="pct"/>
          </w:tcPr>
          <w:p w14:paraId="69B669E4" w14:textId="5BCEDFD0" w:rsidR="00EB0F36" w:rsidRPr="003276BB" w:rsidRDefault="001332E7" w:rsidP="00117F4D">
            <w:pPr>
              <w:spacing w:beforeLines="40" w:before="96" w:afterLines="40" w:after="96"/>
              <w:rPr>
                <w:rFonts w:asciiTheme="minorHAnsi" w:hAnsiTheme="minorHAnsi" w:cstheme="minorHAnsi"/>
                <w:szCs w:val="20"/>
                <w:lang w:bidi="ar-SA"/>
              </w:rPr>
            </w:pPr>
            <w:r w:rsidRPr="003276BB">
              <w:rPr>
                <w:rFonts w:asciiTheme="minorHAnsi" w:hAnsiTheme="minorHAnsi" w:cstheme="minorHAnsi"/>
                <w:szCs w:val="20"/>
                <w:lang w:bidi="ar-SA"/>
              </w:rPr>
              <w:t>Consultation regulatory impact statement</w:t>
            </w:r>
          </w:p>
        </w:tc>
      </w:tr>
      <w:tr w:rsidR="00776154" w:rsidRPr="005F5D83" w14:paraId="4D2078A2" w14:textId="77777777" w:rsidTr="00BE5B3E">
        <w:tc>
          <w:tcPr>
            <w:tcW w:w="1404" w:type="pct"/>
          </w:tcPr>
          <w:p w14:paraId="0988F9A0" w14:textId="77777777" w:rsidR="00776154" w:rsidRPr="003276BB" w:rsidRDefault="00776154" w:rsidP="00776154">
            <w:pPr>
              <w:spacing w:beforeLines="40" w:before="96" w:afterLines="40" w:after="96"/>
              <w:rPr>
                <w:rFonts w:asciiTheme="minorHAnsi" w:hAnsiTheme="minorHAnsi" w:cstheme="minorHAnsi"/>
                <w:szCs w:val="20"/>
              </w:rPr>
            </w:pPr>
            <w:r w:rsidRPr="003276BB">
              <w:rPr>
                <w:rFonts w:asciiTheme="minorHAnsi" w:eastAsia="Arial Unicode MS" w:hAnsiTheme="minorHAnsi" w:cstheme="minorHAnsi"/>
                <w:szCs w:val="20"/>
                <w:lang w:bidi="ar-SA"/>
              </w:rPr>
              <w:t>Crude protein</w:t>
            </w:r>
          </w:p>
        </w:tc>
        <w:tc>
          <w:tcPr>
            <w:tcW w:w="3596" w:type="pct"/>
          </w:tcPr>
          <w:p w14:paraId="66DD26A5" w14:textId="1CAC5249" w:rsidR="00776154" w:rsidRPr="003276BB" w:rsidRDefault="00117F4D" w:rsidP="00C67F08">
            <w:pPr>
              <w:spacing w:beforeLines="40" w:before="96" w:afterLines="40" w:after="96"/>
              <w:rPr>
                <w:rFonts w:asciiTheme="minorHAnsi" w:hAnsiTheme="minorHAnsi" w:cstheme="minorHAnsi"/>
                <w:szCs w:val="20"/>
              </w:rPr>
            </w:pPr>
            <w:r w:rsidRPr="003276BB">
              <w:rPr>
                <w:rFonts w:asciiTheme="minorHAnsi" w:eastAsia="Arial Unicode MS" w:hAnsiTheme="minorHAnsi" w:cstheme="minorHAnsi"/>
                <w:szCs w:val="20"/>
                <w:lang w:bidi="ar-SA"/>
              </w:rPr>
              <w:t>I</w:t>
            </w:r>
            <w:r w:rsidR="00776154" w:rsidRPr="003276BB">
              <w:rPr>
                <w:rFonts w:asciiTheme="minorHAnsi" w:eastAsia="Arial Unicode MS" w:hAnsiTheme="minorHAnsi" w:cstheme="minorHAnsi"/>
                <w:szCs w:val="20"/>
                <w:lang w:bidi="ar-SA"/>
              </w:rPr>
              <w:t>n this paper</w:t>
            </w:r>
            <w:r w:rsidRPr="003276BB">
              <w:rPr>
                <w:rFonts w:asciiTheme="minorHAnsi" w:eastAsia="Arial Unicode MS" w:hAnsiTheme="minorHAnsi" w:cstheme="minorHAnsi"/>
                <w:szCs w:val="20"/>
                <w:lang w:bidi="ar-SA"/>
              </w:rPr>
              <w:t>,</w:t>
            </w:r>
            <w:r w:rsidR="00776154" w:rsidRPr="003276BB">
              <w:rPr>
                <w:rFonts w:asciiTheme="minorHAnsi" w:eastAsia="Arial Unicode MS" w:hAnsiTheme="minorHAnsi" w:cstheme="minorHAnsi"/>
                <w:szCs w:val="20"/>
                <w:lang w:bidi="ar-SA"/>
              </w:rPr>
              <w:t xml:space="preserve"> based on all N-containing substances in breast milk</w:t>
            </w:r>
            <w:r w:rsidR="00C67F08">
              <w:rPr>
                <w:rFonts w:asciiTheme="minorHAnsi" w:eastAsia="Arial Unicode MS" w:hAnsiTheme="minorHAnsi" w:cstheme="minorHAnsi"/>
                <w:szCs w:val="20"/>
                <w:lang w:bidi="ar-SA"/>
              </w:rPr>
              <w:t>,</w:t>
            </w:r>
            <w:r w:rsidR="00776154" w:rsidRPr="003276BB">
              <w:rPr>
                <w:rFonts w:asciiTheme="minorHAnsi" w:eastAsia="Arial Unicode MS" w:hAnsiTheme="minorHAnsi" w:cstheme="minorHAnsi"/>
                <w:szCs w:val="20"/>
                <w:lang w:bidi="ar-SA"/>
              </w:rPr>
              <w:t xml:space="preserve"> calculated from the total N content multiplied by a conversion factor. Crude protein thus captures amino acid protein and other N-containing substances that do not contribute to protein. </w:t>
            </w:r>
          </w:p>
        </w:tc>
      </w:tr>
      <w:tr w:rsidR="00582064" w:rsidRPr="005F5D83" w14:paraId="6A39B7C4" w14:textId="77777777" w:rsidTr="00BE5B3E">
        <w:tc>
          <w:tcPr>
            <w:tcW w:w="1404" w:type="pct"/>
          </w:tcPr>
          <w:p w14:paraId="77E62DC4" w14:textId="77777777" w:rsidR="00582064" w:rsidRPr="003276BB" w:rsidRDefault="00582064" w:rsidP="00C73A77">
            <w:pPr>
              <w:spacing w:beforeLines="40" w:before="96" w:afterLines="40" w:after="96"/>
              <w:rPr>
                <w:rFonts w:asciiTheme="minorHAnsi" w:hAnsiTheme="minorHAnsi" w:cstheme="minorHAnsi"/>
                <w:szCs w:val="20"/>
              </w:rPr>
            </w:pPr>
            <w:r w:rsidRPr="003276BB">
              <w:rPr>
                <w:rFonts w:asciiTheme="minorHAnsi" w:hAnsiTheme="minorHAnsi" w:cstheme="minorHAnsi"/>
                <w:szCs w:val="20"/>
              </w:rPr>
              <w:t>DFE</w:t>
            </w:r>
          </w:p>
        </w:tc>
        <w:tc>
          <w:tcPr>
            <w:tcW w:w="3596" w:type="pct"/>
          </w:tcPr>
          <w:p w14:paraId="5476BCE6" w14:textId="7A3B85B7" w:rsidR="00582064" w:rsidRPr="003276BB" w:rsidRDefault="00582064" w:rsidP="00C73A77">
            <w:pPr>
              <w:spacing w:beforeLines="40" w:before="96" w:afterLines="40" w:after="96"/>
              <w:rPr>
                <w:rFonts w:asciiTheme="minorHAnsi" w:hAnsiTheme="minorHAnsi" w:cstheme="minorHAnsi"/>
                <w:szCs w:val="20"/>
              </w:rPr>
            </w:pPr>
            <w:r w:rsidRPr="003276BB">
              <w:rPr>
                <w:rFonts w:asciiTheme="minorHAnsi" w:hAnsiTheme="minorHAnsi" w:cstheme="minorHAnsi"/>
                <w:szCs w:val="20"/>
              </w:rPr>
              <w:t xml:space="preserve">Dietary </w:t>
            </w:r>
            <w:r w:rsidR="001332E7" w:rsidRPr="003276BB">
              <w:rPr>
                <w:rFonts w:asciiTheme="minorHAnsi" w:hAnsiTheme="minorHAnsi" w:cstheme="minorHAnsi"/>
                <w:szCs w:val="20"/>
              </w:rPr>
              <w:t>f</w:t>
            </w:r>
            <w:r w:rsidRPr="003276BB">
              <w:rPr>
                <w:rFonts w:asciiTheme="minorHAnsi" w:hAnsiTheme="minorHAnsi" w:cstheme="minorHAnsi"/>
                <w:szCs w:val="20"/>
              </w:rPr>
              <w:t xml:space="preserve">olate </w:t>
            </w:r>
            <w:r w:rsidR="001332E7" w:rsidRPr="003276BB">
              <w:rPr>
                <w:rFonts w:asciiTheme="minorHAnsi" w:hAnsiTheme="minorHAnsi" w:cstheme="minorHAnsi"/>
                <w:szCs w:val="20"/>
              </w:rPr>
              <w:t>e</w:t>
            </w:r>
            <w:r w:rsidRPr="003276BB">
              <w:rPr>
                <w:rFonts w:asciiTheme="minorHAnsi" w:hAnsiTheme="minorHAnsi" w:cstheme="minorHAnsi"/>
                <w:szCs w:val="20"/>
              </w:rPr>
              <w:t>quivalents</w:t>
            </w:r>
          </w:p>
        </w:tc>
      </w:tr>
      <w:tr w:rsidR="00776154" w:rsidRPr="005F5D83" w14:paraId="09F6F281" w14:textId="77777777" w:rsidTr="00BE5B3E">
        <w:tc>
          <w:tcPr>
            <w:tcW w:w="1404" w:type="pct"/>
          </w:tcPr>
          <w:p w14:paraId="71C0BFE2" w14:textId="77777777" w:rsidR="00776154" w:rsidRPr="003276BB" w:rsidRDefault="00776154" w:rsidP="00776154">
            <w:pPr>
              <w:spacing w:beforeLines="40" w:before="96" w:afterLines="40" w:after="96"/>
              <w:rPr>
                <w:rFonts w:asciiTheme="minorHAnsi" w:hAnsiTheme="minorHAnsi" w:cstheme="minorHAnsi"/>
                <w:szCs w:val="20"/>
              </w:rPr>
            </w:pPr>
            <w:r w:rsidRPr="003276BB">
              <w:rPr>
                <w:rFonts w:asciiTheme="minorHAnsi" w:hAnsiTheme="minorHAnsi" w:cstheme="minorHAnsi"/>
                <w:szCs w:val="20"/>
              </w:rPr>
              <w:t xml:space="preserve">DHA </w:t>
            </w:r>
          </w:p>
        </w:tc>
        <w:tc>
          <w:tcPr>
            <w:tcW w:w="3596" w:type="pct"/>
          </w:tcPr>
          <w:p w14:paraId="0A8E2390" w14:textId="77777777" w:rsidR="00776154" w:rsidRPr="003276BB" w:rsidRDefault="00776154" w:rsidP="00776154">
            <w:pPr>
              <w:spacing w:beforeLines="40" w:before="96" w:afterLines="40" w:after="96"/>
              <w:rPr>
                <w:rFonts w:asciiTheme="minorHAnsi" w:hAnsiTheme="minorHAnsi" w:cstheme="minorHAnsi"/>
                <w:szCs w:val="20"/>
              </w:rPr>
            </w:pPr>
            <w:r w:rsidRPr="003276BB">
              <w:rPr>
                <w:rFonts w:asciiTheme="minorHAnsi" w:hAnsiTheme="minorHAnsi" w:cstheme="minorHAnsi"/>
                <w:szCs w:val="20"/>
              </w:rPr>
              <w:t xml:space="preserve">Docosahexaenoic acid C22:6, n-3 </w:t>
            </w:r>
          </w:p>
        </w:tc>
      </w:tr>
      <w:tr w:rsidR="00003CEC" w:rsidRPr="005F5D83" w14:paraId="3775937A" w14:textId="77777777" w:rsidTr="00BE5B3E">
        <w:tc>
          <w:tcPr>
            <w:tcW w:w="1404" w:type="pct"/>
          </w:tcPr>
          <w:p w14:paraId="7D8182FE" w14:textId="6BF5E3AE" w:rsidR="00003CEC" w:rsidRPr="003276BB" w:rsidRDefault="00003CEC" w:rsidP="00776154">
            <w:pPr>
              <w:spacing w:beforeLines="40" w:before="96" w:afterLines="40" w:after="96"/>
              <w:rPr>
                <w:rFonts w:asciiTheme="minorHAnsi" w:hAnsiTheme="minorHAnsi" w:cstheme="minorHAnsi"/>
                <w:szCs w:val="20"/>
              </w:rPr>
            </w:pPr>
            <w:r w:rsidRPr="003276BB">
              <w:rPr>
                <w:rFonts w:asciiTheme="minorHAnsi" w:hAnsiTheme="minorHAnsi" w:cstheme="minorHAnsi"/>
                <w:szCs w:val="20"/>
              </w:rPr>
              <w:t>DIAAS</w:t>
            </w:r>
          </w:p>
        </w:tc>
        <w:tc>
          <w:tcPr>
            <w:tcW w:w="3596" w:type="pct"/>
          </w:tcPr>
          <w:p w14:paraId="6C8B4F7E" w14:textId="573F4E39" w:rsidR="00003CEC" w:rsidRPr="003276BB" w:rsidRDefault="001332E7" w:rsidP="00776154">
            <w:pPr>
              <w:spacing w:beforeLines="40" w:before="96" w:afterLines="40" w:after="96"/>
              <w:rPr>
                <w:rFonts w:asciiTheme="minorHAnsi" w:hAnsiTheme="minorHAnsi" w:cstheme="minorHAnsi"/>
                <w:szCs w:val="20"/>
              </w:rPr>
            </w:pPr>
            <w:r w:rsidRPr="003276BB">
              <w:rPr>
                <w:rFonts w:asciiTheme="minorHAnsi" w:hAnsiTheme="minorHAnsi" w:cstheme="minorHAnsi"/>
                <w:szCs w:val="20"/>
                <w:lang w:val="en-AU"/>
              </w:rPr>
              <w:t>Digestible indispensable amino acid score</w:t>
            </w:r>
          </w:p>
        </w:tc>
      </w:tr>
      <w:tr w:rsidR="00776154" w:rsidRPr="005F5D83" w14:paraId="519CF0A4" w14:textId="77777777" w:rsidTr="00BE5B3E">
        <w:tc>
          <w:tcPr>
            <w:tcW w:w="1404" w:type="pct"/>
          </w:tcPr>
          <w:p w14:paraId="12B39F1A" w14:textId="77777777" w:rsidR="00776154" w:rsidRPr="003276BB" w:rsidRDefault="00776154" w:rsidP="00776154">
            <w:pPr>
              <w:spacing w:beforeLines="40" w:before="96" w:afterLines="40" w:after="96"/>
              <w:rPr>
                <w:rFonts w:asciiTheme="minorHAnsi" w:hAnsiTheme="minorHAnsi" w:cstheme="minorHAnsi"/>
                <w:szCs w:val="20"/>
              </w:rPr>
            </w:pPr>
            <w:r w:rsidRPr="003276BB">
              <w:rPr>
                <w:rFonts w:asciiTheme="minorHAnsi" w:hAnsiTheme="minorHAnsi" w:cstheme="minorHAnsi"/>
                <w:szCs w:val="20"/>
              </w:rPr>
              <w:t>DPA</w:t>
            </w:r>
          </w:p>
        </w:tc>
        <w:tc>
          <w:tcPr>
            <w:tcW w:w="3596" w:type="pct"/>
          </w:tcPr>
          <w:p w14:paraId="0FEB515C" w14:textId="77777777" w:rsidR="00776154" w:rsidRPr="003276BB" w:rsidRDefault="00776154" w:rsidP="00776154">
            <w:pPr>
              <w:spacing w:beforeLines="40" w:before="96" w:afterLines="40" w:after="96"/>
              <w:rPr>
                <w:rFonts w:asciiTheme="minorHAnsi" w:hAnsiTheme="minorHAnsi" w:cstheme="minorHAnsi"/>
                <w:szCs w:val="20"/>
              </w:rPr>
            </w:pPr>
            <w:r w:rsidRPr="003276BB">
              <w:rPr>
                <w:rFonts w:asciiTheme="minorHAnsi" w:hAnsiTheme="minorHAnsi" w:cstheme="minorHAnsi"/>
                <w:szCs w:val="20"/>
              </w:rPr>
              <w:t xml:space="preserve">Docosapentaenoic acid C22:5, n-3 </w:t>
            </w:r>
          </w:p>
        </w:tc>
      </w:tr>
      <w:tr w:rsidR="00127597" w:rsidRPr="005F5D83" w14:paraId="07E08442" w14:textId="77777777" w:rsidTr="00BE5B3E">
        <w:tc>
          <w:tcPr>
            <w:tcW w:w="1404" w:type="pct"/>
          </w:tcPr>
          <w:p w14:paraId="66D6A3AC" w14:textId="5DAFE686" w:rsidR="00127597" w:rsidRPr="003276BB" w:rsidRDefault="00127597" w:rsidP="00776154">
            <w:pPr>
              <w:spacing w:beforeLines="40" w:before="96" w:afterLines="40" w:after="96"/>
              <w:rPr>
                <w:rFonts w:asciiTheme="minorHAnsi" w:hAnsiTheme="minorHAnsi" w:cstheme="minorHAnsi"/>
                <w:szCs w:val="20"/>
              </w:rPr>
            </w:pPr>
            <w:r w:rsidRPr="003276BB">
              <w:rPr>
                <w:rFonts w:asciiTheme="minorHAnsi" w:hAnsiTheme="minorHAnsi" w:cstheme="minorHAnsi"/>
                <w:szCs w:val="20"/>
              </w:rPr>
              <w:t>DRV</w:t>
            </w:r>
          </w:p>
        </w:tc>
        <w:tc>
          <w:tcPr>
            <w:tcW w:w="3596" w:type="pct"/>
          </w:tcPr>
          <w:p w14:paraId="5351E58F" w14:textId="2CC6C44E" w:rsidR="00127597" w:rsidRPr="003276BB" w:rsidRDefault="00127597" w:rsidP="00776154">
            <w:pPr>
              <w:spacing w:beforeLines="40" w:before="96" w:afterLines="40" w:after="96"/>
              <w:rPr>
                <w:rFonts w:asciiTheme="minorHAnsi" w:hAnsiTheme="minorHAnsi" w:cstheme="minorHAnsi"/>
                <w:szCs w:val="20"/>
              </w:rPr>
            </w:pPr>
            <w:r w:rsidRPr="003276BB">
              <w:rPr>
                <w:rFonts w:asciiTheme="minorHAnsi" w:hAnsiTheme="minorHAnsi" w:cstheme="minorHAnsi"/>
                <w:szCs w:val="20"/>
              </w:rPr>
              <w:t>Dietary reference value</w:t>
            </w:r>
          </w:p>
        </w:tc>
      </w:tr>
      <w:tr w:rsidR="00776154" w:rsidRPr="005F5D83" w14:paraId="33FA4D9C" w14:textId="77777777" w:rsidTr="00BE5B3E">
        <w:tc>
          <w:tcPr>
            <w:tcW w:w="1404" w:type="pct"/>
          </w:tcPr>
          <w:p w14:paraId="77D684AE" w14:textId="77777777" w:rsidR="00776154" w:rsidRPr="003276BB" w:rsidRDefault="00776154" w:rsidP="00776154">
            <w:pPr>
              <w:spacing w:beforeLines="40" w:before="96" w:afterLines="40" w:after="96"/>
              <w:rPr>
                <w:rFonts w:asciiTheme="minorHAnsi" w:hAnsiTheme="minorHAnsi" w:cstheme="minorHAnsi"/>
                <w:szCs w:val="20"/>
              </w:rPr>
            </w:pPr>
            <w:r w:rsidRPr="003276BB">
              <w:rPr>
                <w:rFonts w:asciiTheme="minorHAnsi" w:hAnsiTheme="minorHAnsi" w:cstheme="minorHAnsi"/>
                <w:szCs w:val="20"/>
              </w:rPr>
              <w:t xml:space="preserve">EAR </w:t>
            </w:r>
          </w:p>
        </w:tc>
        <w:tc>
          <w:tcPr>
            <w:tcW w:w="3596" w:type="pct"/>
          </w:tcPr>
          <w:p w14:paraId="7BACEC83" w14:textId="28A0812C" w:rsidR="00776154" w:rsidRPr="003276BB" w:rsidRDefault="001332E7" w:rsidP="00776154">
            <w:pPr>
              <w:spacing w:beforeLines="40" w:before="96" w:afterLines="40" w:after="96"/>
              <w:rPr>
                <w:rFonts w:asciiTheme="minorHAnsi" w:hAnsiTheme="minorHAnsi" w:cstheme="minorHAnsi"/>
                <w:szCs w:val="20"/>
              </w:rPr>
            </w:pPr>
            <w:r w:rsidRPr="003276BB">
              <w:rPr>
                <w:rFonts w:asciiTheme="minorHAnsi" w:hAnsiTheme="minorHAnsi" w:cstheme="minorHAnsi"/>
                <w:szCs w:val="20"/>
              </w:rPr>
              <w:t xml:space="preserve">Estimated average requirement </w:t>
            </w:r>
          </w:p>
        </w:tc>
      </w:tr>
      <w:tr w:rsidR="00117F4D" w:rsidRPr="005F5D83" w14:paraId="50766163" w14:textId="77777777" w:rsidTr="00BE5B3E">
        <w:tc>
          <w:tcPr>
            <w:tcW w:w="1404" w:type="pct"/>
          </w:tcPr>
          <w:p w14:paraId="3CEC8471" w14:textId="77777777" w:rsidR="00117F4D" w:rsidRPr="003276BB" w:rsidRDefault="00117F4D" w:rsidP="00117F4D">
            <w:pPr>
              <w:spacing w:beforeLines="40" w:before="96" w:afterLines="40" w:after="96"/>
              <w:rPr>
                <w:rFonts w:asciiTheme="minorHAnsi" w:hAnsiTheme="minorHAnsi" w:cstheme="minorHAnsi"/>
                <w:szCs w:val="20"/>
              </w:rPr>
            </w:pPr>
            <w:r w:rsidRPr="003276BB">
              <w:rPr>
                <w:rFonts w:asciiTheme="minorHAnsi" w:hAnsiTheme="minorHAnsi" w:cstheme="minorHAnsi"/>
                <w:szCs w:val="20"/>
              </w:rPr>
              <w:t>EC</w:t>
            </w:r>
          </w:p>
        </w:tc>
        <w:tc>
          <w:tcPr>
            <w:tcW w:w="3596" w:type="pct"/>
          </w:tcPr>
          <w:p w14:paraId="58A1C102" w14:textId="77777777" w:rsidR="00117F4D" w:rsidRPr="003276BB" w:rsidRDefault="00117F4D" w:rsidP="00117F4D">
            <w:pPr>
              <w:spacing w:beforeLines="40" w:before="96" w:afterLines="40" w:after="96"/>
              <w:rPr>
                <w:rFonts w:asciiTheme="minorHAnsi" w:hAnsiTheme="minorHAnsi" w:cstheme="minorHAnsi"/>
                <w:szCs w:val="20"/>
              </w:rPr>
            </w:pPr>
            <w:r w:rsidRPr="003276BB">
              <w:rPr>
                <w:rFonts w:asciiTheme="minorHAnsi" w:hAnsiTheme="minorHAnsi" w:cstheme="minorHAnsi"/>
                <w:szCs w:val="20"/>
              </w:rPr>
              <w:t>European Commission</w:t>
            </w:r>
          </w:p>
        </w:tc>
      </w:tr>
      <w:tr w:rsidR="00776154" w:rsidRPr="005F5D83" w14:paraId="6B8B66A8" w14:textId="77777777" w:rsidTr="00BE5B3E">
        <w:tc>
          <w:tcPr>
            <w:tcW w:w="1404" w:type="pct"/>
          </w:tcPr>
          <w:p w14:paraId="2480226E" w14:textId="77777777" w:rsidR="00776154" w:rsidRPr="003276BB" w:rsidRDefault="00776154" w:rsidP="00776154">
            <w:pPr>
              <w:spacing w:beforeLines="40" w:before="96" w:afterLines="40" w:after="96"/>
              <w:rPr>
                <w:rFonts w:asciiTheme="minorHAnsi" w:hAnsiTheme="minorHAnsi" w:cstheme="minorHAnsi"/>
                <w:szCs w:val="20"/>
              </w:rPr>
            </w:pPr>
            <w:r w:rsidRPr="003276BB">
              <w:rPr>
                <w:rFonts w:asciiTheme="minorHAnsi" w:hAnsiTheme="minorHAnsi" w:cstheme="minorHAnsi"/>
                <w:szCs w:val="20"/>
                <w:lang w:bidi="ar-SA"/>
              </w:rPr>
              <w:lastRenderedPageBreak/>
              <w:t xml:space="preserve">EC SCF </w:t>
            </w:r>
          </w:p>
        </w:tc>
        <w:tc>
          <w:tcPr>
            <w:tcW w:w="3596" w:type="pct"/>
          </w:tcPr>
          <w:p w14:paraId="62B597BF" w14:textId="77777777" w:rsidR="00776154" w:rsidRPr="003276BB" w:rsidRDefault="00776154" w:rsidP="00776154">
            <w:pPr>
              <w:spacing w:beforeLines="40" w:before="96" w:afterLines="40" w:after="96"/>
              <w:rPr>
                <w:rFonts w:asciiTheme="minorHAnsi" w:hAnsiTheme="minorHAnsi" w:cstheme="minorHAnsi"/>
                <w:szCs w:val="20"/>
              </w:rPr>
            </w:pPr>
            <w:r w:rsidRPr="003276BB">
              <w:rPr>
                <w:rFonts w:asciiTheme="minorHAnsi" w:hAnsiTheme="minorHAnsi" w:cstheme="minorHAnsi"/>
                <w:szCs w:val="20"/>
                <w:lang w:bidi="ar-SA"/>
              </w:rPr>
              <w:t xml:space="preserve">European Commission Scientific Committee on Food </w:t>
            </w:r>
          </w:p>
        </w:tc>
      </w:tr>
      <w:tr w:rsidR="00117F4D" w:rsidRPr="005F5D83" w14:paraId="76CE93F8" w14:textId="77777777" w:rsidTr="00BE5B3E">
        <w:tc>
          <w:tcPr>
            <w:tcW w:w="1404" w:type="pct"/>
          </w:tcPr>
          <w:p w14:paraId="5041C294" w14:textId="4723A5D5" w:rsidR="00117F4D" w:rsidRPr="003276BB" w:rsidRDefault="00117F4D" w:rsidP="00776154">
            <w:pPr>
              <w:spacing w:beforeLines="40" w:before="96" w:afterLines="40" w:after="96"/>
              <w:rPr>
                <w:rFonts w:asciiTheme="minorHAnsi" w:hAnsiTheme="minorHAnsi" w:cstheme="minorHAnsi"/>
                <w:szCs w:val="20"/>
                <w:lang w:bidi="ar-SA"/>
              </w:rPr>
            </w:pPr>
            <w:r w:rsidRPr="003276BB">
              <w:rPr>
                <w:rFonts w:asciiTheme="minorHAnsi" w:hAnsiTheme="minorHAnsi" w:cstheme="minorHAnsi"/>
                <w:szCs w:val="20"/>
                <w:lang w:bidi="ar-SA"/>
              </w:rPr>
              <w:t>EFSA</w:t>
            </w:r>
          </w:p>
        </w:tc>
        <w:tc>
          <w:tcPr>
            <w:tcW w:w="3596" w:type="pct"/>
          </w:tcPr>
          <w:p w14:paraId="05D27B3D" w14:textId="3B3DF9EA" w:rsidR="00117F4D" w:rsidRPr="003276BB" w:rsidRDefault="00117F4D" w:rsidP="00776154">
            <w:pPr>
              <w:spacing w:beforeLines="40" w:before="96" w:afterLines="40" w:after="96"/>
              <w:rPr>
                <w:rFonts w:asciiTheme="minorHAnsi" w:hAnsiTheme="minorHAnsi" w:cstheme="minorHAnsi"/>
                <w:szCs w:val="20"/>
                <w:lang w:bidi="ar-SA"/>
              </w:rPr>
            </w:pPr>
            <w:r w:rsidRPr="003276BB">
              <w:rPr>
                <w:rFonts w:asciiTheme="minorHAnsi" w:hAnsiTheme="minorHAnsi" w:cstheme="minorHAnsi"/>
                <w:szCs w:val="20"/>
                <w:lang w:bidi="ar-SA"/>
              </w:rPr>
              <w:t>European Food Safety Authority</w:t>
            </w:r>
          </w:p>
        </w:tc>
      </w:tr>
      <w:tr w:rsidR="00776154" w:rsidRPr="005F5D83" w14:paraId="18D6429E" w14:textId="77777777" w:rsidTr="00BE5B3E">
        <w:tc>
          <w:tcPr>
            <w:tcW w:w="1404" w:type="pct"/>
          </w:tcPr>
          <w:p w14:paraId="5DEE26ED" w14:textId="77777777" w:rsidR="00776154" w:rsidRPr="003276BB" w:rsidRDefault="00776154" w:rsidP="00776154">
            <w:pPr>
              <w:spacing w:beforeLines="40" w:before="96" w:afterLines="40" w:after="96"/>
              <w:rPr>
                <w:rFonts w:asciiTheme="minorHAnsi" w:hAnsiTheme="minorHAnsi" w:cstheme="minorHAnsi"/>
                <w:szCs w:val="20"/>
                <w:lang w:bidi="ar-SA"/>
              </w:rPr>
            </w:pPr>
            <w:r w:rsidRPr="003276BB">
              <w:rPr>
                <w:rFonts w:asciiTheme="minorHAnsi" w:hAnsiTheme="minorHAnsi" w:cstheme="minorHAnsi"/>
                <w:szCs w:val="20"/>
                <w:lang w:bidi="ar-SA"/>
              </w:rPr>
              <w:t>EPA</w:t>
            </w:r>
          </w:p>
        </w:tc>
        <w:tc>
          <w:tcPr>
            <w:tcW w:w="3596" w:type="pct"/>
          </w:tcPr>
          <w:p w14:paraId="14584185" w14:textId="77777777" w:rsidR="00776154" w:rsidRPr="003276BB" w:rsidRDefault="00776154" w:rsidP="00776154">
            <w:pPr>
              <w:spacing w:beforeLines="40" w:before="96" w:afterLines="40" w:after="96"/>
              <w:rPr>
                <w:rFonts w:asciiTheme="minorHAnsi" w:hAnsiTheme="minorHAnsi" w:cstheme="minorHAnsi"/>
                <w:szCs w:val="20"/>
                <w:lang w:bidi="ar-SA"/>
              </w:rPr>
            </w:pPr>
            <w:r w:rsidRPr="003276BB">
              <w:rPr>
                <w:rFonts w:asciiTheme="minorHAnsi" w:hAnsiTheme="minorHAnsi" w:cstheme="minorHAnsi"/>
                <w:szCs w:val="20"/>
              </w:rPr>
              <w:t xml:space="preserve">Eicosapentaenoic acid C20:5, n-3 </w:t>
            </w:r>
          </w:p>
        </w:tc>
      </w:tr>
      <w:tr w:rsidR="00776154" w:rsidRPr="005F5D83" w14:paraId="20F007E9" w14:textId="77777777" w:rsidTr="00BE5B3E">
        <w:trPr>
          <w:trHeight w:val="421"/>
        </w:trPr>
        <w:tc>
          <w:tcPr>
            <w:tcW w:w="1404" w:type="pct"/>
          </w:tcPr>
          <w:p w14:paraId="6EC65CD2" w14:textId="77777777" w:rsidR="00776154" w:rsidRPr="003276BB" w:rsidRDefault="00776154" w:rsidP="00776154">
            <w:pPr>
              <w:spacing w:beforeLines="40" w:before="96" w:afterLines="40" w:after="96"/>
              <w:rPr>
                <w:rFonts w:asciiTheme="minorHAnsi" w:hAnsiTheme="minorHAnsi" w:cstheme="minorHAnsi"/>
                <w:szCs w:val="20"/>
              </w:rPr>
            </w:pPr>
            <w:r w:rsidRPr="003276BB">
              <w:rPr>
                <w:rFonts w:asciiTheme="minorHAnsi" w:eastAsia="Arial Unicode MS" w:hAnsiTheme="minorHAnsi" w:cstheme="minorHAnsi"/>
                <w:szCs w:val="20"/>
                <w:lang w:bidi="ar-SA"/>
              </w:rPr>
              <w:t>ESPGHAN</w:t>
            </w:r>
          </w:p>
        </w:tc>
        <w:tc>
          <w:tcPr>
            <w:tcW w:w="3596" w:type="pct"/>
          </w:tcPr>
          <w:p w14:paraId="4AE3D1AF" w14:textId="77777777" w:rsidR="00776154" w:rsidRPr="003276BB" w:rsidRDefault="00776154" w:rsidP="00776154">
            <w:pPr>
              <w:spacing w:beforeLines="40" w:before="96" w:afterLines="40" w:after="96"/>
              <w:rPr>
                <w:rFonts w:asciiTheme="minorHAnsi" w:hAnsiTheme="minorHAnsi" w:cstheme="minorHAnsi"/>
                <w:szCs w:val="20"/>
              </w:rPr>
            </w:pPr>
            <w:r w:rsidRPr="003276BB">
              <w:rPr>
                <w:rFonts w:asciiTheme="minorHAnsi" w:hAnsiTheme="minorHAnsi" w:cstheme="minorHAnsi"/>
                <w:szCs w:val="20"/>
                <w:lang w:bidi="ar-SA"/>
              </w:rPr>
              <w:t>European Society for Paediatric Gastroenterology, Hepatology and Nutrition</w:t>
            </w:r>
          </w:p>
        </w:tc>
      </w:tr>
      <w:tr w:rsidR="00776154" w:rsidRPr="005F5D83" w14:paraId="26C6420B" w14:textId="77777777" w:rsidTr="00BE5B3E">
        <w:tc>
          <w:tcPr>
            <w:tcW w:w="1404" w:type="pct"/>
          </w:tcPr>
          <w:p w14:paraId="5D836C23" w14:textId="77777777" w:rsidR="00776154" w:rsidRPr="003276BB" w:rsidRDefault="00776154" w:rsidP="00776154">
            <w:pPr>
              <w:spacing w:beforeLines="40" w:before="96" w:afterLines="40" w:after="96"/>
              <w:rPr>
                <w:rFonts w:asciiTheme="minorHAnsi" w:hAnsiTheme="minorHAnsi" w:cstheme="minorHAnsi"/>
                <w:szCs w:val="20"/>
              </w:rPr>
            </w:pPr>
            <w:r w:rsidRPr="003276BB">
              <w:rPr>
                <w:rFonts w:asciiTheme="minorHAnsi" w:hAnsiTheme="minorHAnsi" w:cstheme="minorHAnsi"/>
                <w:szCs w:val="20"/>
              </w:rPr>
              <w:t xml:space="preserve">EU </w:t>
            </w:r>
          </w:p>
        </w:tc>
        <w:tc>
          <w:tcPr>
            <w:tcW w:w="3596" w:type="pct"/>
          </w:tcPr>
          <w:p w14:paraId="15D851C9" w14:textId="77777777" w:rsidR="00776154" w:rsidRPr="003276BB" w:rsidRDefault="00776154" w:rsidP="00776154">
            <w:pPr>
              <w:spacing w:beforeLines="40" w:before="96" w:afterLines="40" w:after="96"/>
              <w:rPr>
                <w:rFonts w:asciiTheme="minorHAnsi" w:hAnsiTheme="minorHAnsi" w:cstheme="minorHAnsi"/>
                <w:b/>
                <w:szCs w:val="20"/>
              </w:rPr>
            </w:pPr>
            <w:r w:rsidRPr="003276BB">
              <w:rPr>
                <w:rFonts w:asciiTheme="minorHAnsi" w:hAnsiTheme="minorHAnsi" w:cstheme="minorHAnsi"/>
                <w:szCs w:val="20"/>
              </w:rPr>
              <w:t>European Union</w:t>
            </w:r>
          </w:p>
        </w:tc>
      </w:tr>
      <w:tr w:rsidR="002D5D81" w:rsidRPr="005F5D83" w14:paraId="0EE2BEBB" w14:textId="77777777" w:rsidTr="00BE5B3E">
        <w:tc>
          <w:tcPr>
            <w:tcW w:w="1404" w:type="pct"/>
          </w:tcPr>
          <w:p w14:paraId="1678333A" w14:textId="1E627190" w:rsidR="002D5D81" w:rsidRPr="003276BB" w:rsidRDefault="002D5D81" w:rsidP="00776154">
            <w:pPr>
              <w:spacing w:beforeLines="40" w:before="96" w:afterLines="40" w:after="96"/>
              <w:rPr>
                <w:rFonts w:asciiTheme="minorHAnsi" w:hAnsiTheme="minorHAnsi" w:cstheme="minorHAnsi"/>
                <w:szCs w:val="20"/>
              </w:rPr>
            </w:pPr>
            <w:r w:rsidRPr="003276BB">
              <w:rPr>
                <w:rFonts w:asciiTheme="minorHAnsi" w:hAnsiTheme="minorHAnsi" w:cstheme="minorHAnsi"/>
                <w:szCs w:val="20"/>
              </w:rPr>
              <w:t>EWG</w:t>
            </w:r>
          </w:p>
        </w:tc>
        <w:tc>
          <w:tcPr>
            <w:tcW w:w="3596" w:type="pct"/>
          </w:tcPr>
          <w:p w14:paraId="1C51F2F7" w14:textId="101E1D04" w:rsidR="002D5D81" w:rsidRPr="003276BB" w:rsidRDefault="002D5D81" w:rsidP="00776154">
            <w:pPr>
              <w:spacing w:beforeLines="40" w:before="96" w:afterLines="40" w:after="96"/>
              <w:rPr>
                <w:rFonts w:asciiTheme="minorHAnsi" w:hAnsiTheme="minorHAnsi" w:cstheme="minorHAnsi"/>
                <w:szCs w:val="20"/>
              </w:rPr>
            </w:pPr>
            <w:r w:rsidRPr="003276BB">
              <w:rPr>
                <w:rFonts w:asciiTheme="minorHAnsi" w:hAnsiTheme="minorHAnsi" w:cstheme="minorHAnsi"/>
                <w:szCs w:val="20"/>
              </w:rPr>
              <w:t>Electronic working group</w:t>
            </w:r>
          </w:p>
        </w:tc>
      </w:tr>
      <w:tr w:rsidR="00776154" w:rsidRPr="005F5D83" w14:paraId="337757FA" w14:textId="77777777" w:rsidTr="00BE5B3E">
        <w:tc>
          <w:tcPr>
            <w:tcW w:w="1404" w:type="pct"/>
          </w:tcPr>
          <w:p w14:paraId="1EE0786A" w14:textId="77777777" w:rsidR="00776154" w:rsidRPr="003276BB" w:rsidRDefault="00776154" w:rsidP="00776154">
            <w:pPr>
              <w:spacing w:beforeLines="40" w:before="96" w:afterLines="40" w:after="96"/>
              <w:rPr>
                <w:rFonts w:asciiTheme="minorHAnsi" w:hAnsiTheme="minorHAnsi" w:cstheme="minorHAnsi"/>
                <w:szCs w:val="20"/>
              </w:rPr>
            </w:pPr>
            <w:r w:rsidRPr="003276BB">
              <w:rPr>
                <w:rFonts w:asciiTheme="minorHAnsi" w:hAnsiTheme="minorHAnsi" w:cstheme="minorHAnsi"/>
                <w:szCs w:val="20"/>
              </w:rPr>
              <w:t>FAO</w:t>
            </w:r>
          </w:p>
        </w:tc>
        <w:tc>
          <w:tcPr>
            <w:tcW w:w="3596" w:type="pct"/>
          </w:tcPr>
          <w:p w14:paraId="24783AE0" w14:textId="77777777" w:rsidR="00776154" w:rsidRPr="003276BB" w:rsidRDefault="00776154" w:rsidP="00776154">
            <w:pPr>
              <w:spacing w:beforeLines="40" w:before="96" w:afterLines="40" w:after="96"/>
              <w:rPr>
                <w:rFonts w:asciiTheme="minorHAnsi" w:hAnsiTheme="minorHAnsi" w:cstheme="minorHAnsi"/>
                <w:szCs w:val="20"/>
              </w:rPr>
            </w:pPr>
            <w:r w:rsidRPr="003276BB">
              <w:rPr>
                <w:rFonts w:asciiTheme="minorHAnsi" w:hAnsiTheme="minorHAnsi" w:cstheme="minorHAnsi"/>
                <w:szCs w:val="20"/>
              </w:rPr>
              <w:t>Food and Agriculture Organization of the United Nations</w:t>
            </w:r>
          </w:p>
        </w:tc>
      </w:tr>
      <w:tr w:rsidR="00117F4D" w:rsidRPr="005F5D83" w14:paraId="711025ED" w14:textId="77777777" w:rsidTr="00BE5B3E">
        <w:tc>
          <w:tcPr>
            <w:tcW w:w="1404" w:type="pct"/>
          </w:tcPr>
          <w:p w14:paraId="3BDB99ED" w14:textId="67D501AB" w:rsidR="00117F4D" w:rsidRPr="003276BB" w:rsidRDefault="00117F4D" w:rsidP="005577E5">
            <w:pPr>
              <w:spacing w:beforeLines="40" w:before="96" w:afterLines="40" w:after="96"/>
              <w:rPr>
                <w:rFonts w:asciiTheme="minorHAnsi" w:hAnsiTheme="minorHAnsi" w:cstheme="minorHAnsi"/>
                <w:szCs w:val="20"/>
              </w:rPr>
            </w:pPr>
            <w:r w:rsidRPr="003276BB">
              <w:rPr>
                <w:rFonts w:asciiTheme="minorHAnsi" w:hAnsiTheme="minorHAnsi" w:cstheme="minorHAnsi"/>
                <w:szCs w:val="20"/>
              </w:rPr>
              <w:t>Follow</w:t>
            </w:r>
            <w:r w:rsidR="005577E5" w:rsidRPr="003276BB">
              <w:rPr>
                <w:rFonts w:asciiTheme="minorHAnsi" w:hAnsiTheme="minorHAnsi" w:cstheme="minorHAnsi"/>
                <w:szCs w:val="20"/>
              </w:rPr>
              <w:t>-</w:t>
            </w:r>
            <w:r w:rsidRPr="003276BB">
              <w:rPr>
                <w:rFonts w:asciiTheme="minorHAnsi" w:hAnsiTheme="minorHAnsi" w:cstheme="minorHAnsi"/>
                <w:szCs w:val="20"/>
              </w:rPr>
              <w:t>on</w:t>
            </w:r>
            <w:r w:rsidR="005577E5" w:rsidRPr="003276BB">
              <w:rPr>
                <w:rFonts w:asciiTheme="minorHAnsi" w:hAnsiTheme="minorHAnsi" w:cstheme="minorHAnsi"/>
                <w:szCs w:val="20"/>
              </w:rPr>
              <w:t xml:space="preserve"> </w:t>
            </w:r>
            <w:r w:rsidRPr="003276BB">
              <w:rPr>
                <w:rFonts w:asciiTheme="minorHAnsi" w:hAnsiTheme="minorHAnsi" w:cstheme="minorHAnsi"/>
                <w:szCs w:val="20"/>
              </w:rPr>
              <w:t>formula (FOF)</w:t>
            </w:r>
          </w:p>
        </w:tc>
        <w:tc>
          <w:tcPr>
            <w:tcW w:w="3596" w:type="pct"/>
          </w:tcPr>
          <w:p w14:paraId="72ACFA6D" w14:textId="5A5B2A4B" w:rsidR="00117F4D" w:rsidRPr="003276BB" w:rsidRDefault="00117F4D" w:rsidP="00C67F08">
            <w:pPr>
              <w:spacing w:beforeLines="40" w:before="96" w:afterLines="40" w:after="96"/>
              <w:rPr>
                <w:rFonts w:asciiTheme="minorHAnsi" w:hAnsiTheme="minorHAnsi" w:cstheme="minorHAnsi"/>
                <w:szCs w:val="20"/>
              </w:rPr>
            </w:pPr>
            <w:r w:rsidRPr="003276BB">
              <w:rPr>
                <w:rFonts w:asciiTheme="minorHAnsi" w:hAnsiTheme="minorHAnsi" w:cstheme="minorHAnsi"/>
                <w:szCs w:val="20"/>
              </w:rPr>
              <w:t>An infant formula product that is</w:t>
            </w:r>
            <w:r w:rsidR="008D01CB">
              <w:rPr>
                <w:rFonts w:asciiTheme="minorHAnsi" w:hAnsiTheme="minorHAnsi" w:cstheme="minorHAnsi"/>
                <w:szCs w:val="20"/>
              </w:rPr>
              <w:t xml:space="preserve"> represented as either a breast </w:t>
            </w:r>
            <w:r w:rsidRPr="003276BB">
              <w:rPr>
                <w:rFonts w:asciiTheme="minorHAnsi" w:hAnsiTheme="minorHAnsi" w:cstheme="minorHAnsi"/>
                <w:szCs w:val="20"/>
              </w:rPr>
              <w:t>milk substitute or replacement for infant formula and is suitable to constitute the principal liquid source of nourishment in a progressively diversified diet for infants from the age of six months</w:t>
            </w:r>
            <w:r w:rsidR="00C67F08">
              <w:rPr>
                <w:rFonts w:asciiTheme="minorHAnsi" w:hAnsiTheme="minorHAnsi" w:cstheme="minorHAnsi"/>
                <w:szCs w:val="20"/>
              </w:rPr>
              <w:t>,</w:t>
            </w:r>
            <w:r w:rsidRPr="003276BB">
              <w:rPr>
                <w:rFonts w:asciiTheme="minorHAnsi" w:hAnsiTheme="minorHAnsi" w:cstheme="minorHAnsi"/>
                <w:szCs w:val="20"/>
              </w:rPr>
              <w:t xml:space="preserve"> </w:t>
            </w:r>
            <w:r w:rsidRPr="003276BB">
              <w:rPr>
                <w:rFonts w:asciiTheme="minorHAnsi" w:hAnsiTheme="minorHAnsi" w:cstheme="minorHAnsi"/>
                <w:szCs w:val="20"/>
                <w:lang w:val="en-AU"/>
              </w:rPr>
              <w:t xml:space="preserve">as defined in Standard 1.1.1 of the Code. </w:t>
            </w:r>
          </w:p>
        </w:tc>
      </w:tr>
      <w:tr w:rsidR="000E7CD3" w:rsidRPr="005F5D83" w14:paraId="730D64AC" w14:textId="77777777" w:rsidTr="00BE5B3E">
        <w:tc>
          <w:tcPr>
            <w:tcW w:w="1404" w:type="pct"/>
          </w:tcPr>
          <w:p w14:paraId="265A39EF" w14:textId="49F46567" w:rsidR="000E7CD3" w:rsidRPr="003276BB" w:rsidRDefault="000E7CD3" w:rsidP="00C73A77">
            <w:pPr>
              <w:spacing w:beforeLines="40" w:before="96" w:afterLines="40" w:after="96"/>
              <w:rPr>
                <w:rFonts w:asciiTheme="minorHAnsi" w:hAnsiTheme="minorHAnsi" w:cstheme="minorHAnsi"/>
                <w:szCs w:val="20"/>
              </w:rPr>
            </w:pPr>
            <w:r>
              <w:rPr>
                <w:rFonts w:asciiTheme="minorHAnsi" w:hAnsiTheme="minorHAnsi" w:cstheme="minorHAnsi"/>
                <w:szCs w:val="20"/>
              </w:rPr>
              <w:t>Follow-up formula (FUF)</w:t>
            </w:r>
          </w:p>
        </w:tc>
        <w:tc>
          <w:tcPr>
            <w:tcW w:w="3596" w:type="pct"/>
          </w:tcPr>
          <w:p w14:paraId="6E6D52C6" w14:textId="6FB49CC4" w:rsidR="000E7CD3" w:rsidRPr="003276BB" w:rsidRDefault="000E7CD3" w:rsidP="000E7CD3">
            <w:pPr>
              <w:spacing w:beforeLines="40" w:before="96" w:afterLines="40" w:after="96"/>
              <w:rPr>
                <w:rFonts w:asciiTheme="minorHAnsi" w:hAnsiTheme="minorHAnsi" w:cstheme="minorHAnsi"/>
                <w:szCs w:val="20"/>
              </w:rPr>
            </w:pPr>
            <w:r>
              <w:rPr>
                <w:rFonts w:asciiTheme="minorHAnsi" w:hAnsiTheme="minorHAnsi" w:cstheme="minorHAnsi"/>
                <w:szCs w:val="20"/>
              </w:rPr>
              <w:t xml:space="preserve">Under CODEX STAN 156-1987, this is </w:t>
            </w:r>
            <w:r>
              <w:t>a food intended for use as a liquid part of the weaning diet for infants and for young children (age 6-&lt;36 months)</w:t>
            </w:r>
          </w:p>
        </w:tc>
      </w:tr>
      <w:tr w:rsidR="00582064" w:rsidRPr="005F5D83" w14:paraId="37AC912A" w14:textId="77777777" w:rsidTr="00BE5B3E">
        <w:tc>
          <w:tcPr>
            <w:tcW w:w="1404" w:type="pct"/>
          </w:tcPr>
          <w:p w14:paraId="722287F6" w14:textId="77777777" w:rsidR="00582064" w:rsidRPr="003276BB" w:rsidRDefault="00582064" w:rsidP="00C73A77">
            <w:pPr>
              <w:spacing w:beforeLines="40" w:before="96" w:afterLines="40" w:after="96"/>
              <w:rPr>
                <w:rFonts w:asciiTheme="minorHAnsi" w:hAnsiTheme="minorHAnsi" w:cstheme="minorHAnsi"/>
                <w:szCs w:val="20"/>
              </w:rPr>
            </w:pPr>
            <w:r w:rsidRPr="003276BB">
              <w:rPr>
                <w:rFonts w:asciiTheme="minorHAnsi" w:hAnsiTheme="minorHAnsi" w:cstheme="minorHAnsi"/>
                <w:szCs w:val="20"/>
              </w:rPr>
              <w:t>FSMP</w:t>
            </w:r>
          </w:p>
        </w:tc>
        <w:tc>
          <w:tcPr>
            <w:tcW w:w="3596" w:type="pct"/>
          </w:tcPr>
          <w:p w14:paraId="31C6EE31" w14:textId="77777777" w:rsidR="00582064" w:rsidRPr="003276BB" w:rsidRDefault="00582064" w:rsidP="00C73A77">
            <w:pPr>
              <w:spacing w:beforeLines="40" w:before="96" w:afterLines="40" w:after="96"/>
              <w:rPr>
                <w:rFonts w:asciiTheme="minorHAnsi" w:hAnsiTheme="minorHAnsi" w:cstheme="minorHAnsi"/>
                <w:szCs w:val="20"/>
              </w:rPr>
            </w:pPr>
            <w:r w:rsidRPr="003276BB">
              <w:rPr>
                <w:rFonts w:asciiTheme="minorHAnsi" w:hAnsiTheme="minorHAnsi" w:cstheme="minorHAnsi"/>
                <w:szCs w:val="20"/>
              </w:rPr>
              <w:t>Food for Special Medical Purposes</w:t>
            </w:r>
          </w:p>
        </w:tc>
      </w:tr>
      <w:tr w:rsidR="00776154" w:rsidRPr="005F5D83" w14:paraId="3684E5DA" w14:textId="77777777" w:rsidTr="00BE5B3E">
        <w:tc>
          <w:tcPr>
            <w:tcW w:w="1404" w:type="pct"/>
          </w:tcPr>
          <w:p w14:paraId="44608B36" w14:textId="77777777" w:rsidR="00776154" w:rsidRPr="003276BB" w:rsidRDefault="00776154" w:rsidP="00776154">
            <w:pPr>
              <w:spacing w:beforeLines="40" w:before="96" w:afterLines="40" w:after="96"/>
              <w:rPr>
                <w:rFonts w:asciiTheme="minorHAnsi" w:hAnsiTheme="minorHAnsi" w:cstheme="minorHAnsi"/>
                <w:szCs w:val="20"/>
              </w:rPr>
            </w:pPr>
            <w:r w:rsidRPr="003276BB">
              <w:rPr>
                <w:rFonts w:asciiTheme="minorHAnsi" w:hAnsiTheme="minorHAnsi" w:cstheme="minorHAnsi"/>
                <w:szCs w:val="20"/>
              </w:rPr>
              <w:t xml:space="preserve">GL </w:t>
            </w:r>
          </w:p>
        </w:tc>
        <w:tc>
          <w:tcPr>
            <w:tcW w:w="3596" w:type="pct"/>
          </w:tcPr>
          <w:p w14:paraId="46C9606C" w14:textId="32A85D27" w:rsidR="00776154" w:rsidRPr="003276BB" w:rsidRDefault="001332E7" w:rsidP="00776154">
            <w:pPr>
              <w:spacing w:beforeLines="40" w:before="96" w:afterLines="40" w:after="96"/>
              <w:rPr>
                <w:rFonts w:asciiTheme="minorHAnsi" w:hAnsiTheme="minorHAnsi" w:cstheme="minorHAnsi"/>
                <w:b/>
                <w:szCs w:val="20"/>
              </w:rPr>
            </w:pPr>
            <w:r w:rsidRPr="003276BB">
              <w:rPr>
                <w:rFonts w:asciiTheme="minorHAnsi" w:hAnsiTheme="minorHAnsi" w:cstheme="minorHAnsi"/>
                <w:szCs w:val="20"/>
              </w:rPr>
              <w:t>Guideline level</w:t>
            </w:r>
          </w:p>
        </w:tc>
      </w:tr>
      <w:tr w:rsidR="00776154" w:rsidRPr="005F5D83" w14:paraId="2DB42841" w14:textId="77777777" w:rsidTr="00BE5B3E">
        <w:tc>
          <w:tcPr>
            <w:tcW w:w="1404" w:type="pct"/>
          </w:tcPr>
          <w:p w14:paraId="2372B523" w14:textId="77777777" w:rsidR="00776154" w:rsidRPr="003276BB" w:rsidRDefault="00776154" w:rsidP="00776154">
            <w:pPr>
              <w:spacing w:beforeLines="40" w:before="96" w:afterLines="40" w:after="96"/>
              <w:rPr>
                <w:rFonts w:asciiTheme="minorHAnsi" w:hAnsiTheme="minorHAnsi" w:cstheme="minorHAnsi"/>
                <w:szCs w:val="20"/>
              </w:rPr>
            </w:pPr>
            <w:r w:rsidRPr="003276BB">
              <w:rPr>
                <w:rFonts w:asciiTheme="minorHAnsi" w:hAnsiTheme="minorHAnsi" w:cstheme="minorHAnsi"/>
                <w:szCs w:val="20"/>
              </w:rPr>
              <w:t xml:space="preserve">GMP </w:t>
            </w:r>
          </w:p>
        </w:tc>
        <w:tc>
          <w:tcPr>
            <w:tcW w:w="3596" w:type="pct"/>
          </w:tcPr>
          <w:p w14:paraId="029BCA7F" w14:textId="4E0C2695" w:rsidR="00776154" w:rsidRPr="003276BB" w:rsidRDefault="001332E7" w:rsidP="00776154">
            <w:pPr>
              <w:spacing w:beforeLines="40" w:before="96" w:afterLines="40" w:after="96"/>
              <w:rPr>
                <w:rFonts w:asciiTheme="minorHAnsi" w:hAnsiTheme="minorHAnsi" w:cstheme="minorHAnsi"/>
                <w:b/>
                <w:szCs w:val="20"/>
              </w:rPr>
            </w:pPr>
            <w:r w:rsidRPr="003276BB">
              <w:rPr>
                <w:rFonts w:asciiTheme="minorHAnsi" w:hAnsiTheme="minorHAnsi" w:cstheme="minorHAnsi"/>
                <w:szCs w:val="20"/>
              </w:rPr>
              <w:t>Good manufacturing practice</w:t>
            </w:r>
          </w:p>
        </w:tc>
      </w:tr>
      <w:tr w:rsidR="00776154" w:rsidRPr="005F5D83" w14:paraId="0E026CE9" w14:textId="77777777" w:rsidTr="00BE5B3E">
        <w:tc>
          <w:tcPr>
            <w:tcW w:w="1404" w:type="pct"/>
          </w:tcPr>
          <w:p w14:paraId="73790F58" w14:textId="77777777" w:rsidR="00776154" w:rsidRPr="003276BB" w:rsidRDefault="00776154" w:rsidP="00776154">
            <w:pPr>
              <w:spacing w:beforeLines="40" w:before="96" w:afterLines="40" w:after="96"/>
              <w:rPr>
                <w:rFonts w:asciiTheme="minorHAnsi" w:hAnsiTheme="minorHAnsi" w:cstheme="minorHAnsi"/>
                <w:szCs w:val="20"/>
              </w:rPr>
            </w:pPr>
            <w:r w:rsidRPr="003276BB">
              <w:rPr>
                <w:rFonts w:asciiTheme="minorHAnsi" w:hAnsiTheme="minorHAnsi" w:cstheme="minorHAnsi"/>
                <w:szCs w:val="20"/>
              </w:rPr>
              <w:t>GUL</w:t>
            </w:r>
          </w:p>
        </w:tc>
        <w:tc>
          <w:tcPr>
            <w:tcW w:w="3596" w:type="pct"/>
          </w:tcPr>
          <w:p w14:paraId="064E89A0" w14:textId="5B730430" w:rsidR="00776154" w:rsidRPr="003276BB" w:rsidRDefault="00776154" w:rsidP="00954AD1">
            <w:pPr>
              <w:spacing w:beforeLines="40" w:before="96" w:afterLines="40" w:after="96"/>
              <w:rPr>
                <w:rFonts w:asciiTheme="minorHAnsi" w:hAnsiTheme="minorHAnsi" w:cstheme="minorHAnsi"/>
                <w:szCs w:val="20"/>
              </w:rPr>
            </w:pPr>
            <w:r w:rsidRPr="003276BB">
              <w:rPr>
                <w:rFonts w:asciiTheme="minorHAnsi" w:hAnsiTheme="minorHAnsi" w:cstheme="minorHAnsi"/>
                <w:szCs w:val="20"/>
              </w:rPr>
              <w:t>Guid</w:t>
            </w:r>
            <w:r w:rsidR="00954AD1" w:rsidRPr="003276BB">
              <w:rPr>
                <w:rFonts w:asciiTheme="minorHAnsi" w:hAnsiTheme="minorHAnsi" w:cstheme="minorHAnsi"/>
                <w:szCs w:val="20"/>
              </w:rPr>
              <w:t>anc</w:t>
            </w:r>
            <w:r w:rsidR="001332E7" w:rsidRPr="003276BB">
              <w:rPr>
                <w:rFonts w:asciiTheme="minorHAnsi" w:hAnsiTheme="minorHAnsi" w:cstheme="minorHAnsi"/>
                <w:szCs w:val="20"/>
              </w:rPr>
              <w:t xml:space="preserve">e upper level </w:t>
            </w:r>
          </w:p>
        </w:tc>
      </w:tr>
      <w:tr w:rsidR="00B50805" w:rsidRPr="005F5D83" w14:paraId="0729C5FA" w14:textId="77777777" w:rsidTr="00BE5B3E">
        <w:tc>
          <w:tcPr>
            <w:tcW w:w="1404" w:type="pct"/>
          </w:tcPr>
          <w:p w14:paraId="073B5672" w14:textId="5D2CE6AF" w:rsidR="00B50805" w:rsidRPr="003276BB" w:rsidRDefault="00B50805" w:rsidP="00C73A77">
            <w:pPr>
              <w:spacing w:beforeLines="40" w:before="96" w:afterLines="40" w:after="96"/>
              <w:rPr>
                <w:rFonts w:asciiTheme="minorHAnsi" w:hAnsiTheme="minorHAnsi" w:cstheme="minorHAnsi"/>
                <w:szCs w:val="20"/>
              </w:rPr>
            </w:pPr>
            <w:r w:rsidRPr="003276BB">
              <w:rPr>
                <w:rFonts w:asciiTheme="minorHAnsi" w:hAnsiTheme="minorHAnsi" w:cstheme="minorHAnsi"/>
                <w:szCs w:val="20"/>
              </w:rPr>
              <w:t>IDA</w:t>
            </w:r>
          </w:p>
        </w:tc>
        <w:tc>
          <w:tcPr>
            <w:tcW w:w="3596" w:type="pct"/>
          </w:tcPr>
          <w:p w14:paraId="0A700984" w14:textId="0B51EEEA" w:rsidR="00B50805" w:rsidRPr="003276BB" w:rsidRDefault="00B50805" w:rsidP="00C73A77">
            <w:pPr>
              <w:spacing w:beforeLines="40" w:before="96" w:afterLines="40" w:after="96"/>
              <w:rPr>
                <w:rFonts w:asciiTheme="minorHAnsi" w:hAnsiTheme="minorHAnsi" w:cstheme="minorHAnsi"/>
                <w:szCs w:val="20"/>
              </w:rPr>
            </w:pPr>
            <w:r w:rsidRPr="003276BB">
              <w:rPr>
                <w:rFonts w:asciiTheme="minorHAnsi" w:hAnsiTheme="minorHAnsi" w:cstheme="minorHAnsi"/>
                <w:szCs w:val="20"/>
              </w:rPr>
              <w:t>Iron deficiency anaemia</w:t>
            </w:r>
          </w:p>
        </w:tc>
      </w:tr>
      <w:tr w:rsidR="00776154" w:rsidRPr="005F5D83" w14:paraId="3F064D8C" w14:textId="77777777" w:rsidTr="00BE5B3E">
        <w:tc>
          <w:tcPr>
            <w:tcW w:w="1404" w:type="pct"/>
          </w:tcPr>
          <w:p w14:paraId="24EFE462" w14:textId="77777777" w:rsidR="00776154" w:rsidRPr="003276BB" w:rsidRDefault="00776154" w:rsidP="00776154">
            <w:pPr>
              <w:spacing w:beforeLines="40" w:before="96" w:afterLines="40" w:after="96"/>
              <w:rPr>
                <w:rFonts w:asciiTheme="minorHAnsi" w:hAnsiTheme="minorHAnsi" w:cstheme="minorHAnsi"/>
                <w:szCs w:val="20"/>
              </w:rPr>
            </w:pPr>
            <w:r w:rsidRPr="003276BB">
              <w:rPr>
                <w:rFonts w:asciiTheme="minorHAnsi" w:hAnsiTheme="minorHAnsi" w:cstheme="minorHAnsi"/>
                <w:szCs w:val="20"/>
              </w:rPr>
              <w:t xml:space="preserve">IFPSDU </w:t>
            </w:r>
          </w:p>
        </w:tc>
        <w:tc>
          <w:tcPr>
            <w:tcW w:w="3596" w:type="pct"/>
          </w:tcPr>
          <w:p w14:paraId="221948B0" w14:textId="00FA107C" w:rsidR="00776154" w:rsidRPr="003276BB" w:rsidRDefault="00776154" w:rsidP="00117F4D">
            <w:pPr>
              <w:spacing w:beforeLines="40" w:before="96" w:afterLines="40" w:after="96"/>
              <w:rPr>
                <w:rFonts w:asciiTheme="minorHAnsi" w:hAnsiTheme="minorHAnsi" w:cstheme="minorHAnsi"/>
                <w:b/>
                <w:szCs w:val="20"/>
              </w:rPr>
            </w:pPr>
            <w:r w:rsidRPr="003276BB">
              <w:rPr>
                <w:rFonts w:asciiTheme="minorHAnsi" w:hAnsiTheme="minorHAnsi" w:cstheme="minorHAnsi"/>
                <w:szCs w:val="20"/>
              </w:rPr>
              <w:t>Infant formula products for special dietary use</w:t>
            </w:r>
          </w:p>
        </w:tc>
      </w:tr>
      <w:tr w:rsidR="00776154" w:rsidRPr="005F5D83" w14:paraId="7E3905D0" w14:textId="77777777" w:rsidTr="00BE5B3E">
        <w:tc>
          <w:tcPr>
            <w:tcW w:w="1404" w:type="pct"/>
          </w:tcPr>
          <w:p w14:paraId="6FD9C3E1" w14:textId="77777777" w:rsidR="00776154" w:rsidRPr="003276BB" w:rsidRDefault="00776154" w:rsidP="00776154">
            <w:pPr>
              <w:spacing w:beforeLines="40" w:before="96" w:afterLines="40" w:after="96"/>
              <w:rPr>
                <w:rFonts w:asciiTheme="minorHAnsi" w:hAnsiTheme="minorHAnsi" w:cstheme="minorHAnsi"/>
                <w:szCs w:val="20"/>
              </w:rPr>
            </w:pPr>
            <w:r w:rsidRPr="003276BB">
              <w:rPr>
                <w:rFonts w:asciiTheme="minorHAnsi" w:hAnsiTheme="minorHAnsi" w:cstheme="minorHAnsi"/>
                <w:szCs w:val="20"/>
              </w:rPr>
              <w:t xml:space="preserve">Infant </w:t>
            </w:r>
          </w:p>
        </w:tc>
        <w:tc>
          <w:tcPr>
            <w:tcW w:w="3596" w:type="pct"/>
          </w:tcPr>
          <w:p w14:paraId="103C8EA5" w14:textId="6D32378D" w:rsidR="00776154" w:rsidRPr="003276BB" w:rsidRDefault="00776154" w:rsidP="00776154">
            <w:pPr>
              <w:spacing w:beforeLines="40" w:before="96" w:afterLines="40" w:after="96"/>
              <w:rPr>
                <w:rFonts w:asciiTheme="minorHAnsi" w:hAnsiTheme="minorHAnsi" w:cstheme="minorHAnsi"/>
                <w:b/>
                <w:szCs w:val="20"/>
              </w:rPr>
            </w:pPr>
            <w:r w:rsidRPr="003276BB">
              <w:rPr>
                <w:rFonts w:asciiTheme="minorHAnsi" w:hAnsiTheme="minorHAnsi" w:cstheme="minorHAnsi"/>
                <w:szCs w:val="20"/>
              </w:rPr>
              <w:t>A person under the age of 12 months</w:t>
            </w:r>
            <w:r w:rsidR="00C67F08">
              <w:rPr>
                <w:rFonts w:asciiTheme="minorHAnsi" w:hAnsiTheme="minorHAnsi" w:cstheme="minorHAnsi"/>
                <w:szCs w:val="20"/>
              </w:rPr>
              <w:t>,</w:t>
            </w:r>
            <w:r w:rsidRPr="003276BB">
              <w:rPr>
                <w:rFonts w:asciiTheme="minorHAnsi" w:hAnsiTheme="minorHAnsi" w:cstheme="minorHAnsi"/>
                <w:szCs w:val="20"/>
              </w:rPr>
              <w:t xml:space="preserve"> as defined in Standard 2.9.1</w:t>
            </w:r>
          </w:p>
        </w:tc>
      </w:tr>
      <w:tr w:rsidR="00BD1350" w:rsidRPr="005F5D83" w14:paraId="16B6AAFF" w14:textId="77777777" w:rsidTr="00BE5B3E">
        <w:tc>
          <w:tcPr>
            <w:tcW w:w="1404" w:type="pct"/>
          </w:tcPr>
          <w:p w14:paraId="6CA0ED67" w14:textId="00C59B37" w:rsidR="00BD1350" w:rsidRPr="003276BB" w:rsidRDefault="00BD1350" w:rsidP="00BD1350">
            <w:pPr>
              <w:spacing w:beforeLines="40" w:before="96" w:afterLines="40" w:after="96"/>
              <w:rPr>
                <w:rFonts w:asciiTheme="minorHAnsi" w:hAnsiTheme="minorHAnsi" w:cstheme="minorHAnsi"/>
                <w:szCs w:val="20"/>
              </w:rPr>
            </w:pPr>
            <w:r w:rsidRPr="003276BB">
              <w:rPr>
                <w:rFonts w:asciiTheme="minorHAnsi" w:hAnsiTheme="minorHAnsi" w:cstheme="minorHAnsi"/>
                <w:szCs w:val="20"/>
                <w:lang w:val="en-AU"/>
              </w:rPr>
              <w:t>Infant formula (IF)</w:t>
            </w:r>
          </w:p>
        </w:tc>
        <w:tc>
          <w:tcPr>
            <w:tcW w:w="3596" w:type="pct"/>
          </w:tcPr>
          <w:p w14:paraId="74C07789" w14:textId="56B72839" w:rsidR="00BD1350" w:rsidRPr="003276BB" w:rsidRDefault="00BD1350" w:rsidP="00BD1350">
            <w:pPr>
              <w:spacing w:beforeLines="40" w:before="96" w:afterLines="40" w:after="96"/>
              <w:rPr>
                <w:rFonts w:asciiTheme="minorHAnsi" w:hAnsiTheme="minorHAnsi" w:cstheme="minorHAnsi"/>
                <w:b/>
                <w:szCs w:val="20"/>
              </w:rPr>
            </w:pPr>
            <w:r w:rsidRPr="003276BB">
              <w:rPr>
                <w:rFonts w:asciiTheme="minorHAnsi" w:hAnsiTheme="minorHAnsi" w:cstheme="minorHAnsi"/>
                <w:szCs w:val="20"/>
                <w:lang w:val="en-AU"/>
              </w:rPr>
              <w:t>An infant formula product represented as a breast milk substitute for infants and which satisfies the nutritional requirements of infants aged up to four to six months</w:t>
            </w:r>
            <w:r w:rsidR="00C67F08">
              <w:rPr>
                <w:rFonts w:asciiTheme="minorHAnsi" w:hAnsiTheme="minorHAnsi" w:cstheme="minorHAnsi"/>
                <w:szCs w:val="20"/>
                <w:lang w:val="en-AU"/>
              </w:rPr>
              <w:t>,</w:t>
            </w:r>
            <w:r w:rsidRPr="003276BB">
              <w:rPr>
                <w:rFonts w:asciiTheme="minorHAnsi" w:hAnsiTheme="minorHAnsi" w:cstheme="minorHAnsi"/>
                <w:szCs w:val="20"/>
                <w:lang w:val="en-AU"/>
              </w:rPr>
              <w:t xml:space="preserve"> as defined in Standard 1.1.1 of the Code</w:t>
            </w:r>
          </w:p>
        </w:tc>
      </w:tr>
      <w:tr w:rsidR="00BD1350" w:rsidRPr="005F5D83" w14:paraId="3E2EBB9E" w14:textId="77777777" w:rsidTr="00BE5B3E">
        <w:tc>
          <w:tcPr>
            <w:tcW w:w="1404" w:type="pct"/>
          </w:tcPr>
          <w:p w14:paraId="78CAC596" w14:textId="3A75677F" w:rsidR="00BD1350" w:rsidRPr="003276BB" w:rsidRDefault="00BD1350" w:rsidP="00BD1350">
            <w:pPr>
              <w:spacing w:beforeLines="40" w:before="96" w:afterLines="40" w:after="96"/>
              <w:rPr>
                <w:rFonts w:asciiTheme="minorHAnsi" w:hAnsiTheme="minorHAnsi" w:cstheme="minorHAnsi"/>
                <w:szCs w:val="20"/>
              </w:rPr>
            </w:pPr>
            <w:r w:rsidRPr="003276BB">
              <w:rPr>
                <w:rFonts w:asciiTheme="minorHAnsi" w:hAnsiTheme="minorHAnsi" w:cstheme="minorHAnsi"/>
                <w:szCs w:val="20"/>
                <w:lang w:val="en-AU"/>
              </w:rPr>
              <w:t>Infant formula product (IFP)</w:t>
            </w:r>
          </w:p>
        </w:tc>
        <w:tc>
          <w:tcPr>
            <w:tcW w:w="3596" w:type="pct"/>
          </w:tcPr>
          <w:p w14:paraId="160AFA3D" w14:textId="198ED0B9" w:rsidR="00BD1350" w:rsidRPr="003276BB" w:rsidRDefault="00BD1350" w:rsidP="00BD1350">
            <w:pPr>
              <w:spacing w:beforeLines="40" w:before="96" w:afterLines="40" w:after="96"/>
              <w:rPr>
                <w:rFonts w:asciiTheme="minorHAnsi" w:hAnsiTheme="minorHAnsi" w:cstheme="minorHAnsi"/>
                <w:b/>
                <w:szCs w:val="20"/>
              </w:rPr>
            </w:pPr>
            <w:r w:rsidRPr="003276BB">
              <w:rPr>
                <w:rFonts w:asciiTheme="minorHAnsi" w:hAnsiTheme="minorHAnsi" w:cstheme="minorHAnsi"/>
                <w:szCs w:val="20"/>
                <w:lang w:val="en-AU"/>
              </w:rPr>
              <w:t>A product based on milk or other edible food constituents of animal or plant origin which is nutritionally adequate to serve as the principal liquid source of nourishment for infants; as defined in Standard 1.1.1 of the Code</w:t>
            </w:r>
          </w:p>
        </w:tc>
      </w:tr>
      <w:tr w:rsidR="00BD1350" w:rsidRPr="005F5D83" w14:paraId="4CF9D7B2" w14:textId="77777777" w:rsidTr="00BE5B3E">
        <w:tc>
          <w:tcPr>
            <w:tcW w:w="1404" w:type="pct"/>
          </w:tcPr>
          <w:p w14:paraId="78195517" w14:textId="31418ABC" w:rsidR="00BD1350" w:rsidRPr="003276BB" w:rsidRDefault="00BD1350" w:rsidP="00BD1350">
            <w:pPr>
              <w:spacing w:beforeLines="40" w:before="96" w:afterLines="40" w:after="96"/>
              <w:rPr>
                <w:rFonts w:asciiTheme="minorHAnsi" w:hAnsiTheme="minorHAnsi" w:cstheme="minorHAnsi"/>
                <w:szCs w:val="20"/>
              </w:rPr>
            </w:pPr>
            <w:r w:rsidRPr="003276BB">
              <w:rPr>
                <w:rFonts w:asciiTheme="minorHAnsi" w:hAnsiTheme="minorHAnsi" w:cstheme="minorHAnsi"/>
                <w:szCs w:val="20"/>
                <w:lang w:val="en-AU"/>
              </w:rPr>
              <w:t>Infant formula products for special dietary use (IFPSDU)</w:t>
            </w:r>
          </w:p>
        </w:tc>
        <w:tc>
          <w:tcPr>
            <w:tcW w:w="3596" w:type="pct"/>
          </w:tcPr>
          <w:p w14:paraId="7EE25C3F" w14:textId="5D724700" w:rsidR="00BD1350" w:rsidRPr="003276BB" w:rsidRDefault="00BD1350" w:rsidP="00BE5B3E">
            <w:pPr>
              <w:spacing w:beforeLines="40" w:before="96" w:afterLines="40" w:after="96"/>
              <w:rPr>
                <w:rFonts w:asciiTheme="minorHAnsi" w:hAnsiTheme="minorHAnsi" w:cstheme="minorHAnsi"/>
                <w:szCs w:val="20"/>
              </w:rPr>
            </w:pPr>
            <w:r w:rsidRPr="003276BB">
              <w:rPr>
                <w:rFonts w:asciiTheme="minorHAnsi" w:hAnsiTheme="minorHAnsi" w:cstheme="minorHAnsi"/>
                <w:szCs w:val="20"/>
                <w:lang w:val="en-AU"/>
              </w:rPr>
              <w:t xml:space="preserve">An infant formula product listed in Division 4 of Standard 2.9.1 </w:t>
            </w:r>
          </w:p>
        </w:tc>
      </w:tr>
      <w:tr w:rsidR="00776154" w:rsidRPr="005F5D83" w14:paraId="11592E3D" w14:textId="77777777" w:rsidTr="00BE5B3E">
        <w:tc>
          <w:tcPr>
            <w:tcW w:w="1404" w:type="pct"/>
          </w:tcPr>
          <w:p w14:paraId="2F574A55" w14:textId="77777777" w:rsidR="00776154" w:rsidRPr="003276BB" w:rsidRDefault="00776154" w:rsidP="00776154">
            <w:pPr>
              <w:spacing w:beforeLines="40" w:before="96" w:afterLines="40" w:after="96"/>
              <w:rPr>
                <w:rFonts w:asciiTheme="minorHAnsi" w:hAnsiTheme="minorHAnsi" w:cstheme="minorHAnsi"/>
                <w:szCs w:val="20"/>
              </w:rPr>
            </w:pPr>
            <w:r w:rsidRPr="003276BB">
              <w:rPr>
                <w:rFonts w:asciiTheme="minorHAnsi" w:eastAsia="Arial Unicode MS" w:hAnsiTheme="minorHAnsi" w:cstheme="minorHAnsi"/>
                <w:szCs w:val="20"/>
                <w:lang w:bidi="ar-SA"/>
              </w:rPr>
              <w:t>IOM</w:t>
            </w:r>
          </w:p>
        </w:tc>
        <w:tc>
          <w:tcPr>
            <w:tcW w:w="3596" w:type="pct"/>
          </w:tcPr>
          <w:p w14:paraId="42CB6E74" w14:textId="77777777" w:rsidR="00776154" w:rsidRPr="003276BB" w:rsidRDefault="00776154" w:rsidP="00776154">
            <w:pPr>
              <w:spacing w:beforeLines="40" w:before="96" w:afterLines="40" w:after="96"/>
              <w:rPr>
                <w:rFonts w:asciiTheme="minorHAnsi" w:hAnsiTheme="minorHAnsi" w:cstheme="minorHAnsi"/>
                <w:b/>
                <w:szCs w:val="20"/>
              </w:rPr>
            </w:pPr>
            <w:r w:rsidRPr="003276BB">
              <w:rPr>
                <w:rFonts w:asciiTheme="minorHAnsi" w:eastAsia="Arial Unicode MS" w:hAnsiTheme="minorHAnsi" w:cstheme="minorHAnsi"/>
                <w:szCs w:val="20"/>
                <w:lang w:bidi="ar-SA"/>
              </w:rPr>
              <w:t>US Institute of Medicine</w:t>
            </w:r>
          </w:p>
        </w:tc>
      </w:tr>
      <w:tr w:rsidR="000913C4" w:rsidRPr="005F5D83" w14:paraId="3EF0D86D" w14:textId="77777777" w:rsidTr="00BE5B3E">
        <w:tc>
          <w:tcPr>
            <w:tcW w:w="1404" w:type="pct"/>
          </w:tcPr>
          <w:p w14:paraId="5B9036EA" w14:textId="7DB9F9BB" w:rsidR="000913C4" w:rsidRPr="003276BB" w:rsidRDefault="000913C4" w:rsidP="00143572">
            <w:pPr>
              <w:spacing w:beforeLines="40" w:before="96" w:afterLines="40" w:after="96"/>
              <w:rPr>
                <w:rFonts w:asciiTheme="minorHAnsi" w:hAnsiTheme="minorHAnsi" w:cstheme="minorHAnsi"/>
                <w:szCs w:val="20"/>
              </w:rPr>
            </w:pPr>
            <w:r w:rsidRPr="003276BB">
              <w:rPr>
                <w:rFonts w:asciiTheme="minorHAnsi" w:hAnsiTheme="minorHAnsi" w:cstheme="minorHAnsi"/>
                <w:szCs w:val="20"/>
              </w:rPr>
              <w:t>ISP</w:t>
            </w:r>
          </w:p>
        </w:tc>
        <w:tc>
          <w:tcPr>
            <w:tcW w:w="3596" w:type="pct"/>
          </w:tcPr>
          <w:p w14:paraId="46978C5E" w14:textId="5F05A417" w:rsidR="000913C4" w:rsidRPr="003276BB" w:rsidRDefault="000913C4" w:rsidP="00143572">
            <w:pPr>
              <w:spacing w:beforeLines="40" w:before="96" w:afterLines="40" w:after="96"/>
              <w:rPr>
                <w:rFonts w:asciiTheme="minorHAnsi" w:hAnsiTheme="minorHAnsi" w:cstheme="minorHAnsi"/>
                <w:szCs w:val="20"/>
              </w:rPr>
            </w:pPr>
            <w:r w:rsidRPr="003276BB">
              <w:rPr>
                <w:rFonts w:asciiTheme="minorHAnsi" w:hAnsiTheme="minorHAnsi" w:cstheme="minorHAnsi"/>
                <w:szCs w:val="20"/>
              </w:rPr>
              <w:t>Isolated soy protein</w:t>
            </w:r>
          </w:p>
        </w:tc>
      </w:tr>
      <w:tr w:rsidR="000913C4" w:rsidRPr="005F5D83" w14:paraId="6D920C75" w14:textId="77777777" w:rsidTr="00BE5B3E">
        <w:tc>
          <w:tcPr>
            <w:tcW w:w="1404" w:type="pct"/>
          </w:tcPr>
          <w:p w14:paraId="5C793C09" w14:textId="7113F8E8" w:rsidR="000913C4" w:rsidRPr="003276BB" w:rsidRDefault="000913C4" w:rsidP="00143572">
            <w:pPr>
              <w:spacing w:beforeLines="40" w:before="96" w:afterLines="40" w:after="96"/>
              <w:rPr>
                <w:rFonts w:asciiTheme="minorHAnsi" w:hAnsiTheme="minorHAnsi" w:cstheme="minorHAnsi"/>
                <w:szCs w:val="20"/>
              </w:rPr>
            </w:pPr>
            <w:r w:rsidRPr="003276BB">
              <w:rPr>
                <w:rFonts w:asciiTheme="minorHAnsi" w:hAnsiTheme="minorHAnsi" w:cstheme="minorHAnsi"/>
                <w:szCs w:val="20"/>
              </w:rPr>
              <w:t>IU</w:t>
            </w:r>
          </w:p>
        </w:tc>
        <w:tc>
          <w:tcPr>
            <w:tcW w:w="3596" w:type="pct"/>
          </w:tcPr>
          <w:p w14:paraId="32010E65" w14:textId="3D3D17EA" w:rsidR="000913C4" w:rsidRPr="003276BB" w:rsidRDefault="000913C4" w:rsidP="00143572">
            <w:pPr>
              <w:spacing w:beforeLines="40" w:before="96" w:afterLines="40" w:after="96"/>
              <w:rPr>
                <w:rFonts w:asciiTheme="minorHAnsi" w:hAnsiTheme="minorHAnsi" w:cstheme="minorHAnsi"/>
                <w:szCs w:val="20"/>
              </w:rPr>
            </w:pPr>
            <w:r w:rsidRPr="003276BB">
              <w:rPr>
                <w:rFonts w:asciiTheme="minorHAnsi" w:hAnsiTheme="minorHAnsi" w:cstheme="minorHAnsi"/>
                <w:szCs w:val="20"/>
              </w:rPr>
              <w:t>International units</w:t>
            </w:r>
          </w:p>
        </w:tc>
      </w:tr>
      <w:tr w:rsidR="00776154" w:rsidRPr="005F5D83" w14:paraId="240B25D1" w14:textId="77777777" w:rsidTr="00BE5B3E">
        <w:tc>
          <w:tcPr>
            <w:tcW w:w="1404" w:type="pct"/>
          </w:tcPr>
          <w:p w14:paraId="26B80951" w14:textId="77777777" w:rsidR="00776154" w:rsidRPr="003276BB" w:rsidRDefault="00776154" w:rsidP="00776154">
            <w:pPr>
              <w:spacing w:beforeLines="40" w:before="96" w:afterLines="40" w:after="96"/>
              <w:rPr>
                <w:rFonts w:asciiTheme="minorHAnsi" w:hAnsiTheme="minorHAnsi" w:cstheme="minorHAnsi"/>
                <w:szCs w:val="20"/>
              </w:rPr>
            </w:pPr>
            <w:r w:rsidRPr="003276BB">
              <w:rPr>
                <w:rFonts w:asciiTheme="minorHAnsi" w:hAnsiTheme="minorHAnsi" w:cstheme="minorHAnsi"/>
                <w:szCs w:val="20"/>
              </w:rPr>
              <w:t xml:space="preserve">JECFA </w:t>
            </w:r>
          </w:p>
        </w:tc>
        <w:tc>
          <w:tcPr>
            <w:tcW w:w="3596" w:type="pct"/>
          </w:tcPr>
          <w:p w14:paraId="7D4A3CCB" w14:textId="77777777" w:rsidR="00776154" w:rsidRPr="003276BB" w:rsidRDefault="00776154" w:rsidP="00776154">
            <w:pPr>
              <w:spacing w:beforeLines="40" w:before="96" w:afterLines="40" w:after="96"/>
              <w:rPr>
                <w:rFonts w:asciiTheme="minorHAnsi" w:hAnsiTheme="minorHAnsi" w:cstheme="minorHAnsi"/>
                <w:b/>
                <w:szCs w:val="20"/>
              </w:rPr>
            </w:pPr>
            <w:r w:rsidRPr="003276BB">
              <w:rPr>
                <w:rFonts w:asciiTheme="minorHAnsi" w:hAnsiTheme="minorHAnsi" w:cstheme="minorHAnsi"/>
                <w:szCs w:val="20"/>
              </w:rPr>
              <w:t>FAO/WHO Joint Expert Committee on Food Additives</w:t>
            </w:r>
          </w:p>
        </w:tc>
      </w:tr>
      <w:tr w:rsidR="002D1983" w:rsidRPr="005F5D83" w14:paraId="1E5B134B" w14:textId="77777777" w:rsidTr="00BE5B3E">
        <w:tc>
          <w:tcPr>
            <w:tcW w:w="1404" w:type="pct"/>
          </w:tcPr>
          <w:p w14:paraId="3B7B80F1" w14:textId="027C3D47" w:rsidR="002D1983" w:rsidRPr="003276BB" w:rsidRDefault="002D1983" w:rsidP="00776154">
            <w:pPr>
              <w:spacing w:beforeLines="40" w:before="96" w:afterLines="40" w:after="96"/>
              <w:rPr>
                <w:rFonts w:asciiTheme="minorHAnsi" w:hAnsiTheme="minorHAnsi" w:cstheme="minorHAnsi"/>
                <w:szCs w:val="20"/>
              </w:rPr>
            </w:pPr>
            <w:r w:rsidRPr="003276BB">
              <w:rPr>
                <w:rFonts w:asciiTheme="minorHAnsi" w:hAnsiTheme="minorHAnsi" w:cstheme="minorHAnsi"/>
                <w:szCs w:val="20"/>
              </w:rPr>
              <w:t>JEMNU</w:t>
            </w:r>
          </w:p>
        </w:tc>
        <w:tc>
          <w:tcPr>
            <w:tcW w:w="3596" w:type="pct"/>
          </w:tcPr>
          <w:p w14:paraId="0C0E5EE4" w14:textId="0ED6E75D" w:rsidR="002D1983" w:rsidRPr="003276BB" w:rsidRDefault="002D1983" w:rsidP="00776154">
            <w:pPr>
              <w:spacing w:beforeLines="40" w:before="96" w:afterLines="40" w:after="96"/>
              <w:rPr>
                <w:rFonts w:asciiTheme="minorHAnsi" w:hAnsiTheme="minorHAnsi" w:cstheme="minorHAnsi"/>
                <w:szCs w:val="20"/>
              </w:rPr>
            </w:pPr>
            <w:r w:rsidRPr="003276BB">
              <w:rPr>
                <w:rFonts w:asciiTheme="minorHAnsi" w:hAnsiTheme="minorHAnsi" w:cstheme="minorHAnsi"/>
                <w:szCs w:val="20"/>
                <w:lang w:val="en-AU" w:bidi="ar-SA"/>
              </w:rPr>
              <w:t>Joint FAO/WHO Expert Meetings on Nutrition</w:t>
            </w:r>
          </w:p>
        </w:tc>
      </w:tr>
      <w:tr w:rsidR="00D81FE2" w:rsidRPr="005F5D83" w14:paraId="7451D899" w14:textId="77777777" w:rsidTr="00BE5B3E">
        <w:tc>
          <w:tcPr>
            <w:tcW w:w="1404" w:type="pct"/>
          </w:tcPr>
          <w:p w14:paraId="13A51376" w14:textId="4DCAC5DC" w:rsidR="00D81FE2" w:rsidRPr="003276BB" w:rsidRDefault="00D81FE2" w:rsidP="0048005E">
            <w:pPr>
              <w:spacing w:beforeLines="40" w:before="96" w:afterLines="40" w:after="96"/>
              <w:rPr>
                <w:rFonts w:asciiTheme="minorHAnsi" w:hAnsiTheme="minorHAnsi" w:cstheme="minorHAnsi"/>
                <w:bCs/>
                <w:szCs w:val="20"/>
                <w:lang w:bidi="ar-SA"/>
              </w:rPr>
            </w:pPr>
            <w:r w:rsidRPr="003276BB">
              <w:rPr>
                <w:rFonts w:asciiTheme="minorHAnsi" w:hAnsiTheme="minorHAnsi" w:cstheme="minorHAnsi"/>
                <w:bCs/>
                <w:szCs w:val="20"/>
                <w:lang w:bidi="ar-SA"/>
              </w:rPr>
              <w:t>LC</w:t>
            </w:r>
            <w:r w:rsidR="0048005E" w:rsidRPr="003276BB">
              <w:rPr>
                <w:rFonts w:asciiTheme="minorHAnsi" w:hAnsiTheme="minorHAnsi" w:cstheme="minorHAnsi"/>
                <w:bCs/>
                <w:szCs w:val="20"/>
                <w:lang w:bidi="ar-SA"/>
              </w:rPr>
              <w:t>-</w:t>
            </w:r>
            <w:r w:rsidRPr="003276BB">
              <w:rPr>
                <w:rFonts w:asciiTheme="minorHAnsi" w:hAnsiTheme="minorHAnsi" w:cstheme="minorHAnsi"/>
                <w:bCs/>
                <w:szCs w:val="20"/>
                <w:lang w:bidi="ar-SA"/>
              </w:rPr>
              <w:t>PUFA</w:t>
            </w:r>
          </w:p>
        </w:tc>
        <w:tc>
          <w:tcPr>
            <w:tcW w:w="3596" w:type="pct"/>
          </w:tcPr>
          <w:p w14:paraId="3EE86405" w14:textId="5BB93DA7" w:rsidR="00D81FE2" w:rsidRPr="003276BB" w:rsidRDefault="001332E7" w:rsidP="00776154">
            <w:pPr>
              <w:spacing w:beforeLines="40" w:before="96" w:afterLines="40" w:after="96"/>
              <w:rPr>
                <w:rFonts w:asciiTheme="minorHAnsi" w:hAnsiTheme="minorHAnsi" w:cstheme="minorHAnsi"/>
                <w:szCs w:val="20"/>
                <w:lang w:bidi="ar-SA"/>
              </w:rPr>
            </w:pPr>
            <w:r w:rsidRPr="003276BB">
              <w:rPr>
                <w:rFonts w:asciiTheme="minorHAnsi" w:hAnsiTheme="minorHAnsi" w:cstheme="minorHAnsi"/>
                <w:szCs w:val="20"/>
                <w:lang w:bidi="ar-SA"/>
              </w:rPr>
              <w:t>Long chain polyunsaturated fatty acids</w:t>
            </w:r>
          </w:p>
        </w:tc>
      </w:tr>
      <w:tr w:rsidR="00776154" w:rsidRPr="005F5D83" w14:paraId="1C1A68F3" w14:textId="77777777" w:rsidTr="00BE5B3E">
        <w:tc>
          <w:tcPr>
            <w:tcW w:w="1404" w:type="pct"/>
          </w:tcPr>
          <w:p w14:paraId="2FE30A1B" w14:textId="77777777" w:rsidR="00776154" w:rsidRPr="003276BB" w:rsidRDefault="00776154" w:rsidP="00776154">
            <w:pPr>
              <w:spacing w:beforeLines="40" w:before="96" w:afterLines="40" w:after="96"/>
              <w:rPr>
                <w:rFonts w:asciiTheme="minorHAnsi" w:hAnsiTheme="minorHAnsi" w:cstheme="minorHAnsi"/>
                <w:szCs w:val="20"/>
              </w:rPr>
            </w:pPr>
            <w:r w:rsidRPr="003276BB">
              <w:rPr>
                <w:rFonts w:asciiTheme="minorHAnsi" w:hAnsiTheme="minorHAnsi" w:cstheme="minorHAnsi"/>
                <w:szCs w:val="20"/>
              </w:rPr>
              <w:t>LSRO</w:t>
            </w:r>
          </w:p>
        </w:tc>
        <w:tc>
          <w:tcPr>
            <w:tcW w:w="3596" w:type="pct"/>
          </w:tcPr>
          <w:p w14:paraId="34076E2C" w14:textId="77777777" w:rsidR="00776154" w:rsidRPr="003276BB" w:rsidRDefault="00776154" w:rsidP="00776154">
            <w:pPr>
              <w:spacing w:beforeLines="40" w:before="96" w:afterLines="40" w:after="96"/>
              <w:rPr>
                <w:rFonts w:asciiTheme="minorHAnsi" w:hAnsiTheme="minorHAnsi" w:cstheme="minorHAnsi"/>
                <w:szCs w:val="20"/>
              </w:rPr>
            </w:pPr>
            <w:r w:rsidRPr="003276BB">
              <w:rPr>
                <w:rFonts w:asciiTheme="minorHAnsi" w:hAnsiTheme="minorHAnsi" w:cstheme="minorHAnsi"/>
                <w:szCs w:val="20"/>
              </w:rPr>
              <w:t xml:space="preserve">Life Sciences Research Organization </w:t>
            </w:r>
          </w:p>
        </w:tc>
      </w:tr>
      <w:tr w:rsidR="00776154" w:rsidRPr="005F5D83" w14:paraId="2C2FCDC4" w14:textId="77777777" w:rsidTr="00BE5B3E">
        <w:tc>
          <w:tcPr>
            <w:tcW w:w="1404" w:type="pct"/>
          </w:tcPr>
          <w:p w14:paraId="3C38F963" w14:textId="77777777" w:rsidR="00776154" w:rsidRPr="003276BB" w:rsidRDefault="00776154" w:rsidP="00776154">
            <w:pPr>
              <w:spacing w:beforeLines="40" w:before="96" w:afterLines="40" w:after="96"/>
              <w:rPr>
                <w:rFonts w:asciiTheme="minorHAnsi" w:hAnsiTheme="minorHAnsi" w:cstheme="minorHAnsi"/>
                <w:szCs w:val="20"/>
              </w:rPr>
            </w:pPr>
            <w:r w:rsidRPr="003276BB">
              <w:rPr>
                <w:rFonts w:asciiTheme="minorHAnsi" w:eastAsia="Arial Unicode MS" w:hAnsiTheme="minorHAnsi" w:cstheme="minorHAnsi"/>
                <w:szCs w:val="20"/>
                <w:lang w:bidi="ar-SA"/>
              </w:rPr>
              <w:lastRenderedPageBreak/>
              <w:t>Mature breast milk</w:t>
            </w:r>
          </w:p>
        </w:tc>
        <w:tc>
          <w:tcPr>
            <w:tcW w:w="3596" w:type="pct"/>
          </w:tcPr>
          <w:p w14:paraId="70C40CE6" w14:textId="77777777" w:rsidR="00776154" w:rsidRPr="003276BB" w:rsidRDefault="00776154" w:rsidP="00776154">
            <w:pPr>
              <w:spacing w:beforeLines="40" w:before="96" w:afterLines="40" w:after="96"/>
              <w:rPr>
                <w:rFonts w:asciiTheme="minorHAnsi" w:hAnsiTheme="minorHAnsi" w:cstheme="minorHAnsi"/>
                <w:szCs w:val="20"/>
              </w:rPr>
            </w:pPr>
            <w:r w:rsidRPr="003276BB">
              <w:rPr>
                <w:rFonts w:asciiTheme="minorHAnsi" w:eastAsia="Arial Unicode MS" w:hAnsiTheme="minorHAnsi" w:cstheme="minorHAnsi"/>
                <w:szCs w:val="20"/>
                <w:lang w:bidi="ar-SA"/>
              </w:rPr>
              <w:t xml:space="preserve">Breast milk from four weeks post-partum </w:t>
            </w:r>
          </w:p>
        </w:tc>
      </w:tr>
      <w:tr w:rsidR="00D30D58" w:rsidRPr="005F5D83" w14:paraId="6AAE0F22" w14:textId="77777777" w:rsidTr="00BE5B3E">
        <w:tc>
          <w:tcPr>
            <w:tcW w:w="1404" w:type="pct"/>
          </w:tcPr>
          <w:p w14:paraId="0B87246C" w14:textId="26D3DDF7" w:rsidR="00D30D58" w:rsidRPr="003276BB" w:rsidRDefault="00D30D58" w:rsidP="00776154">
            <w:pPr>
              <w:spacing w:beforeLines="40" w:before="96" w:afterLines="40" w:after="96"/>
              <w:rPr>
                <w:rFonts w:asciiTheme="minorHAnsi" w:eastAsia="Arial Unicode MS" w:hAnsiTheme="minorHAnsi" w:cstheme="minorHAnsi"/>
                <w:szCs w:val="20"/>
                <w:lang w:bidi="ar-SA"/>
              </w:rPr>
            </w:pPr>
            <w:r w:rsidRPr="003276BB">
              <w:rPr>
                <w:rFonts w:asciiTheme="minorHAnsi" w:eastAsia="Arial Unicode MS" w:hAnsiTheme="minorHAnsi" w:cstheme="minorHAnsi"/>
                <w:szCs w:val="20"/>
                <w:lang w:bidi="ar-SA"/>
              </w:rPr>
              <w:t>MCT</w:t>
            </w:r>
          </w:p>
        </w:tc>
        <w:tc>
          <w:tcPr>
            <w:tcW w:w="3596" w:type="pct"/>
          </w:tcPr>
          <w:p w14:paraId="5A8CE806" w14:textId="5FF6DCF0" w:rsidR="00D30D58" w:rsidRPr="003276BB" w:rsidRDefault="001332E7" w:rsidP="00776154">
            <w:pPr>
              <w:spacing w:beforeLines="40" w:before="96" w:afterLines="40" w:after="96"/>
              <w:rPr>
                <w:rFonts w:asciiTheme="minorHAnsi" w:eastAsia="Arial Unicode MS" w:hAnsiTheme="minorHAnsi" w:cstheme="minorHAnsi"/>
                <w:szCs w:val="20"/>
                <w:lang w:bidi="ar-SA"/>
              </w:rPr>
            </w:pPr>
            <w:r w:rsidRPr="003276BB">
              <w:rPr>
                <w:rFonts w:asciiTheme="minorHAnsi" w:eastAsia="Arial Unicode MS" w:hAnsiTheme="minorHAnsi" w:cstheme="minorHAnsi"/>
                <w:szCs w:val="20"/>
                <w:lang w:bidi="ar-SA"/>
              </w:rPr>
              <w:t>Medium chain triglycerides</w:t>
            </w:r>
          </w:p>
        </w:tc>
      </w:tr>
      <w:tr w:rsidR="00776154" w:rsidRPr="005F5D83" w14:paraId="17DF4810" w14:textId="77777777" w:rsidTr="00BE5B3E">
        <w:tc>
          <w:tcPr>
            <w:tcW w:w="1404" w:type="pct"/>
          </w:tcPr>
          <w:p w14:paraId="40F59592" w14:textId="349E9ED6" w:rsidR="00776154" w:rsidRPr="003276BB" w:rsidRDefault="00776154" w:rsidP="00776154">
            <w:pPr>
              <w:spacing w:beforeLines="40" w:before="96" w:afterLines="40" w:after="96"/>
              <w:rPr>
                <w:rFonts w:asciiTheme="minorHAnsi" w:hAnsiTheme="minorHAnsi" w:cstheme="minorHAnsi"/>
                <w:szCs w:val="20"/>
              </w:rPr>
            </w:pPr>
            <w:r w:rsidRPr="003276BB">
              <w:rPr>
                <w:rFonts w:asciiTheme="minorHAnsi" w:hAnsiTheme="minorHAnsi" w:cstheme="minorHAnsi"/>
                <w:szCs w:val="20"/>
              </w:rPr>
              <w:t xml:space="preserve">ML </w:t>
            </w:r>
          </w:p>
        </w:tc>
        <w:tc>
          <w:tcPr>
            <w:tcW w:w="3596" w:type="pct"/>
          </w:tcPr>
          <w:p w14:paraId="2877D2D0" w14:textId="72071BC6" w:rsidR="00776154" w:rsidRPr="003276BB" w:rsidRDefault="001332E7" w:rsidP="00776154">
            <w:pPr>
              <w:spacing w:beforeLines="40" w:before="96" w:afterLines="40" w:after="96"/>
              <w:rPr>
                <w:rFonts w:asciiTheme="minorHAnsi" w:hAnsiTheme="minorHAnsi" w:cstheme="minorHAnsi"/>
                <w:szCs w:val="20"/>
              </w:rPr>
            </w:pPr>
            <w:r w:rsidRPr="003276BB">
              <w:rPr>
                <w:rFonts w:asciiTheme="minorHAnsi" w:hAnsiTheme="minorHAnsi" w:cstheme="minorHAnsi"/>
                <w:szCs w:val="20"/>
              </w:rPr>
              <w:t>Maximum level</w:t>
            </w:r>
          </w:p>
        </w:tc>
      </w:tr>
      <w:tr w:rsidR="00776154" w:rsidRPr="005F5D83" w14:paraId="5C50FE70" w14:textId="77777777" w:rsidTr="00BE5B3E">
        <w:tc>
          <w:tcPr>
            <w:tcW w:w="1404" w:type="pct"/>
          </w:tcPr>
          <w:p w14:paraId="392F6EF7" w14:textId="77777777" w:rsidR="00776154" w:rsidRPr="003276BB" w:rsidRDefault="00776154" w:rsidP="00776154">
            <w:pPr>
              <w:spacing w:beforeLines="40" w:before="96" w:afterLines="40" w:after="96"/>
              <w:rPr>
                <w:rFonts w:asciiTheme="minorHAnsi" w:hAnsiTheme="minorHAnsi" w:cstheme="minorHAnsi"/>
                <w:szCs w:val="20"/>
              </w:rPr>
            </w:pPr>
            <w:r w:rsidRPr="003276BB">
              <w:rPr>
                <w:rFonts w:asciiTheme="minorHAnsi" w:hAnsiTheme="minorHAnsi" w:cstheme="minorHAnsi"/>
                <w:szCs w:val="20"/>
              </w:rPr>
              <w:t xml:space="preserve">MoH </w:t>
            </w:r>
          </w:p>
        </w:tc>
        <w:tc>
          <w:tcPr>
            <w:tcW w:w="3596" w:type="pct"/>
          </w:tcPr>
          <w:p w14:paraId="6BC0BE4A" w14:textId="77777777" w:rsidR="00776154" w:rsidRPr="003276BB" w:rsidRDefault="00776154" w:rsidP="00776154">
            <w:pPr>
              <w:spacing w:beforeLines="40" w:before="96" w:afterLines="40" w:after="96"/>
              <w:rPr>
                <w:rFonts w:asciiTheme="minorHAnsi" w:hAnsiTheme="minorHAnsi" w:cstheme="minorHAnsi"/>
                <w:b/>
                <w:szCs w:val="20"/>
              </w:rPr>
            </w:pPr>
            <w:r w:rsidRPr="003276BB">
              <w:rPr>
                <w:rFonts w:asciiTheme="minorHAnsi" w:hAnsiTheme="minorHAnsi" w:cstheme="minorHAnsi"/>
                <w:szCs w:val="20"/>
              </w:rPr>
              <w:t>Ministry of Health (New Zealand)</w:t>
            </w:r>
          </w:p>
        </w:tc>
      </w:tr>
      <w:tr w:rsidR="00D71042" w:rsidRPr="005F5D83" w14:paraId="53A06A8B" w14:textId="77777777" w:rsidTr="00BE5B3E">
        <w:tc>
          <w:tcPr>
            <w:tcW w:w="1404" w:type="pct"/>
          </w:tcPr>
          <w:p w14:paraId="74DA695F" w14:textId="77777777" w:rsidR="00D71042" w:rsidRPr="003276BB" w:rsidRDefault="00D71042" w:rsidP="007149FF">
            <w:pPr>
              <w:spacing w:beforeLines="40" w:before="96" w:afterLines="40" w:after="96"/>
              <w:rPr>
                <w:rFonts w:asciiTheme="minorHAnsi" w:hAnsiTheme="minorHAnsi" w:cstheme="minorHAnsi"/>
                <w:szCs w:val="20"/>
              </w:rPr>
            </w:pPr>
            <w:r w:rsidRPr="003276BB">
              <w:rPr>
                <w:rFonts w:asciiTheme="minorHAnsi" w:hAnsiTheme="minorHAnsi" w:cstheme="minorHAnsi"/>
                <w:szCs w:val="20"/>
              </w:rPr>
              <w:t>NCF</w:t>
            </w:r>
          </w:p>
        </w:tc>
        <w:tc>
          <w:tcPr>
            <w:tcW w:w="3596" w:type="pct"/>
          </w:tcPr>
          <w:p w14:paraId="7A0958CB" w14:textId="77777777" w:rsidR="00D71042" w:rsidRPr="003276BB" w:rsidRDefault="00D71042" w:rsidP="007149FF">
            <w:pPr>
              <w:spacing w:beforeLines="40" w:before="96" w:afterLines="40" w:after="96"/>
              <w:rPr>
                <w:rFonts w:asciiTheme="minorHAnsi" w:hAnsiTheme="minorHAnsi" w:cstheme="minorHAnsi"/>
                <w:szCs w:val="20"/>
              </w:rPr>
            </w:pPr>
            <w:r w:rsidRPr="003276BB">
              <w:rPr>
                <w:rFonts w:asciiTheme="minorHAnsi" w:hAnsiTheme="minorHAnsi" w:cstheme="minorHAnsi"/>
                <w:szCs w:val="20"/>
              </w:rPr>
              <w:t>Nitrogen conversion factor</w:t>
            </w:r>
          </w:p>
        </w:tc>
      </w:tr>
      <w:tr w:rsidR="00D71042" w:rsidRPr="005F5D83" w14:paraId="7984E763" w14:textId="77777777" w:rsidTr="00BE5B3E">
        <w:tc>
          <w:tcPr>
            <w:tcW w:w="1404" w:type="pct"/>
          </w:tcPr>
          <w:p w14:paraId="630A146F" w14:textId="311D381F" w:rsidR="00D71042" w:rsidRPr="003276BB" w:rsidRDefault="00D71042" w:rsidP="00776154">
            <w:pPr>
              <w:spacing w:beforeLines="40" w:before="96" w:afterLines="40" w:after="96"/>
              <w:rPr>
                <w:rFonts w:asciiTheme="minorHAnsi" w:hAnsiTheme="minorHAnsi" w:cstheme="minorHAnsi"/>
                <w:szCs w:val="20"/>
              </w:rPr>
            </w:pPr>
            <w:r w:rsidRPr="003276BB">
              <w:rPr>
                <w:rFonts w:asciiTheme="minorHAnsi" w:hAnsiTheme="minorHAnsi" w:cstheme="minorHAnsi"/>
                <w:szCs w:val="20"/>
              </w:rPr>
              <w:t>NE</w:t>
            </w:r>
          </w:p>
        </w:tc>
        <w:tc>
          <w:tcPr>
            <w:tcW w:w="3596" w:type="pct"/>
          </w:tcPr>
          <w:p w14:paraId="14BEDF30" w14:textId="18CDD66E" w:rsidR="00D71042" w:rsidRPr="003276BB" w:rsidRDefault="00D71042" w:rsidP="00776154">
            <w:pPr>
              <w:spacing w:beforeLines="40" w:before="96" w:afterLines="40" w:after="96"/>
              <w:rPr>
                <w:rFonts w:asciiTheme="minorHAnsi" w:hAnsiTheme="minorHAnsi" w:cstheme="minorHAnsi"/>
                <w:szCs w:val="20"/>
              </w:rPr>
            </w:pPr>
            <w:r w:rsidRPr="003276BB">
              <w:rPr>
                <w:rFonts w:asciiTheme="minorHAnsi" w:hAnsiTheme="minorHAnsi" w:cstheme="minorHAnsi"/>
                <w:szCs w:val="20"/>
              </w:rPr>
              <w:t>Niacin equivalents</w:t>
            </w:r>
          </w:p>
        </w:tc>
      </w:tr>
      <w:tr w:rsidR="002D5D81" w:rsidRPr="005F5D83" w14:paraId="660E96A5" w14:textId="77777777" w:rsidTr="00BE5B3E">
        <w:tc>
          <w:tcPr>
            <w:tcW w:w="1404" w:type="pct"/>
          </w:tcPr>
          <w:p w14:paraId="217EA577" w14:textId="77777777" w:rsidR="002D5D81" w:rsidRPr="003276BB" w:rsidRDefault="002D5D81" w:rsidP="00962408">
            <w:pPr>
              <w:spacing w:beforeLines="40" w:before="96" w:afterLines="40" w:after="96"/>
              <w:rPr>
                <w:rFonts w:asciiTheme="minorHAnsi" w:hAnsiTheme="minorHAnsi" w:cstheme="minorHAnsi"/>
                <w:szCs w:val="20"/>
              </w:rPr>
            </w:pPr>
            <w:r w:rsidRPr="003276BB">
              <w:rPr>
                <w:rFonts w:asciiTheme="minorHAnsi" w:hAnsiTheme="minorHAnsi" w:cstheme="minorHAnsi"/>
                <w:szCs w:val="20"/>
              </w:rPr>
              <w:t xml:space="preserve">NHMRC </w:t>
            </w:r>
          </w:p>
        </w:tc>
        <w:tc>
          <w:tcPr>
            <w:tcW w:w="3596" w:type="pct"/>
          </w:tcPr>
          <w:p w14:paraId="129E82DA" w14:textId="77777777" w:rsidR="002D5D81" w:rsidRPr="003276BB" w:rsidRDefault="002D5D81" w:rsidP="00962408">
            <w:pPr>
              <w:spacing w:beforeLines="40" w:before="96" w:afterLines="40" w:after="96"/>
              <w:rPr>
                <w:rFonts w:asciiTheme="minorHAnsi" w:hAnsiTheme="minorHAnsi" w:cstheme="minorHAnsi"/>
                <w:b/>
                <w:szCs w:val="20"/>
              </w:rPr>
            </w:pPr>
            <w:r w:rsidRPr="003276BB">
              <w:rPr>
                <w:rFonts w:asciiTheme="minorHAnsi" w:hAnsiTheme="minorHAnsi" w:cstheme="minorHAnsi"/>
                <w:szCs w:val="20"/>
              </w:rPr>
              <w:t>National Health and Medical Research Council (Australia)</w:t>
            </w:r>
          </w:p>
        </w:tc>
      </w:tr>
      <w:tr w:rsidR="00776154" w:rsidRPr="005F5D83" w14:paraId="29965516" w14:textId="77777777" w:rsidTr="00BE5B3E">
        <w:tc>
          <w:tcPr>
            <w:tcW w:w="1404" w:type="pct"/>
          </w:tcPr>
          <w:p w14:paraId="5E42804C" w14:textId="77777777" w:rsidR="00776154" w:rsidRPr="003276BB" w:rsidRDefault="00776154" w:rsidP="00776154">
            <w:pPr>
              <w:spacing w:beforeLines="40" w:before="96" w:afterLines="40" w:after="96"/>
              <w:rPr>
                <w:rFonts w:asciiTheme="minorHAnsi" w:hAnsiTheme="minorHAnsi" w:cstheme="minorHAnsi"/>
                <w:szCs w:val="20"/>
              </w:rPr>
            </w:pPr>
            <w:r w:rsidRPr="003276BB">
              <w:rPr>
                <w:rFonts w:asciiTheme="minorHAnsi" w:hAnsiTheme="minorHAnsi" w:cstheme="minorHAnsi"/>
                <w:szCs w:val="20"/>
              </w:rPr>
              <w:t xml:space="preserve">NMI </w:t>
            </w:r>
          </w:p>
        </w:tc>
        <w:tc>
          <w:tcPr>
            <w:tcW w:w="3596" w:type="pct"/>
          </w:tcPr>
          <w:p w14:paraId="3840D0C8" w14:textId="77777777" w:rsidR="00776154" w:rsidRPr="003276BB" w:rsidRDefault="00776154" w:rsidP="00776154">
            <w:pPr>
              <w:spacing w:beforeLines="40" w:before="96" w:afterLines="40" w:after="96"/>
              <w:rPr>
                <w:rFonts w:asciiTheme="minorHAnsi" w:hAnsiTheme="minorHAnsi" w:cstheme="minorHAnsi"/>
                <w:b/>
                <w:szCs w:val="20"/>
              </w:rPr>
            </w:pPr>
            <w:r w:rsidRPr="003276BB">
              <w:rPr>
                <w:rFonts w:asciiTheme="minorHAnsi" w:hAnsiTheme="minorHAnsi" w:cstheme="minorHAnsi"/>
                <w:szCs w:val="20"/>
              </w:rPr>
              <w:t>National Measurement Institute (Australia)</w:t>
            </w:r>
          </w:p>
        </w:tc>
      </w:tr>
      <w:tr w:rsidR="00776154" w:rsidRPr="005F5D83" w14:paraId="77614BC8" w14:textId="77777777" w:rsidTr="00BE5B3E">
        <w:tc>
          <w:tcPr>
            <w:tcW w:w="1404" w:type="pct"/>
          </w:tcPr>
          <w:p w14:paraId="074AEAF6" w14:textId="77777777" w:rsidR="00776154" w:rsidRPr="003276BB" w:rsidRDefault="00776154" w:rsidP="00776154">
            <w:pPr>
              <w:spacing w:beforeLines="40" w:before="96" w:afterLines="40" w:after="96"/>
              <w:rPr>
                <w:rFonts w:asciiTheme="minorHAnsi" w:hAnsiTheme="minorHAnsi" w:cstheme="minorHAnsi"/>
                <w:szCs w:val="20"/>
              </w:rPr>
            </w:pPr>
            <w:r w:rsidRPr="003276BB">
              <w:rPr>
                <w:rFonts w:asciiTheme="minorHAnsi" w:eastAsia="Arial Unicode MS" w:hAnsiTheme="minorHAnsi" w:cstheme="minorHAnsi"/>
                <w:szCs w:val="20"/>
                <w:lang w:bidi="ar-SA"/>
              </w:rPr>
              <w:t>NPN</w:t>
            </w:r>
          </w:p>
        </w:tc>
        <w:tc>
          <w:tcPr>
            <w:tcW w:w="3596" w:type="pct"/>
          </w:tcPr>
          <w:p w14:paraId="60249B29" w14:textId="3170242B" w:rsidR="00776154" w:rsidRPr="003276BB" w:rsidRDefault="00776154" w:rsidP="00776154">
            <w:pPr>
              <w:spacing w:beforeLines="40" w:before="96" w:afterLines="40" w:after="96"/>
              <w:rPr>
                <w:rFonts w:asciiTheme="minorHAnsi" w:hAnsiTheme="minorHAnsi" w:cstheme="minorHAnsi"/>
                <w:szCs w:val="20"/>
              </w:rPr>
            </w:pPr>
            <w:r w:rsidRPr="003276BB">
              <w:rPr>
                <w:rFonts w:asciiTheme="minorHAnsi" w:eastAsia="Arial Unicode MS" w:hAnsiTheme="minorHAnsi" w:cstheme="minorHAnsi"/>
                <w:szCs w:val="20"/>
                <w:lang w:bidi="ar-SA"/>
              </w:rPr>
              <w:t>Non-protein nitrogen which consists mainly of free amino acids, peptides, and urea. Breast milk contains 20–25% total nitrogen as NPN</w:t>
            </w:r>
            <w:r w:rsidR="00117F4D" w:rsidRPr="003276BB">
              <w:rPr>
                <w:rFonts w:asciiTheme="minorHAnsi" w:eastAsia="Arial Unicode MS" w:hAnsiTheme="minorHAnsi" w:cstheme="minorHAnsi"/>
                <w:szCs w:val="20"/>
                <w:lang w:bidi="ar-SA"/>
              </w:rPr>
              <w:t>.</w:t>
            </w:r>
          </w:p>
        </w:tc>
      </w:tr>
      <w:tr w:rsidR="00776154" w:rsidRPr="005F5D83" w14:paraId="3C027B00" w14:textId="77777777" w:rsidTr="00BE5B3E">
        <w:tc>
          <w:tcPr>
            <w:tcW w:w="1404" w:type="pct"/>
          </w:tcPr>
          <w:p w14:paraId="6AA53A54" w14:textId="77777777" w:rsidR="00776154" w:rsidRPr="003276BB" w:rsidRDefault="00776154" w:rsidP="00776154">
            <w:pPr>
              <w:spacing w:beforeLines="40" w:before="96" w:afterLines="40" w:after="96"/>
              <w:rPr>
                <w:rFonts w:asciiTheme="minorHAnsi" w:eastAsia="Arial Unicode MS" w:hAnsiTheme="minorHAnsi" w:cstheme="minorHAnsi"/>
                <w:szCs w:val="20"/>
                <w:lang w:bidi="ar-SA"/>
              </w:rPr>
            </w:pPr>
            <w:r w:rsidRPr="003276BB">
              <w:rPr>
                <w:rFonts w:asciiTheme="minorHAnsi" w:eastAsia="Arial Unicode MS" w:hAnsiTheme="minorHAnsi" w:cstheme="minorHAnsi"/>
                <w:szCs w:val="20"/>
                <w:lang w:bidi="ar-SA"/>
              </w:rPr>
              <w:t>NRV</w:t>
            </w:r>
          </w:p>
        </w:tc>
        <w:tc>
          <w:tcPr>
            <w:tcW w:w="3596" w:type="pct"/>
          </w:tcPr>
          <w:p w14:paraId="5FBBA053" w14:textId="4BAA6200" w:rsidR="00776154" w:rsidRPr="003276BB" w:rsidRDefault="001332E7" w:rsidP="00776154">
            <w:pPr>
              <w:spacing w:beforeLines="40" w:before="96" w:afterLines="40" w:after="96"/>
              <w:rPr>
                <w:rFonts w:asciiTheme="minorHAnsi" w:eastAsia="Arial Unicode MS" w:hAnsiTheme="minorHAnsi" w:cstheme="minorHAnsi"/>
                <w:szCs w:val="20"/>
                <w:lang w:bidi="ar-SA"/>
              </w:rPr>
            </w:pPr>
            <w:r w:rsidRPr="003276BB">
              <w:rPr>
                <w:rFonts w:asciiTheme="minorHAnsi" w:eastAsia="Arial Unicode MS" w:hAnsiTheme="minorHAnsi" w:cstheme="minorHAnsi"/>
                <w:szCs w:val="20"/>
                <w:lang w:bidi="ar-SA"/>
              </w:rPr>
              <w:t xml:space="preserve">Nutrient reference value </w:t>
            </w:r>
            <w:r w:rsidR="00776154" w:rsidRPr="003276BB">
              <w:rPr>
                <w:rFonts w:asciiTheme="minorHAnsi" w:eastAsia="Arial Unicode MS" w:hAnsiTheme="minorHAnsi" w:cstheme="minorHAnsi"/>
                <w:szCs w:val="20"/>
                <w:lang w:bidi="ar-SA"/>
              </w:rPr>
              <w:t>established by NHMRC &amp; MoH (2006)</w:t>
            </w:r>
          </w:p>
        </w:tc>
      </w:tr>
      <w:tr w:rsidR="00D523C9" w:rsidRPr="005F5D83" w14:paraId="26B6F44B" w14:textId="77777777" w:rsidTr="00BE5B3E">
        <w:tc>
          <w:tcPr>
            <w:tcW w:w="1404" w:type="pct"/>
          </w:tcPr>
          <w:p w14:paraId="5BC64449" w14:textId="7BF00055" w:rsidR="00D523C9" w:rsidRPr="003276BB" w:rsidRDefault="00D523C9" w:rsidP="00776154">
            <w:pPr>
              <w:spacing w:beforeLines="40" w:before="96" w:afterLines="40" w:after="96"/>
              <w:rPr>
                <w:rFonts w:asciiTheme="minorHAnsi" w:eastAsia="Arial Unicode MS" w:hAnsiTheme="minorHAnsi" w:cstheme="minorHAnsi"/>
                <w:szCs w:val="20"/>
                <w:lang w:bidi="ar-SA"/>
              </w:rPr>
            </w:pPr>
            <w:r w:rsidRPr="003276BB">
              <w:rPr>
                <w:rFonts w:asciiTheme="minorHAnsi" w:eastAsia="Arial Unicode MS" w:hAnsiTheme="minorHAnsi" w:cstheme="minorHAnsi"/>
                <w:szCs w:val="20"/>
                <w:lang w:bidi="ar-SA"/>
              </w:rPr>
              <w:t>N.S.</w:t>
            </w:r>
          </w:p>
        </w:tc>
        <w:tc>
          <w:tcPr>
            <w:tcW w:w="3596" w:type="pct"/>
          </w:tcPr>
          <w:p w14:paraId="603685C6" w14:textId="4E983597" w:rsidR="00D523C9" w:rsidRPr="003276BB" w:rsidRDefault="00D523C9" w:rsidP="00776154">
            <w:pPr>
              <w:spacing w:beforeLines="40" w:before="96" w:afterLines="40" w:after="96"/>
              <w:rPr>
                <w:rFonts w:asciiTheme="minorHAnsi" w:eastAsia="Arial Unicode MS" w:hAnsiTheme="minorHAnsi" w:cstheme="minorHAnsi"/>
                <w:szCs w:val="20"/>
                <w:lang w:bidi="ar-SA"/>
              </w:rPr>
            </w:pPr>
            <w:r w:rsidRPr="003276BB">
              <w:rPr>
                <w:rFonts w:asciiTheme="minorHAnsi" w:eastAsia="Arial Unicode MS" w:hAnsiTheme="minorHAnsi" w:cstheme="minorHAnsi"/>
                <w:szCs w:val="20"/>
                <w:lang w:bidi="ar-SA"/>
              </w:rPr>
              <w:t>Not stated</w:t>
            </w:r>
          </w:p>
        </w:tc>
      </w:tr>
      <w:tr w:rsidR="00003CEC" w:rsidRPr="005F5D83" w14:paraId="069DDD4F" w14:textId="77777777" w:rsidTr="00BE5B3E">
        <w:tc>
          <w:tcPr>
            <w:tcW w:w="1404" w:type="pct"/>
          </w:tcPr>
          <w:p w14:paraId="22DB8BF7" w14:textId="77777777" w:rsidR="00003CEC" w:rsidRPr="003276BB" w:rsidRDefault="00003CEC" w:rsidP="00213CD7">
            <w:pPr>
              <w:spacing w:beforeLines="40" w:before="96" w:afterLines="40" w:after="96"/>
              <w:rPr>
                <w:rFonts w:asciiTheme="minorHAnsi" w:eastAsia="Arial Unicode MS" w:hAnsiTheme="minorHAnsi" w:cstheme="minorHAnsi"/>
                <w:szCs w:val="20"/>
                <w:lang w:bidi="ar-SA"/>
              </w:rPr>
            </w:pPr>
            <w:r w:rsidRPr="003276BB">
              <w:rPr>
                <w:rFonts w:asciiTheme="minorHAnsi" w:eastAsia="Arial Unicode MS" w:hAnsiTheme="minorHAnsi" w:cstheme="minorHAnsi"/>
                <w:szCs w:val="20"/>
                <w:lang w:bidi="ar-SA"/>
              </w:rPr>
              <w:t>PDCAAS</w:t>
            </w:r>
          </w:p>
        </w:tc>
        <w:tc>
          <w:tcPr>
            <w:tcW w:w="3596" w:type="pct"/>
          </w:tcPr>
          <w:p w14:paraId="5B95384E" w14:textId="14B6D93F" w:rsidR="00003CEC" w:rsidRPr="003276BB" w:rsidRDefault="001332E7" w:rsidP="00213CD7">
            <w:pPr>
              <w:spacing w:beforeLines="40" w:before="96" w:afterLines="40" w:after="96"/>
              <w:rPr>
                <w:rFonts w:asciiTheme="minorHAnsi" w:eastAsia="Arial Unicode MS" w:hAnsiTheme="minorHAnsi" w:cstheme="minorHAnsi"/>
                <w:szCs w:val="20"/>
                <w:lang w:bidi="ar-SA"/>
              </w:rPr>
            </w:pPr>
            <w:r w:rsidRPr="003276BB">
              <w:rPr>
                <w:rFonts w:asciiTheme="minorHAnsi" w:hAnsiTheme="minorHAnsi" w:cstheme="minorHAnsi"/>
                <w:szCs w:val="20"/>
                <w:lang w:val="en-AU"/>
              </w:rPr>
              <w:t>Protein digestibility-corrected amino acid score</w:t>
            </w:r>
          </w:p>
        </w:tc>
      </w:tr>
      <w:tr w:rsidR="00E33010" w:rsidRPr="005F5D83" w14:paraId="580BD45A" w14:textId="77777777" w:rsidTr="00BE5B3E">
        <w:tc>
          <w:tcPr>
            <w:tcW w:w="1404" w:type="pct"/>
          </w:tcPr>
          <w:p w14:paraId="3FE8E7B4" w14:textId="1069AF33" w:rsidR="00E33010" w:rsidRPr="003276BB" w:rsidRDefault="00E33010" w:rsidP="00213CD7">
            <w:pPr>
              <w:spacing w:beforeLines="40" w:before="96" w:afterLines="40" w:after="96"/>
              <w:rPr>
                <w:rFonts w:asciiTheme="minorHAnsi" w:eastAsia="Arial Unicode MS" w:hAnsiTheme="minorHAnsi" w:cstheme="minorHAnsi"/>
                <w:szCs w:val="20"/>
                <w:lang w:bidi="ar-SA"/>
              </w:rPr>
            </w:pPr>
            <w:r w:rsidRPr="003276BB">
              <w:rPr>
                <w:rFonts w:asciiTheme="minorHAnsi" w:eastAsia="Arial Unicode MS" w:hAnsiTheme="minorHAnsi" w:cstheme="minorHAnsi"/>
                <w:szCs w:val="20"/>
                <w:lang w:bidi="ar-SA"/>
              </w:rPr>
              <w:t>PER</w:t>
            </w:r>
          </w:p>
        </w:tc>
        <w:tc>
          <w:tcPr>
            <w:tcW w:w="3596" w:type="pct"/>
          </w:tcPr>
          <w:p w14:paraId="650DA8A6" w14:textId="6476FFA1" w:rsidR="00E33010" w:rsidRPr="003276BB" w:rsidRDefault="001332E7" w:rsidP="00213CD7">
            <w:pPr>
              <w:spacing w:beforeLines="40" w:before="96" w:afterLines="40" w:after="96"/>
              <w:rPr>
                <w:rFonts w:asciiTheme="minorHAnsi" w:hAnsiTheme="minorHAnsi" w:cstheme="minorHAnsi"/>
                <w:szCs w:val="20"/>
                <w:lang w:val="en-AU"/>
              </w:rPr>
            </w:pPr>
            <w:r w:rsidRPr="003276BB">
              <w:rPr>
                <w:rFonts w:asciiTheme="minorHAnsi" w:hAnsiTheme="minorHAnsi" w:cstheme="minorHAnsi"/>
                <w:szCs w:val="20"/>
                <w:lang w:val="en-AU"/>
              </w:rPr>
              <w:t>Protein efficiency rating</w:t>
            </w:r>
          </w:p>
        </w:tc>
      </w:tr>
      <w:tr w:rsidR="004A6124" w:rsidRPr="005F5D83" w14:paraId="1D696219" w14:textId="77777777" w:rsidTr="00BE5B3E">
        <w:tc>
          <w:tcPr>
            <w:tcW w:w="1404" w:type="pct"/>
          </w:tcPr>
          <w:p w14:paraId="700A8ECB" w14:textId="3E331903" w:rsidR="004A6124" w:rsidRPr="003276BB" w:rsidRDefault="004A6124" w:rsidP="00213CD7">
            <w:pPr>
              <w:spacing w:beforeLines="40" w:before="96" w:afterLines="40" w:after="96"/>
              <w:rPr>
                <w:rFonts w:asciiTheme="minorHAnsi" w:eastAsia="Arial Unicode MS" w:hAnsiTheme="minorHAnsi" w:cstheme="minorHAnsi"/>
                <w:szCs w:val="20"/>
                <w:lang w:bidi="ar-SA"/>
              </w:rPr>
            </w:pPr>
            <w:r w:rsidRPr="003276BB">
              <w:rPr>
                <w:rFonts w:asciiTheme="minorHAnsi" w:eastAsia="Arial Unicode MS" w:hAnsiTheme="minorHAnsi" w:cstheme="minorHAnsi"/>
                <w:szCs w:val="20"/>
                <w:lang w:bidi="ar-SA"/>
              </w:rPr>
              <w:t>PL</w:t>
            </w:r>
          </w:p>
        </w:tc>
        <w:tc>
          <w:tcPr>
            <w:tcW w:w="3596" w:type="pct"/>
          </w:tcPr>
          <w:p w14:paraId="6014EA32" w14:textId="32D7ECB6" w:rsidR="004A6124" w:rsidRPr="003276BB" w:rsidRDefault="004A6124" w:rsidP="00213CD7">
            <w:pPr>
              <w:spacing w:beforeLines="40" w:before="96" w:afterLines="40" w:after="96"/>
              <w:rPr>
                <w:rFonts w:asciiTheme="minorHAnsi" w:hAnsiTheme="minorHAnsi" w:cstheme="minorHAnsi"/>
                <w:szCs w:val="20"/>
                <w:lang w:val="en-AU"/>
              </w:rPr>
            </w:pPr>
            <w:r w:rsidRPr="003276BB">
              <w:rPr>
                <w:rFonts w:asciiTheme="minorHAnsi" w:hAnsiTheme="minorHAnsi" w:cstheme="minorHAnsi"/>
                <w:szCs w:val="20"/>
                <w:lang w:val="en-AU"/>
              </w:rPr>
              <w:t>Phospholipids</w:t>
            </w:r>
          </w:p>
        </w:tc>
      </w:tr>
      <w:tr w:rsidR="000913C4" w:rsidRPr="005F5D83" w14:paraId="601D98EB" w14:textId="77777777" w:rsidTr="00BE5B3E">
        <w:trPr>
          <w:cantSplit/>
        </w:trPr>
        <w:tc>
          <w:tcPr>
            <w:tcW w:w="1404" w:type="pct"/>
          </w:tcPr>
          <w:p w14:paraId="4A21F52B" w14:textId="6E641AF4" w:rsidR="000913C4" w:rsidRPr="003276BB" w:rsidRDefault="000913C4" w:rsidP="00776154">
            <w:pPr>
              <w:spacing w:beforeLines="40" w:before="96" w:afterLines="40" w:after="96"/>
              <w:rPr>
                <w:rFonts w:asciiTheme="minorHAnsi" w:hAnsiTheme="minorHAnsi" w:cstheme="minorHAnsi"/>
                <w:szCs w:val="20"/>
              </w:rPr>
            </w:pPr>
            <w:r w:rsidRPr="003276BB">
              <w:rPr>
                <w:rFonts w:asciiTheme="minorHAnsi" w:hAnsiTheme="minorHAnsi" w:cstheme="minorHAnsi"/>
                <w:szCs w:val="20"/>
              </w:rPr>
              <w:t>RE</w:t>
            </w:r>
          </w:p>
        </w:tc>
        <w:tc>
          <w:tcPr>
            <w:tcW w:w="3596" w:type="pct"/>
          </w:tcPr>
          <w:p w14:paraId="13C74E90" w14:textId="60A6E526" w:rsidR="000913C4" w:rsidRPr="003276BB" w:rsidRDefault="000913C4" w:rsidP="00776154">
            <w:pPr>
              <w:spacing w:beforeLines="40" w:before="96" w:afterLines="40" w:after="96"/>
              <w:rPr>
                <w:rFonts w:asciiTheme="minorHAnsi" w:hAnsiTheme="minorHAnsi" w:cstheme="minorHAnsi"/>
                <w:szCs w:val="20"/>
              </w:rPr>
            </w:pPr>
            <w:r w:rsidRPr="003276BB">
              <w:rPr>
                <w:rFonts w:asciiTheme="minorHAnsi" w:hAnsiTheme="minorHAnsi" w:cstheme="minorHAnsi"/>
                <w:szCs w:val="20"/>
              </w:rPr>
              <w:t>Retinol equivalents</w:t>
            </w:r>
          </w:p>
        </w:tc>
      </w:tr>
      <w:tr w:rsidR="00D86C99" w:rsidRPr="005F5D83" w14:paraId="17E0CEFC" w14:textId="77777777" w:rsidTr="00BE5B3E">
        <w:trPr>
          <w:cantSplit/>
        </w:trPr>
        <w:tc>
          <w:tcPr>
            <w:tcW w:w="1404" w:type="pct"/>
          </w:tcPr>
          <w:p w14:paraId="0A077DA1" w14:textId="2BA20598" w:rsidR="00D86C99" w:rsidRPr="003276BB" w:rsidRDefault="00D86C99" w:rsidP="00776154">
            <w:pPr>
              <w:spacing w:beforeLines="40" w:before="96" w:afterLines="40" w:after="96"/>
              <w:rPr>
                <w:rFonts w:asciiTheme="minorHAnsi" w:eastAsia="Arial Unicode MS" w:hAnsiTheme="minorHAnsi" w:cstheme="minorHAnsi"/>
                <w:szCs w:val="20"/>
                <w:lang w:bidi="ar-SA"/>
              </w:rPr>
            </w:pPr>
            <w:r w:rsidRPr="003276BB">
              <w:rPr>
                <w:rFonts w:asciiTheme="minorHAnsi" w:eastAsia="Arial Unicode MS" w:hAnsiTheme="minorHAnsi" w:cstheme="minorHAnsi"/>
                <w:szCs w:val="20"/>
                <w:lang w:bidi="ar-SA"/>
              </w:rPr>
              <w:t>rNRV</w:t>
            </w:r>
          </w:p>
        </w:tc>
        <w:tc>
          <w:tcPr>
            <w:tcW w:w="3596" w:type="pct"/>
          </w:tcPr>
          <w:p w14:paraId="5C6B3518" w14:textId="70CC9C32" w:rsidR="00D86C99" w:rsidRPr="003276BB" w:rsidRDefault="00D86C99" w:rsidP="00776154">
            <w:pPr>
              <w:spacing w:beforeLines="40" w:before="96" w:afterLines="40" w:after="96"/>
              <w:rPr>
                <w:rFonts w:asciiTheme="minorHAnsi" w:eastAsia="Arial Unicode MS" w:hAnsiTheme="minorHAnsi" w:cstheme="minorHAnsi"/>
                <w:szCs w:val="20"/>
                <w:lang w:bidi="ar-SA"/>
              </w:rPr>
            </w:pPr>
            <w:r w:rsidRPr="003276BB">
              <w:rPr>
                <w:rFonts w:asciiTheme="minorHAnsi" w:eastAsia="Arial Unicode MS" w:hAnsiTheme="minorHAnsi" w:cstheme="minorHAnsi"/>
                <w:szCs w:val="20"/>
                <w:lang w:bidi="ar-SA"/>
              </w:rPr>
              <w:t>Regulatory nutrient reference value</w:t>
            </w:r>
          </w:p>
        </w:tc>
      </w:tr>
      <w:tr w:rsidR="00E33010" w:rsidRPr="005F5D83" w14:paraId="2A2E2DEF" w14:textId="77777777" w:rsidTr="00BE5B3E">
        <w:trPr>
          <w:cantSplit/>
        </w:trPr>
        <w:tc>
          <w:tcPr>
            <w:tcW w:w="1404" w:type="pct"/>
          </w:tcPr>
          <w:p w14:paraId="56A4D577" w14:textId="46F37795" w:rsidR="00E33010" w:rsidRPr="003276BB" w:rsidRDefault="00E33010" w:rsidP="00776154">
            <w:pPr>
              <w:spacing w:beforeLines="40" w:before="96" w:afterLines="40" w:after="96"/>
              <w:rPr>
                <w:rFonts w:asciiTheme="minorHAnsi" w:eastAsia="Arial Unicode MS" w:hAnsiTheme="minorHAnsi" w:cstheme="minorHAnsi"/>
                <w:szCs w:val="20"/>
                <w:lang w:bidi="ar-SA"/>
              </w:rPr>
            </w:pPr>
            <w:r w:rsidRPr="003276BB">
              <w:rPr>
                <w:rFonts w:asciiTheme="minorHAnsi" w:eastAsia="Arial Unicode MS" w:hAnsiTheme="minorHAnsi" w:cstheme="minorHAnsi"/>
                <w:szCs w:val="20"/>
                <w:lang w:bidi="ar-SA"/>
              </w:rPr>
              <w:t>SAA</w:t>
            </w:r>
          </w:p>
        </w:tc>
        <w:tc>
          <w:tcPr>
            <w:tcW w:w="3596" w:type="pct"/>
          </w:tcPr>
          <w:p w14:paraId="0C9E2640" w14:textId="70DB063C" w:rsidR="00E33010" w:rsidRPr="003276BB" w:rsidRDefault="00E33010" w:rsidP="00776154">
            <w:pPr>
              <w:spacing w:beforeLines="40" w:before="96" w:afterLines="40" w:after="96"/>
              <w:rPr>
                <w:rFonts w:asciiTheme="minorHAnsi" w:eastAsia="Arial Unicode MS" w:hAnsiTheme="minorHAnsi" w:cstheme="minorHAnsi"/>
                <w:szCs w:val="20"/>
                <w:lang w:bidi="ar-SA"/>
              </w:rPr>
            </w:pPr>
            <w:r w:rsidRPr="003276BB">
              <w:rPr>
                <w:rFonts w:asciiTheme="minorHAnsi" w:eastAsia="Arial Unicode MS" w:hAnsiTheme="minorHAnsi" w:cstheme="minorHAnsi"/>
                <w:szCs w:val="20"/>
                <w:lang w:bidi="ar-SA"/>
              </w:rPr>
              <w:t>Sulphur Amino Acids (</w:t>
            </w:r>
            <w:r w:rsidRPr="003276BB">
              <w:rPr>
                <w:rFonts w:asciiTheme="minorHAnsi" w:hAnsiTheme="minorHAnsi" w:cstheme="minorHAnsi"/>
                <w:szCs w:val="20"/>
              </w:rPr>
              <w:t>methionine and cysteine)</w:t>
            </w:r>
          </w:p>
        </w:tc>
      </w:tr>
      <w:tr w:rsidR="00CE6608" w:rsidRPr="005F5D83" w14:paraId="05AE5B7F" w14:textId="77777777" w:rsidTr="00BE5B3E">
        <w:trPr>
          <w:cantSplit/>
        </w:trPr>
        <w:tc>
          <w:tcPr>
            <w:tcW w:w="1404" w:type="pct"/>
          </w:tcPr>
          <w:p w14:paraId="2BDB4797" w14:textId="2E75B4C9" w:rsidR="00CE6608" w:rsidRPr="003276BB" w:rsidRDefault="00CE6608" w:rsidP="00776154">
            <w:pPr>
              <w:spacing w:beforeLines="40" w:before="96" w:afterLines="40" w:after="96"/>
              <w:rPr>
                <w:rFonts w:asciiTheme="minorHAnsi" w:eastAsia="Arial Unicode MS" w:hAnsiTheme="minorHAnsi" w:cstheme="minorHAnsi"/>
                <w:szCs w:val="20"/>
                <w:lang w:bidi="ar-SA"/>
              </w:rPr>
            </w:pPr>
            <w:r w:rsidRPr="003276BB">
              <w:rPr>
                <w:rFonts w:asciiTheme="minorHAnsi" w:eastAsia="Arial Unicode MS" w:hAnsiTheme="minorHAnsi" w:cstheme="minorHAnsi"/>
                <w:szCs w:val="20"/>
                <w:lang w:bidi="ar-SA"/>
              </w:rPr>
              <w:t>SD</w:t>
            </w:r>
          </w:p>
        </w:tc>
        <w:tc>
          <w:tcPr>
            <w:tcW w:w="3596" w:type="pct"/>
          </w:tcPr>
          <w:p w14:paraId="16563EA7" w14:textId="4B4C9CAB" w:rsidR="00CE6608" w:rsidRPr="003276BB" w:rsidRDefault="001332E7" w:rsidP="00776154">
            <w:pPr>
              <w:spacing w:beforeLines="40" w:before="96" w:afterLines="40" w:after="96"/>
              <w:rPr>
                <w:rFonts w:asciiTheme="minorHAnsi" w:eastAsia="Arial Unicode MS" w:hAnsiTheme="minorHAnsi" w:cstheme="minorHAnsi"/>
                <w:szCs w:val="20"/>
                <w:lang w:bidi="ar-SA"/>
              </w:rPr>
            </w:pPr>
            <w:r w:rsidRPr="003276BB">
              <w:rPr>
                <w:rFonts w:asciiTheme="minorHAnsi" w:eastAsia="Arial Unicode MS" w:hAnsiTheme="minorHAnsi" w:cstheme="minorHAnsi"/>
                <w:szCs w:val="20"/>
                <w:lang w:bidi="ar-SA"/>
              </w:rPr>
              <w:t>Supporting document</w:t>
            </w:r>
          </w:p>
        </w:tc>
      </w:tr>
      <w:tr w:rsidR="00776154" w:rsidRPr="005F5D83" w14:paraId="4BBE89B2" w14:textId="77777777" w:rsidTr="00BE5B3E">
        <w:trPr>
          <w:cantSplit/>
        </w:trPr>
        <w:tc>
          <w:tcPr>
            <w:tcW w:w="1404" w:type="pct"/>
          </w:tcPr>
          <w:p w14:paraId="7E70E2D1" w14:textId="77777777" w:rsidR="00776154" w:rsidRPr="003276BB" w:rsidRDefault="00776154" w:rsidP="00776154">
            <w:pPr>
              <w:spacing w:beforeLines="40" w:before="96" w:afterLines="40" w:after="96"/>
              <w:rPr>
                <w:rFonts w:asciiTheme="minorHAnsi" w:hAnsiTheme="minorHAnsi" w:cstheme="minorHAnsi"/>
                <w:szCs w:val="20"/>
              </w:rPr>
            </w:pPr>
            <w:r w:rsidRPr="003276BB">
              <w:rPr>
                <w:rFonts w:asciiTheme="minorHAnsi" w:hAnsiTheme="minorHAnsi" w:cstheme="minorHAnsi"/>
                <w:szCs w:val="20"/>
              </w:rPr>
              <w:t xml:space="preserve">Soy-based formula </w:t>
            </w:r>
          </w:p>
        </w:tc>
        <w:tc>
          <w:tcPr>
            <w:tcW w:w="3596" w:type="pct"/>
          </w:tcPr>
          <w:p w14:paraId="4BBA78F1" w14:textId="33FFA503" w:rsidR="00776154" w:rsidRPr="003276BB" w:rsidRDefault="00776154" w:rsidP="00776154">
            <w:pPr>
              <w:spacing w:beforeLines="40" w:before="96" w:afterLines="40" w:after="96"/>
              <w:rPr>
                <w:rFonts w:asciiTheme="minorHAnsi" w:hAnsiTheme="minorHAnsi" w:cstheme="minorHAnsi"/>
                <w:szCs w:val="20"/>
              </w:rPr>
            </w:pPr>
            <w:r w:rsidRPr="003276BB">
              <w:rPr>
                <w:rFonts w:asciiTheme="minorHAnsi" w:hAnsiTheme="minorHAnsi" w:cstheme="minorHAnsi"/>
                <w:szCs w:val="20"/>
              </w:rPr>
              <w:t>An infant formula product in which soy protein isolate is the sole source of protein</w:t>
            </w:r>
            <w:r w:rsidR="00C67F08">
              <w:rPr>
                <w:rFonts w:asciiTheme="minorHAnsi" w:hAnsiTheme="minorHAnsi" w:cstheme="minorHAnsi"/>
                <w:szCs w:val="20"/>
              </w:rPr>
              <w:t>,</w:t>
            </w:r>
            <w:r w:rsidRPr="003276BB">
              <w:rPr>
                <w:rFonts w:asciiTheme="minorHAnsi" w:hAnsiTheme="minorHAnsi" w:cstheme="minorHAnsi"/>
                <w:szCs w:val="20"/>
              </w:rPr>
              <w:t xml:space="preserve"> as defined in Standard 2.9.1</w:t>
            </w:r>
          </w:p>
        </w:tc>
      </w:tr>
      <w:tr w:rsidR="00776154" w:rsidRPr="005F5D83" w14:paraId="22590460" w14:textId="77777777" w:rsidTr="00BE5B3E">
        <w:tc>
          <w:tcPr>
            <w:tcW w:w="1404" w:type="pct"/>
          </w:tcPr>
          <w:p w14:paraId="4C2A7674" w14:textId="77777777" w:rsidR="00776154" w:rsidRPr="003276BB" w:rsidRDefault="00776154" w:rsidP="00776154">
            <w:pPr>
              <w:spacing w:beforeLines="40" w:before="96" w:afterLines="40" w:after="96"/>
              <w:rPr>
                <w:rFonts w:asciiTheme="minorHAnsi" w:hAnsiTheme="minorHAnsi" w:cstheme="minorHAnsi"/>
                <w:szCs w:val="20"/>
              </w:rPr>
            </w:pPr>
            <w:r w:rsidRPr="003276BB">
              <w:rPr>
                <w:rFonts w:asciiTheme="minorHAnsi" w:hAnsiTheme="minorHAnsi" w:cstheme="minorHAnsi"/>
                <w:szCs w:val="20"/>
              </w:rPr>
              <w:t>TDS</w:t>
            </w:r>
          </w:p>
        </w:tc>
        <w:tc>
          <w:tcPr>
            <w:tcW w:w="3596" w:type="pct"/>
          </w:tcPr>
          <w:p w14:paraId="140F19AF" w14:textId="77777777" w:rsidR="00776154" w:rsidRPr="003276BB" w:rsidRDefault="00776154" w:rsidP="00776154">
            <w:pPr>
              <w:spacing w:beforeLines="40" w:before="96" w:afterLines="40" w:after="96"/>
              <w:rPr>
                <w:rFonts w:asciiTheme="minorHAnsi" w:hAnsiTheme="minorHAnsi" w:cstheme="minorHAnsi"/>
                <w:szCs w:val="20"/>
              </w:rPr>
            </w:pPr>
            <w:r w:rsidRPr="003276BB">
              <w:rPr>
                <w:rFonts w:asciiTheme="minorHAnsi" w:hAnsiTheme="minorHAnsi" w:cstheme="minorHAnsi"/>
                <w:szCs w:val="20"/>
              </w:rPr>
              <w:t>Total Diet Survey/Study</w:t>
            </w:r>
          </w:p>
        </w:tc>
      </w:tr>
      <w:tr w:rsidR="001332E7" w:rsidRPr="005F5D83" w14:paraId="2DEECB10" w14:textId="77777777" w:rsidTr="00BE5B3E">
        <w:tc>
          <w:tcPr>
            <w:tcW w:w="1404" w:type="pct"/>
          </w:tcPr>
          <w:p w14:paraId="5EB7E752" w14:textId="6ACA3A2D" w:rsidR="001332E7" w:rsidRPr="003276BB" w:rsidRDefault="001332E7" w:rsidP="00776154">
            <w:pPr>
              <w:spacing w:beforeLines="40" w:before="96" w:afterLines="40" w:after="96"/>
              <w:rPr>
                <w:rFonts w:asciiTheme="minorHAnsi" w:hAnsiTheme="minorHAnsi" w:cstheme="minorHAnsi"/>
                <w:szCs w:val="20"/>
              </w:rPr>
            </w:pPr>
            <w:r w:rsidRPr="003276BB">
              <w:rPr>
                <w:rFonts w:asciiTheme="minorHAnsi" w:hAnsiTheme="minorHAnsi" w:cstheme="minorHAnsi"/>
                <w:szCs w:val="20"/>
              </w:rPr>
              <w:t>TFA</w:t>
            </w:r>
          </w:p>
        </w:tc>
        <w:tc>
          <w:tcPr>
            <w:tcW w:w="3596" w:type="pct"/>
          </w:tcPr>
          <w:p w14:paraId="50321F7C" w14:textId="06490E65" w:rsidR="001332E7" w:rsidRPr="003276BB" w:rsidRDefault="001332E7" w:rsidP="00776154">
            <w:pPr>
              <w:spacing w:beforeLines="40" w:before="96" w:afterLines="40" w:after="96"/>
              <w:rPr>
                <w:rFonts w:asciiTheme="minorHAnsi" w:hAnsiTheme="minorHAnsi" w:cstheme="minorHAnsi"/>
                <w:szCs w:val="20"/>
              </w:rPr>
            </w:pPr>
            <w:r w:rsidRPr="003276BB">
              <w:rPr>
                <w:rFonts w:asciiTheme="minorHAnsi" w:hAnsiTheme="minorHAnsi" w:cstheme="minorHAnsi"/>
                <w:szCs w:val="20"/>
              </w:rPr>
              <w:t>Trans fatty acids</w:t>
            </w:r>
          </w:p>
        </w:tc>
      </w:tr>
      <w:tr w:rsidR="00776154" w:rsidRPr="005F5D83" w14:paraId="3E792424" w14:textId="77777777" w:rsidTr="00BE5B3E">
        <w:tc>
          <w:tcPr>
            <w:tcW w:w="1404" w:type="pct"/>
          </w:tcPr>
          <w:p w14:paraId="4C099A63" w14:textId="77777777" w:rsidR="00776154" w:rsidRPr="003276BB" w:rsidRDefault="00776154" w:rsidP="00776154">
            <w:pPr>
              <w:spacing w:beforeLines="40" w:before="96" w:afterLines="40" w:after="96"/>
              <w:rPr>
                <w:rFonts w:asciiTheme="minorHAnsi" w:eastAsia="Arial Unicode MS" w:hAnsiTheme="minorHAnsi" w:cstheme="minorHAnsi"/>
                <w:szCs w:val="20"/>
                <w:lang w:bidi="ar-SA"/>
              </w:rPr>
            </w:pPr>
            <w:r w:rsidRPr="003276BB">
              <w:rPr>
                <w:rFonts w:asciiTheme="minorHAnsi" w:eastAsia="Arial Unicode MS" w:hAnsiTheme="minorHAnsi" w:cstheme="minorHAnsi"/>
                <w:szCs w:val="20"/>
                <w:lang w:bidi="ar-SA"/>
              </w:rPr>
              <w:t>The Code</w:t>
            </w:r>
          </w:p>
        </w:tc>
        <w:tc>
          <w:tcPr>
            <w:tcW w:w="3596" w:type="pct"/>
          </w:tcPr>
          <w:p w14:paraId="277494B1" w14:textId="213CD41D" w:rsidR="00776154" w:rsidRPr="003276BB" w:rsidRDefault="001938AB" w:rsidP="00361E7E">
            <w:pPr>
              <w:spacing w:beforeLines="40" w:before="96" w:afterLines="40" w:after="96"/>
              <w:rPr>
                <w:rFonts w:asciiTheme="minorHAnsi" w:eastAsia="Arial Unicode MS" w:hAnsiTheme="minorHAnsi" w:cstheme="minorHAnsi"/>
                <w:szCs w:val="20"/>
                <w:lang w:bidi="ar-SA"/>
              </w:rPr>
            </w:pPr>
            <w:hyperlink r:id="rId20" w:history="1">
              <w:r w:rsidR="00776154" w:rsidRPr="003276BB">
                <w:rPr>
                  <w:rStyle w:val="Hyperlink"/>
                  <w:rFonts w:asciiTheme="minorHAnsi" w:eastAsia="Arial Unicode MS" w:hAnsiTheme="minorHAnsi" w:cstheme="minorHAnsi"/>
                  <w:color w:val="0070C0"/>
                  <w:szCs w:val="20"/>
                  <w:lang w:bidi="ar-SA"/>
                </w:rPr>
                <w:t>Australia New Zealand Food Standards Code</w:t>
              </w:r>
            </w:hyperlink>
            <w:r w:rsidR="00776154" w:rsidRPr="003276BB">
              <w:rPr>
                <w:rFonts w:asciiTheme="minorHAnsi" w:eastAsia="Arial Unicode MS" w:hAnsiTheme="minorHAnsi" w:cstheme="minorHAnsi"/>
                <w:color w:val="0070C0"/>
                <w:szCs w:val="20"/>
                <w:lang w:bidi="ar-SA"/>
              </w:rPr>
              <w:t xml:space="preserve"> </w:t>
            </w:r>
          </w:p>
        </w:tc>
      </w:tr>
      <w:tr w:rsidR="00776154" w:rsidRPr="005F5D83" w14:paraId="29B8CFC3" w14:textId="77777777" w:rsidTr="00BE5B3E">
        <w:tc>
          <w:tcPr>
            <w:tcW w:w="1404" w:type="pct"/>
          </w:tcPr>
          <w:p w14:paraId="55454C16" w14:textId="77777777" w:rsidR="00776154" w:rsidRPr="003276BB" w:rsidRDefault="00776154" w:rsidP="00776154">
            <w:pPr>
              <w:spacing w:beforeLines="40" w:before="96" w:afterLines="40" w:after="96"/>
              <w:rPr>
                <w:rFonts w:asciiTheme="minorHAnsi" w:hAnsiTheme="minorHAnsi" w:cstheme="minorHAnsi"/>
                <w:szCs w:val="20"/>
              </w:rPr>
            </w:pPr>
            <w:r w:rsidRPr="003276BB">
              <w:rPr>
                <w:rFonts w:asciiTheme="minorHAnsi" w:eastAsia="Arial Unicode MS" w:hAnsiTheme="minorHAnsi" w:cstheme="minorHAnsi"/>
                <w:szCs w:val="20"/>
                <w:lang w:bidi="ar-SA"/>
              </w:rPr>
              <w:t>True protein</w:t>
            </w:r>
          </w:p>
        </w:tc>
        <w:tc>
          <w:tcPr>
            <w:tcW w:w="3596" w:type="pct"/>
          </w:tcPr>
          <w:p w14:paraId="5E84DA55" w14:textId="6D9DA5CF" w:rsidR="00776154" w:rsidRPr="003276BB" w:rsidRDefault="00776154" w:rsidP="00776154">
            <w:pPr>
              <w:spacing w:beforeLines="40" w:before="96" w:afterLines="40" w:after="96"/>
              <w:rPr>
                <w:rFonts w:asciiTheme="minorHAnsi" w:hAnsiTheme="minorHAnsi" w:cstheme="minorHAnsi"/>
                <w:szCs w:val="20"/>
              </w:rPr>
            </w:pPr>
            <w:r w:rsidRPr="003276BB">
              <w:rPr>
                <w:rFonts w:asciiTheme="minorHAnsi" w:eastAsia="Arial Unicode MS" w:hAnsiTheme="minorHAnsi" w:cstheme="minorHAnsi"/>
                <w:szCs w:val="20"/>
                <w:lang w:bidi="ar-SA"/>
              </w:rPr>
              <w:t>Is based on all N-containing substances minus NPN multiplied by an appropriate conversion factor (e.g. 6.38 for milk proteins). However, the calculation excludes nitrogen that may be metabolically available e.g. amino acids, small peptides, urea, amino sugars, nucleotides, carnitine and choline</w:t>
            </w:r>
            <w:r w:rsidR="00117F4D" w:rsidRPr="003276BB">
              <w:rPr>
                <w:rFonts w:asciiTheme="minorHAnsi" w:eastAsia="Arial Unicode MS" w:hAnsiTheme="minorHAnsi" w:cstheme="minorHAnsi"/>
                <w:szCs w:val="20"/>
                <w:lang w:bidi="ar-SA"/>
              </w:rPr>
              <w:t>.</w:t>
            </w:r>
          </w:p>
        </w:tc>
      </w:tr>
      <w:tr w:rsidR="00EE5EBB" w:rsidRPr="005F5D83" w14:paraId="3E885D4D" w14:textId="77777777" w:rsidTr="00BE5B3E">
        <w:tc>
          <w:tcPr>
            <w:tcW w:w="1404" w:type="pct"/>
          </w:tcPr>
          <w:p w14:paraId="155E7ED9" w14:textId="23F7172D" w:rsidR="00EE5EBB" w:rsidRPr="003276BB" w:rsidRDefault="00EE5EBB" w:rsidP="00776154">
            <w:pPr>
              <w:spacing w:beforeLines="40" w:before="96" w:afterLines="40" w:after="96"/>
              <w:rPr>
                <w:rFonts w:asciiTheme="minorHAnsi" w:eastAsia="Arial Unicode MS" w:hAnsiTheme="minorHAnsi" w:cstheme="minorHAnsi"/>
                <w:szCs w:val="20"/>
                <w:lang w:bidi="ar-SA"/>
              </w:rPr>
            </w:pPr>
            <w:r w:rsidRPr="003276BB">
              <w:rPr>
                <w:rFonts w:asciiTheme="minorHAnsi" w:eastAsia="Arial Unicode MS" w:hAnsiTheme="minorHAnsi" w:cstheme="minorHAnsi"/>
                <w:szCs w:val="20"/>
                <w:lang w:bidi="ar-SA"/>
              </w:rPr>
              <w:t>UL</w:t>
            </w:r>
          </w:p>
        </w:tc>
        <w:tc>
          <w:tcPr>
            <w:tcW w:w="3596" w:type="pct"/>
          </w:tcPr>
          <w:p w14:paraId="65350832" w14:textId="3028E2EF" w:rsidR="00EE5EBB" w:rsidRPr="003276BB" w:rsidRDefault="00EE5EBB" w:rsidP="00776154">
            <w:pPr>
              <w:spacing w:beforeLines="40" w:before="96" w:afterLines="40" w:after="96"/>
              <w:rPr>
                <w:rFonts w:asciiTheme="minorHAnsi" w:eastAsia="Arial Unicode MS" w:hAnsiTheme="minorHAnsi" w:cstheme="minorHAnsi"/>
                <w:szCs w:val="20"/>
                <w:lang w:bidi="ar-SA"/>
              </w:rPr>
            </w:pPr>
            <w:r w:rsidRPr="003276BB">
              <w:rPr>
                <w:rFonts w:asciiTheme="minorHAnsi" w:eastAsia="Arial Unicode MS" w:hAnsiTheme="minorHAnsi" w:cstheme="minorHAnsi"/>
                <w:szCs w:val="20"/>
                <w:lang w:bidi="ar-SA"/>
              </w:rPr>
              <w:t>Upper Level of intake</w:t>
            </w:r>
          </w:p>
        </w:tc>
      </w:tr>
      <w:tr w:rsidR="00776154" w:rsidRPr="005F5D83" w14:paraId="49465A41" w14:textId="77777777" w:rsidTr="00BE5B3E">
        <w:tc>
          <w:tcPr>
            <w:tcW w:w="1404" w:type="pct"/>
          </w:tcPr>
          <w:p w14:paraId="3207405C" w14:textId="77777777" w:rsidR="00776154" w:rsidRPr="003276BB" w:rsidRDefault="00776154" w:rsidP="00776154">
            <w:pPr>
              <w:spacing w:beforeLines="40" w:before="96" w:afterLines="40" w:after="96"/>
              <w:rPr>
                <w:rFonts w:asciiTheme="minorHAnsi" w:hAnsiTheme="minorHAnsi" w:cstheme="minorHAnsi"/>
                <w:szCs w:val="20"/>
              </w:rPr>
            </w:pPr>
            <w:r w:rsidRPr="003276BB">
              <w:rPr>
                <w:rFonts w:asciiTheme="minorHAnsi" w:hAnsiTheme="minorHAnsi" w:cstheme="minorHAnsi"/>
                <w:szCs w:val="20"/>
              </w:rPr>
              <w:t xml:space="preserve">US </w:t>
            </w:r>
          </w:p>
        </w:tc>
        <w:tc>
          <w:tcPr>
            <w:tcW w:w="3596" w:type="pct"/>
          </w:tcPr>
          <w:p w14:paraId="5B3CDF10" w14:textId="77777777" w:rsidR="00776154" w:rsidRPr="003276BB" w:rsidRDefault="00776154" w:rsidP="00776154">
            <w:pPr>
              <w:spacing w:beforeLines="40" w:before="96" w:afterLines="40" w:after="96"/>
              <w:rPr>
                <w:rFonts w:asciiTheme="minorHAnsi" w:hAnsiTheme="minorHAnsi" w:cstheme="minorHAnsi"/>
                <w:szCs w:val="20"/>
              </w:rPr>
            </w:pPr>
            <w:r w:rsidRPr="003276BB">
              <w:rPr>
                <w:rFonts w:asciiTheme="minorHAnsi" w:hAnsiTheme="minorHAnsi" w:cstheme="minorHAnsi"/>
                <w:szCs w:val="20"/>
              </w:rPr>
              <w:t>United States of America</w:t>
            </w:r>
          </w:p>
        </w:tc>
      </w:tr>
      <w:tr w:rsidR="00776154" w:rsidRPr="005F5D83" w14:paraId="7B2AB0BB" w14:textId="77777777" w:rsidTr="00BE5B3E">
        <w:tc>
          <w:tcPr>
            <w:tcW w:w="1404" w:type="pct"/>
          </w:tcPr>
          <w:p w14:paraId="2B01499B" w14:textId="77777777" w:rsidR="00776154" w:rsidRPr="003276BB" w:rsidRDefault="00776154" w:rsidP="00776154">
            <w:pPr>
              <w:spacing w:beforeLines="40" w:before="96" w:afterLines="40" w:after="96"/>
              <w:rPr>
                <w:rFonts w:asciiTheme="minorHAnsi" w:hAnsiTheme="minorHAnsi" w:cstheme="minorHAnsi"/>
                <w:szCs w:val="20"/>
              </w:rPr>
            </w:pPr>
            <w:r w:rsidRPr="003276BB">
              <w:rPr>
                <w:rFonts w:asciiTheme="minorHAnsi" w:hAnsiTheme="minorHAnsi" w:cstheme="minorHAnsi"/>
                <w:szCs w:val="20"/>
              </w:rPr>
              <w:t xml:space="preserve">US FDA </w:t>
            </w:r>
          </w:p>
        </w:tc>
        <w:tc>
          <w:tcPr>
            <w:tcW w:w="3596" w:type="pct"/>
          </w:tcPr>
          <w:p w14:paraId="6B71788D" w14:textId="77777777" w:rsidR="00776154" w:rsidRPr="003276BB" w:rsidRDefault="00776154" w:rsidP="00776154">
            <w:pPr>
              <w:spacing w:beforeLines="40" w:before="96" w:afterLines="40" w:after="96"/>
              <w:rPr>
                <w:rFonts w:asciiTheme="minorHAnsi" w:hAnsiTheme="minorHAnsi" w:cstheme="minorHAnsi"/>
                <w:szCs w:val="20"/>
              </w:rPr>
            </w:pPr>
            <w:r w:rsidRPr="003276BB">
              <w:rPr>
                <w:rFonts w:asciiTheme="minorHAnsi" w:hAnsiTheme="minorHAnsi" w:cstheme="minorHAnsi"/>
                <w:szCs w:val="20"/>
              </w:rPr>
              <w:t>US Food and Drug Administration</w:t>
            </w:r>
          </w:p>
        </w:tc>
      </w:tr>
      <w:tr w:rsidR="00776154" w:rsidRPr="005F5D83" w14:paraId="7F6BF4F7" w14:textId="77777777" w:rsidTr="00BE5B3E">
        <w:tc>
          <w:tcPr>
            <w:tcW w:w="1404" w:type="pct"/>
          </w:tcPr>
          <w:p w14:paraId="2FCAEB59" w14:textId="77777777" w:rsidR="00776154" w:rsidRPr="003276BB" w:rsidRDefault="00776154" w:rsidP="00776154">
            <w:pPr>
              <w:spacing w:beforeLines="40" w:before="96" w:afterLines="40" w:after="96"/>
              <w:rPr>
                <w:rFonts w:asciiTheme="minorHAnsi" w:hAnsiTheme="minorHAnsi" w:cstheme="minorHAnsi"/>
                <w:szCs w:val="20"/>
              </w:rPr>
            </w:pPr>
            <w:r w:rsidRPr="003276BB">
              <w:rPr>
                <w:rFonts w:asciiTheme="minorHAnsi" w:hAnsiTheme="minorHAnsi" w:cstheme="minorHAnsi"/>
                <w:szCs w:val="20"/>
              </w:rPr>
              <w:t xml:space="preserve">WHO </w:t>
            </w:r>
          </w:p>
        </w:tc>
        <w:tc>
          <w:tcPr>
            <w:tcW w:w="3596" w:type="pct"/>
          </w:tcPr>
          <w:p w14:paraId="16B38116" w14:textId="77777777" w:rsidR="00776154" w:rsidRPr="003276BB" w:rsidRDefault="00776154" w:rsidP="00776154">
            <w:pPr>
              <w:spacing w:beforeLines="40" w:before="96" w:afterLines="40" w:after="96"/>
              <w:rPr>
                <w:rFonts w:asciiTheme="minorHAnsi" w:hAnsiTheme="minorHAnsi" w:cstheme="minorHAnsi"/>
                <w:szCs w:val="20"/>
              </w:rPr>
            </w:pPr>
            <w:r w:rsidRPr="003276BB">
              <w:rPr>
                <w:rFonts w:asciiTheme="minorHAnsi" w:hAnsiTheme="minorHAnsi" w:cstheme="minorHAnsi"/>
                <w:szCs w:val="20"/>
              </w:rPr>
              <w:t>World Health Organization</w:t>
            </w:r>
          </w:p>
        </w:tc>
      </w:tr>
      <w:tr w:rsidR="00776154" w:rsidRPr="005F5D83" w14:paraId="130B2803" w14:textId="77777777" w:rsidTr="00BE5B3E">
        <w:tc>
          <w:tcPr>
            <w:tcW w:w="1404" w:type="pct"/>
          </w:tcPr>
          <w:p w14:paraId="3AE22740" w14:textId="77777777" w:rsidR="00776154" w:rsidRPr="003276BB" w:rsidRDefault="00776154" w:rsidP="00776154">
            <w:pPr>
              <w:spacing w:beforeLines="40" w:before="96" w:afterLines="40" w:after="96"/>
              <w:rPr>
                <w:rFonts w:asciiTheme="minorHAnsi" w:hAnsiTheme="minorHAnsi" w:cstheme="minorHAnsi"/>
                <w:szCs w:val="20"/>
              </w:rPr>
            </w:pPr>
            <w:r w:rsidRPr="003276BB">
              <w:rPr>
                <w:rFonts w:asciiTheme="minorHAnsi" w:hAnsiTheme="minorHAnsi" w:cstheme="minorHAnsi"/>
                <w:szCs w:val="20"/>
              </w:rPr>
              <w:t xml:space="preserve">WTO </w:t>
            </w:r>
          </w:p>
        </w:tc>
        <w:tc>
          <w:tcPr>
            <w:tcW w:w="3596" w:type="pct"/>
          </w:tcPr>
          <w:p w14:paraId="1108A0BD" w14:textId="77777777" w:rsidR="00776154" w:rsidRPr="003276BB" w:rsidRDefault="00776154" w:rsidP="00776154">
            <w:pPr>
              <w:spacing w:beforeLines="40" w:before="96" w:afterLines="40" w:after="96"/>
              <w:rPr>
                <w:rFonts w:asciiTheme="minorHAnsi" w:hAnsiTheme="minorHAnsi" w:cstheme="minorHAnsi"/>
                <w:szCs w:val="20"/>
              </w:rPr>
            </w:pPr>
            <w:r w:rsidRPr="003276BB">
              <w:rPr>
                <w:rFonts w:asciiTheme="minorHAnsi" w:hAnsiTheme="minorHAnsi" w:cstheme="minorHAnsi"/>
                <w:szCs w:val="20"/>
              </w:rPr>
              <w:t>World Trade Organization</w:t>
            </w:r>
          </w:p>
        </w:tc>
      </w:tr>
    </w:tbl>
    <w:p w14:paraId="6CBAAC9E" w14:textId="77777777" w:rsidR="00776154" w:rsidRPr="00117AE3" w:rsidRDefault="00776154" w:rsidP="00776154">
      <w:pPr>
        <w:pStyle w:val="Heading1"/>
        <w:pageBreakBefore/>
      </w:pPr>
      <w:bookmarkStart w:id="26" w:name="_Toc73455601"/>
      <w:bookmarkStart w:id="27" w:name="_Toc73624874"/>
      <w:bookmarkStart w:id="28" w:name="_Toc76138263"/>
      <w:r>
        <w:lastRenderedPageBreak/>
        <w:t>1</w:t>
      </w:r>
      <w:r>
        <w:tab/>
        <w:t>Intro</w:t>
      </w:r>
      <w:r w:rsidRPr="00117AE3">
        <w:t>duction</w:t>
      </w:r>
      <w:bookmarkEnd w:id="16"/>
      <w:bookmarkEnd w:id="17"/>
      <w:bookmarkEnd w:id="18"/>
      <w:bookmarkEnd w:id="19"/>
      <w:bookmarkEnd w:id="26"/>
      <w:bookmarkEnd w:id="27"/>
      <w:bookmarkEnd w:id="28"/>
      <w:r w:rsidRPr="00117AE3">
        <w:t xml:space="preserve"> </w:t>
      </w:r>
    </w:p>
    <w:p w14:paraId="007AE27C" w14:textId="66BAA2E0" w:rsidR="0032624D" w:rsidRDefault="0032624D" w:rsidP="0032624D">
      <w:pPr>
        <w:rPr>
          <w:rFonts w:cs="Arial"/>
        </w:rPr>
      </w:pPr>
      <w:r>
        <w:rPr>
          <w:rFonts w:cs="Arial"/>
        </w:rPr>
        <w:t>Although breastfeeding is the recommended way to feed infants, a safe and nutritious substitute for breast milk is needed for infants who are not breastfed. Infant formula products are the only safe and suitable alternative to breast milk.</w:t>
      </w:r>
    </w:p>
    <w:p w14:paraId="054F563D" w14:textId="77777777" w:rsidR="0032624D" w:rsidRDefault="0032624D" w:rsidP="0032624D">
      <w:pPr>
        <w:rPr>
          <w:rFonts w:cs="Arial"/>
        </w:rPr>
      </w:pPr>
    </w:p>
    <w:p w14:paraId="6E7D5E23" w14:textId="3A4BEE6B" w:rsidR="00672CCE" w:rsidRDefault="004D11A4" w:rsidP="00672CCE">
      <w:pPr>
        <w:pStyle w:val="Default"/>
        <w:rPr>
          <w:rFonts w:ascii="Arial" w:hAnsi="Arial" w:cs="Arial"/>
          <w:sz w:val="22"/>
          <w:szCs w:val="22"/>
        </w:rPr>
      </w:pPr>
      <w:r>
        <w:rPr>
          <w:rFonts w:ascii="Arial" w:hAnsi="Arial" w:cs="Arial"/>
          <w:sz w:val="22"/>
          <w:szCs w:val="22"/>
        </w:rPr>
        <w:t>Infant formula</w:t>
      </w:r>
      <w:r w:rsidR="0032624D">
        <w:rPr>
          <w:rFonts w:ascii="Arial" w:hAnsi="Arial" w:cs="Arial"/>
          <w:sz w:val="22"/>
          <w:szCs w:val="22"/>
        </w:rPr>
        <w:t xml:space="preserve"> is regulated within the Australia New Zealand Food Standards Code (the Code)</w:t>
      </w:r>
      <w:r w:rsidR="00672CCE" w:rsidRPr="00672CCE">
        <w:rPr>
          <w:rFonts w:ascii="Arial" w:hAnsi="Arial"/>
          <w:sz w:val="22"/>
          <w:szCs w:val="22"/>
        </w:rPr>
        <w:t xml:space="preserve"> </w:t>
      </w:r>
      <w:r w:rsidR="00672CCE">
        <w:rPr>
          <w:rFonts w:ascii="Arial" w:hAnsi="Arial" w:cs="Arial"/>
          <w:sz w:val="22"/>
          <w:szCs w:val="22"/>
        </w:rPr>
        <w:t>through:</w:t>
      </w:r>
    </w:p>
    <w:p w14:paraId="5A914C0A" w14:textId="4DC3CE72" w:rsidR="00672CCE" w:rsidRDefault="00672CCE" w:rsidP="00774FC6">
      <w:pPr>
        <w:pStyle w:val="FSBullet1"/>
        <w:numPr>
          <w:ilvl w:val="0"/>
          <w:numId w:val="15"/>
        </w:numPr>
        <w:ind w:left="567" w:hanging="567"/>
      </w:pPr>
      <w:r>
        <w:t>Standard 2.9.1</w:t>
      </w:r>
      <w:r w:rsidRPr="008E266B">
        <w:t xml:space="preserve"> – </w:t>
      </w:r>
      <w:r>
        <w:t>Infant formula products, and</w:t>
      </w:r>
    </w:p>
    <w:p w14:paraId="131F080F" w14:textId="77777777" w:rsidR="00672CCE" w:rsidRDefault="00672CCE" w:rsidP="00774FC6">
      <w:pPr>
        <w:pStyle w:val="FSBullet1"/>
        <w:numPr>
          <w:ilvl w:val="0"/>
          <w:numId w:val="15"/>
        </w:numPr>
        <w:ind w:left="567" w:hanging="567"/>
      </w:pPr>
      <w:r>
        <w:t xml:space="preserve">Schedule 29 </w:t>
      </w:r>
      <w:r w:rsidRPr="008E266B">
        <w:t xml:space="preserve">– </w:t>
      </w:r>
      <w:r w:rsidRPr="00DE1BFE">
        <w:t>Special purpose foods</w:t>
      </w:r>
      <w:r>
        <w:t>.</w:t>
      </w:r>
    </w:p>
    <w:p w14:paraId="1A6915F1" w14:textId="77777777" w:rsidR="008D1246" w:rsidRDefault="008D1246" w:rsidP="0032624D">
      <w:pPr>
        <w:pStyle w:val="Default"/>
        <w:rPr>
          <w:rFonts w:ascii="Arial" w:hAnsi="Arial" w:cs="Arial"/>
          <w:sz w:val="22"/>
          <w:szCs w:val="22"/>
        </w:rPr>
      </w:pPr>
    </w:p>
    <w:p w14:paraId="4FAC1590" w14:textId="491CD7CD" w:rsidR="0032624D" w:rsidRDefault="0032624D" w:rsidP="0032624D">
      <w:pPr>
        <w:pStyle w:val="Default"/>
        <w:rPr>
          <w:rFonts w:ascii="Arial" w:hAnsi="Arial" w:cs="Arial"/>
          <w:sz w:val="22"/>
          <w:szCs w:val="22"/>
        </w:rPr>
      </w:pPr>
      <w:r>
        <w:rPr>
          <w:rFonts w:ascii="Arial" w:hAnsi="Arial" w:cs="Arial"/>
          <w:sz w:val="22"/>
          <w:szCs w:val="22"/>
        </w:rPr>
        <w:t>While the standards in the Code that regulate infant formula are mostly working well, Proposal P1028 aims to ensure these standards are appropriate, clear and function</w:t>
      </w:r>
      <w:r w:rsidR="00C67F08">
        <w:rPr>
          <w:rFonts w:ascii="Arial" w:hAnsi="Arial" w:cs="Arial"/>
          <w:sz w:val="22"/>
          <w:szCs w:val="22"/>
        </w:rPr>
        <w:t>al</w:t>
      </w:r>
      <w:r>
        <w:rPr>
          <w:rFonts w:ascii="Arial" w:hAnsi="Arial" w:cs="Arial"/>
          <w:sz w:val="22"/>
          <w:szCs w:val="22"/>
        </w:rPr>
        <w:t xml:space="preserve"> now and into the future. The overarching goal of Pro</w:t>
      </w:r>
      <w:r w:rsidR="004D11A4">
        <w:rPr>
          <w:rFonts w:ascii="Arial" w:hAnsi="Arial" w:cs="Arial"/>
          <w:sz w:val="22"/>
          <w:szCs w:val="22"/>
        </w:rPr>
        <w:t>posal P1028 is to ensure that infant formula</w:t>
      </w:r>
      <w:r>
        <w:rPr>
          <w:rFonts w:ascii="Arial" w:hAnsi="Arial" w:cs="Arial"/>
          <w:sz w:val="22"/>
          <w:szCs w:val="22"/>
        </w:rPr>
        <w:t xml:space="preserve"> remains safe</w:t>
      </w:r>
      <w:r w:rsidR="002D1FAF">
        <w:rPr>
          <w:rFonts w:ascii="Arial" w:hAnsi="Arial" w:cs="Arial"/>
          <w:sz w:val="22"/>
          <w:szCs w:val="22"/>
        </w:rPr>
        <w:t xml:space="preserve">, </w:t>
      </w:r>
      <w:r>
        <w:rPr>
          <w:rFonts w:ascii="Arial" w:hAnsi="Arial" w:cs="Arial"/>
          <w:sz w:val="22"/>
          <w:szCs w:val="22"/>
        </w:rPr>
        <w:t>suitable</w:t>
      </w:r>
      <w:r w:rsidR="00C67F08">
        <w:rPr>
          <w:rFonts w:ascii="Arial" w:hAnsi="Arial" w:cs="Arial"/>
          <w:sz w:val="22"/>
          <w:szCs w:val="22"/>
        </w:rPr>
        <w:t xml:space="preserve"> and</w:t>
      </w:r>
      <w:r>
        <w:rPr>
          <w:rFonts w:ascii="Arial" w:hAnsi="Arial" w:cs="Arial"/>
          <w:sz w:val="22"/>
          <w:szCs w:val="22"/>
        </w:rPr>
        <w:t xml:space="preserve"> takes account of current science, market developments and the international regulatory context. As part of its assessment of the proposal, FSANZ will consider key stakeholder views, relevant Ministerial policy guidance and alignment with updated international regulations. Proposal P1028 is being prepared under section 113(6) of the</w:t>
      </w:r>
      <w:r w:rsidR="00A97F65">
        <w:rPr>
          <w:rFonts w:ascii="Arial" w:hAnsi="Arial" w:cs="Arial"/>
          <w:sz w:val="22"/>
          <w:szCs w:val="22"/>
        </w:rPr>
        <w:t xml:space="preserve"> </w:t>
      </w:r>
      <w:r w:rsidR="00A97F65" w:rsidRPr="00A97F65">
        <w:rPr>
          <w:rFonts w:ascii="Arial" w:hAnsi="Arial" w:cs="Arial"/>
          <w:i/>
          <w:sz w:val="22"/>
          <w:szCs w:val="22"/>
        </w:rPr>
        <w:t>Food Standards Australia New Zealand Act 1991</w:t>
      </w:r>
      <w:r w:rsidR="00A97F65" w:rsidRPr="00A97F65">
        <w:rPr>
          <w:rFonts w:ascii="Arial" w:hAnsi="Arial" w:cs="Arial"/>
          <w:sz w:val="22"/>
          <w:szCs w:val="22"/>
        </w:rPr>
        <w:t xml:space="preserve"> </w:t>
      </w:r>
      <w:r>
        <w:rPr>
          <w:rFonts w:ascii="Arial" w:hAnsi="Arial" w:cs="Arial"/>
          <w:sz w:val="22"/>
          <w:szCs w:val="22"/>
        </w:rPr>
        <w:t xml:space="preserve"> </w:t>
      </w:r>
      <w:r w:rsidR="00A97F65">
        <w:rPr>
          <w:rFonts w:ascii="Arial" w:hAnsi="Arial" w:cs="Arial"/>
          <w:sz w:val="22"/>
          <w:szCs w:val="22"/>
        </w:rPr>
        <w:t xml:space="preserve">(the </w:t>
      </w:r>
      <w:r>
        <w:rPr>
          <w:rFonts w:ascii="Arial" w:hAnsi="Arial" w:cs="Arial"/>
          <w:sz w:val="22"/>
          <w:szCs w:val="22"/>
        </w:rPr>
        <w:t>FSANZ Act</w:t>
      </w:r>
      <w:r w:rsidR="00A97F65">
        <w:rPr>
          <w:rFonts w:ascii="Arial" w:hAnsi="Arial" w:cs="Arial"/>
          <w:sz w:val="22"/>
          <w:szCs w:val="22"/>
        </w:rPr>
        <w:t>)</w:t>
      </w:r>
      <w:r>
        <w:rPr>
          <w:rFonts w:ascii="Arial" w:hAnsi="Arial" w:cs="Arial"/>
          <w:sz w:val="22"/>
          <w:szCs w:val="22"/>
        </w:rPr>
        <w:t xml:space="preserve"> and assessed under the Major Procedure.</w:t>
      </w:r>
    </w:p>
    <w:p w14:paraId="17C40B84" w14:textId="77777777" w:rsidR="0032624D" w:rsidRDefault="0032624D" w:rsidP="0032624D">
      <w:pPr>
        <w:pStyle w:val="Default"/>
        <w:rPr>
          <w:rFonts w:ascii="Arial" w:hAnsi="Arial" w:cs="Arial"/>
          <w:sz w:val="22"/>
          <w:szCs w:val="22"/>
        </w:rPr>
      </w:pPr>
    </w:p>
    <w:p w14:paraId="5EF34E8E" w14:textId="5F6DD5B1" w:rsidR="00776154" w:rsidRPr="00300CB1" w:rsidRDefault="0032624D" w:rsidP="00776154">
      <w:pPr>
        <w:rPr>
          <w:lang w:eastAsia="en-AU" w:bidi="ar-SA"/>
        </w:rPr>
      </w:pPr>
      <w:r>
        <w:rPr>
          <w:lang w:eastAsia="en-AU" w:bidi="ar-SA"/>
        </w:rPr>
        <w:t>The scope of Proposal P1028 includes all requirements f</w:t>
      </w:r>
      <w:r w:rsidR="004D11A4">
        <w:rPr>
          <w:lang w:eastAsia="en-AU" w:bidi="ar-SA"/>
        </w:rPr>
        <w:t>or infant formula products</w:t>
      </w:r>
      <w:r>
        <w:rPr>
          <w:lang w:eastAsia="en-AU" w:bidi="ar-SA"/>
        </w:rPr>
        <w:t xml:space="preserve"> in Standard 2.9.1 exclud</w:t>
      </w:r>
      <w:r w:rsidR="004D11A4">
        <w:rPr>
          <w:lang w:eastAsia="en-AU" w:bidi="ar-SA"/>
        </w:rPr>
        <w:t>ing follow-on formula (FOF). Infant formula products include general infant formula</w:t>
      </w:r>
      <w:r>
        <w:rPr>
          <w:lang w:eastAsia="en-AU" w:bidi="ar-SA"/>
        </w:rPr>
        <w:t xml:space="preserve"> and infant formula for special dietary use (IFPSDU</w:t>
      </w:r>
      <w:r w:rsidR="00F471A8">
        <w:rPr>
          <w:lang w:eastAsia="en-AU" w:bidi="ar-SA"/>
        </w:rPr>
        <w:t>)</w:t>
      </w:r>
      <w:r w:rsidR="00EB0F36">
        <w:rPr>
          <w:lang w:eastAsia="en-AU" w:bidi="ar-SA"/>
        </w:rPr>
        <w:t xml:space="preserve"> </w:t>
      </w:r>
      <w:r>
        <w:rPr>
          <w:lang w:eastAsia="en-AU" w:bidi="ar-SA"/>
        </w:rPr>
        <w:t>for infants aged from 0–</w:t>
      </w:r>
      <w:r>
        <w:rPr>
          <w:rFonts w:cs="Arial"/>
          <w:lang w:eastAsia="en-AU" w:bidi="ar-SA"/>
        </w:rPr>
        <w:t>&lt;</w:t>
      </w:r>
      <w:r>
        <w:rPr>
          <w:lang w:eastAsia="en-AU" w:bidi="ar-SA"/>
        </w:rPr>
        <w:t>12 months. Although some issues reviewed in the proposal may be relevant for FOF (for infants aged from 6–</w:t>
      </w:r>
      <w:r>
        <w:rPr>
          <w:rFonts w:cs="Arial"/>
          <w:lang w:eastAsia="en-AU" w:bidi="ar-SA"/>
        </w:rPr>
        <w:t>&lt;</w:t>
      </w:r>
      <w:r>
        <w:rPr>
          <w:lang w:eastAsia="en-AU" w:bidi="ar-SA"/>
        </w:rPr>
        <w:t>12 months), these are not in scope for P1028. However, because of t</w:t>
      </w:r>
      <w:r w:rsidR="004D11A4">
        <w:rPr>
          <w:lang w:eastAsia="en-AU" w:bidi="ar-SA"/>
        </w:rPr>
        <w:t>he overlap in age ranges for infant formula products</w:t>
      </w:r>
      <w:r>
        <w:rPr>
          <w:lang w:eastAsia="en-AU" w:bidi="ar-SA"/>
        </w:rPr>
        <w:t xml:space="preserve"> and FOF, relevant information related to international regulations for FOF may be considered.</w:t>
      </w:r>
    </w:p>
    <w:p w14:paraId="371990C0" w14:textId="77777777" w:rsidR="00776154" w:rsidRDefault="00776154" w:rsidP="00776154">
      <w:pPr>
        <w:rPr>
          <w:lang w:bidi="ar-SA"/>
        </w:rPr>
      </w:pPr>
    </w:p>
    <w:p w14:paraId="6AD2F68E" w14:textId="0541AD72" w:rsidR="00776154" w:rsidRDefault="00ED38E1" w:rsidP="00776154">
      <w:pPr>
        <w:rPr>
          <w:lang w:bidi="ar-SA"/>
        </w:rPr>
      </w:pPr>
      <w:r w:rsidRPr="00061A55">
        <w:rPr>
          <w:lang w:eastAsia="en-AU"/>
        </w:rPr>
        <w:t xml:space="preserve">The protection of public health and safety is </w:t>
      </w:r>
      <w:r>
        <w:rPr>
          <w:lang w:eastAsia="en-AU"/>
        </w:rPr>
        <w:t>the</w:t>
      </w:r>
      <w:r w:rsidRPr="00061A55">
        <w:rPr>
          <w:lang w:eastAsia="en-AU"/>
        </w:rPr>
        <w:t xml:space="preserve"> primary objective for FSANZ. </w:t>
      </w:r>
      <w:r w:rsidR="00776154">
        <w:rPr>
          <w:lang w:bidi="ar-SA"/>
        </w:rPr>
        <w:t xml:space="preserve">The </w:t>
      </w:r>
      <w:r w:rsidR="00776154" w:rsidRPr="002371A6">
        <w:rPr>
          <w:lang w:bidi="ar-SA"/>
        </w:rPr>
        <w:t>nutrient</w:t>
      </w:r>
      <w:r w:rsidR="00776154">
        <w:rPr>
          <w:lang w:bidi="ar-SA"/>
        </w:rPr>
        <w:t xml:space="preserve"> composition of infant formula is appropriately prescriptive to ensure that infant formula provides sufficient energy and nutrients to promote normal growth and development of formula-fed infants, without</w:t>
      </w:r>
      <w:r w:rsidR="006B5DBC">
        <w:rPr>
          <w:lang w:bidi="ar-SA"/>
        </w:rPr>
        <w:t xml:space="preserve"> posing a risk to infant health.</w:t>
      </w:r>
      <w:bookmarkStart w:id="29" w:name="_Toc430074122"/>
      <w:bookmarkStart w:id="30" w:name="_Toc432434633"/>
    </w:p>
    <w:p w14:paraId="34929D57" w14:textId="46EF2FF7" w:rsidR="00776154" w:rsidRPr="00712783" w:rsidRDefault="00924791" w:rsidP="00776154">
      <w:pPr>
        <w:pStyle w:val="Heading2"/>
      </w:pPr>
      <w:bookmarkStart w:id="31" w:name="_Toc56696415"/>
      <w:bookmarkStart w:id="32" w:name="_Toc57198377"/>
      <w:bookmarkStart w:id="33" w:name="_Toc57213225"/>
      <w:bookmarkStart w:id="34" w:name="_Toc65241712"/>
      <w:bookmarkStart w:id="35" w:name="_Toc67393231"/>
      <w:bookmarkStart w:id="36" w:name="_Toc69737911"/>
      <w:bookmarkStart w:id="37" w:name="_Toc73455602"/>
      <w:bookmarkStart w:id="38" w:name="_Toc73624875"/>
      <w:bookmarkStart w:id="39" w:name="_Toc76138264"/>
      <w:bookmarkStart w:id="40" w:name="_Toc480812834"/>
      <w:bookmarkStart w:id="41" w:name="_Toc482265734"/>
      <w:bookmarkStart w:id="42" w:name="_Toc482279829"/>
      <w:bookmarkStart w:id="43" w:name="_Toc483992314"/>
      <w:bookmarkStart w:id="44" w:name="_Toc484443827"/>
      <w:bookmarkStart w:id="45" w:name="_Toc485123597"/>
      <w:bookmarkStart w:id="46" w:name="_Toc486518719"/>
      <w:bookmarkStart w:id="47" w:name="_Toc486511646"/>
      <w:bookmarkStart w:id="48" w:name="_Toc487021393"/>
      <w:bookmarkStart w:id="49" w:name="_Toc487032534"/>
      <w:bookmarkStart w:id="50" w:name="_Toc487733590"/>
      <w:bookmarkStart w:id="51" w:name="_Toc487734135"/>
      <w:bookmarkStart w:id="52" w:name="_Toc489260910"/>
      <w:r>
        <w:t>1.1</w:t>
      </w:r>
      <w:r w:rsidR="00776154">
        <w:tab/>
        <w:t xml:space="preserve">The </w:t>
      </w:r>
      <w:r w:rsidR="00EB0F36">
        <w:t>p</w:t>
      </w:r>
      <w:r w:rsidR="00776154" w:rsidRPr="00DE54DE">
        <w:t>roposal</w:t>
      </w:r>
      <w:r w:rsidR="00776154" w:rsidRPr="00712783">
        <w:t xml:space="preserve"> </w:t>
      </w:r>
      <w:r w:rsidR="00776154">
        <w:t>to date</w:t>
      </w:r>
      <w:bookmarkEnd w:id="31"/>
      <w:bookmarkEnd w:id="32"/>
      <w:bookmarkEnd w:id="33"/>
      <w:bookmarkEnd w:id="34"/>
      <w:bookmarkEnd w:id="35"/>
      <w:bookmarkEnd w:id="36"/>
      <w:bookmarkEnd w:id="37"/>
      <w:bookmarkEnd w:id="38"/>
      <w:bookmarkEnd w:id="39"/>
      <w:r w:rsidR="00776154">
        <w:t xml:space="preserve"> </w:t>
      </w:r>
      <w:bookmarkEnd w:id="40"/>
      <w:bookmarkEnd w:id="41"/>
      <w:bookmarkEnd w:id="42"/>
      <w:bookmarkEnd w:id="43"/>
      <w:bookmarkEnd w:id="44"/>
      <w:bookmarkEnd w:id="45"/>
      <w:bookmarkEnd w:id="46"/>
      <w:bookmarkEnd w:id="47"/>
      <w:bookmarkEnd w:id="48"/>
      <w:bookmarkEnd w:id="49"/>
      <w:bookmarkEnd w:id="50"/>
      <w:bookmarkEnd w:id="51"/>
      <w:bookmarkEnd w:id="52"/>
    </w:p>
    <w:p w14:paraId="77AAE446" w14:textId="6BD33025" w:rsidR="00776154" w:rsidRDefault="00776154" w:rsidP="00776154">
      <w:bookmarkStart w:id="53" w:name="_Toc487733591"/>
      <w:r>
        <w:t xml:space="preserve">Reviewing an entire standard which regulates food for a very vulnerable population is complex. </w:t>
      </w:r>
      <w:r w:rsidR="00F471A8">
        <w:t xml:space="preserve">Therefore, ample </w:t>
      </w:r>
      <w:r>
        <w:t>opportunit</w:t>
      </w:r>
      <w:r w:rsidR="00F471A8">
        <w:t>y</w:t>
      </w:r>
      <w:r>
        <w:t xml:space="preserve"> for stakeholders to </w:t>
      </w:r>
      <w:r w:rsidR="00EB0F36">
        <w:t xml:space="preserve">provide </w:t>
      </w:r>
      <w:r>
        <w:t>input into the process and for their views to be considered</w:t>
      </w:r>
      <w:r w:rsidR="00F471A8">
        <w:t xml:space="preserve"> is critical</w:t>
      </w:r>
      <w:r>
        <w:t>. To date, FSANZ has r</w:t>
      </w:r>
      <w:r w:rsidR="00F409E9">
        <w:t>eleased two consultation papers</w:t>
      </w:r>
      <w:r w:rsidR="00F409E9" w:rsidRPr="008D693B">
        <w:rPr>
          <w:rStyle w:val="FootnoteReference"/>
        </w:rPr>
        <w:footnoteReference w:id="2"/>
      </w:r>
      <w:r w:rsidR="00F409E9">
        <w:t xml:space="preserve"> </w:t>
      </w:r>
      <w:r w:rsidR="006B5DBC">
        <w:t>on this proposal:</w:t>
      </w:r>
    </w:p>
    <w:p w14:paraId="2AAB4660" w14:textId="5AA7D25A" w:rsidR="00776154" w:rsidRDefault="00776154" w:rsidP="00774FC6">
      <w:pPr>
        <w:pStyle w:val="FSBullet1"/>
        <w:numPr>
          <w:ilvl w:val="0"/>
          <w:numId w:val="15"/>
        </w:numPr>
        <w:ind w:left="567" w:hanging="502"/>
      </w:pPr>
      <w:r>
        <w:t xml:space="preserve">The </w:t>
      </w:r>
      <w:hyperlink r:id="rId21" w:history="1">
        <w:r w:rsidRPr="00F409E9">
          <w:rPr>
            <w:rStyle w:val="Hyperlink"/>
          </w:rPr>
          <w:t>2016 Consultation paper</w:t>
        </w:r>
      </w:hyperlink>
      <w:r>
        <w:t xml:space="preserve"> focused on the regulation of infant formula. </w:t>
      </w:r>
      <w:r w:rsidR="00EB0F36">
        <w:t>IFPSDU</w:t>
      </w:r>
      <w:r>
        <w:t xml:space="preserve"> and </w:t>
      </w:r>
      <w:r w:rsidR="00EB0F36">
        <w:t>FOF</w:t>
      </w:r>
      <w:r>
        <w:t xml:space="preserve"> were excluded </w:t>
      </w:r>
      <w:r w:rsidRPr="00712783">
        <w:t>from scope</w:t>
      </w:r>
      <w:r w:rsidR="00A664B5">
        <w:t xml:space="preserve"> (FSANZ 2016a)</w:t>
      </w:r>
      <w:r w:rsidR="006B5DBC">
        <w:t>.</w:t>
      </w:r>
    </w:p>
    <w:p w14:paraId="07B7A3AD" w14:textId="28C72497" w:rsidR="00776154" w:rsidRDefault="00776154" w:rsidP="00774FC6">
      <w:pPr>
        <w:pStyle w:val="FSBullet1"/>
        <w:numPr>
          <w:ilvl w:val="0"/>
          <w:numId w:val="15"/>
        </w:numPr>
        <w:ind w:left="567" w:hanging="502"/>
      </w:pPr>
      <w:r>
        <w:t xml:space="preserve">The </w:t>
      </w:r>
      <w:hyperlink r:id="rId22" w:history="1">
        <w:r w:rsidRPr="00F409E9">
          <w:rPr>
            <w:rStyle w:val="Hyperlink"/>
          </w:rPr>
          <w:t>2017 Consultation paper</w:t>
        </w:r>
      </w:hyperlink>
      <w:r>
        <w:t xml:space="preserve"> focused on IFPSDU</w:t>
      </w:r>
      <w:r w:rsidR="002D1FAF">
        <w:t>. M</w:t>
      </w:r>
      <w:r>
        <w:t xml:space="preserve">any submissions to the 2016 paper requested IFPSDU be included in the </w:t>
      </w:r>
      <w:r w:rsidR="00EB0F36">
        <w:t>p</w:t>
      </w:r>
      <w:r>
        <w:t xml:space="preserve">roposal’s scope. This is because requirements for IFPSDU are founded on those for </w:t>
      </w:r>
      <w:r w:rsidR="002A7E2B">
        <w:t>infant formula</w:t>
      </w:r>
      <w:bookmarkStart w:id="54" w:name="_Toc473561020"/>
      <w:bookmarkStart w:id="55" w:name="_Toc480812835"/>
      <w:bookmarkStart w:id="56" w:name="_Toc482265735"/>
      <w:bookmarkStart w:id="57" w:name="_Toc482279830"/>
      <w:bookmarkStart w:id="58" w:name="_Toc483992315"/>
      <w:bookmarkStart w:id="59" w:name="_Toc484443828"/>
      <w:bookmarkStart w:id="60" w:name="_Toc485123598"/>
      <w:bookmarkStart w:id="61" w:name="_Toc486518720"/>
      <w:bookmarkStart w:id="62" w:name="_Toc486511647"/>
      <w:bookmarkStart w:id="63" w:name="_Toc487021394"/>
      <w:bookmarkStart w:id="64" w:name="_Toc487032535"/>
      <w:r w:rsidR="00A664B5">
        <w:t xml:space="preserve"> (FSANZ 2017)</w:t>
      </w:r>
      <w:r w:rsidR="006B5DBC">
        <w:t>.</w:t>
      </w:r>
    </w:p>
    <w:p w14:paraId="2B0ECC4F" w14:textId="77777777" w:rsidR="00776154" w:rsidRDefault="00776154" w:rsidP="00776154">
      <w:pPr>
        <w:rPr>
          <w:lang w:bidi="ar-SA"/>
        </w:rPr>
      </w:pPr>
    </w:p>
    <w:p w14:paraId="71C0CFD5" w14:textId="62F91933" w:rsidR="00776154" w:rsidRDefault="00776154" w:rsidP="00776154">
      <w:pPr>
        <w:rPr>
          <w:lang w:bidi="ar-SA"/>
        </w:rPr>
      </w:pPr>
      <w:r>
        <w:rPr>
          <w:lang w:bidi="ar-SA"/>
        </w:rPr>
        <w:t xml:space="preserve">These two papers and </w:t>
      </w:r>
      <w:r w:rsidR="00F471A8">
        <w:rPr>
          <w:lang w:bidi="ar-SA"/>
        </w:rPr>
        <w:t xml:space="preserve">additional </w:t>
      </w:r>
      <w:r>
        <w:rPr>
          <w:lang w:bidi="ar-SA"/>
        </w:rPr>
        <w:t xml:space="preserve">targeted consultation have enabled FSANZ to examine the available evidence, scope the regulatory issues and consider options to </w:t>
      </w:r>
      <w:r w:rsidR="006B5DBC">
        <w:rPr>
          <w:lang w:bidi="ar-SA"/>
        </w:rPr>
        <w:t>improve the current regulation.</w:t>
      </w:r>
    </w:p>
    <w:p w14:paraId="0CF2161E" w14:textId="77777777" w:rsidR="00776154" w:rsidRDefault="00776154" w:rsidP="00776154">
      <w:pPr>
        <w:rPr>
          <w:lang w:bidi="ar-SA"/>
        </w:rPr>
      </w:pPr>
    </w:p>
    <w:p w14:paraId="3E473A91" w14:textId="54AF54A4" w:rsidR="00776154" w:rsidRDefault="00776154" w:rsidP="00776154">
      <w:pPr>
        <w:rPr>
          <w:lang w:bidi="ar-SA"/>
        </w:rPr>
      </w:pPr>
      <w:r>
        <w:rPr>
          <w:lang w:bidi="ar-SA"/>
        </w:rPr>
        <w:lastRenderedPageBreak/>
        <w:t xml:space="preserve">The reasons for preparing the </w:t>
      </w:r>
      <w:r w:rsidR="00EB0F36">
        <w:rPr>
          <w:lang w:bidi="ar-SA"/>
        </w:rPr>
        <w:t>p</w:t>
      </w:r>
      <w:r>
        <w:rPr>
          <w:lang w:bidi="ar-SA"/>
        </w:rPr>
        <w:t>roposal and a description of the current standards for the regulations of infant formula is provided more fully in the 2016 Co</w:t>
      </w:r>
      <w:r w:rsidR="006B5DBC">
        <w:rPr>
          <w:lang w:bidi="ar-SA"/>
        </w:rPr>
        <w:t>nsultation paper.</w:t>
      </w:r>
    </w:p>
    <w:p w14:paraId="4D9E92F5" w14:textId="0BDBF12C" w:rsidR="00776154" w:rsidRDefault="00924791" w:rsidP="00776154">
      <w:pPr>
        <w:pStyle w:val="Heading2"/>
      </w:pPr>
      <w:bookmarkStart w:id="65" w:name="_Toc69737912"/>
      <w:bookmarkStart w:id="66" w:name="_Toc73455603"/>
      <w:bookmarkStart w:id="67" w:name="_Toc73624876"/>
      <w:bookmarkStart w:id="68" w:name="_Toc76138265"/>
      <w:r>
        <w:t>1.2</w:t>
      </w:r>
      <w:r w:rsidR="00776154">
        <w:tab/>
      </w:r>
      <w:r w:rsidR="00776154" w:rsidRPr="003F53BF">
        <w:t xml:space="preserve">Progressing the </w:t>
      </w:r>
      <w:r w:rsidR="00EB0F36">
        <w:t>p</w:t>
      </w:r>
      <w:r w:rsidR="00776154" w:rsidRPr="003F53BF">
        <w:t>roposal</w:t>
      </w:r>
      <w:bookmarkEnd w:id="65"/>
      <w:bookmarkEnd w:id="66"/>
      <w:bookmarkEnd w:id="67"/>
      <w:bookmarkEnd w:id="68"/>
      <w:r w:rsidR="00776154" w:rsidRPr="003F53BF">
        <w:t xml:space="preserve"> </w:t>
      </w:r>
    </w:p>
    <w:p w14:paraId="211FEEF2" w14:textId="3CE9D1C2" w:rsidR="00826E50" w:rsidRDefault="00776154" w:rsidP="00776154">
      <w:pPr>
        <w:rPr>
          <w:lang w:bidi="ar-SA"/>
        </w:rPr>
      </w:pPr>
      <w:r>
        <w:rPr>
          <w:lang w:bidi="ar-SA"/>
        </w:rPr>
        <w:t>To progress the consideration of regulatory options for the 1</w:t>
      </w:r>
      <w:r w:rsidRPr="00BF4329">
        <w:rPr>
          <w:vertAlign w:val="superscript"/>
          <w:lang w:bidi="ar-SA"/>
        </w:rPr>
        <w:t>st</w:t>
      </w:r>
      <w:r>
        <w:rPr>
          <w:lang w:bidi="ar-SA"/>
        </w:rPr>
        <w:t xml:space="preserve"> </w:t>
      </w:r>
      <w:r w:rsidR="00672CCE">
        <w:rPr>
          <w:lang w:bidi="ar-SA"/>
        </w:rPr>
        <w:t>Call for Submission (</w:t>
      </w:r>
      <w:r>
        <w:rPr>
          <w:lang w:bidi="ar-SA"/>
        </w:rPr>
        <w:t>CFS</w:t>
      </w:r>
      <w:r w:rsidR="00672CCE">
        <w:rPr>
          <w:lang w:bidi="ar-SA"/>
        </w:rPr>
        <w:t>)</w:t>
      </w:r>
      <w:r>
        <w:rPr>
          <w:lang w:bidi="ar-SA"/>
        </w:rPr>
        <w:t xml:space="preserve">, FSANZ </w:t>
      </w:r>
      <w:r w:rsidR="00826E50">
        <w:rPr>
          <w:lang w:bidi="ar-SA"/>
        </w:rPr>
        <w:t>is</w:t>
      </w:r>
      <w:r>
        <w:rPr>
          <w:lang w:bidi="ar-SA"/>
        </w:rPr>
        <w:t xml:space="preserve"> releas</w:t>
      </w:r>
      <w:r w:rsidR="00826E50">
        <w:rPr>
          <w:lang w:bidi="ar-SA"/>
        </w:rPr>
        <w:t>ing</w:t>
      </w:r>
      <w:r>
        <w:rPr>
          <w:lang w:bidi="ar-SA"/>
        </w:rPr>
        <w:t xml:space="preserve"> </w:t>
      </w:r>
      <w:r w:rsidR="009774ED">
        <w:rPr>
          <w:lang w:bidi="ar-SA"/>
        </w:rPr>
        <w:t xml:space="preserve">three </w:t>
      </w:r>
      <w:r w:rsidR="00EB0F36">
        <w:rPr>
          <w:lang w:bidi="ar-SA"/>
        </w:rPr>
        <w:t>c</w:t>
      </w:r>
      <w:r>
        <w:rPr>
          <w:lang w:bidi="ar-SA"/>
        </w:rPr>
        <w:t xml:space="preserve">onsultation papers </w:t>
      </w:r>
      <w:r w:rsidR="00826E50">
        <w:rPr>
          <w:lang w:bidi="ar-SA"/>
        </w:rPr>
        <w:t>in 2021.</w:t>
      </w:r>
      <w:r>
        <w:rPr>
          <w:lang w:bidi="ar-SA"/>
        </w:rPr>
        <w:t xml:space="preserve"> These papers address grouped aspects of the regulation and topics</w:t>
      </w:r>
      <w:r w:rsidR="00826E50">
        <w:rPr>
          <w:lang w:bidi="ar-SA"/>
        </w:rPr>
        <w:t>, as indicated below.</w:t>
      </w:r>
    </w:p>
    <w:p w14:paraId="79A8A253" w14:textId="43FD09C0" w:rsidR="00826E50" w:rsidRDefault="00826E50" w:rsidP="00776154">
      <w:pPr>
        <w:rPr>
          <w:lang w:bidi="ar-SA"/>
        </w:rPr>
      </w:pPr>
    </w:p>
    <w:p w14:paraId="24705C44" w14:textId="1ABA39A9" w:rsidR="00826E50" w:rsidRDefault="00826E50" w:rsidP="00A97F65">
      <w:pPr>
        <w:pStyle w:val="FSBullet"/>
        <w:ind w:left="567" w:hanging="567"/>
        <w:rPr>
          <w:lang w:bidi="ar-SA"/>
        </w:rPr>
      </w:pPr>
      <w:r>
        <w:rPr>
          <w:lang w:bidi="ar-SA"/>
        </w:rPr>
        <w:t>Consultation paper 1 – Safety and food technology (released 21 May 2021)</w:t>
      </w:r>
    </w:p>
    <w:p w14:paraId="76ADE8B2" w14:textId="45F5D341" w:rsidR="00826E50" w:rsidRDefault="00826E50" w:rsidP="00A97F65">
      <w:pPr>
        <w:pStyle w:val="FSBullet"/>
        <w:ind w:left="567" w:hanging="567"/>
        <w:rPr>
          <w:lang w:bidi="ar-SA"/>
        </w:rPr>
      </w:pPr>
      <w:r>
        <w:rPr>
          <w:lang w:bidi="ar-SA"/>
        </w:rPr>
        <w:t>Consultation paper 2 – Nutrition composition (this paper)</w:t>
      </w:r>
    </w:p>
    <w:p w14:paraId="1B07EE41" w14:textId="08F95523" w:rsidR="00826E50" w:rsidRDefault="00826E50" w:rsidP="00A97F65">
      <w:pPr>
        <w:pStyle w:val="FSBullet"/>
        <w:ind w:left="567" w:hanging="567"/>
        <w:rPr>
          <w:lang w:bidi="ar-SA"/>
        </w:rPr>
      </w:pPr>
      <w:r>
        <w:rPr>
          <w:lang w:bidi="ar-SA"/>
        </w:rPr>
        <w:t>Consultation paper 3 – Definitions</w:t>
      </w:r>
      <w:r w:rsidR="006E3154">
        <w:rPr>
          <w:lang w:bidi="ar-SA"/>
        </w:rPr>
        <w:t xml:space="preserve"> and regulatory framework</w:t>
      </w:r>
      <w:r>
        <w:rPr>
          <w:lang w:bidi="ar-SA"/>
        </w:rPr>
        <w:t xml:space="preserve"> (tentative release August 2021) </w:t>
      </w:r>
    </w:p>
    <w:p w14:paraId="2AF702B5" w14:textId="77777777" w:rsidR="00826E50" w:rsidRDefault="00826E50" w:rsidP="00776154">
      <w:pPr>
        <w:rPr>
          <w:lang w:bidi="ar-SA"/>
        </w:rPr>
      </w:pPr>
    </w:p>
    <w:p w14:paraId="1333F4FD" w14:textId="47968951" w:rsidR="009774ED" w:rsidRDefault="00776154" w:rsidP="00776154">
      <w:pPr>
        <w:rPr>
          <w:lang w:bidi="ar-SA"/>
        </w:rPr>
      </w:pPr>
      <w:r>
        <w:rPr>
          <w:lang w:bidi="ar-SA"/>
        </w:rPr>
        <w:t>Following these papers, the 1</w:t>
      </w:r>
      <w:r w:rsidRPr="00BF4329">
        <w:rPr>
          <w:vertAlign w:val="superscript"/>
          <w:lang w:bidi="ar-SA"/>
        </w:rPr>
        <w:t>st</w:t>
      </w:r>
      <w:r>
        <w:rPr>
          <w:lang w:bidi="ar-SA"/>
        </w:rPr>
        <w:t xml:space="preserve"> CFS will </w:t>
      </w:r>
      <w:r w:rsidR="006E3154">
        <w:rPr>
          <w:lang w:bidi="ar-SA"/>
        </w:rPr>
        <w:t xml:space="preserve">include consideration of labelling requirements that relate to the provision of information, collated stakeholder views and consideration of </w:t>
      </w:r>
      <w:r>
        <w:rPr>
          <w:lang w:bidi="ar-SA"/>
        </w:rPr>
        <w:t xml:space="preserve">the FSANZ Act objectives. </w:t>
      </w:r>
    </w:p>
    <w:p w14:paraId="4B06C90D" w14:textId="7037236C" w:rsidR="00776154" w:rsidRPr="00712783" w:rsidRDefault="00924791" w:rsidP="00776154">
      <w:pPr>
        <w:pStyle w:val="Heading2"/>
      </w:pPr>
      <w:bookmarkStart w:id="69" w:name="_Toc65241713"/>
      <w:bookmarkStart w:id="70" w:name="_Toc67393232"/>
      <w:bookmarkStart w:id="71" w:name="_Toc69737913"/>
      <w:bookmarkStart w:id="72" w:name="_Toc73455604"/>
      <w:bookmarkStart w:id="73" w:name="_Toc73624877"/>
      <w:bookmarkStart w:id="74" w:name="_Toc76138266"/>
      <w:bookmarkStart w:id="75" w:name="_Toc34221309"/>
      <w:bookmarkStart w:id="76" w:name="_Toc56611780"/>
      <w:bookmarkStart w:id="77" w:name="_Toc56696417"/>
      <w:bookmarkStart w:id="78" w:name="_Toc57198379"/>
      <w:bookmarkStart w:id="79" w:name="_Toc57213227"/>
      <w:bookmarkEnd w:id="53"/>
      <w:bookmarkEnd w:id="54"/>
      <w:bookmarkEnd w:id="55"/>
      <w:bookmarkEnd w:id="56"/>
      <w:bookmarkEnd w:id="57"/>
      <w:bookmarkEnd w:id="58"/>
      <w:bookmarkEnd w:id="59"/>
      <w:bookmarkEnd w:id="60"/>
      <w:bookmarkEnd w:id="61"/>
      <w:bookmarkEnd w:id="62"/>
      <w:bookmarkEnd w:id="63"/>
      <w:bookmarkEnd w:id="64"/>
      <w:r>
        <w:t>1.3</w:t>
      </w:r>
      <w:r w:rsidR="00776154">
        <w:tab/>
      </w:r>
      <w:r w:rsidR="00672CCE">
        <w:t>C</w:t>
      </w:r>
      <w:r w:rsidR="00776154">
        <w:t xml:space="preserve">onsultation </w:t>
      </w:r>
      <w:r w:rsidR="00776154" w:rsidRPr="00712783">
        <w:t>paper</w:t>
      </w:r>
      <w:bookmarkEnd w:id="69"/>
      <w:bookmarkEnd w:id="70"/>
      <w:bookmarkEnd w:id="71"/>
      <w:r w:rsidR="00776154" w:rsidRPr="00712783">
        <w:t xml:space="preserve"> </w:t>
      </w:r>
      <w:r w:rsidR="00672CCE">
        <w:t>2 – Nutrient composition</w:t>
      </w:r>
      <w:bookmarkEnd w:id="72"/>
      <w:bookmarkEnd w:id="73"/>
      <w:bookmarkEnd w:id="74"/>
    </w:p>
    <w:p w14:paraId="32133250" w14:textId="77777777" w:rsidR="002D1FAF" w:rsidRDefault="00672CCE" w:rsidP="00776154">
      <w:r>
        <w:rPr>
          <w:lang w:bidi="ar-SA"/>
        </w:rPr>
        <w:t xml:space="preserve">The </w:t>
      </w:r>
      <w:r w:rsidR="00776154" w:rsidRPr="00061A55">
        <w:t xml:space="preserve">document is organised into </w:t>
      </w:r>
      <w:r w:rsidR="00776154">
        <w:t>sections</w:t>
      </w:r>
      <w:r w:rsidR="00776154" w:rsidRPr="00061A55">
        <w:t xml:space="preserve"> </w:t>
      </w:r>
      <w:r>
        <w:rPr>
          <w:lang w:eastAsia="en-AU"/>
        </w:rPr>
        <w:t>to cover</w:t>
      </w:r>
      <w:r w:rsidR="002D1FAF">
        <w:rPr>
          <w:lang w:eastAsia="en-AU"/>
        </w:rPr>
        <w:t>:</w:t>
      </w:r>
      <w:r w:rsidR="00776154">
        <w:t xml:space="preserve"> </w:t>
      </w:r>
    </w:p>
    <w:p w14:paraId="437074FB" w14:textId="14D8F730" w:rsidR="002D1FAF" w:rsidRDefault="00776154" w:rsidP="004026FC">
      <w:pPr>
        <w:pStyle w:val="FSBullet"/>
        <w:ind w:left="567" w:hanging="567"/>
        <w:rPr>
          <w:lang w:bidi="ar-SA"/>
        </w:rPr>
      </w:pPr>
      <w:r w:rsidRPr="00532925">
        <w:rPr>
          <w:lang w:bidi="ar-SA"/>
        </w:rPr>
        <w:t xml:space="preserve">macronutrients and </w:t>
      </w:r>
      <w:r>
        <w:rPr>
          <w:lang w:bidi="ar-SA"/>
        </w:rPr>
        <w:t>energy</w:t>
      </w:r>
    </w:p>
    <w:p w14:paraId="300CC70B" w14:textId="628F9D5D" w:rsidR="002D1FAF" w:rsidRDefault="00776154" w:rsidP="004026FC">
      <w:pPr>
        <w:pStyle w:val="FSBullet"/>
        <w:ind w:left="567" w:hanging="567"/>
        <w:rPr>
          <w:lang w:bidi="ar-SA"/>
        </w:rPr>
      </w:pPr>
      <w:r>
        <w:rPr>
          <w:lang w:bidi="ar-SA"/>
        </w:rPr>
        <w:t xml:space="preserve">vitamins and minerals </w:t>
      </w:r>
    </w:p>
    <w:p w14:paraId="032B7131" w14:textId="3A94EA14" w:rsidR="002D1FAF" w:rsidRDefault="00776154" w:rsidP="004026FC">
      <w:pPr>
        <w:pStyle w:val="FSBullet"/>
        <w:ind w:left="567" w:hanging="567"/>
        <w:rPr>
          <w:lang w:bidi="ar-SA"/>
        </w:rPr>
      </w:pPr>
      <w:r>
        <w:rPr>
          <w:lang w:bidi="ar-SA"/>
        </w:rPr>
        <w:t>permitted forms</w:t>
      </w:r>
      <w:r w:rsidR="002D1FAF">
        <w:rPr>
          <w:lang w:bidi="ar-SA"/>
        </w:rPr>
        <w:t>,</w:t>
      </w:r>
      <w:r>
        <w:rPr>
          <w:lang w:bidi="ar-SA"/>
        </w:rPr>
        <w:t xml:space="preserve"> </w:t>
      </w:r>
      <w:r w:rsidR="002D1FAF">
        <w:rPr>
          <w:lang w:bidi="ar-SA"/>
        </w:rPr>
        <w:t xml:space="preserve">and </w:t>
      </w:r>
    </w:p>
    <w:p w14:paraId="07DDAAA2" w14:textId="77777777" w:rsidR="002D1FAF" w:rsidRDefault="00776154" w:rsidP="004026FC">
      <w:pPr>
        <w:pStyle w:val="FSBullet"/>
        <w:ind w:left="567" w:hanging="567"/>
        <w:rPr>
          <w:lang w:bidi="ar-SA"/>
        </w:rPr>
      </w:pPr>
      <w:r>
        <w:rPr>
          <w:lang w:bidi="ar-SA"/>
        </w:rPr>
        <w:t>other nutritive substances</w:t>
      </w:r>
      <w:r w:rsidRPr="00532925">
        <w:rPr>
          <w:lang w:bidi="ar-SA"/>
        </w:rPr>
        <w:t xml:space="preserve">. </w:t>
      </w:r>
    </w:p>
    <w:p w14:paraId="1C8B3EF5" w14:textId="77777777" w:rsidR="002D1FAF" w:rsidRDefault="002D1FAF" w:rsidP="002D1FAF"/>
    <w:p w14:paraId="1CFAD6A1" w14:textId="089A22C0" w:rsidR="00776154" w:rsidRDefault="00776154" w:rsidP="002D1FAF">
      <w:pPr>
        <w:rPr>
          <w:lang w:bidi="ar-SA"/>
        </w:rPr>
      </w:pPr>
      <w:r>
        <w:t>For each nutrient, the</w:t>
      </w:r>
      <w:r w:rsidR="00664A85">
        <w:t xml:space="preserve"> nutrient range (</w:t>
      </w:r>
      <w:r>
        <w:t>minimum and maximum</w:t>
      </w:r>
      <w:r w:rsidR="00664A85">
        <w:t>)</w:t>
      </w:r>
      <w:r>
        <w:t xml:space="preserve"> is discussed plus</w:t>
      </w:r>
      <w:r w:rsidR="002D1FAF">
        <w:t>,</w:t>
      </w:r>
      <w:r>
        <w:t xml:space="preserve"> </w:t>
      </w:r>
      <w:r w:rsidR="00B33D00">
        <w:t xml:space="preserve">where applicable, </w:t>
      </w:r>
      <w:r>
        <w:t>related information such as calculations</w:t>
      </w:r>
      <w:r w:rsidR="00B33D00">
        <w:t xml:space="preserve">, </w:t>
      </w:r>
      <w:r w:rsidR="00B33D00" w:rsidRPr="00B33D00">
        <w:rPr>
          <w:lang w:eastAsia="en-AU"/>
        </w:rPr>
        <w:t xml:space="preserve">units of expression, </w:t>
      </w:r>
      <w:r w:rsidR="00664A85">
        <w:rPr>
          <w:lang w:eastAsia="en-AU"/>
        </w:rPr>
        <w:t xml:space="preserve">ratios, </w:t>
      </w:r>
      <w:r w:rsidR="00B33D00" w:rsidRPr="00B33D00">
        <w:rPr>
          <w:lang w:eastAsia="en-AU"/>
        </w:rPr>
        <w:t>definitions, sources and quality</w:t>
      </w:r>
      <w:r w:rsidRPr="00B33D00">
        <w:t xml:space="preserve">. </w:t>
      </w:r>
    </w:p>
    <w:p w14:paraId="5E08A2D2" w14:textId="77777777" w:rsidR="00776154" w:rsidRDefault="00776154" w:rsidP="00776154"/>
    <w:p w14:paraId="0433D418" w14:textId="77777777" w:rsidR="002D1FAF" w:rsidRDefault="00776154" w:rsidP="00776154">
      <w:pPr>
        <w:rPr>
          <w:rFonts w:cs="Arial"/>
          <w:szCs w:val="22"/>
        </w:rPr>
      </w:pPr>
      <w:r>
        <w:rPr>
          <w:rFonts w:cs="Arial"/>
          <w:szCs w:val="22"/>
        </w:rPr>
        <w:t>Th</w:t>
      </w:r>
      <w:r w:rsidR="00F471A8">
        <w:rPr>
          <w:rFonts w:cs="Arial"/>
          <w:szCs w:val="22"/>
        </w:rPr>
        <w:t xml:space="preserve">is paper </w:t>
      </w:r>
      <w:r w:rsidR="00664A85">
        <w:rPr>
          <w:rFonts w:cs="Arial"/>
          <w:szCs w:val="22"/>
        </w:rPr>
        <w:t>addresses</w:t>
      </w:r>
      <w:r w:rsidR="00F471A8">
        <w:rPr>
          <w:rFonts w:cs="Arial"/>
          <w:szCs w:val="22"/>
        </w:rPr>
        <w:t xml:space="preserve"> </w:t>
      </w:r>
      <w:r w:rsidR="00276F56">
        <w:rPr>
          <w:rFonts w:cs="Arial"/>
          <w:szCs w:val="22"/>
        </w:rPr>
        <w:t xml:space="preserve">nutrient composition </w:t>
      </w:r>
      <w:r w:rsidR="00F471A8">
        <w:rPr>
          <w:rFonts w:cs="Arial"/>
          <w:szCs w:val="22"/>
        </w:rPr>
        <w:t xml:space="preserve">issues </w:t>
      </w:r>
      <w:r w:rsidRPr="0064352D">
        <w:rPr>
          <w:rFonts w:cs="Arial"/>
          <w:szCs w:val="22"/>
        </w:rPr>
        <w:t>identified from a range of sources</w:t>
      </w:r>
      <w:r w:rsidR="00276F56">
        <w:rPr>
          <w:rFonts w:cs="Arial"/>
          <w:szCs w:val="22"/>
        </w:rPr>
        <w:t xml:space="preserve"> including</w:t>
      </w:r>
      <w:r>
        <w:rPr>
          <w:rFonts w:cs="Arial"/>
          <w:szCs w:val="22"/>
        </w:rPr>
        <w:t xml:space="preserve">: </w:t>
      </w:r>
    </w:p>
    <w:p w14:paraId="0995BE6F" w14:textId="7883C179" w:rsidR="002D1FAF" w:rsidRPr="004026FC" w:rsidRDefault="00B33D00" w:rsidP="004026FC">
      <w:pPr>
        <w:pStyle w:val="FSBullet"/>
        <w:ind w:left="567" w:hanging="567"/>
        <w:rPr>
          <w:lang w:bidi="ar-SA"/>
        </w:rPr>
      </w:pPr>
      <w:r w:rsidRPr="004026FC">
        <w:rPr>
          <w:lang w:bidi="ar-SA"/>
        </w:rPr>
        <w:t xml:space="preserve">the 2016 </w:t>
      </w:r>
      <w:r w:rsidR="00664A85" w:rsidRPr="004026FC">
        <w:rPr>
          <w:lang w:bidi="ar-SA"/>
        </w:rPr>
        <w:t xml:space="preserve">Consultation paper on current </w:t>
      </w:r>
      <w:r w:rsidR="00776154" w:rsidRPr="004026FC">
        <w:rPr>
          <w:lang w:bidi="ar-SA"/>
        </w:rPr>
        <w:t>requirements in the Code</w:t>
      </w:r>
      <w:r w:rsidRPr="004026FC">
        <w:rPr>
          <w:lang w:bidi="ar-SA"/>
        </w:rPr>
        <w:t xml:space="preserve"> and comparison to Codex</w:t>
      </w:r>
      <w:r w:rsidR="00664A85" w:rsidRPr="004026FC">
        <w:rPr>
          <w:lang w:bidi="ar-SA"/>
        </w:rPr>
        <w:t xml:space="preserve"> STAN 72-1981</w:t>
      </w:r>
      <w:r w:rsidR="001C6A68" w:rsidRPr="004026FC">
        <w:rPr>
          <w:lang w:bidi="ar-SA"/>
        </w:rPr>
        <w:t xml:space="preserve"> (Codex 1981)</w:t>
      </w:r>
      <w:r w:rsidR="00776154" w:rsidRPr="004026FC">
        <w:rPr>
          <w:lang w:bidi="ar-SA"/>
        </w:rPr>
        <w:t xml:space="preserve"> </w:t>
      </w:r>
    </w:p>
    <w:p w14:paraId="22B87E92" w14:textId="77777777" w:rsidR="002D1FAF" w:rsidRPr="004026FC" w:rsidRDefault="00776154" w:rsidP="004026FC">
      <w:pPr>
        <w:pStyle w:val="FSBullet"/>
        <w:ind w:left="567" w:hanging="567"/>
        <w:rPr>
          <w:lang w:bidi="ar-SA"/>
        </w:rPr>
      </w:pPr>
      <w:r w:rsidRPr="004026FC">
        <w:rPr>
          <w:lang w:bidi="ar-SA"/>
        </w:rPr>
        <w:t>stakeholder consultation (including, where relevant, submissions to the 2012 Consultation paper</w:t>
      </w:r>
      <w:r w:rsidR="00611AE9" w:rsidRPr="004026FC">
        <w:rPr>
          <w:lang w:bidi="ar-SA"/>
        </w:rPr>
        <w:t xml:space="preserve"> </w:t>
      </w:r>
      <w:r w:rsidRPr="004026FC">
        <w:rPr>
          <w:lang w:bidi="ar-SA"/>
        </w:rPr>
        <w:t xml:space="preserve">(which preceded the raising of </w:t>
      </w:r>
      <w:r w:rsidR="009C21E8" w:rsidRPr="004026FC">
        <w:rPr>
          <w:lang w:bidi="ar-SA"/>
        </w:rPr>
        <w:t>P</w:t>
      </w:r>
      <w:r w:rsidRPr="004026FC">
        <w:rPr>
          <w:lang w:bidi="ar-SA"/>
        </w:rPr>
        <w:t>roposal P1028)</w:t>
      </w:r>
      <w:r w:rsidR="00F471A8" w:rsidRPr="004026FC">
        <w:rPr>
          <w:lang w:bidi="ar-SA"/>
        </w:rPr>
        <w:t xml:space="preserve"> (FSANZ 2012)</w:t>
      </w:r>
      <w:r w:rsidRPr="004026FC">
        <w:rPr>
          <w:lang w:bidi="ar-SA"/>
        </w:rPr>
        <w:t xml:space="preserve">, </w:t>
      </w:r>
    </w:p>
    <w:p w14:paraId="5B6A8110" w14:textId="77777777" w:rsidR="002D1FAF" w:rsidRPr="004026FC" w:rsidRDefault="00776154" w:rsidP="004026FC">
      <w:pPr>
        <w:pStyle w:val="FSBullet"/>
        <w:ind w:left="567" w:hanging="567"/>
        <w:rPr>
          <w:lang w:bidi="ar-SA"/>
        </w:rPr>
      </w:pPr>
      <w:r w:rsidRPr="004026FC">
        <w:rPr>
          <w:lang w:bidi="ar-SA"/>
        </w:rPr>
        <w:t xml:space="preserve">other FSANZ projects, and </w:t>
      </w:r>
    </w:p>
    <w:p w14:paraId="56085E51" w14:textId="77777777" w:rsidR="002D1FAF" w:rsidRPr="002D1FAF" w:rsidRDefault="00776154" w:rsidP="004026FC">
      <w:pPr>
        <w:pStyle w:val="FSBullet"/>
        <w:ind w:left="567" w:hanging="567"/>
        <w:rPr>
          <w:lang w:bidi="ar-SA"/>
        </w:rPr>
      </w:pPr>
      <w:r w:rsidRPr="004026FC">
        <w:rPr>
          <w:lang w:bidi="ar-SA"/>
        </w:rPr>
        <w:t>regulatory and policy activities at a national and int</w:t>
      </w:r>
      <w:r w:rsidR="00664A85" w:rsidRPr="004026FC">
        <w:rPr>
          <w:lang w:bidi="ar-SA"/>
        </w:rPr>
        <w:t xml:space="preserve">ernational level. </w:t>
      </w:r>
    </w:p>
    <w:p w14:paraId="35E7E4C2" w14:textId="77777777" w:rsidR="002D1FAF" w:rsidRDefault="002D1FAF" w:rsidP="002D1FAF">
      <w:pPr>
        <w:rPr>
          <w:rFonts w:cs="Arial"/>
          <w:szCs w:val="22"/>
        </w:rPr>
      </w:pPr>
    </w:p>
    <w:p w14:paraId="0C5B454F" w14:textId="6CBD5161" w:rsidR="00776154" w:rsidRPr="00CA5D7F" w:rsidRDefault="00664A85" w:rsidP="002D1FAF">
      <w:pPr>
        <w:rPr>
          <w:lang w:eastAsia="en-AU"/>
        </w:rPr>
      </w:pPr>
      <w:r w:rsidRPr="002D1FAF">
        <w:rPr>
          <w:rFonts w:cs="Arial"/>
          <w:szCs w:val="22"/>
        </w:rPr>
        <w:t>Discussion of the issues has considered</w:t>
      </w:r>
      <w:r w:rsidR="00776154" w:rsidRPr="002D1FAF">
        <w:rPr>
          <w:rFonts w:cs="Arial"/>
          <w:szCs w:val="22"/>
        </w:rPr>
        <w:t xml:space="preserve">: </w:t>
      </w:r>
    </w:p>
    <w:p w14:paraId="247E9435" w14:textId="7CCD5503" w:rsidR="00776154" w:rsidRPr="00B17AAE" w:rsidRDefault="00776154" w:rsidP="00774FC6">
      <w:pPr>
        <w:pStyle w:val="ListParagraph"/>
        <w:numPr>
          <w:ilvl w:val="0"/>
          <w:numId w:val="16"/>
        </w:numPr>
        <w:autoSpaceDE w:val="0"/>
        <w:autoSpaceDN w:val="0"/>
        <w:adjustRightInd w:val="0"/>
        <w:spacing w:after="27"/>
        <w:ind w:left="567" w:hanging="567"/>
        <w:rPr>
          <w:rFonts w:cs="Arial"/>
          <w:color w:val="000000"/>
          <w:szCs w:val="22"/>
          <w:lang w:eastAsia="en-GB" w:bidi="ar-SA"/>
        </w:rPr>
      </w:pPr>
      <w:r w:rsidRPr="00B17AAE">
        <w:rPr>
          <w:rFonts w:cs="Arial"/>
          <w:color w:val="000000"/>
          <w:szCs w:val="22"/>
          <w:lang w:eastAsia="en-GB" w:bidi="ar-SA"/>
        </w:rPr>
        <w:t>safety co</w:t>
      </w:r>
      <w:r w:rsidR="00664A85">
        <w:rPr>
          <w:rFonts w:cs="Arial"/>
          <w:color w:val="000000"/>
          <w:szCs w:val="22"/>
          <w:lang w:eastAsia="en-GB" w:bidi="ar-SA"/>
        </w:rPr>
        <w:t>ncerns about certain substances</w:t>
      </w:r>
    </w:p>
    <w:p w14:paraId="27088B0C" w14:textId="4B643E4F" w:rsidR="00776154" w:rsidRDefault="00776154" w:rsidP="00774FC6">
      <w:pPr>
        <w:pStyle w:val="ListParagraph"/>
        <w:numPr>
          <w:ilvl w:val="0"/>
          <w:numId w:val="16"/>
        </w:numPr>
        <w:autoSpaceDE w:val="0"/>
        <w:autoSpaceDN w:val="0"/>
        <w:adjustRightInd w:val="0"/>
        <w:ind w:left="567" w:hanging="567"/>
        <w:rPr>
          <w:rFonts w:cs="Arial"/>
          <w:color w:val="000000"/>
          <w:szCs w:val="22"/>
          <w:lang w:eastAsia="en-GB" w:bidi="ar-SA"/>
        </w:rPr>
      </w:pPr>
      <w:r w:rsidRPr="00B17AAE">
        <w:rPr>
          <w:rFonts w:cs="Arial"/>
          <w:color w:val="000000"/>
          <w:szCs w:val="22"/>
          <w:lang w:eastAsia="en-GB" w:bidi="ar-SA"/>
        </w:rPr>
        <w:t>clarity</w:t>
      </w:r>
      <w:r w:rsidR="00664A85">
        <w:rPr>
          <w:rFonts w:cs="Arial"/>
          <w:color w:val="000000"/>
          <w:szCs w:val="22"/>
          <w:lang w:eastAsia="en-GB" w:bidi="ar-SA"/>
        </w:rPr>
        <w:t xml:space="preserve"> and enforceability of the Code</w:t>
      </w:r>
    </w:p>
    <w:p w14:paraId="5FB73A0F" w14:textId="326ED977" w:rsidR="00664A85" w:rsidRPr="00B17AAE" w:rsidRDefault="00664A85" w:rsidP="00774FC6">
      <w:pPr>
        <w:pStyle w:val="ListParagraph"/>
        <w:numPr>
          <w:ilvl w:val="0"/>
          <w:numId w:val="16"/>
        </w:numPr>
        <w:autoSpaceDE w:val="0"/>
        <w:autoSpaceDN w:val="0"/>
        <w:adjustRightInd w:val="0"/>
        <w:ind w:left="567" w:hanging="567"/>
        <w:rPr>
          <w:rFonts w:cs="Arial"/>
          <w:color w:val="000000"/>
          <w:szCs w:val="22"/>
          <w:lang w:eastAsia="en-GB" w:bidi="ar-SA"/>
        </w:rPr>
      </w:pPr>
      <w:r>
        <w:rPr>
          <w:lang w:eastAsia="en-AU"/>
        </w:rPr>
        <w:t>suitability for the Australian and New Zealand population</w:t>
      </w:r>
    </w:p>
    <w:p w14:paraId="0DCB2461" w14:textId="77777777" w:rsidR="00776154" w:rsidRPr="0064352D" w:rsidRDefault="00776154" w:rsidP="00774FC6">
      <w:pPr>
        <w:pStyle w:val="ListParagraph"/>
        <w:numPr>
          <w:ilvl w:val="0"/>
          <w:numId w:val="16"/>
        </w:numPr>
        <w:autoSpaceDE w:val="0"/>
        <w:autoSpaceDN w:val="0"/>
        <w:adjustRightInd w:val="0"/>
        <w:ind w:left="567" w:hanging="567"/>
        <w:rPr>
          <w:rFonts w:cs="Arial"/>
          <w:color w:val="000000"/>
          <w:szCs w:val="22"/>
          <w:lang w:eastAsia="en-GB" w:bidi="ar-SA"/>
        </w:rPr>
      </w:pPr>
      <w:r w:rsidRPr="0064352D">
        <w:rPr>
          <w:rFonts w:cs="Arial"/>
          <w:color w:val="000000"/>
          <w:szCs w:val="22"/>
          <w:lang w:eastAsia="en-GB" w:bidi="ar-SA"/>
        </w:rPr>
        <w:t xml:space="preserve">international trade barriers created by existing regulations </w:t>
      </w:r>
    </w:p>
    <w:p w14:paraId="453F489F" w14:textId="35C00BAC" w:rsidR="00776154" w:rsidRDefault="00776154" w:rsidP="005F3931">
      <w:pPr>
        <w:pStyle w:val="FSBullet"/>
        <w:ind w:left="567" w:hanging="567"/>
        <w:rPr>
          <w:lang w:eastAsia="en-GB" w:bidi="ar-SA"/>
        </w:rPr>
      </w:pPr>
      <w:r>
        <w:rPr>
          <w:lang w:eastAsia="en-GB" w:bidi="ar-SA"/>
        </w:rPr>
        <w:t>harmonisation with international regulations</w:t>
      </w:r>
      <w:r w:rsidR="005F3931">
        <w:rPr>
          <w:lang w:eastAsia="en-GB" w:bidi="ar-SA"/>
        </w:rPr>
        <w:t>.</w:t>
      </w:r>
    </w:p>
    <w:p w14:paraId="0F8EFB01" w14:textId="77777777" w:rsidR="009261F5" w:rsidRDefault="009261F5" w:rsidP="008772B5">
      <w:pPr>
        <w:rPr>
          <w:lang w:eastAsia="en-GB" w:bidi="ar-SA"/>
        </w:rPr>
      </w:pPr>
    </w:p>
    <w:p w14:paraId="0FF26C0D" w14:textId="56BD5EA3" w:rsidR="003E1F6D" w:rsidRDefault="008772B5" w:rsidP="008772B5">
      <w:pPr>
        <w:rPr>
          <w:lang w:eastAsia="en-GB" w:bidi="ar-SA"/>
        </w:rPr>
      </w:pPr>
      <w:r>
        <w:rPr>
          <w:lang w:eastAsia="en-GB" w:bidi="ar-SA"/>
        </w:rPr>
        <w:t xml:space="preserve">In particular, </w:t>
      </w:r>
      <w:r w:rsidR="00660C76">
        <w:rPr>
          <w:lang w:eastAsia="en-GB" w:bidi="ar-SA"/>
        </w:rPr>
        <w:t xml:space="preserve">we have considered </w:t>
      </w:r>
      <w:r>
        <w:rPr>
          <w:lang w:eastAsia="en-GB" w:bidi="ar-SA"/>
        </w:rPr>
        <w:t xml:space="preserve">the European regulation on compositional requirements for infant formula </w:t>
      </w:r>
      <w:r w:rsidR="00D15472">
        <w:rPr>
          <w:lang w:eastAsia="en-GB" w:bidi="ar-SA"/>
        </w:rPr>
        <w:t>(</w:t>
      </w:r>
      <w:r w:rsidR="00660C76">
        <w:rPr>
          <w:lang w:eastAsia="en-GB" w:bidi="ar-SA"/>
        </w:rPr>
        <w:t xml:space="preserve">referred to in this paper as </w:t>
      </w:r>
      <w:r w:rsidR="00D15472">
        <w:rPr>
          <w:lang w:eastAsia="en-GB" w:bidi="ar-SA"/>
        </w:rPr>
        <w:t xml:space="preserve">EU 2016/127) </w:t>
      </w:r>
      <w:r>
        <w:rPr>
          <w:lang w:eastAsia="en-GB" w:bidi="ar-SA"/>
        </w:rPr>
        <w:t>that was adopted after FSANZ’s 2016 Consultation paper</w:t>
      </w:r>
      <w:r w:rsidR="00660C76">
        <w:rPr>
          <w:lang w:eastAsia="en-GB" w:bidi="ar-SA"/>
        </w:rPr>
        <w:t xml:space="preserve"> was released </w:t>
      </w:r>
      <w:r>
        <w:rPr>
          <w:lang w:eastAsia="en-GB" w:bidi="ar-SA"/>
        </w:rPr>
        <w:t>(</w:t>
      </w:r>
      <w:r w:rsidR="00607978">
        <w:rPr>
          <w:lang w:eastAsia="en-GB" w:bidi="ar-SA"/>
        </w:rPr>
        <w:t xml:space="preserve">European Commission </w:t>
      </w:r>
      <w:r>
        <w:rPr>
          <w:lang w:eastAsia="en-GB" w:bidi="ar-SA"/>
        </w:rPr>
        <w:t>2016)</w:t>
      </w:r>
      <w:r w:rsidR="00D15472">
        <w:rPr>
          <w:lang w:eastAsia="en-GB" w:bidi="ar-SA"/>
        </w:rPr>
        <w:t>.</w:t>
      </w:r>
    </w:p>
    <w:p w14:paraId="6CD9D814" w14:textId="77777777" w:rsidR="003E1F6D" w:rsidRDefault="003E1F6D" w:rsidP="008772B5">
      <w:pPr>
        <w:rPr>
          <w:lang w:eastAsia="en-GB" w:bidi="ar-SA"/>
        </w:rPr>
      </w:pPr>
    </w:p>
    <w:p w14:paraId="75BFA776" w14:textId="79FA5EC4" w:rsidR="003E1F6D" w:rsidRDefault="003E1F6D" w:rsidP="003E1F6D">
      <w:r>
        <w:t xml:space="preserve">Label surveys were conducted in 2013–14 and 2021 to evaluate micronutrients amounts in infant formula products available on the market in Australia. Micronutrient amounts as reported in the Nutrient Information Panel were recorded from a sample of supermarket </w:t>
      </w:r>
      <w:r>
        <w:lastRenderedPageBreak/>
        <w:t>products. Amounts reported were converted from units/100 mL to units/100 kJ using 2725 kJ/L as the energy content of breast milk (the midpoint of the Codex STAN 72-1981 energy range). Breast milk micronutrient concentrations were sourced from the Life Sciences Research Office Report (LSRO 1998). The ranges were then graphed against permitted ranges in international standards and regulations. The graphs enable direct comparison of the permitted range of micronutrients under the different regulations.</w:t>
      </w:r>
    </w:p>
    <w:p w14:paraId="741A9E77" w14:textId="4B468E9C" w:rsidR="008772B5" w:rsidRPr="008772B5" w:rsidRDefault="00D15472" w:rsidP="008772B5">
      <w:pPr>
        <w:rPr>
          <w:lang w:eastAsia="en-GB" w:bidi="ar-SA"/>
        </w:rPr>
      </w:pPr>
      <w:r>
        <w:rPr>
          <w:lang w:eastAsia="en-GB" w:bidi="ar-SA"/>
        </w:rPr>
        <w:t xml:space="preserve"> </w:t>
      </w:r>
    </w:p>
    <w:p w14:paraId="38F65B5E" w14:textId="3D6D8D51" w:rsidR="00776154" w:rsidRDefault="00672CCE" w:rsidP="009261F5">
      <w:bookmarkStart w:id="80" w:name="_Toc65241714"/>
      <w:bookmarkStart w:id="81" w:name="_Toc67393233"/>
      <w:bookmarkStart w:id="82" w:name="_Toc69737914"/>
      <w:bookmarkEnd w:id="75"/>
      <w:bookmarkEnd w:id="76"/>
      <w:bookmarkEnd w:id="77"/>
      <w:bookmarkEnd w:id="78"/>
      <w:bookmarkEnd w:id="79"/>
      <w:bookmarkEnd w:id="80"/>
      <w:bookmarkEnd w:id="81"/>
      <w:bookmarkEnd w:id="82"/>
      <w:r>
        <w:t>Within each</w:t>
      </w:r>
      <w:r w:rsidR="00776154">
        <w:t xml:space="preserve"> section</w:t>
      </w:r>
      <w:r w:rsidR="00276F56">
        <w:t xml:space="preserve"> of this report</w:t>
      </w:r>
      <w:r w:rsidR="0072796E">
        <w:t>,</w:t>
      </w:r>
      <w:r w:rsidR="00776154" w:rsidRPr="0064352D">
        <w:t xml:space="preserve"> </w:t>
      </w:r>
      <w:r w:rsidR="00276F56">
        <w:t xml:space="preserve">we have considered </w:t>
      </w:r>
      <w:r w:rsidR="00276F56" w:rsidDel="008D609E">
        <w:t xml:space="preserve">the </w:t>
      </w:r>
      <w:r w:rsidR="00276F56">
        <w:t xml:space="preserve">above points and the need for additional risk management measures. A </w:t>
      </w:r>
      <w:r w:rsidR="00776154">
        <w:t xml:space="preserve">proposed </w:t>
      </w:r>
      <w:r>
        <w:t>approach</w:t>
      </w:r>
      <w:r w:rsidR="00276F56">
        <w:t xml:space="preserve"> and t</w:t>
      </w:r>
      <w:r w:rsidR="00776154">
        <w:t>he rationale</w:t>
      </w:r>
      <w:r w:rsidR="00276F56">
        <w:t xml:space="preserve"> has been provided</w:t>
      </w:r>
      <w:r w:rsidR="00776154">
        <w:t>. The</w:t>
      </w:r>
      <w:r>
        <w:t xml:space="preserve"> proposed approaches </w:t>
      </w:r>
      <w:r w:rsidR="00776154">
        <w:t xml:space="preserve">are not final </w:t>
      </w:r>
      <w:r w:rsidR="00776154" w:rsidRPr="0064352D">
        <w:t>decision</w:t>
      </w:r>
      <w:r w:rsidR="00776154">
        <w:t>s</w:t>
      </w:r>
      <w:r w:rsidR="00776154" w:rsidRPr="0064352D">
        <w:t xml:space="preserve"> on whether amendments to the Code will be made</w:t>
      </w:r>
      <w:r w:rsidR="009261F5">
        <w:t xml:space="preserve">. We are </w:t>
      </w:r>
      <w:r w:rsidR="009261F5" w:rsidRPr="0064352D">
        <w:t>seek</w:t>
      </w:r>
      <w:r w:rsidR="009261F5">
        <w:t>ing</w:t>
      </w:r>
      <w:r w:rsidR="009261F5" w:rsidRPr="0064352D">
        <w:t xml:space="preserve"> comments from stakeholders to further </w:t>
      </w:r>
      <w:r w:rsidR="009261F5">
        <w:t>inform the 1</w:t>
      </w:r>
      <w:r w:rsidR="009261F5" w:rsidRPr="00565892">
        <w:rPr>
          <w:vertAlign w:val="superscript"/>
        </w:rPr>
        <w:t>st</w:t>
      </w:r>
      <w:r w:rsidR="009261F5">
        <w:t xml:space="preserve"> CFS which will present </w:t>
      </w:r>
      <w:r w:rsidR="00776154" w:rsidRPr="0064352D">
        <w:t xml:space="preserve">an assessment </w:t>
      </w:r>
      <w:r w:rsidR="009261F5">
        <w:t>for decision</w:t>
      </w:r>
      <w:r w:rsidR="00776154" w:rsidRPr="0064352D">
        <w:t xml:space="preserve"> under section 59 of the FSANZ Act</w:t>
      </w:r>
      <w:r w:rsidR="009261F5">
        <w:t>.</w:t>
      </w:r>
      <w:r w:rsidR="00776154">
        <w:t xml:space="preserve"> </w:t>
      </w:r>
    </w:p>
    <w:p w14:paraId="36E88996" w14:textId="376DB659" w:rsidR="00776154" w:rsidRPr="008D13A0" w:rsidRDefault="00924791" w:rsidP="00776154">
      <w:pPr>
        <w:pStyle w:val="Heading2"/>
        <w:rPr>
          <w:i/>
          <w:color w:val="1F497D" w:themeColor="text2"/>
        </w:rPr>
      </w:pPr>
      <w:bookmarkStart w:id="83" w:name="_Toc56611781"/>
      <w:bookmarkStart w:id="84" w:name="_Toc56696418"/>
      <w:bookmarkStart w:id="85" w:name="_Toc57198380"/>
      <w:bookmarkStart w:id="86" w:name="_Toc57213228"/>
      <w:bookmarkStart w:id="87" w:name="_Toc65241715"/>
      <w:bookmarkStart w:id="88" w:name="_Toc67393234"/>
      <w:bookmarkStart w:id="89" w:name="_Toc69737915"/>
      <w:bookmarkStart w:id="90" w:name="_Toc73455605"/>
      <w:bookmarkStart w:id="91" w:name="_Toc73624878"/>
      <w:bookmarkStart w:id="92" w:name="_Toc76138267"/>
      <w:r>
        <w:t>1.4</w:t>
      </w:r>
      <w:r w:rsidR="00776154" w:rsidRPr="00061A55">
        <w:tab/>
        <w:t>Background</w:t>
      </w:r>
      <w:bookmarkEnd w:id="83"/>
      <w:bookmarkEnd w:id="84"/>
      <w:bookmarkEnd w:id="85"/>
      <w:bookmarkEnd w:id="86"/>
      <w:bookmarkEnd w:id="87"/>
      <w:bookmarkEnd w:id="88"/>
      <w:bookmarkEnd w:id="89"/>
      <w:bookmarkEnd w:id="90"/>
      <w:bookmarkEnd w:id="91"/>
      <w:bookmarkEnd w:id="92"/>
    </w:p>
    <w:p w14:paraId="11F31178" w14:textId="79B9E294" w:rsidR="00776154" w:rsidRPr="005F5D83" w:rsidRDefault="00201E57" w:rsidP="00C73A77">
      <w:pPr>
        <w:pStyle w:val="Heading3"/>
      </w:pPr>
      <w:bookmarkStart w:id="93" w:name="_Toc67393235"/>
      <w:bookmarkStart w:id="94" w:name="_Toc73455606"/>
      <w:bookmarkStart w:id="95" w:name="_Toc73624879"/>
      <w:bookmarkStart w:id="96" w:name="_Toc422232741"/>
      <w:bookmarkStart w:id="97" w:name="_Toc423353975"/>
      <w:bookmarkStart w:id="98" w:name="_Toc423355218"/>
      <w:bookmarkStart w:id="99" w:name="_Toc423355576"/>
      <w:bookmarkStart w:id="100" w:name="_Toc425258682"/>
      <w:bookmarkStart w:id="101" w:name="_Toc430095369"/>
      <w:bookmarkStart w:id="102" w:name="_Toc430096867"/>
      <w:bookmarkStart w:id="103" w:name="_Toc431812584"/>
      <w:bookmarkStart w:id="104" w:name="_Toc431895462"/>
      <w:bookmarkStart w:id="105" w:name="_Toc432408897"/>
      <w:bookmarkStart w:id="106" w:name="_Toc432605299"/>
      <w:bookmarkStart w:id="107" w:name="_Toc433120536"/>
      <w:bookmarkStart w:id="108" w:name="_Toc439757551"/>
      <w:bookmarkStart w:id="109" w:name="_Toc439757775"/>
      <w:bookmarkStart w:id="110" w:name="_Toc439758153"/>
      <w:r>
        <w:t>1.</w:t>
      </w:r>
      <w:r w:rsidR="00924791">
        <w:t>4</w:t>
      </w:r>
      <w:r w:rsidR="00776154">
        <w:t>.1</w:t>
      </w:r>
      <w:r w:rsidR="00776154">
        <w:tab/>
      </w:r>
      <w:r w:rsidR="00776154" w:rsidRPr="005F5D83">
        <w:t>Regulatory approach to developing or varying food standards</w:t>
      </w:r>
      <w:bookmarkEnd w:id="93"/>
      <w:bookmarkEnd w:id="94"/>
      <w:bookmarkEnd w:id="95"/>
    </w:p>
    <w:p w14:paraId="34F1D122" w14:textId="2B3E9DFF" w:rsidR="00776154" w:rsidRPr="005F5D83" w:rsidRDefault="00776154" w:rsidP="00776154">
      <w:r w:rsidRPr="005F5D83">
        <w:t>Section 18 of the FSANZ Act sets out the three primary objectives</w:t>
      </w:r>
      <w:r>
        <w:t xml:space="preserve"> </w:t>
      </w:r>
      <w:r w:rsidR="003E1F6D">
        <w:t>(</w:t>
      </w:r>
      <w:r>
        <w:t>in descending order of priority</w:t>
      </w:r>
      <w:r w:rsidR="003E1F6D">
        <w:t>)</w:t>
      </w:r>
      <w:r>
        <w:t xml:space="preserve"> that</w:t>
      </w:r>
      <w:r w:rsidRPr="005F5D83">
        <w:t xml:space="preserve"> FSANZ is required to meet in developing or varying a food standard. These are:</w:t>
      </w:r>
    </w:p>
    <w:p w14:paraId="3BF0C318" w14:textId="77777777" w:rsidR="00776154" w:rsidRPr="005F5D83" w:rsidRDefault="00776154" w:rsidP="00776154"/>
    <w:p w14:paraId="1E793CF9" w14:textId="464640A4" w:rsidR="00776154" w:rsidRPr="005F5D83" w:rsidRDefault="00776154" w:rsidP="00776154">
      <w:pPr>
        <w:ind w:left="567" w:hanging="567"/>
      </w:pPr>
      <w:r w:rsidRPr="005F5D83">
        <w:t>(a)</w:t>
      </w:r>
      <w:r w:rsidRPr="005F5D83">
        <w:tab/>
        <w:t>the protection of public health and safety</w:t>
      </w:r>
    </w:p>
    <w:p w14:paraId="2C24DA59" w14:textId="3006F4D8" w:rsidR="00776154" w:rsidRPr="005F5D83" w:rsidRDefault="00776154" w:rsidP="00776154">
      <w:pPr>
        <w:ind w:left="567" w:hanging="567"/>
      </w:pPr>
      <w:r w:rsidRPr="005F5D83">
        <w:t>(b)</w:t>
      </w:r>
      <w:r w:rsidRPr="005F5D83">
        <w:tab/>
        <w:t>the provision of adequate information relating to food to enable consumers to make informed choices</w:t>
      </w:r>
      <w:r w:rsidR="003E1F6D">
        <w:t>,</w:t>
      </w:r>
      <w:r w:rsidRPr="005F5D83">
        <w:t xml:space="preserve"> and</w:t>
      </w:r>
    </w:p>
    <w:p w14:paraId="1CD96386" w14:textId="77777777" w:rsidR="00776154" w:rsidRPr="005F5D83" w:rsidRDefault="00776154" w:rsidP="00776154">
      <w:pPr>
        <w:ind w:left="567" w:hanging="567"/>
      </w:pPr>
      <w:r w:rsidRPr="005F5D83">
        <w:t>(c)</w:t>
      </w:r>
      <w:r w:rsidRPr="005F5D83">
        <w:tab/>
        <w:t>the prevention of misleading or deceptive conduct.</w:t>
      </w:r>
    </w:p>
    <w:p w14:paraId="5ACBC154" w14:textId="77777777" w:rsidR="00776154" w:rsidRPr="005F5D83" w:rsidRDefault="00776154" w:rsidP="00776154"/>
    <w:p w14:paraId="55C48F74" w14:textId="77777777" w:rsidR="00776154" w:rsidRPr="005F5D83" w:rsidRDefault="00776154" w:rsidP="00776154">
      <w:r w:rsidRPr="005F5D83">
        <w:t>In developing and varying standards, FSANZ must also have regard to:</w:t>
      </w:r>
    </w:p>
    <w:p w14:paraId="70C02A1B" w14:textId="77777777" w:rsidR="00776154" w:rsidRPr="005F5D83" w:rsidRDefault="00776154" w:rsidP="00776154"/>
    <w:p w14:paraId="171C4D44" w14:textId="30237465" w:rsidR="00776154" w:rsidRPr="005F5D83" w:rsidRDefault="00776154" w:rsidP="00776154">
      <w:pPr>
        <w:ind w:left="567" w:hanging="567"/>
      </w:pPr>
      <w:r w:rsidRPr="005F5D83">
        <w:t>(a)</w:t>
      </w:r>
      <w:r w:rsidRPr="005F5D83">
        <w:tab/>
        <w:t>the need for standards to be based on risk analysis using the best available scientific evidence</w:t>
      </w:r>
    </w:p>
    <w:p w14:paraId="33CCDC22" w14:textId="21647382" w:rsidR="00776154" w:rsidRPr="005F5D83" w:rsidRDefault="00776154" w:rsidP="00776154">
      <w:pPr>
        <w:ind w:left="567" w:hanging="567"/>
      </w:pPr>
      <w:r w:rsidRPr="005F5D83">
        <w:t>(b)</w:t>
      </w:r>
      <w:r w:rsidRPr="005F5D83">
        <w:tab/>
        <w:t>the promotion of consistency between domestic and international food standards</w:t>
      </w:r>
    </w:p>
    <w:p w14:paraId="5525C131" w14:textId="15707E47" w:rsidR="00776154" w:rsidRPr="005F5D83" w:rsidRDefault="00776154" w:rsidP="00776154">
      <w:pPr>
        <w:ind w:left="567" w:hanging="567"/>
      </w:pPr>
      <w:r w:rsidRPr="005F5D83">
        <w:t>(c)</w:t>
      </w:r>
      <w:r w:rsidRPr="005F5D83">
        <w:tab/>
        <w:t>the desirability of an efficient and internationally competitive food industry</w:t>
      </w:r>
    </w:p>
    <w:p w14:paraId="24716186" w14:textId="4A0DD9B3" w:rsidR="00776154" w:rsidRPr="005F5D83" w:rsidRDefault="00776154" w:rsidP="00776154">
      <w:pPr>
        <w:ind w:left="567" w:hanging="567"/>
      </w:pPr>
      <w:r w:rsidRPr="005F5D83">
        <w:t>(d)</w:t>
      </w:r>
      <w:r w:rsidRPr="005F5D83">
        <w:tab/>
        <w:t>the promotion of fair trading in food</w:t>
      </w:r>
      <w:r w:rsidR="003E1F6D">
        <w:t>,</w:t>
      </w:r>
      <w:r w:rsidRPr="005F5D83">
        <w:t xml:space="preserve"> and</w:t>
      </w:r>
    </w:p>
    <w:p w14:paraId="2CB71AA9" w14:textId="0910E082" w:rsidR="00776154" w:rsidRPr="005F5D83" w:rsidRDefault="00776154" w:rsidP="00776154">
      <w:pPr>
        <w:ind w:left="567" w:hanging="567"/>
      </w:pPr>
      <w:r w:rsidRPr="005F5D83">
        <w:t>(e)</w:t>
      </w:r>
      <w:r w:rsidRPr="005F5D83">
        <w:tab/>
        <w:t xml:space="preserve">any written policy guidelines formulated by the Australia and New Zealand Food Regulation Ministerial </w:t>
      </w:r>
      <w:r w:rsidRPr="00EA4CC4">
        <w:t>Council</w:t>
      </w:r>
      <w:r w:rsidRPr="005F5D83">
        <w:rPr>
          <w:rStyle w:val="FootnoteReference"/>
        </w:rPr>
        <w:footnoteReference w:id="3"/>
      </w:r>
      <w:r w:rsidR="006B5DBC">
        <w:t xml:space="preserve"> (see section 1.5.3)</w:t>
      </w:r>
      <w:r w:rsidRPr="005F5D83">
        <w:t>.</w:t>
      </w:r>
    </w:p>
    <w:p w14:paraId="07869C17" w14:textId="77777777" w:rsidR="00776154" w:rsidRPr="005F5D83" w:rsidRDefault="00776154" w:rsidP="00776154"/>
    <w:p w14:paraId="698F43B2" w14:textId="064ABC6B" w:rsidR="004F001D" w:rsidRDefault="00776154" w:rsidP="00776154">
      <w:r w:rsidRPr="005F5D83">
        <w:t xml:space="preserve">These objectives and principles are all relevant for the revision and clarification of standards. The </w:t>
      </w:r>
      <w:r>
        <w:t>first</w:t>
      </w:r>
      <w:r w:rsidRPr="005F5D83">
        <w:t xml:space="preserve"> objective</w:t>
      </w:r>
      <w:r>
        <w:t xml:space="preserve"> is</w:t>
      </w:r>
      <w:r w:rsidRPr="005F5D83">
        <w:t xml:space="preserve"> paramount given the vulnerability of formula-fed infants, particularly those for which infant formula provides the sole source</w:t>
      </w:r>
      <w:r w:rsidR="00CE6608">
        <w:t xml:space="preserve"> of</w:t>
      </w:r>
      <w:r w:rsidRPr="005F5D83">
        <w:t xml:space="preserve"> nutrition during the first months of life. </w:t>
      </w:r>
    </w:p>
    <w:p w14:paraId="34BC616D" w14:textId="0D3123C5" w:rsidR="004F001D" w:rsidRPr="00712783" w:rsidRDefault="004F001D" w:rsidP="004F001D">
      <w:pPr>
        <w:pStyle w:val="Heading3"/>
      </w:pPr>
      <w:bookmarkStart w:id="111" w:name="_Toc473543659"/>
      <w:bookmarkStart w:id="112" w:name="_Toc473551407"/>
      <w:bookmarkStart w:id="113" w:name="_Toc473561023"/>
      <w:bookmarkStart w:id="114" w:name="_Toc473554691"/>
      <w:bookmarkStart w:id="115" w:name="_Toc473554742"/>
      <w:bookmarkStart w:id="116" w:name="_Toc473554947"/>
      <w:bookmarkStart w:id="117" w:name="_Toc473555013"/>
      <w:bookmarkStart w:id="118" w:name="_Toc473636584"/>
      <w:bookmarkStart w:id="119" w:name="_Toc473638848"/>
      <w:bookmarkStart w:id="120" w:name="_Toc480812838"/>
      <w:bookmarkStart w:id="121" w:name="_Toc482265738"/>
      <w:bookmarkStart w:id="122" w:name="_Toc482279833"/>
      <w:bookmarkStart w:id="123" w:name="_Toc483992318"/>
      <w:bookmarkStart w:id="124" w:name="_Toc484443831"/>
      <w:r>
        <w:t>1.4.2</w:t>
      </w:r>
      <w:r>
        <w:tab/>
      </w:r>
      <w:r w:rsidRPr="00712783">
        <w:t>The Code</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r w:rsidRPr="00712783">
        <w:t xml:space="preserve"> </w:t>
      </w:r>
    </w:p>
    <w:p w14:paraId="22B157E3" w14:textId="02323706" w:rsidR="004F001D" w:rsidRDefault="004F001D" w:rsidP="004F001D">
      <w:pPr>
        <w:rPr>
          <w:szCs w:val="22"/>
        </w:rPr>
      </w:pPr>
      <w:r>
        <w:t>P</w:t>
      </w:r>
      <w:r w:rsidRPr="00493AC5">
        <w:t>rovisions for IFP</w:t>
      </w:r>
      <w:r>
        <w:t xml:space="preserve"> and its three categories</w:t>
      </w:r>
      <w:r w:rsidR="003E1F6D">
        <w:t xml:space="preserve"> -</w:t>
      </w:r>
      <w:r>
        <w:t xml:space="preserve"> IF, FOF and IFPSDU </w:t>
      </w:r>
      <w:r w:rsidR="003E1F6D">
        <w:t xml:space="preserve">- </w:t>
      </w:r>
      <w:r w:rsidRPr="00493AC5">
        <w:t xml:space="preserve">are </w:t>
      </w:r>
      <w:r>
        <w:t>located</w:t>
      </w:r>
      <w:r w:rsidRPr="00493AC5">
        <w:t xml:space="preserve"> in Standard 2.9.1</w:t>
      </w:r>
      <w:r>
        <w:t xml:space="preserve"> – Infant Formula Products and </w:t>
      </w:r>
      <w:hyperlink r:id="rId23" w:history="1">
        <w:r w:rsidRPr="00AE6F22">
          <w:rPr>
            <w:rStyle w:val="Hyperlink"/>
          </w:rPr>
          <w:t>Schedule 29 – Special Purpose Foods</w:t>
        </w:r>
      </w:hyperlink>
      <w:r w:rsidRPr="00493AC5">
        <w:t>.</w:t>
      </w:r>
      <w:r>
        <w:t xml:space="preserve"> </w:t>
      </w:r>
      <w:r>
        <w:rPr>
          <w:szCs w:val="22"/>
        </w:rPr>
        <w:t>O</w:t>
      </w:r>
      <w:r w:rsidRPr="00712783">
        <w:rPr>
          <w:szCs w:val="22"/>
        </w:rPr>
        <w:t xml:space="preserve">ther standards in the Code also contain specific provisions for </w:t>
      </w:r>
      <w:r>
        <w:rPr>
          <w:szCs w:val="22"/>
        </w:rPr>
        <w:t>IFP including IFPSDU</w:t>
      </w:r>
      <w:r w:rsidRPr="00712783">
        <w:rPr>
          <w:szCs w:val="22"/>
        </w:rPr>
        <w:t xml:space="preserve">: </w:t>
      </w:r>
    </w:p>
    <w:p w14:paraId="088554AB" w14:textId="77777777" w:rsidR="004F001D" w:rsidRPr="00C41BA4" w:rsidRDefault="001938AB" w:rsidP="00774FC6">
      <w:pPr>
        <w:pStyle w:val="FSBullet1"/>
        <w:numPr>
          <w:ilvl w:val="0"/>
          <w:numId w:val="29"/>
        </w:numPr>
        <w:spacing w:before="120" w:after="120"/>
        <w:ind w:left="567" w:hanging="567"/>
      </w:pPr>
      <w:hyperlink r:id="rId24" w:history="1">
        <w:r w:rsidR="004F001D" w:rsidRPr="009C1C14">
          <w:rPr>
            <w:rStyle w:val="Hyperlink"/>
          </w:rPr>
          <w:t>Standard 1.3.1 – Food additives</w:t>
        </w:r>
      </w:hyperlink>
      <w:r w:rsidR="004F001D" w:rsidRPr="00C41BA4">
        <w:t xml:space="preserve"> and </w:t>
      </w:r>
      <w:hyperlink r:id="rId25" w:history="1">
        <w:r w:rsidR="004F001D" w:rsidRPr="009C1C14">
          <w:rPr>
            <w:rStyle w:val="Hyperlink"/>
          </w:rPr>
          <w:t>Schedule 15 – Substances that may be used as food additives</w:t>
        </w:r>
      </w:hyperlink>
      <w:r w:rsidR="004F001D" w:rsidRPr="00C41BA4">
        <w:t xml:space="preserve"> which regulate the use of food additives in the production and processing of food. </w:t>
      </w:r>
    </w:p>
    <w:p w14:paraId="7E0DD63F" w14:textId="77777777" w:rsidR="004F001D" w:rsidRPr="00C41BA4" w:rsidRDefault="004F001D" w:rsidP="00774FC6">
      <w:pPr>
        <w:pStyle w:val="FSBullet1"/>
        <w:numPr>
          <w:ilvl w:val="0"/>
          <w:numId w:val="29"/>
        </w:numPr>
        <w:spacing w:before="120" w:after="120"/>
        <w:ind w:left="567" w:hanging="567"/>
      </w:pPr>
      <w:r w:rsidRPr="00C56D04">
        <w:lastRenderedPageBreak/>
        <w:t>Standard 1.4.1 – Contaminants and Natural Toxicants</w:t>
      </w:r>
      <w:r w:rsidRPr="00C41BA4">
        <w:t xml:space="preserve"> and </w:t>
      </w:r>
      <w:hyperlink r:id="rId26" w:history="1">
        <w:r w:rsidRPr="009C1C14">
          <w:rPr>
            <w:rStyle w:val="Hyperlink"/>
          </w:rPr>
          <w:t>Schedule 19 – Maximum levels of contaminants and natural toxicants</w:t>
        </w:r>
      </w:hyperlink>
      <w:r w:rsidRPr="00C41BA4">
        <w:t xml:space="preserve"> which set out the maximum levels of specified metal and non-metal contaminants and natural toxicants in nominated foods. </w:t>
      </w:r>
    </w:p>
    <w:p w14:paraId="73E11C94" w14:textId="77777777" w:rsidR="004F001D" w:rsidRPr="00C41BA4" w:rsidRDefault="001938AB" w:rsidP="00774FC6">
      <w:pPr>
        <w:pStyle w:val="FSBullet1"/>
        <w:numPr>
          <w:ilvl w:val="0"/>
          <w:numId w:val="29"/>
        </w:numPr>
        <w:spacing w:before="120" w:after="120"/>
        <w:ind w:left="567" w:hanging="567"/>
      </w:pPr>
      <w:hyperlink r:id="rId27" w:history="1">
        <w:r w:rsidR="004F001D" w:rsidRPr="009503DE">
          <w:rPr>
            <w:rStyle w:val="Hyperlink"/>
          </w:rPr>
          <w:t>Standard 1.6.1 – Microbiological limits for food</w:t>
        </w:r>
      </w:hyperlink>
      <w:r w:rsidR="004F001D" w:rsidRPr="00C41BA4">
        <w:t xml:space="preserve"> and </w:t>
      </w:r>
      <w:hyperlink r:id="rId28" w:history="1">
        <w:r w:rsidR="004F001D" w:rsidRPr="0018411D">
          <w:rPr>
            <w:rStyle w:val="Hyperlink"/>
          </w:rPr>
          <w:t>Schedule 27 – Microbiological limits in food</w:t>
        </w:r>
      </w:hyperlink>
      <w:r w:rsidR="004F001D" w:rsidRPr="00C41BA4">
        <w:t xml:space="preserve"> which list the maximum permissible levels of foodborne microorganisms that pose a risk to human health in nominated foods, or classes of foods. </w:t>
      </w:r>
    </w:p>
    <w:p w14:paraId="4718CD71" w14:textId="77777777" w:rsidR="004F001D" w:rsidRDefault="004F001D" w:rsidP="00776154"/>
    <w:p w14:paraId="044D7F94" w14:textId="77F9885C" w:rsidR="00776154" w:rsidRPr="00061A55" w:rsidRDefault="00776154" w:rsidP="00C73A77">
      <w:pPr>
        <w:pStyle w:val="Heading3"/>
      </w:pPr>
      <w:bookmarkStart w:id="125" w:name="_Toc67393236"/>
      <w:bookmarkStart w:id="126" w:name="_Toc73455607"/>
      <w:bookmarkStart w:id="127" w:name="_Toc73624880"/>
      <w:r w:rsidRPr="00061A55">
        <w:t>1.</w:t>
      </w:r>
      <w:r w:rsidR="00924791">
        <w:t>4</w:t>
      </w:r>
      <w:r w:rsidR="004F001D">
        <w:t>.3</w:t>
      </w:r>
      <w:r w:rsidRPr="00061A55">
        <w:tab/>
        <w:t>International and overseas regulations</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25"/>
      <w:bookmarkEnd w:id="126"/>
      <w:bookmarkEnd w:id="127"/>
    </w:p>
    <w:p w14:paraId="2C240F42" w14:textId="0A5803B9" w:rsidR="00776154" w:rsidRPr="00061A55" w:rsidRDefault="00776154" w:rsidP="00776154">
      <w:pPr>
        <w:rPr>
          <w:lang w:eastAsia="en-AU"/>
        </w:rPr>
      </w:pPr>
      <w:r>
        <w:rPr>
          <w:lang w:eastAsia="en-AU"/>
        </w:rPr>
        <w:t xml:space="preserve">In developing or reviewing food standards, </w:t>
      </w:r>
      <w:r w:rsidRPr="00061A55">
        <w:rPr>
          <w:lang w:eastAsia="en-AU"/>
        </w:rPr>
        <w:t>FSANZ must have regard to</w:t>
      </w:r>
      <w:r>
        <w:rPr>
          <w:lang w:eastAsia="en-AU"/>
        </w:rPr>
        <w:t>, among other things,</w:t>
      </w:r>
      <w:r w:rsidRPr="00061A55">
        <w:rPr>
          <w:lang w:eastAsia="en-AU"/>
        </w:rPr>
        <w:t xml:space="preserve"> the promotion of consistency between domestic and international food standards. </w:t>
      </w:r>
      <w:r>
        <w:rPr>
          <w:lang w:eastAsia="en-AU"/>
        </w:rPr>
        <w:t xml:space="preserve">As the developer of internationally recognised food standards, the </w:t>
      </w:r>
      <w:r w:rsidRPr="00061A55">
        <w:rPr>
          <w:lang w:eastAsia="en-AU"/>
        </w:rPr>
        <w:t>approach</w:t>
      </w:r>
      <w:r>
        <w:rPr>
          <w:lang w:eastAsia="en-AU"/>
        </w:rPr>
        <w:t xml:space="preserve"> of Codex </w:t>
      </w:r>
      <w:r w:rsidRPr="007360A0">
        <w:rPr>
          <w:rFonts w:cs="Arial"/>
          <w:szCs w:val="22"/>
        </w:rPr>
        <w:t>Alimentarius</w:t>
      </w:r>
      <w:r w:rsidRPr="0056083D">
        <w:rPr>
          <w:szCs w:val="22"/>
          <w:lang w:eastAsia="en-AU"/>
        </w:rPr>
        <w:t xml:space="preserve"> </w:t>
      </w:r>
      <w:r>
        <w:rPr>
          <w:lang w:eastAsia="en-AU"/>
        </w:rPr>
        <w:t xml:space="preserve">(Codex) </w:t>
      </w:r>
      <w:r w:rsidRPr="00061A55">
        <w:rPr>
          <w:lang w:eastAsia="en-AU"/>
        </w:rPr>
        <w:t>has been considered in assessing</w:t>
      </w:r>
      <w:r>
        <w:rPr>
          <w:lang w:eastAsia="en-AU"/>
        </w:rPr>
        <w:t xml:space="preserve"> the </w:t>
      </w:r>
      <w:r w:rsidRPr="00061A55">
        <w:rPr>
          <w:lang w:eastAsia="en-AU"/>
        </w:rPr>
        <w:t xml:space="preserve">issues discussed in this </w:t>
      </w:r>
      <w:r>
        <w:rPr>
          <w:lang w:eastAsia="en-AU"/>
        </w:rPr>
        <w:t>paper</w:t>
      </w:r>
      <w:r w:rsidR="0072796E">
        <w:rPr>
          <w:rStyle w:val="FootnoteReference"/>
          <w:lang w:eastAsia="en-AU"/>
        </w:rPr>
        <w:footnoteReference w:id="4"/>
      </w:r>
      <w:r w:rsidR="00956935">
        <w:rPr>
          <w:lang w:eastAsia="en-AU"/>
        </w:rPr>
        <w:t>.</w:t>
      </w:r>
      <w:r w:rsidRPr="00061A55">
        <w:rPr>
          <w:lang w:eastAsia="en-AU"/>
        </w:rPr>
        <w:t xml:space="preserve"> </w:t>
      </w:r>
    </w:p>
    <w:p w14:paraId="3E02E922" w14:textId="02B32279" w:rsidR="006B5DBC" w:rsidRDefault="00776154" w:rsidP="00AA654F">
      <w:pPr>
        <w:pStyle w:val="Heading4"/>
        <w:rPr>
          <w:lang w:bidi="ar-SA"/>
        </w:rPr>
      </w:pPr>
      <w:r>
        <w:t xml:space="preserve">Codex Alimentarius </w:t>
      </w:r>
    </w:p>
    <w:p w14:paraId="3D36D40F" w14:textId="57542845" w:rsidR="00776154" w:rsidRDefault="00776154" w:rsidP="00776154">
      <w:pPr>
        <w:rPr>
          <w:lang w:bidi="ar-SA"/>
        </w:rPr>
      </w:pPr>
      <w:r>
        <w:rPr>
          <w:lang w:bidi="ar-SA"/>
        </w:rPr>
        <w:t xml:space="preserve">Codex STAN 72-1981 </w:t>
      </w:r>
      <w:r w:rsidR="00AA654F">
        <w:rPr>
          <w:lang w:bidi="ar-SA"/>
        </w:rPr>
        <w:t xml:space="preserve">(Codex 1981) </w:t>
      </w:r>
      <w:r>
        <w:rPr>
          <w:lang w:bidi="ar-SA"/>
        </w:rPr>
        <w:t xml:space="preserve">sets out the essential composition of infant formula including minimum and maximum nutrient amounts. This </w:t>
      </w:r>
      <w:r w:rsidR="0042219E">
        <w:rPr>
          <w:lang w:bidi="ar-SA"/>
        </w:rPr>
        <w:t>s</w:t>
      </w:r>
      <w:r>
        <w:rPr>
          <w:lang w:bidi="ar-SA"/>
        </w:rPr>
        <w:t>tandard guides member countries when establishing the essential composition of infant formula, and takes account of safety, nutrient adequacy, promotion of growth and development, bioavailability, levels of naturally occurring nutrients, and the inherent variability of nutrients within ingredients and in water.</w:t>
      </w:r>
    </w:p>
    <w:p w14:paraId="7B721D96" w14:textId="77777777" w:rsidR="00776154" w:rsidRDefault="00776154" w:rsidP="00776154">
      <w:pPr>
        <w:rPr>
          <w:lang w:bidi="ar-SA"/>
        </w:rPr>
      </w:pPr>
    </w:p>
    <w:p w14:paraId="63E5F109" w14:textId="59BAC033" w:rsidR="00776154" w:rsidRDefault="00776154" w:rsidP="00776154">
      <w:pPr>
        <w:rPr>
          <w:lang w:bidi="ar-SA"/>
        </w:rPr>
      </w:pPr>
      <w:r>
        <w:rPr>
          <w:lang w:bidi="ar-SA"/>
        </w:rPr>
        <w:t>Codex STAN 72-1981 was revised in 2007 and amended in 2011 and 2015 to reflect more recent scientific understanding of nutritional needs of infants, and methods of infant formula production. The revision was</w:t>
      </w:r>
      <w:r w:rsidRPr="001D2E65">
        <w:rPr>
          <w:lang w:bidi="ar-SA"/>
        </w:rPr>
        <w:t xml:space="preserve"> </w:t>
      </w:r>
      <w:r>
        <w:rPr>
          <w:lang w:bidi="ar-SA"/>
        </w:rPr>
        <w:t xml:space="preserve">completed by the </w:t>
      </w:r>
      <w:r w:rsidRPr="008138FA">
        <w:t>Codex Committee on Nutrition and Foods for Special Dietary Uses (CCNFSDU)</w:t>
      </w:r>
      <w:r>
        <w:t xml:space="preserve">, </w:t>
      </w:r>
      <w:r>
        <w:rPr>
          <w:lang w:bidi="ar-SA"/>
        </w:rPr>
        <w:t>based on advice from international scientific experts in infant nutrition. Therefore, Codex STAN 72-1981 is based on a more recent review of the evidence than Standard 2.9.1.</w:t>
      </w:r>
    </w:p>
    <w:p w14:paraId="075CD5B1" w14:textId="77777777" w:rsidR="00776154" w:rsidRDefault="00776154" w:rsidP="00776154">
      <w:pPr>
        <w:rPr>
          <w:lang w:bidi="ar-SA"/>
        </w:rPr>
      </w:pPr>
    </w:p>
    <w:p w14:paraId="0F7E9E9A" w14:textId="7CF6540E" w:rsidR="00776154" w:rsidRDefault="00776154" w:rsidP="00776154">
      <w:pPr>
        <w:rPr>
          <w:lang w:bidi="ar-SA"/>
        </w:rPr>
      </w:pPr>
      <w:r>
        <w:rPr>
          <w:lang w:bidi="ar-SA"/>
        </w:rPr>
        <w:t xml:space="preserve">The Codex </w:t>
      </w:r>
      <w:r w:rsidRPr="00E820F7">
        <w:rPr>
          <w:i/>
          <w:lang w:bidi="ar-SA"/>
        </w:rPr>
        <w:t>Advisory List of Nutrient Compounds for Use in Foods for Special Dietary Uses Intended for Infants and Young Children</w:t>
      </w:r>
      <w:r>
        <w:rPr>
          <w:lang w:bidi="ar-SA"/>
        </w:rPr>
        <w:t xml:space="preserve"> (CAC/GL 10-1979) lists the forms of nutrients (and some optional ingredients) permitted for use in infant formula</w:t>
      </w:r>
      <w:r w:rsidR="006B5DBC">
        <w:rPr>
          <w:lang w:bidi="ar-SA"/>
        </w:rPr>
        <w:t xml:space="preserve"> (</w:t>
      </w:r>
      <w:r>
        <w:rPr>
          <w:lang w:bidi="ar-SA"/>
        </w:rPr>
        <w:t>last updated in 2008</w:t>
      </w:r>
      <w:r w:rsidR="006B5DBC">
        <w:rPr>
          <w:lang w:bidi="ar-SA"/>
        </w:rPr>
        <w:t>)</w:t>
      </w:r>
      <w:r>
        <w:rPr>
          <w:lang w:bidi="ar-SA"/>
        </w:rPr>
        <w:t>.</w:t>
      </w:r>
    </w:p>
    <w:p w14:paraId="0E5D171E" w14:textId="3F847434" w:rsidR="00AA654F" w:rsidRDefault="00AA654F" w:rsidP="00776154">
      <w:pPr>
        <w:rPr>
          <w:lang w:bidi="ar-SA"/>
        </w:rPr>
      </w:pPr>
    </w:p>
    <w:p w14:paraId="7FC13AC9" w14:textId="10400171" w:rsidR="00D44087" w:rsidRDefault="00D44087" w:rsidP="00776154">
      <w:pPr>
        <w:rPr>
          <w:lang w:bidi="ar-SA"/>
        </w:rPr>
      </w:pPr>
      <w:r>
        <w:rPr>
          <w:lang w:bidi="ar-SA"/>
        </w:rPr>
        <w:t>Where appropriate we have con</w:t>
      </w:r>
      <w:r w:rsidR="00660C76">
        <w:rPr>
          <w:lang w:bidi="ar-SA"/>
        </w:rPr>
        <w:t>sidered requirements under Codex</w:t>
      </w:r>
      <w:r>
        <w:rPr>
          <w:lang w:bidi="ar-SA"/>
        </w:rPr>
        <w:t xml:space="preserve"> STAN 156-1987 </w:t>
      </w:r>
      <w:r w:rsidRPr="00D44087">
        <w:rPr>
          <w:i/>
          <w:lang w:bidi="ar-SA"/>
        </w:rPr>
        <w:t>Standard For Follow-Up Formula</w:t>
      </w:r>
      <w:r>
        <w:rPr>
          <w:lang w:bidi="ar-SA"/>
        </w:rPr>
        <w:t xml:space="preserve">. </w:t>
      </w:r>
      <w:r>
        <w:t>Follow-</w:t>
      </w:r>
      <w:r>
        <w:rPr>
          <w:rFonts w:cs="Arial"/>
          <w:lang w:val="en-AU"/>
        </w:rPr>
        <w:t>up formula (FUF) is defined within Codex regulations for infants aged 6-&lt;36 months, which overlaps with the age range for infant formula products (0-&lt;12 months).</w:t>
      </w:r>
      <w:r>
        <w:rPr>
          <w:lang w:bidi="ar-SA"/>
        </w:rPr>
        <w:t xml:space="preserve"> CODEX STAN 156-1987 is currently under review by the CCNFSDU</w:t>
      </w:r>
      <w:r w:rsidR="000E7CD3">
        <w:rPr>
          <w:lang w:bidi="ar-SA"/>
        </w:rPr>
        <w:t xml:space="preserve"> and the</w:t>
      </w:r>
      <w:r>
        <w:rPr>
          <w:lang w:bidi="ar-SA"/>
        </w:rPr>
        <w:t xml:space="preserve"> draft essential composition requirements</w:t>
      </w:r>
      <w:r w:rsidR="002A4EA4">
        <w:rPr>
          <w:rStyle w:val="FootnoteReference"/>
          <w:lang w:bidi="ar-SA"/>
        </w:rPr>
        <w:footnoteReference w:id="5"/>
      </w:r>
      <w:r>
        <w:rPr>
          <w:lang w:bidi="ar-SA"/>
        </w:rPr>
        <w:t xml:space="preserve"> have been published (FAO/WHO 2018)</w:t>
      </w:r>
      <w:r w:rsidR="000E7CD3">
        <w:rPr>
          <w:lang w:bidi="ar-SA"/>
        </w:rPr>
        <w:t>.</w:t>
      </w:r>
      <w:r w:rsidR="002A4EA4">
        <w:rPr>
          <w:lang w:bidi="ar-SA"/>
        </w:rPr>
        <w:t xml:space="preserve"> </w:t>
      </w:r>
    </w:p>
    <w:p w14:paraId="214C6582" w14:textId="370219EC" w:rsidR="00D44087" w:rsidRDefault="00D44087" w:rsidP="00776154">
      <w:pPr>
        <w:rPr>
          <w:lang w:bidi="ar-SA"/>
        </w:rPr>
      </w:pPr>
    </w:p>
    <w:p w14:paraId="576AD83D" w14:textId="4B729DD3" w:rsidR="00AA654F" w:rsidRDefault="00AA654F" w:rsidP="00776154">
      <w:pPr>
        <w:rPr>
          <w:lang w:bidi="ar-SA"/>
        </w:rPr>
      </w:pPr>
      <w:r w:rsidRPr="00061A55">
        <w:rPr>
          <w:lang w:eastAsia="en-AU"/>
        </w:rPr>
        <w:t>Other Codex standards</w:t>
      </w:r>
      <w:r>
        <w:rPr>
          <w:lang w:eastAsia="en-AU"/>
        </w:rPr>
        <w:t xml:space="preserve"> and </w:t>
      </w:r>
      <w:r w:rsidRPr="00061A55">
        <w:rPr>
          <w:lang w:eastAsia="en-AU"/>
        </w:rPr>
        <w:t xml:space="preserve">guidelines relevant to issues discussed in this </w:t>
      </w:r>
      <w:r>
        <w:rPr>
          <w:lang w:eastAsia="en-AU"/>
        </w:rPr>
        <w:t>consultation paper are cited as applicable.</w:t>
      </w:r>
    </w:p>
    <w:p w14:paraId="4E01168B" w14:textId="3C851417" w:rsidR="00776154" w:rsidRDefault="00F409E9" w:rsidP="00776154">
      <w:pPr>
        <w:pStyle w:val="Heading4"/>
      </w:pPr>
      <w:r>
        <w:t>European Commission</w:t>
      </w:r>
    </w:p>
    <w:p w14:paraId="6D61A3FB" w14:textId="7A5B0883" w:rsidR="00776154" w:rsidRDefault="00776154" w:rsidP="00776154">
      <w:pPr>
        <w:rPr>
          <w:lang w:val="en-AU" w:bidi="ar-SA"/>
        </w:rPr>
      </w:pPr>
      <w:r>
        <w:rPr>
          <w:lang w:bidi="ar-SA"/>
        </w:rPr>
        <w:t xml:space="preserve">The European Commission </w:t>
      </w:r>
      <w:r w:rsidR="001312BE">
        <w:rPr>
          <w:lang w:bidi="ar-SA"/>
        </w:rPr>
        <w:t xml:space="preserve">(EC) </w:t>
      </w:r>
      <w:r w:rsidR="004D11A4">
        <w:rPr>
          <w:lang w:bidi="ar-SA"/>
        </w:rPr>
        <w:t>released new Regulations for infant formula</w:t>
      </w:r>
      <w:r>
        <w:rPr>
          <w:lang w:bidi="ar-SA"/>
        </w:rPr>
        <w:t xml:space="preserve"> and FSMP in early 2016. </w:t>
      </w:r>
      <w:hyperlink r:id="rId29" w:history="1">
        <w:r w:rsidRPr="00D45B06">
          <w:rPr>
            <w:rStyle w:val="Hyperlink"/>
            <w:lang w:bidi="ar-SA"/>
          </w:rPr>
          <w:t>The Commission Delegated Regulation (EU) 2016/1</w:t>
        </w:r>
        <w:r w:rsidR="00752D98">
          <w:rPr>
            <w:rStyle w:val="Hyperlink"/>
            <w:lang w:bidi="ar-SA"/>
          </w:rPr>
          <w:t>2</w:t>
        </w:r>
        <w:r w:rsidRPr="00D45B06">
          <w:rPr>
            <w:rStyle w:val="Hyperlink"/>
            <w:lang w:bidi="ar-SA"/>
          </w:rPr>
          <w:t>7</w:t>
        </w:r>
      </w:hyperlink>
      <w:r>
        <w:rPr>
          <w:lang w:bidi="ar-SA"/>
        </w:rPr>
        <w:t xml:space="preserve"> </w:t>
      </w:r>
      <w:r>
        <w:t>o</w:t>
      </w:r>
      <w:r w:rsidRPr="004F0923">
        <w:t xml:space="preserve">utlines the compositional and information requirements for infant formula and </w:t>
      </w:r>
      <w:r w:rsidR="0042219E">
        <w:t>FOF</w:t>
      </w:r>
      <w:r w:rsidRPr="004F0923">
        <w:t xml:space="preserve"> and requirements relating to infant and young child feeding. </w:t>
      </w:r>
      <w:hyperlink r:id="rId30" w:history="1">
        <w:r w:rsidRPr="00D45B06">
          <w:rPr>
            <w:rStyle w:val="Hyperlink"/>
          </w:rPr>
          <w:t xml:space="preserve">The Commission Delegated Regulation (EU) </w:t>
        </w:r>
        <w:r w:rsidRPr="00D45B06">
          <w:rPr>
            <w:rStyle w:val="Hyperlink"/>
          </w:rPr>
          <w:lastRenderedPageBreak/>
          <w:t>2016/128</w:t>
        </w:r>
      </w:hyperlink>
      <w:r>
        <w:t xml:space="preserve"> o</w:t>
      </w:r>
      <w:r w:rsidRPr="004F0923">
        <w:t xml:space="preserve">utlines the compositional and information requirements for </w:t>
      </w:r>
      <w:r>
        <w:t>FSMP for infants</w:t>
      </w:r>
      <w:r w:rsidRPr="004F0923">
        <w:t xml:space="preserve">. </w:t>
      </w:r>
      <w:r w:rsidR="00993ABD">
        <w:t xml:space="preserve">The </w:t>
      </w:r>
      <w:r w:rsidR="00993ABD" w:rsidRPr="00F409E9">
        <w:rPr>
          <w:lang w:val="en-AU" w:bidi="ar-SA"/>
        </w:rPr>
        <w:t>Commission Regulation (EU) No 1129/2011</w:t>
      </w:r>
      <w:r w:rsidR="00993ABD">
        <w:rPr>
          <w:rStyle w:val="Hyperlink"/>
          <w:lang w:val="en-AU" w:bidi="ar-SA"/>
        </w:rPr>
        <w:t xml:space="preserve"> </w:t>
      </w:r>
      <w:r w:rsidR="00993ABD" w:rsidRPr="00F409E9">
        <w:t>amending Annex II to Regulation (EC) No 1333/2008 of the European Parliament and of the Council by establishing a Union list of food additives</w:t>
      </w:r>
      <w:r w:rsidR="00993ABD">
        <w:rPr>
          <w:rStyle w:val="Hyperlink"/>
          <w:lang w:val="en-AU" w:bidi="ar-SA"/>
        </w:rPr>
        <w:t xml:space="preserve"> </w:t>
      </w:r>
      <w:hyperlink r:id="rId31" w:history="1">
        <w:r w:rsidR="00993ABD" w:rsidRPr="00F409E9">
          <w:rPr>
            <w:rStyle w:val="Hyperlink"/>
            <w:lang w:val="en-AU" w:bidi="ar-SA"/>
          </w:rPr>
          <w:t>(Commission Reg</w:t>
        </w:r>
        <w:r w:rsidR="00F409E9">
          <w:rPr>
            <w:rStyle w:val="Hyperlink"/>
            <w:lang w:val="en-AU" w:bidi="ar-SA"/>
          </w:rPr>
          <w:t>ulation</w:t>
        </w:r>
        <w:r w:rsidR="00993ABD" w:rsidRPr="00F409E9">
          <w:rPr>
            <w:rStyle w:val="Hyperlink"/>
            <w:lang w:val="en-AU" w:bidi="ar-SA"/>
          </w:rPr>
          <w:t xml:space="preserve"> No 1129/2011)</w:t>
        </w:r>
      </w:hyperlink>
      <w:r w:rsidR="00993ABD">
        <w:rPr>
          <w:rStyle w:val="Hyperlink"/>
          <w:lang w:val="en-AU" w:bidi="ar-SA"/>
        </w:rPr>
        <w:t xml:space="preserve"> </w:t>
      </w:r>
      <w:r w:rsidR="00993ABD">
        <w:rPr>
          <w:lang w:val="en-AU" w:bidi="ar-SA"/>
        </w:rPr>
        <w:t xml:space="preserve">provides a list of </w:t>
      </w:r>
      <w:r w:rsidR="0042219E">
        <w:rPr>
          <w:lang w:val="en-AU" w:bidi="ar-SA"/>
        </w:rPr>
        <w:t xml:space="preserve">EU </w:t>
      </w:r>
      <w:r w:rsidR="00993ABD">
        <w:rPr>
          <w:lang w:val="en-AU" w:bidi="ar-SA"/>
        </w:rPr>
        <w:t>food additive permissions for different food categories in Annex II, for which categor</w:t>
      </w:r>
      <w:r w:rsidR="0042219E">
        <w:rPr>
          <w:lang w:val="en-AU" w:bidi="ar-SA"/>
        </w:rPr>
        <w:t>y</w:t>
      </w:r>
      <w:r w:rsidR="00993ABD">
        <w:rPr>
          <w:lang w:val="en-AU" w:bidi="ar-SA"/>
        </w:rPr>
        <w:t xml:space="preserve"> 13.1.1 applies for infant formula</w:t>
      </w:r>
      <w:r w:rsidR="004F001D">
        <w:rPr>
          <w:lang w:val="en-AU" w:bidi="ar-SA"/>
        </w:rPr>
        <w:t>.</w:t>
      </w:r>
    </w:p>
    <w:p w14:paraId="11628D64" w14:textId="7A2EB721" w:rsidR="004F001D" w:rsidRDefault="004F001D" w:rsidP="00776154">
      <w:pPr>
        <w:rPr>
          <w:lang w:val="en-AU" w:bidi="ar-SA"/>
        </w:rPr>
      </w:pPr>
    </w:p>
    <w:p w14:paraId="6D346FE3" w14:textId="0396448B" w:rsidR="004F001D" w:rsidRDefault="004F001D" w:rsidP="004F001D">
      <w:pPr>
        <w:pStyle w:val="Heading4"/>
      </w:pPr>
      <w:r w:rsidRPr="004F001D">
        <w:t>United States</w:t>
      </w:r>
    </w:p>
    <w:p w14:paraId="27C05502" w14:textId="77777777" w:rsidR="004F001D" w:rsidRPr="004F001D" w:rsidDel="00F2636C" w:rsidRDefault="004F001D" w:rsidP="004F001D">
      <w:pPr>
        <w:spacing w:after="120"/>
      </w:pPr>
      <w:r w:rsidRPr="00085DBB" w:rsidDel="00F2636C">
        <w:t xml:space="preserve">Infant formula is regulated under </w:t>
      </w:r>
      <w:r>
        <w:t>S</w:t>
      </w:r>
      <w:r w:rsidRPr="00085DBB" w:rsidDel="00F2636C">
        <w:t xml:space="preserve">ection 412 of the Federal Food, Drug and Cosmetic Act (FFDCA) and the </w:t>
      </w:r>
      <w:r w:rsidDel="00F2636C">
        <w:t>US</w:t>
      </w:r>
      <w:r w:rsidRPr="00085DBB" w:rsidDel="00F2636C">
        <w:t xml:space="preserve"> Food and Drug Administration’s (FDA) implementing regulations in </w:t>
      </w:r>
      <w:r w:rsidRPr="00F5676F" w:rsidDel="00F2636C">
        <w:t>Title 21 of the Code of Federal Regulations (21 CFR)</w:t>
      </w:r>
      <w:r w:rsidRPr="00085DBB" w:rsidDel="00F2636C">
        <w:t>.</w:t>
      </w:r>
      <w:r>
        <w:t xml:space="preserve"> </w:t>
      </w:r>
      <w:r w:rsidRPr="004F001D" w:rsidDel="00F2636C">
        <w:t xml:space="preserve">Relevant parts of 21 CFR are: </w:t>
      </w:r>
    </w:p>
    <w:p w14:paraId="1889E5F7" w14:textId="77777777" w:rsidR="004F001D" w:rsidRPr="004F001D" w:rsidDel="00F2636C" w:rsidRDefault="004F001D" w:rsidP="005F3931">
      <w:pPr>
        <w:pStyle w:val="FSBullet1"/>
        <w:spacing w:after="120"/>
        <w:ind w:left="567" w:hanging="567"/>
      </w:pPr>
      <w:r w:rsidRPr="004F001D" w:rsidDel="00F2636C">
        <w:t xml:space="preserve">106 – Infant formula requirements pertaining to current good manufacturing practice, quality control procedures, quality factors, records and reports, and notifications. </w:t>
      </w:r>
    </w:p>
    <w:p w14:paraId="7D47E159" w14:textId="77777777" w:rsidR="004F001D" w:rsidRPr="004F001D" w:rsidDel="00F2636C" w:rsidRDefault="004F001D" w:rsidP="005F3931">
      <w:pPr>
        <w:pStyle w:val="FSBullet1"/>
        <w:spacing w:after="120"/>
        <w:ind w:left="567" w:hanging="567"/>
      </w:pPr>
      <w:r w:rsidRPr="004F001D" w:rsidDel="00F2636C">
        <w:t xml:space="preserve">107 – Infant formula </w:t>
      </w:r>
    </w:p>
    <w:p w14:paraId="36D03DD9" w14:textId="499D06C2" w:rsidR="004F001D" w:rsidRPr="004F001D" w:rsidRDefault="004F001D" w:rsidP="005F3931">
      <w:pPr>
        <w:pStyle w:val="FSBullet1"/>
        <w:spacing w:after="120"/>
        <w:ind w:left="567" w:hanging="567"/>
      </w:pPr>
      <w:r w:rsidRPr="004F001D" w:rsidDel="00F2636C">
        <w:t>170 – Food additives.</w:t>
      </w:r>
    </w:p>
    <w:p w14:paraId="55DCB776" w14:textId="6BE446BF" w:rsidR="00776154" w:rsidRPr="008E266B" w:rsidRDefault="00776154" w:rsidP="00C73A77">
      <w:pPr>
        <w:pStyle w:val="Heading3"/>
      </w:pPr>
      <w:bookmarkStart w:id="128" w:name="_Toc422232742"/>
      <w:bookmarkStart w:id="129" w:name="_Toc423353976"/>
      <w:bookmarkStart w:id="130" w:name="_Toc423355219"/>
      <w:bookmarkStart w:id="131" w:name="_Toc423355577"/>
      <w:bookmarkStart w:id="132" w:name="_Toc425258683"/>
      <w:bookmarkStart w:id="133" w:name="_Toc430095370"/>
      <w:bookmarkStart w:id="134" w:name="_Toc430096868"/>
      <w:bookmarkStart w:id="135" w:name="_Toc431812585"/>
      <w:bookmarkStart w:id="136" w:name="_Toc431895463"/>
      <w:bookmarkStart w:id="137" w:name="_Toc432408898"/>
      <w:bookmarkStart w:id="138" w:name="_Toc432605300"/>
      <w:bookmarkStart w:id="139" w:name="_Toc433120537"/>
      <w:bookmarkStart w:id="140" w:name="_Toc439757552"/>
      <w:bookmarkStart w:id="141" w:name="_Toc439757776"/>
      <w:bookmarkStart w:id="142" w:name="_Toc439758154"/>
      <w:bookmarkStart w:id="143" w:name="_Toc67393237"/>
      <w:bookmarkStart w:id="144" w:name="_Toc73455608"/>
      <w:bookmarkStart w:id="145" w:name="_Toc73624881"/>
      <w:r w:rsidRPr="008E266B">
        <w:t>1.</w:t>
      </w:r>
      <w:r w:rsidR="00924791">
        <w:t>4</w:t>
      </w:r>
      <w:r w:rsidR="004F001D">
        <w:t>.4</w:t>
      </w:r>
      <w:r w:rsidRPr="008E266B">
        <w:tab/>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r w:rsidRPr="00526B79">
        <w:t>Ministerial policy guid</w:t>
      </w:r>
      <w:r>
        <w:t>elines</w:t>
      </w:r>
      <w:bookmarkEnd w:id="143"/>
      <w:bookmarkEnd w:id="144"/>
      <w:bookmarkEnd w:id="145"/>
    </w:p>
    <w:p w14:paraId="0F771DA2" w14:textId="502C4DA0" w:rsidR="00776154" w:rsidRPr="00061A55" w:rsidRDefault="00776154" w:rsidP="00776154">
      <w:pPr>
        <w:keepNext/>
        <w:keepLines/>
        <w:rPr>
          <w:lang w:eastAsia="en-AU" w:bidi="ar-SA"/>
        </w:rPr>
      </w:pPr>
      <w:r w:rsidRPr="005F5D83">
        <w:t>FSANZ must also have regard to Ministerial policy guidance in developing and varying standards in the Code. The relevant</w:t>
      </w:r>
      <w:r>
        <w:t xml:space="preserve"> policy is the</w:t>
      </w:r>
      <w:r w:rsidRPr="005F5D83">
        <w:t xml:space="preserve"> </w:t>
      </w:r>
      <w:hyperlink r:id="rId32" w:history="1">
        <w:r w:rsidR="003276BB" w:rsidRPr="003276BB">
          <w:rPr>
            <w:rStyle w:val="Hyperlink"/>
          </w:rPr>
          <w:t xml:space="preserve">Ministerial Policy Guideline on the </w:t>
        </w:r>
        <w:r w:rsidR="003276BB" w:rsidRPr="003276BB">
          <w:rPr>
            <w:rStyle w:val="Hyperlink"/>
            <w:i/>
          </w:rPr>
          <w:t xml:space="preserve">Regulation of Infant Formula Products </w:t>
        </w:r>
        <w:r w:rsidR="003276BB" w:rsidRPr="003276BB">
          <w:rPr>
            <w:rStyle w:val="Hyperlink"/>
          </w:rPr>
          <w:t>(the Policy Guideline)</w:t>
        </w:r>
      </w:hyperlink>
      <w:r w:rsidR="00916602">
        <w:t>.</w:t>
      </w:r>
      <w:r w:rsidRPr="005F5D83">
        <w:t xml:space="preserve"> The Policy Guideline contains</w:t>
      </w:r>
      <w:r>
        <w:t xml:space="preserve"> </w:t>
      </w:r>
      <w:r w:rsidRPr="004169AA">
        <w:rPr>
          <w:i/>
        </w:rPr>
        <w:t>Specific Policy Principles</w:t>
      </w:r>
      <w:r w:rsidRPr="005F5D83">
        <w:t xml:space="preserve"> that address product composition, labelling and advertising. </w:t>
      </w:r>
      <w:r w:rsidRPr="005F5D83">
        <w:rPr>
          <w:szCs w:val="22"/>
        </w:rPr>
        <w:t xml:space="preserve">The Policy Guideline also refers to the regulation of infant formula “being consistent to the greatest extent possible” with relevant World Health Organization (WHO) and World Trade Organization (WTO) agreements, and Codex standards. </w:t>
      </w:r>
      <w:r w:rsidR="00664A85">
        <w:rPr>
          <w:szCs w:val="22"/>
        </w:rPr>
        <w:t>The main p</w:t>
      </w:r>
      <w:r w:rsidRPr="00061A55">
        <w:rPr>
          <w:lang w:eastAsia="en-AU" w:bidi="ar-SA"/>
        </w:rPr>
        <w:t xml:space="preserve">olicy principle </w:t>
      </w:r>
      <w:r>
        <w:rPr>
          <w:lang w:eastAsia="en-AU" w:bidi="ar-SA"/>
        </w:rPr>
        <w:t>relevant to this Consultation paper</w:t>
      </w:r>
      <w:r w:rsidR="0042219E">
        <w:rPr>
          <w:lang w:eastAsia="en-AU" w:bidi="ar-SA"/>
        </w:rPr>
        <w:t xml:space="preserve"> </w:t>
      </w:r>
      <w:r w:rsidR="00664A85">
        <w:rPr>
          <w:lang w:eastAsia="en-AU" w:bidi="ar-SA"/>
        </w:rPr>
        <w:t>is</w:t>
      </w:r>
      <w:r w:rsidRPr="00061A55">
        <w:rPr>
          <w:lang w:eastAsia="en-AU" w:bidi="ar-SA"/>
        </w:rPr>
        <w:t>:</w:t>
      </w:r>
    </w:p>
    <w:p w14:paraId="32670312" w14:textId="66836A2C" w:rsidR="00916602" w:rsidRDefault="00776154" w:rsidP="00916602">
      <w:pPr>
        <w:spacing w:before="120"/>
        <w:ind w:left="567" w:hanging="567"/>
        <w:rPr>
          <w:lang w:eastAsia="en-AU"/>
        </w:rPr>
      </w:pPr>
      <w:r w:rsidRPr="00061A55">
        <w:rPr>
          <w:lang w:eastAsia="en-AU"/>
        </w:rPr>
        <w:t>d)</w:t>
      </w:r>
      <w:r w:rsidRPr="00061A55">
        <w:rPr>
          <w:lang w:eastAsia="en-AU"/>
        </w:rPr>
        <w:tab/>
        <w:t xml:space="preserve">The composition of infant formula </w:t>
      </w:r>
      <w:r>
        <w:rPr>
          <w:lang w:eastAsia="en-AU"/>
        </w:rPr>
        <w:t xml:space="preserve">products </w:t>
      </w:r>
      <w:r w:rsidRPr="00061A55">
        <w:rPr>
          <w:lang w:eastAsia="en-AU"/>
        </w:rPr>
        <w:t>must be safe, suitable for the intended use and must strive to achieve as closely as possible the normal growth and development (as measured by appropriate physiological, biochemical and/or functional outcomes) of healthy full term exclusively breastfed infants when infant formula used as the sole source of nutrition up to six months of age.</w:t>
      </w:r>
      <w:bookmarkStart w:id="146" w:name="_Toc73455609"/>
      <w:bookmarkStart w:id="147" w:name="_Toc73624882"/>
    </w:p>
    <w:p w14:paraId="5A8CFA6A" w14:textId="77777777" w:rsidR="00916602" w:rsidRDefault="00916602" w:rsidP="00916602">
      <w:pPr>
        <w:spacing w:before="120"/>
        <w:ind w:left="567" w:hanging="567"/>
        <w:rPr>
          <w:lang w:eastAsia="en-AU"/>
        </w:rPr>
      </w:pPr>
    </w:p>
    <w:p w14:paraId="1A07F88D" w14:textId="5E5D0A75" w:rsidR="00776154" w:rsidRDefault="00776154" w:rsidP="00916602">
      <w:pPr>
        <w:pStyle w:val="Heading1"/>
      </w:pPr>
      <w:bookmarkStart w:id="148" w:name="_Toc76138268"/>
      <w:r>
        <w:t>2</w:t>
      </w:r>
      <w:r>
        <w:tab/>
      </w:r>
      <w:r w:rsidR="00DC647C">
        <w:t xml:space="preserve">Submitter comments to </w:t>
      </w:r>
      <w:r w:rsidR="001B3DE5">
        <w:t>the 2</w:t>
      </w:r>
      <w:r w:rsidR="00C30BAC">
        <w:t>016 Cons</w:t>
      </w:r>
      <w:r w:rsidR="001B3DE5">
        <w:t>ul</w:t>
      </w:r>
      <w:r w:rsidR="00C30BAC">
        <w:t>t</w:t>
      </w:r>
      <w:r w:rsidR="001B3DE5">
        <w:t>ation paper</w:t>
      </w:r>
      <w:bookmarkStart w:id="149" w:name="_Toc412794109"/>
      <w:bookmarkStart w:id="150" w:name="_Toc419280138"/>
      <w:bookmarkStart w:id="151" w:name="_Toc427310818"/>
      <w:bookmarkStart w:id="152" w:name="_Toc427318258"/>
      <w:bookmarkStart w:id="153" w:name="_Toc430074136"/>
      <w:bookmarkStart w:id="154" w:name="_Toc432434648"/>
      <w:bookmarkStart w:id="155" w:name="_Toc437858769"/>
      <w:bookmarkStart w:id="156" w:name="_Toc440462443"/>
      <w:bookmarkStart w:id="157" w:name="_Toc440470840"/>
      <w:bookmarkEnd w:id="29"/>
      <w:bookmarkEnd w:id="30"/>
      <w:bookmarkEnd w:id="146"/>
      <w:bookmarkEnd w:id="147"/>
      <w:r w:rsidR="00DC647C">
        <w:t>: general composition issues</w:t>
      </w:r>
      <w:bookmarkEnd w:id="148"/>
    </w:p>
    <w:p w14:paraId="0BE5BDD8" w14:textId="0DAA398B" w:rsidR="00DC647C" w:rsidRDefault="00DC647C" w:rsidP="00DC647C">
      <w:pPr>
        <w:pStyle w:val="Default"/>
        <w:rPr>
          <w:rFonts w:ascii="Arial" w:hAnsi="Arial"/>
          <w:color w:val="auto"/>
          <w:sz w:val="22"/>
          <w:lang w:val="en-GB" w:eastAsia="en-AU" w:bidi="en-US"/>
        </w:rPr>
      </w:pPr>
      <w:r>
        <w:rPr>
          <w:rFonts w:ascii="Arial" w:hAnsi="Arial"/>
          <w:color w:val="auto"/>
          <w:sz w:val="22"/>
          <w:lang w:val="en-GB" w:eastAsia="en-AU" w:bidi="en-US"/>
        </w:rPr>
        <w:t>Table 2.1 lists general composition issues that were raised in the 2016 consultation, along with FSANZ’s response. Submitter comments to specif</w:t>
      </w:r>
      <w:r w:rsidR="00544BB2">
        <w:rPr>
          <w:rFonts w:ascii="Arial" w:hAnsi="Arial"/>
          <w:color w:val="auto"/>
          <w:sz w:val="22"/>
          <w:lang w:val="en-GB" w:eastAsia="en-AU" w:bidi="en-US"/>
        </w:rPr>
        <w:t xml:space="preserve">ic issues are discussed within sections on the individual </w:t>
      </w:r>
      <w:r>
        <w:rPr>
          <w:rFonts w:ascii="Arial" w:hAnsi="Arial"/>
          <w:color w:val="auto"/>
          <w:sz w:val="22"/>
          <w:lang w:val="en-GB" w:eastAsia="en-AU" w:bidi="en-US"/>
        </w:rPr>
        <w:t xml:space="preserve">nutrients. </w:t>
      </w:r>
    </w:p>
    <w:p w14:paraId="19AAC1CF" w14:textId="77777777" w:rsidR="00DC647C" w:rsidRDefault="00DC647C" w:rsidP="00DC647C">
      <w:pPr>
        <w:pStyle w:val="Default"/>
        <w:rPr>
          <w:rFonts w:ascii="Arial" w:hAnsi="Arial"/>
          <w:color w:val="auto"/>
          <w:sz w:val="22"/>
          <w:lang w:val="en-GB" w:eastAsia="en-AU" w:bidi="en-US"/>
        </w:rPr>
      </w:pPr>
    </w:p>
    <w:p w14:paraId="11DB0966" w14:textId="77777777" w:rsidR="00544BB2" w:rsidRDefault="00DC647C" w:rsidP="00DC647C">
      <w:pPr>
        <w:pStyle w:val="Default"/>
        <w:rPr>
          <w:rFonts w:ascii="Arial" w:hAnsi="Arial"/>
          <w:color w:val="auto"/>
          <w:sz w:val="22"/>
          <w:lang w:val="en-GB" w:eastAsia="en-AU" w:bidi="en-US"/>
        </w:rPr>
      </w:pPr>
      <w:r w:rsidRPr="00BD1350">
        <w:rPr>
          <w:rFonts w:ascii="Arial" w:hAnsi="Arial"/>
          <w:color w:val="auto"/>
          <w:sz w:val="22"/>
          <w:lang w:val="en-GB" w:eastAsia="en-AU" w:bidi="en-US"/>
        </w:rPr>
        <w:t xml:space="preserve">The 2016 </w:t>
      </w:r>
      <w:r>
        <w:rPr>
          <w:rFonts w:ascii="Arial" w:hAnsi="Arial"/>
          <w:color w:val="auto"/>
          <w:sz w:val="22"/>
          <w:lang w:val="en-GB" w:eastAsia="en-AU" w:bidi="en-US"/>
        </w:rPr>
        <w:t>Consultation paper</w:t>
      </w:r>
      <w:r w:rsidRPr="00BD1350">
        <w:rPr>
          <w:rFonts w:ascii="Arial" w:hAnsi="Arial"/>
          <w:color w:val="auto"/>
          <w:sz w:val="22"/>
          <w:lang w:val="en-GB" w:eastAsia="en-AU" w:bidi="en-US"/>
        </w:rPr>
        <w:t xml:space="preserve"> also received several submitter comments regarding alignment with </w:t>
      </w:r>
      <w:r>
        <w:rPr>
          <w:rFonts w:ascii="Arial" w:hAnsi="Arial"/>
          <w:color w:val="auto"/>
          <w:sz w:val="22"/>
          <w:lang w:val="en-GB" w:eastAsia="en-AU" w:bidi="en-US"/>
        </w:rPr>
        <w:t>EU 2016/127</w:t>
      </w:r>
      <w:r w:rsidRPr="00BD1350">
        <w:rPr>
          <w:rFonts w:ascii="Arial" w:hAnsi="Arial"/>
          <w:color w:val="auto"/>
          <w:sz w:val="22"/>
          <w:lang w:val="en-GB" w:eastAsia="en-AU" w:bidi="en-US"/>
        </w:rPr>
        <w:t xml:space="preserve"> as this represented the most recent science</w:t>
      </w:r>
      <w:r>
        <w:rPr>
          <w:rFonts w:ascii="Arial" w:hAnsi="Arial"/>
          <w:color w:val="auto"/>
          <w:sz w:val="22"/>
          <w:lang w:val="en-GB" w:eastAsia="en-AU" w:bidi="en-US"/>
        </w:rPr>
        <w:t>-</w:t>
      </w:r>
      <w:r w:rsidRPr="00BD1350">
        <w:rPr>
          <w:rFonts w:ascii="Arial" w:hAnsi="Arial"/>
          <w:color w:val="auto"/>
          <w:sz w:val="22"/>
          <w:lang w:val="en-GB" w:eastAsia="en-AU" w:bidi="en-US"/>
        </w:rPr>
        <w:t xml:space="preserve">based assessment. </w:t>
      </w:r>
      <w:r>
        <w:rPr>
          <w:rFonts w:ascii="Arial" w:hAnsi="Arial"/>
          <w:color w:val="auto"/>
          <w:sz w:val="22"/>
          <w:lang w:val="en-GB" w:eastAsia="en-AU" w:bidi="en-US"/>
        </w:rPr>
        <w:t>EU 2016/127</w:t>
      </w:r>
      <w:r w:rsidRPr="00BD1350">
        <w:rPr>
          <w:rFonts w:ascii="Arial" w:hAnsi="Arial"/>
          <w:color w:val="auto"/>
          <w:sz w:val="22"/>
          <w:lang w:val="en-GB" w:eastAsia="en-AU" w:bidi="en-US"/>
        </w:rPr>
        <w:t xml:space="preserve"> is mostly based o</w:t>
      </w:r>
      <w:r>
        <w:rPr>
          <w:rFonts w:ascii="Arial" w:hAnsi="Arial"/>
          <w:color w:val="auto"/>
          <w:sz w:val="22"/>
          <w:lang w:val="en-GB" w:eastAsia="en-AU" w:bidi="en-US"/>
        </w:rPr>
        <w:t>n</w:t>
      </w:r>
      <w:r w:rsidRPr="00BD1350">
        <w:rPr>
          <w:rFonts w:ascii="Arial" w:hAnsi="Arial"/>
          <w:color w:val="auto"/>
          <w:sz w:val="22"/>
          <w:lang w:val="en-GB" w:eastAsia="en-AU" w:bidi="en-US"/>
        </w:rPr>
        <w:t xml:space="preserve"> the 2014 </w:t>
      </w:r>
      <w:r>
        <w:rPr>
          <w:rFonts w:ascii="Arial" w:hAnsi="Arial"/>
          <w:color w:val="auto"/>
          <w:sz w:val="22"/>
          <w:lang w:val="en-GB" w:eastAsia="en-AU" w:bidi="en-US"/>
        </w:rPr>
        <w:t>European Food Safety Authority (</w:t>
      </w:r>
      <w:r w:rsidRPr="00BD1350">
        <w:rPr>
          <w:rFonts w:ascii="Arial" w:hAnsi="Arial"/>
          <w:color w:val="auto"/>
          <w:sz w:val="22"/>
          <w:lang w:val="en-GB" w:eastAsia="en-AU" w:bidi="en-US"/>
        </w:rPr>
        <w:t>EFSA</w:t>
      </w:r>
      <w:r>
        <w:rPr>
          <w:rFonts w:ascii="Arial" w:hAnsi="Arial"/>
          <w:color w:val="auto"/>
          <w:sz w:val="22"/>
          <w:lang w:val="en-GB" w:eastAsia="en-AU" w:bidi="en-US"/>
        </w:rPr>
        <w:t>)</w:t>
      </w:r>
      <w:r w:rsidRPr="00BD1350">
        <w:rPr>
          <w:rFonts w:ascii="Arial" w:hAnsi="Arial"/>
          <w:color w:val="auto"/>
          <w:sz w:val="22"/>
          <w:lang w:val="en-GB" w:eastAsia="en-AU" w:bidi="en-US"/>
        </w:rPr>
        <w:t xml:space="preserve"> recommendations</w:t>
      </w:r>
      <w:r>
        <w:rPr>
          <w:rFonts w:ascii="Arial" w:hAnsi="Arial"/>
          <w:color w:val="auto"/>
          <w:sz w:val="22"/>
          <w:lang w:val="en-GB" w:eastAsia="en-AU" w:bidi="en-US"/>
        </w:rPr>
        <w:t xml:space="preserve"> (EFSA 2014b)</w:t>
      </w:r>
      <w:r w:rsidRPr="00BD1350">
        <w:rPr>
          <w:rFonts w:ascii="Arial" w:hAnsi="Arial"/>
          <w:color w:val="auto"/>
          <w:sz w:val="22"/>
          <w:lang w:val="en-GB" w:eastAsia="en-AU" w:bidi="en-US"/>
        </w:rPr>
        <w:t>. FSANZ assessed the science underpinning the</w:t>
      </w:r>
      <w:r>
        <w:rPr>
          <w:rFonts w:ascii="Arial" w:hAnsi="Arial"/>
          <w:color w:val="auto"/>
          <w:sz w:val="22"/>
          <w:lang w:val="en-GB" w:eastAsia="en-AU" w:bidi="en-US"/>
        </w:rPr>
        <w:t xml:space="preserve"> EFSA</w:t>
      </w:r>
      <w:r w:rsidRPr="00BD1350">
        <w:rPr>
          <w:rFonts w:ascii="Arial" w:hAnsi="Arial"/>
          <w:color w:val="auto"/>
          <w:sz w:val="22"/>
          <w:lang w:val="en-GB" w:eastAsia="en-AU" w:bidi="en-US"/>
        </w:rPr>
        <w:t xml:space="preserve"> 2014 recommendations within the 2016 nutrition</w:t>
      </w:r>
      <w:r>
        <w:rPr>
          <w:rFonts w:ascii="Arial" w:hAnsi="Arial"/>
          <w:color w:val="auto"/>
          <w:sz w:val="22"/>
          <w:lang w:val="en-GB" w:eastAsia="en-AU" w:bidi="en-US"/>
        </w:rPr>
        <w:t xml:space="preserve"> risk assessment</w:t>
      </w:r>
      <w:r w:rsidRPr="00BD1350">
        <w:rPr>
          <w:rFonts w:ascii="Arial" w:hAnsi="Arial"/>
          <w:color w:val="auto"/>
          <w:sz w:val="22"/>
          <w:lang w:val="en-GB" w:eastAsia="en-AU" w:bidi="en-US"/>
        </w:rPr>
        <w:t xml:space="preserve"> </w:t>
      </w:r>
      <w:r>
        <w:rPr>
          <w:rFonts w:ascii="Arial" w:hAnsi="Arial"/>
          <w:color w:val="auto"/>
          <w:sz w:val="22"/>
          <w:lang w:val="en-GB" w:eastAsia="en-AU" w:bidi="en-US"/>
        </w:rPr>
        <w:t xml:space="preserve">and </w:t>
      </w:r>
      <w:r w:rsidRPr="00BD1350">
        <w:rPr>
          <w:rFonts w:ascii="Arial" w:hAnsi="Arial"/>
          <w:color w:val="auto"/>
          <w:sz w:val="22"/>
          <w:lang w:val="en-GB" w:eastAsia="en-AU" w:bidi="en-US"/>
        </w:rPr>
        <w:t xml:space="preserve">noted that the recommendations were generally not based on new science. EFSA </w:t>
      </w:r>
      <w:r>
        <w:rPr>
          <w:rFonts w:ascii="Arial" w:hAnsi="Arial"/>
          <w:color w:val="auto"/>
          <w:sz w:val="22"/>
          <w:lang w:val="en-GB" w:eastAsia="en-AU" w:bidi="en-US"/>
        </w:rPr>
        <w:t>(</w:t>
      </w:r>
      <w:r w:rsidRPr="00BD1350">
        <w:rPr>
          <w:rFonts w:ascii="Arial" w:hAnsi="Arial"/>
          <w:color w:val="auto"/>
          <w:sz w:val="22"/>
          <w:lang w:val="en-GB" w:eastAsia="en-AU" w:bidi="en-US"/>
        </w:rPr>
        <w:t>2014</w:t>
      </w:r>
      <w:r>
        <w:rPr>
          <w:rFonts w:ascii="Arial" w:hAnsi="Arial"/>
          <w:color w:val="auto"/>
          <w:sz w:val="22"/>
          <w:lang w:val="en-GB" w:eastAsia="en-AU" w:bidi="en-US"/>
        </w:rPr>
        <w:t>b)</w:t>
      </w:r>
      <w:r w:rsidRPr="00BD1350">
        <w:rPr>
          <w:rFonts w:ascii="Arial" w:hAnsi="Arial"/>
          <w:color w:val="auto"/>
          <w:sz w:val="22"/>
          <w:lang w:val="en-GB" w:eastAsia="en-AU" w:bidi="en-US"/>
        </w:rPr>
        <w:t xml:space="preserve"> also did not evaluate</w:t>
      </w:r>
      <w:r>
        <w:rPr>
          <w:rFonts w:ascii="Arial" w:hAnsi="Arial"/>
          <w:color w:val="auto"/>
          <w:sz w:val="22"/>
          <w:lang w:val="en-GB" w:eastAsia="en-AU" w:bidi="en-US"/>
        </w:rPr>
        <w:t xml:space="preserve"> the maximums for micronutrients. T</w:t>
      </w:r>
      <w:r w:rsidRPr="00BD1350">
        <w:rPr>
          <w:rFonts w:ascii="Arial" w:hAnsi="Arial"/>
          <w:color w:val="auto"/>
          <w:sz w:val="22"/>
          <w:lang w:val="en-GB" w:eastAsia="en-AU" w:bidi="en-US"/>
        </w:rPr>
        <w:t>he panel note</w:t>
      </w:r>
      <w:r>
        <w:rPr>
          <w:rFonts w:ascii="Arial" w:hAnsi="Arial"/>
          <w:color w:val="auto"/>
          <w:sz w:val="22"/>
          <w:lang w:val="en-GB" w:eastAsia="en-AU" w:bidi="en-US"/>
        </w:rPr>
        <w:t>d</w:t>
      </w:r>
      <w:r w:rsidRPr="00BD1350">
        <w:rPr>
          <w:rFonts w:ascii="Arial" w:hAnsi="Arial"/>
          <w:color w:val="auto"/>
          <w:sz w:val="22"/>
          <w:lang w:val="en-GB" w:eastAsia="en-AU" w:bidi="en-US"/>
        </w:rPr>
        <w:t xml:space="preserve"> that</w:t>
      </w:r>
      <w:r w:rsidR="00544BB2">
        <w:rPr>
          <w:rFonts w:ascii="Arial" w:hAnsi="Arial"/>
          <w:color w:val="auto"/>
          <w:sz w:val="22"/>
          <w:lang w:val="en-GB" w:eastAsia="en-AU" w:bidi="en-US"/>
        </w:rPr>
        <w:t>:</w:t>
      </w:r>
    </w:p>
    <w:p w14:paraId="0148BE0E" w14:textId="77777777" w:rsidR="00544BB2" w:rsidRDefault="00544BB2" w:rsidP="00DC647C">
      <w:pPr>
        <w:pStyle w:val="Default"/>
        <w:rPr>
          <w:rFonts w:ascii="Arial" w:hAnsi="Arial"/>
          <w:color w:val="auto"/>
          <w:sz w:val="22"/>
          <w:lang w:val="en-GB" w:eastAsia="en-AU" w:bidi="en-US"/>
        </w:rPr>
      </w:pPr>
    </w:p>
    <w:p w14:paraId="2D1B42E4" w14:textId="77777777" w:rsidR="00544BB2" w:rsidRDefault="00DC647C" w:rsidP="00544BB2">
      <w:pPr>
        <w:pStyle w:val="Default"/>
        <w:ind w:left="567"/>
        <w:rPr>
          <w:rFonts w:ascii="Arial" w:hAnsi="Arial"/>
          <w:color w:val="auto"/>
          <w:sz w:val="22"/>
          <w:lang w:val="en-GB" w:eastAsia="en-AU" w:bidi="en-US"/>
        </w:rPr>
      </w:pPr>
      <w:r w:rsidRPr="00BD1350">
        <w:rPr>
          <w:rFonts w:ascii="Arial" w:hAnsi="Arial"/>
          <w:i/>
          <w:color w:val="auto"/>
          <w:sz w:val="22"/>
          <w:lang w:val="en-GB" w:eastAsia="en-AU" w:bidi="en-US"/>
        </w:rPr>
        <w:t xml:space="preserve">‘specifications for the currently permitted maximum amounts of micronutrients in formulae were mostly calculated as three to five times the minimum amounts </w:t>
      </w:r>
      <w:r w:rsidRPr="00BD1350">
        <w:rPr>
          <w:rFonts w:ascii="Arial" w:hAnsi="Arial"/>
          <w:i/>
          <w:color w:val="auto"/>
          <w:sz w:val="22"/>
          <w:lang w:val="en-GB" w:eastAsia="en-AU" w:bidi="en-US"/>
        </w:rPr>
        <w:lastRenderedPageBreak/>
        <w:t>established at the time and took into account the established history of apparent safe use and were not based on scientific evidence for adverse effects owing to the lack of such evidence for most nutrients’</w:t>
      </w:r>
      <w:r w:rsidRPr="00BD1350">
        <w:rPr>
          <w:rFonts w:ascii="Arial" w:hAnsi="Arial"/>
          <w:color w:val="auto"/>
          <w:sz w:val="22"/>
          <w:lang w:val="en-GB" w:eastAsia="en-AU" w:bidi="en-US"/>
        </w:rPr>
        <w:t xml:space="preserve">. </w:t>
      </w:r>
    </w:p>
    <w:p w14:paraId="3E7400C0" w14:textId="77777777" w:rsidR="00544BB2" w:rsidRDefault="00544BB2" w:rsidP="00DC647C">
      <w:pPr>
        <w:pStyle w:val="Default"/>
        <w:rPr>
          <w:rFonts w:ascii="Arial" w:hAnsi="Arial"/>
          <w:color w:val="auto"/>
          <w:sz w:val="22"/>
          <w:lang w:val="en-GB" w:eastAsia="en-AU" w:bidi="en-US"/>
        </w:rPr>
      </w:pPr>
    </w:p>
    <w:p w14:paraId="35FF3E44" w14:textId="3E89905C" w:rsidR="00DC647C" w:rsidRPr="004C6B9C" w:rsidRDefault="00DC647C" w:rsidP="00DC647C">
      <w:pPr>
        <w:pStyle w:val="Default"/>
        <w:rPr>
          <w:rFonts w:ascii="Arial" w:hAnsi="Arial"/>
          <w:color w:val="auto"/>
          <w:sz w:val="22"/>
          <w:lang w:val="en-GB" w:eastAsia="en-AU" w:bidi="en-US"/>
        </w:rPr>
      </w:pPr>
      <w:r w:rsidRPr="00BD1350">
        <w:rPr>
          <w:rFonts w:ascii="Arial" w:hAnsi="Arial"/>
          <w:color w:val="auto"/>
          <w:sz w:val="22"/>
          <w:lang w:val="en-GB" w:eastAsia="en-AU" w:bidi="en-US"/>
        </w:rPr>
        <w:t>FSANZ reiterate</w:t>
      </w:r>
      <w:r>
        <w:rPr>
          <w:rFonts w:ascii="Arial" w:hAnsi="Arial"/>
          <w:color w:val="auto"/>
          <w:sz w:val="22"/>
          <w:lang w:val="en-GB" w:eastAsia="en-AU" w:bidi="en-US"/>
        </w:rPr>
        <w:t>s</w:t>
      </w:r>
      <w:r w:rsidRPr="00BD1350">
        <w:rPr>
          <w:rFonts w:ascii="Arial" w:hAnsi="Arial"/>
          <w:color w:val="auto"/>
          <w:sz w:val="22"/>
          <w:lang w:val="en-GB" w:eastAsia="en-AU" w:bidi="en-US"/>
        </w:rPr>
        <w:t xml:space="preserve"> that the purpose of the proposal, in regard to harmonisation, is to align with international standards and not jurisdiction regulations.</w:t>
      </w:r>
      <w:r>
        <w:rPr>
          <w:rFonts w:ascii="Arial" w:hAnsi="Arial"/>
          <w:color w:val="auto"/>
          <w:sz w:val="22"/>
          <w:lang w:val="en-GB" w:eastAsia="en-AU" w:bidi="en-US"/>
        </w:rPr>
        <w:t xml:space="preserve"> Where applicable, t</w:t>
      </w:r>
      <w:r w:rsidRPr="00BD1350">
        <w:rPr>
          <w:rFonts w:ascii="Arial" w:hAnsi="Arial"/>
          <w:color w:val="auto"/>
          <w:sz w:val="22"/>
          <w:lang w:val="en-GB" w:eastAsia="en-AU" w:bidi="en-US"/>
        </w:rPr>
        <w:t xml:space="preserve">his </w:t>
      </w:r>
      <w:r>
        <w:rPr>
          <w:rFonts w:ascii="Arial" w:hAnsi="Arial"/>
          <w:color w:val="auto"/>
          <w:sz w:val="22"/>
          <w:lang w:val="en-GB" w:eastAsia="en-AU" w:bidi="en-US"/>
        </w:rPr>
        <w:t xml:space="preserve">Consultation paper </w:t>
      </w:r>
      <w:r w:rsidRPr="00BD1350">
        <w:rPr>
          <w:rFonts w:ascii="Arial" w:hAnsi="Arial"/>
          <w:color w:val="auto"/>
          <w:sz w:val="22"/>
          <w:lang w:val="en-GB" w:eastAsia="en-AU" w:bidi="en-US"/>
        </w:rPr>
        <w:t xml:space="preserve">considers </w:t>
      </w:r>
      <w:r>
        <w:rPr>
          <w:rFonts w:ascii="Arial" w:hAnsi="Arial"/>
          <w:color w:val="auto"/>
          <w:sz w:val="22"/>
          <w:lang w:val="en-GB" w:eastAsia="en-AU" w:bidi="en-US"/>
        </w:rPr>
        <w:t>EU 2016/127</w:t>
      </w:r>
      <w:r w:rsidRPr="00BD1350">
        <w:rPr>
          <w:rFonts w:ascii="Arial" w:hAnsi="Arial"/>
          <w:color w:val="auto"/>
          <w:sz w:val="22"/>
          <w:lang w:val="en-GB" w:eastAsia="en-AU" w:bidi="en-US"/>
        </w:rPr>
        <w:t xml:space="preserve"> and the EFSA </w:t>
      </w:r>
      <w:r>
        <w:rPr>
          <w:rFonts w:ascii="Arial" w:hAnsi="Arial"/>
          <w:color w:val="auto"/>
          <w:sz w:val="22"/>
          <w:lang w:val="en-GB" w:eastAsia="en-AU" w:bidi="en-US"/>
        </w:rPr>
        <w:t>(</w:t>
      </w:r>
      <w:r w:rsidRPr="00BD1350">
        <w:rPr>
          <w:rFonts w:ascii="Arial" w:hAnsi="Arial"/>
          <w:color w:val="auto"/>
          <w:sz w:val="22"/>
          <w:lang w:val="en-GB" w:eastAsia="en-AU" w:bidi="en-US"/>
        </w:rPr>
        <w:t>2014</w:t>
      </w:r>
      <w:r>
        <w:rPr>
          <w:rFonts w:ascii="Arial" w:hAnsi="Arial"/>
          <w:color w:val="auto"/>
          <w:sz w:val="22"/>
          <w:lang w:val="en-GB" w:eastAsia="en-AU" w:bidi="en-US"/>
        </w:rPr>
        <w:t xml:space="preserve">b) </w:t>
      </w:r>
      <w:r w:rsidRPr="00BD1350">
        <w:rPr>
          <w:rFonts w:ascii="Arial" w:hAnsi="Arial"/>
          <w:color w:val="auto"/>
          <w:sz w:val="22"/>
          <w:lang w:val="en-GB" w:eastAsia="en-AU" w:bidi="en-US"/>
        </w:rPr>
        <w:t>findings to inform proposed options for amendi</w:t>
      </w:r>
      <w:r>
        <w:rPr>
          <w:rFonts w:ascii="Arial" w:hAnsi="Arial"/>
          <w:color w:val="auto"/>
          <w:sz w:val="22"/>
          <w:lang w:val="en-GB" w:eastAsia="en-AU" w:bidi="en-US"/>
        </w:rPr>
        <w:t>ng Standard 2.9.1.</w:t>
      </w:r>
    </w:p>
    <w:p w14:paraId="4973ACC6" w14:textId="4AFE8C7C" w:rsidR="00544BB2" w:rsidRPr="00DC647C" w:rsidRDefault="00544BB2" w:rsidP="00544BB2">
      <w:pPr>
        <w:pStyle w:val="FSTableColumnRowheading"/>
      </w:pPr>
      <w:r>
        <w:t>Table 2.1</w:t>
      </w:r>
      <w:r>
        <w:tab/>
        <w:t>Submitter comments on general composition issues</w:t>
      </w:r>
    </w:p>
    <w:tbl>
      <w:tblPr>
        <w:tblStyle w:val="MediumShading1-Accent3"/>
        <w:tblW w:w="5000" w:type="pct"/>
        <w:tblLook w:val="04A0" w:firstRow="1" w:lastRow="0" w:firstColumn="1" w:lastColumn="0" w:noHBand="0" w:noVBand="1"/>
        <w:tblCaption w:val="General composition issues raised in submissions to the 2016 Consultation paper "/>
        <w:tblDescription w:val="This table summarises the submissions pertaining to general composition issues to the previous Consultation papers for Proposal P1028"/>
      </w:tblPr>
      <w:tblGrid>
        <w:gridCol w:w="2966"/>
        <w:gridCol w:w="1560"/>
        <w:gridCol w:w="4480"/>
      </w:tblGrid>
      <w:tr w:rsidR="00776154" w:rsidRPr="00E9515E" w14:paraId="32DE6F0B" w14:textId="77777777" w:rsidTr="00544BB2">
        <w:trPr>
          <w:cnfStyle w:val="100000000000" w:firstRow="1" w:lastRow="0" w:firstColumn="0" w:lastColumn="0" w:oddVBand="0" w:evenVBand="0" w:oddHBand="0" w:evenHBand="0"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1647" w:type="pct"/>
            <w:vAlign w:val="center"/>
          </w:tcPr>
          <w:p w14:paraId="3ED6EB33" w14:textId="15D75500" w:rsidR="00776154" w:rsidRPr="00BE5B3E" w:rsidRDefault="00843305" w:rsidP="00DC647C">
            <w:pPr>
              <w:jc w:val="center"/>
              <w:rPr>
                <w:rFonts w:asciiTheme="minorHAnsi" w:hAnsiTheme="minorHAnsi" w:cstheme="minorHAnsi"/>
                <w:color w:val="auto"/>
              </w:rPr>
            </w:pPr>
            <w:r>
              <w:rPr>
                <w:rFonts w:asciiTheme="minorHAnsi" w:hAnsiTheme="minorHAnsi" w:cstheme="minorHAnsi"/>
                <w:color w:val="auto"/>
                <w:szCs w:val="20"/>
              </w:rPr>
              <w:t>Comment</w:t>
            </w:r>
          </w:p>
        </w:tc>
        <w:tc>
          <w:tcPr>
            <w:tcW w:w="866" w:type="pct"/>
            <w:vAlign w:val="center"/>
          </w:tcPr>
          <w:p w14:paraId="5609E349" w14:textId="77777777" w:rsidR="00776154" w:rsidRPr="00BE5B3E" w:rsidRDefault="00776154" w:rsidP="00DC647C">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rPr>
            </w:pPr>
            <w:r w:rsidRPr="00BE5B3E">
              <w:rPr>
                <w:rFonts w:asciiTheme="minorHAnsi" w:hAnsiTheme="minorHAnsi" w:cstheme="minorHAnsi"/>
                <w:color w:val="auto"/>
                <w:szCs w:val="20"/>
              </w:rPr>
              <w:t>Submitters</w:t>
            </w:r>
          </w:p>
        </w:tc>
        <w:tc>
          <w:tcPr>
            <w:tcW w:w="2487" w:type="pct"/>
            <w:vAlign w:val="center"/>
          </w:tcPr>
          <w:p w14:paraId="5461469A" w14:textId="77777777" w:rsidR="00776154" w:rsidRPr="00BE5B3E" w:rsidRDefault="00776154" w:rsidP="00DC647C">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Cs w:val="20"/>
              </w:rPr>
            </w:pPr>
            <w:r w:rsidRPr="00BE5B3E">
              <w:rPr>
                <w:rFonts w:asciiTheme="minorHAnsi" w:hAnsiTheme="minorHAnsi" w:cstheme="minorHAnsi"/>
                <w:color w:val="auto"/>
                <w:szCs w:val="20"/>
              </w:rPr>
              <w:t>FSANZ response</w:t>
            </w:r>
          </w:p>
        </w:tc>
      </w:tr>
      <w:tr w:rsidR="00776154" w:rsidRPr="00E9515E" w14:paraId="7BE352A0" w14:textId="77777777" w:rsidTr="00544BB2">
        <w:trPr>
          <w:cnfStyle w:val="000000100000" w:firstRow="0" w:lastRow="0" w:firstColumn="0" w:lastColumn="0" w:oddVBand="0" w:evenVBand="0" w:oddHBand="1" w:evenHBand="0" w:firstRowFirstColumn="0" w:firstRowLastColumn="0" w:lastRowFirstColumn="0" w:lastRowLastColumn="0"/>
          <w:trHeight w:val="1367"/>
        </w:trPr>
        <w:tc>
          <w:tcPr>
            <w:cnfStyle w:val="001000000000" w:firstRow="0" w:lastRow="0" w:firstColumn="1" w:lastColumn="0" w:oddVBand="0" w:evenVBand="0" w:oddHBand="0" w:evenHBand="0" w:firstRowFirstColumn="0" w:firstRowLastColumn="0" w:lastRowFirstColumn="0" w:lastRowLastColumn="0"/>
            <w:tcW w:w="1647" w:type="pct"/>
          </w:tcPr>
          <w:p w14:paraId="1A56BE75" w14:textId="0A78B65D" w:rsidR="00776154" w:rsidRPr="00BE5B3E" w:rsidRDefault="00776154" w:rsidP="00680858">
            <w:pPr>
              <w:rPr>
                <w:rFonts w:asciiTheme="minorHAnsi" w:hAnsiTheme="minorHAnsi" w:cstheme="minorHAnsi"/>
                <w:b w:val="0"/>
              </w:rPr>
            </w:pPr>
            <w:r w:rsidRPr="00BE5B3E">
              <w:rPr>
                <w:rFonts w:asciiTheme="minorHAnsi" w:hAnsiTheme="minorHAnsi" w:cstheme="minorHAnsi"/>
                <w:b w:val="0"/>
              </w:rPr>
              <w:t>Nutrients and substances should only be added to infant formula in amounts that serve a nutritional function or other benefit; and should not place a burden on the infant’s metabolism or other physiological functions.</w:t>
            </w:r>
          </w:p>
        </w:tc>
        <w:tc>
          <w:tcPr>
            <w:tcW w:w="866" w:type="pct"/>
          </w:tcPr>
          <w:p w14:paraId="0CD55098" w14:textId="77777777" w:rsidR="00776154" w:rsidRPr="00BE5B3E" w:rsidRDefault="00776154" w:rsidP="00776154">
            <w:pPr>
              <w:ind w:left="113" w:hanging="113"/>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E5B3E">
              <w:rPr>
                <w:rFonts w:asciiTheme="minorHAnsi" w:hAnsiTheme="minorHAnsi" w:cstheme="minorHAnsi"/>
              </w:rPr>
              <w:t>Government (1)</w:t>
            </w:r>
          </w:p>
        </w:tc>
        <w:tc>
          <w:tcPr>
            <w:tcW w:w="2487" w:type="pct"/>
          </w:tcPr>
          <w:p w14:paraId="6E8192A2" w14:textId="3BB04C8B" w:rsidR="00776154" w:rsidRPr="00BE5B3E" w:rsidRDefault="00993ABD" w:rsidP="00C16B1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E5B3E">
              <w:rPr>
                <w:rFonts w:asciiTheme="minorHAnsi" w:hAnsiTheme="minorHAnsi" w:cstheme="minorHAnsi"/>
              </w:rPr>
              <w:t>FSANZ agree</w:t>
            </w:r>
            <w:r w:rsidR="000A5147">
              <w:rPr>
                <w:rFonts w:asciiTheme="minorHAnsi" w:hAnsiTheme="minorHAnsi" w:cstheme="minorHAnsi"/>
              </w:rPr>
              <w:t xml:space="preserve">s and has had regard to the Ministerial Policy Guideline in section 1.4.3. The 2016 Consultation paper provided principles that underpin the approach to ensure </w:t>
            </w:r>
            <w:r w:rsidR="00C16B10">
              <w:rPr>
                <w:rFonts w:asciiTheme="minorHAnsi" w:hAnsiTheme="minorHAnsi" w:cstheme="minorHAnsi"/>
              </w:rPr>
              <w:t xml:space="preserve">nutrients </w:t>
            </w:r>
            <w:r w:rsidR="000A5147">
              <w:rPr>
                <w:rFonts w:asciiTheme="minorHAnsi" w:hAnsiTheme="minorHAnsi" w:cstheme="minorHAnsi"/>
              </w:rPr>
              <w:t xml:space="preserve">do not exceed an infant’s requirements. </w:t>
            </w:r>
            <w:r w:rsidR="00C16B10">
              <w:rPr>
                <w:rFonts w:asciiTheme="minorHAnsi" w:hAnsiTheme="minorHAnsi" w:cstheme="minorHAnsi"/>
              </w:rPr>
              <w:t>(FSANZ 2016c, page 36-37)</w:t>
            </w:r>
          </w:p>
        </w:tc>
      </w:tr>
      <w:tr w:rsidR="00776154" w:rsidRPr="00E9515E" w14:paraId="2CBE31C5" w14:textId="77777777" w:rsidTr="00544BB2">
        <w:trPr>
          <w:cnfStyle w:val="000000010000" w:firstRow="0" w:lastRow="0" w:firstColumn="0" w:lastColumn="0" w:oddVBand="0" w:evenVBand="0" w:oddHBand="0" w:evenHBand="1" w:firstRowFirstColumn="0" w:firstRowLastColumn="0" w:lastRowFirstColumn="0" w:lastRowLastColumn="0"/>
          <w:trHeight w:val="1367"/>
        </w:trPr>
        <w:tc>
          <w:tcPr>
            <w:cnfStyle w:val="001000000000" w:firstRow="0" w:lastRow="0" w:firstColumn="1" w:lastColumn="0" w:oddVBand="0" w:evenVBand="0" w:oddHBand="0" w:evenHBand="0" w:firstRowFirstColumn="0" w:firstRowLastColumn="0" w:lastRowFirstColumn="0" w:lastRowLastColumn="0"/>
            <w:tcW w:w="1647" w:type="pct"/>
          </w:tcPr>
          <w:p w14:paraId="5AE5B50A" w14:textId="74E4FE0D" w:rsidR="00776154" w:rsidRPr="00BE5B3E" w:rsidRDefault="00776154" w:rsidP="00776154">
            <w:pPr>
              <w:rPr>
                <w:rFonts w:asciiTheme="minorHAnsi" w:hAnsiTheme="minorHAnsi" w:cstheme="minorHAnsi"/>
                <w:b w:val="0"/>
              </w:rPr>
            </w:pPr>
            <w:r w:rsidRPr="00BE5B3E">
              <w:rPr>
                <w:rFonts w:asciiTheme="minorHAnsi" w:hAnsiTheme="minorHAnsi" w:cstheme="minorHAnsi"/>
                <w:b w:val="0"/>
              </w:rPr>
              <w:t>Minimum levels of nutrients should be used as target values, as there is no need to provide values in excess of the target value</w:t>
            </w:r>
            <w:r w:rsidR="00680858" w:rsidRPr="00BE5B3E">
              <w:rPr>
                <w:rFonts w:asciiTheme="minorHAnsi" w:hAnsiTheme="minorHAnsi" w:cstheme="minorHAnsi"/>
                <w:b w:val="0"/>
              </w:rPr>
              <w:t>.</w:t>
            </w:r>
          </w:p>
        </w:tc>
        <w:tc>
          <w:tcPr>
            <w:tcW w:w="866" w:type="pct"/>
          </w:tcPr>
          <w:p w14:paraId="395F36A5" w14:textId="77777777" w:rsidR="00776154" w:rsidRPr="00BE5B3E" w:rsidRDefault="00776154" w:rsidP="00776154">
            <w:pPr>
              <w:ind w:left="113" w:hanging="113"/>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BE5B3E">
              <w:rPr>
                <w:rFonts w:asciiTheme="minorHAnsi" w:hAnsiTheme="minorHAnsi" w:cstheme="minorHAnsi"/>
              </w:rPr>
              <w:t>Government (1)</w:t>
            </w:r>
          </w:p>
        </w:tc>
        <w:tc>
          <w:tcPr>
            <w:tcW w:w="2487" w:type="pct"/>
          </w:tcPr>
          <w:p w14:paraId="14C03501" w14:textId="0DF1F1D6" w:rsidR="00416F19" w:rsidRPr="00BE5B3E" w:rsidRDefault="00ED2DED" w:rsidP="005F7906">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Cs w:val="22"/>
              </w:rPr>
            </w:pPr>
            <w:r w:rsidRPr="00BE5B3E">
              <w:rPr>
                <w:rFonts w:asciiTheme="minorHAnsi" w:hAnsiTheme="minorHAnsi" w:cstheme="minorHAnsi"/>
              </w:rPr>
              <w:t>FSANZ reiterates the</w:t>
            </w:r>
            <w:r w:rsidR="005F7906" w:rsidRPr="00BE5B3E">
              <w:rPr>
                <w:rFonts w:asciiTheme="minorHAnsi" w:hAnsiTheme="minorHAnsi" w:cstheme="minorHAnsi"/>
              </w:rPr>
              <w:t xml:space="preserve"> </w:t>
            </w:r>
            <w:r w:rsidRPr="00BE5B3E">
              <w:rPr>
                <w:rFonts w:asciiTheme="minorHAnsi" w:hAnsiTheme="minorHAnsi" w:cstheme="minorHAnsi"/>
              </w:rPr>
              <w:t xml:space="preserve">EFSA </w:t>
            </w:r>
            <w:r w:rsidR="005F7906" w:rsidRPr="00BE5B3E">
              <w:rPr>
                <w:rFonts w:asciiTheme="minorHAnsi" w:hAnsiTheme="minorHAnsi" w:cstheme="minorHAnsi"/>
              </w:rPr>
              <w:t xml:space="preserve"> (2014b) </w:t>
            </w:r>
            <w:r w:rsidRPr="00BE5B3E">
              <w:rPr>
                <w:rFonts w:asciiTheme="minorHAnsi" w:hAnsiTheme="minorHAnsi" w:cstheme="minorHAnsi"/>
              </w:rPr>
              <w:t xml:space="preserve">opinion that </w:t>
            </w:r>
            <w:r w:rsidRPr="00BE5B3E">
              <w:rPr>
                <w:rFonts w:asciiTheme="minorHAnsi" w:hAnsiTheme="minorHAnsi" w:cstheme="minorHAnsi"/>
                <w:szCs w:val="22"/>
              </w:rPr>
              <w:t xml:space="preserve">minimum amounts should be understood as target values which cover the nutritional needs of the majority of infants born at term for optimal growth and development. </w:t>
            </w:r>
          </w:p>
        </w:tc>
      </w:tr>
      <w:tr w:rsidR="00776154" w:rsidRPr="00E9515E" w14:paraId="7EF62822" w14:textId="77777777" w:rsidTr="00544BB2">
        <w:trPr>
          <w:cnfStyle w:val="000000100000" w:firstRow="0" w:lastRow="0" w:firstColumn="0" w:lastColumn="0" w:oddVBand="0" w:evenVBand="0" w:oddHBand="1" w:evenHBand="0" w:firstRowFirstColumn="0" w:firstRowLastColumn="0" w:lastRowFirstColumn="0" w:lastRowLastColumn="0"/>
          <w:trHeight w:val="1106"/>
        </w:trPr>
        <w:tc>
          <w:tcPr>
            <w:cnfStyle w:val="001000000000" w:firstRow="0" w:lastRow="0" w:firstColumn="1" w:lastColumn="0" w:oddVBand="0" w:evenVBand="0" w:oddHBand="0" w:evenHBand="0" w:firstRowFirstColumn="0" w:firstRowLastColumn="0" w:lastRowFirstColumn="0" w:lastRowLastColumn="0"/>
            <w:tcW w:w="1647" w:type="pct"/>
          </w:tcPr>
          <w:p w14:paraId="17881435" w14:textId="25FC218B" w:rsidR="00776154" w:rsidRPr="00BE5B3E" w:rsidRDefault="00776154" w:rsidP="00776154">
            <w:pPr>
              <w:rPr>
                <w:rFonts w:asciiTheme="minorHAnsi" w:hAnsiTheme="minorHAnsi" w:cstheme="minorHAnsi"/>
                <w:b w:val="0"/>
              </w:rPr>
            </w:pPr>
            <w:r w:rsidRPr="00BE5B3E">
              <w:rPr>
                <w:rFonts w:asciiTheme="minorHAnsi" w:hAnsiTheme="minorHAnsi" w:cstheme="minorHAnsi"/>
                <w:b w:val="0"/>
              </w:rPr>
              <w:t>Maximum levels should be regarded as upper limits as provision of excess nutrients may overload an infant’s ability to excrete the nutrients i.e. excessive renal solute load</w:t>
            </w:r>
            <w:r w:rsidR="00680858" w:rsidRPr="00BE5B3E">
              <w:rPr>
                <w:rFonts w:asciiTheme="minorHAnsi" w:hAnsiTheme="minorHAnsi" w:cstheme="minorHAnsi"/>
                <w:b w:val="0"/>
              </w:rPr>
              <w:t>.</w:t>
            </w:r>
          </w:p>
        </w:tc>
        <w:tc>
          <w:tcPr>
            <w:tcW w:w="866" w:type="pct"/>
          </w:tcPr>
          <w:p w14:paraId="5A7BED39" w14:textId="77777777" w:rsidR="00776154" w:rsidRPr="00BE5B3E" w:rsidRDefault="00776154" w:rsidP="00776154">
            <w:pPr>
              <w:ind w:left="113" w:hanging="113"/>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E5B3E">
              <w:rPr>
                <w:rFonts w:asciiTheme="minorHAnsi" w:hAnsiTheme="minorHAnsi" w:cstheme="minorHAnsi"/>
              </w:rPr>
              <w:t>Government (1)</w:t>
            </w:r>
          </w:p>
        </w:tc>
        <w:tc>
          <w:tcPr>
            <w:tcW w:w="2487" w:type="pct"/>
          </w:tcPr>
          <w:p w14:paraId="5F4897D8" w14:textId="35A56252" w:rsidR="00776154" w:rsidRPr="00BE5B3E" w:rsidRDefault="00ED2DED" w:rsidP="005F790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E5B3E">
              <w:rPr>
                <w:rFonts w:asciiTheme="minorHAnsi" w:hAnsiTheme="minorHAnsi" w:cstheme="minorHAnsi"/>
              </w:rPr>
              <w:t>F</w:t>
            </w:r>
            <w:r w:rsidR="00916602">
              <w:rPr>
                <w:rFonts w:asciiTheme="minorHAnsi" w:hAnsiTheme="minorHAnsi" w:cstheme="minorHAnsi"/>
              </w:rPr>
              <w:t xml:space="preserve">SANZ agrees and reiterates the </w:t>
            </w:r>
            <w:r w:rsidRPr="00BE5B3E">
              <w:rPr>
                <w:rFonts w:asciiTheme="minorHAnsi" w:hAnsiTheme="minorHAnsi" w:cstheme="minorHAnsi"/>
              </w:rPr>
              <w:t xml:space="preserve">EFSA </w:t>
            </w:r>
            <w:r w:rsidR="005F7906" w:rsidRPr="00BE5B3E">
              <w:rPr>
                <w:rFonts w:asciiTheme="minorHAnsi" w:hAnsiTheme="minorHAnsi" w:cstheme="minorHAnsi"/>
              </w:rPr>
              <w:t xml:space="preserve">(2014b) </w:t>
            </w:r>
            <w:r w:rsidRPr="00BE5B3E">
              <w:rPr>
                <w:rFonts w:asciiTheme="minorHAnsi" w:hAnsiTheme="minorHAnsi" w:cstheme="minorHAnsi"/>
              </w:rPr>
              <w:t>opinion that</w:t>
            </w:r>
            <w:r w:rsidRPr="00BE5B3E">
              <w:rPr>
                <w:rFonts w:asciiTheme="minorHAnsi" w:hAnsiTheme="minorHAnsi" w:cstheme="minorHAnsi"/>
                <w:szCs w:val="22"/>
              </w:rPr>
              <w:t xml:space="preserve"> maximum amounts are driven by safety aspects while also taking into account technological considerations and should not be interpreted as target values but rather as upper limits of a range which should not be exceeded.</w:t>
            </w:r>
          </w:p>
        </w:tc>
      </w:tr>
      <w:tr w:rsidR="00776154" w:rsidRPr="00E9515E" w14:paraId="059AEC96" w14:textId="77777777" w:rsidTr="00544BB2">
        <w:trPr>
          <w:cnfStyle w:val="000000010000" w:firstRow="0" w:lastRow="0" w:firstColumn="0" w:lastColumn="0" w:oddVBand="0" w:evenVBand="0" w:oddHBand="0" w:evenHBand="1" w:firstRowFirstColumn="0" w:firstRowLastColumn="0" w:lastRowFirstColumn="0" w:lastRowLastColumn="0"/>
          <w:trHeight w:val="211"/>
        </w:trPr>
        <w:tc>
          <w:tcPr>
            <w:cnfStyle w:val="001000000000" w:firstRow="0" w:lastRow="0" w:firstColumn="1" w:lastColumn="0" w:oddVBand="0" w:evenVBand="0" w:oddHBand="0" w:evenHBand="0" w:firstRowFirstColumn="0" w:firstRowLastColumn="0" w:lastRowFirstColumn="0" w:lastRowLastColumn="0"/>
            <w:tcW w:w="1647" w:type="pct"/>
          </w:tcPr>
          <w:p w14:paraId="7508BBC6" w14:textId="7B56568B" w:rsidR="00776154" w:rsidRPr="00BE5B3E" w:rsidRDefault="00776154" w:rsidP="00776154">
            <w:pPr>
              <w:autoSpaceDE w:val="0"/>
              <w:autoSpaceDN w:val="0"/>
              <w:adjustRightInd w:val="0"/>
              <w:rPr>
                <w:rFonts w:asciiTheme="minorHAnsi" w:hAnsiTheme="minorHAnsi" w:cstheme="minorHAnsi"/>
                <w:b w:val="0"/>
              </w:rPr>
            </w:pPr>
            <w:r w:rsidRPr="00BE5B3E">
              <w:rPr>
                <w:rFonts w:asciiTheme="minorHAnsi" w:hAnsiTheme="minorHAnsi" w:cstheme="minorHAnsi"/>
                <w:b w:val="0"/>
              </w:rPr>
              <w:t>Technical calculation errors have been identified on nutrient composition specified in Codex STAN 72-1981 on a per 1</w:t>
            </w:r>
            <w:r w:rsidR="00ED2DED" w:rsidRPr="00BE5B3E">
              <w:rPr>
                <w:rFonts w:asciiTheme="minorHAnsi" w:hAnsiTheme="minorHAnsi" w:cstheme="minorHAnsi"/>
                <w:b w:val="0"/>
              </w:rPr>
              <w:t>00 kcal basis</w:t>
            </w:r>
            <w:r w:rsidR="00680858" w:rsidRPr="00BE5B3E">
              <w:rPr>
                <w:rFonts w:asciiTheme="minorHAnsi" w:hAnsiTheme="minorHAnsi" w:cstheme="minorHAnsi"/>
                <w:b w:val="0"/>
              </w:rPr>
              <w:t xml:space="preserve"> which</w:t>
            </w:r>
            <w:r w:rsidR="00ED2DED" w:rsidRPr="00BE5B3E">
              <w:rPr>
                <w:rFonts w:asciiTheme="minorHAnsi" w:hAnsiTheme="minorHAnsi" w:cstheme="minorHAnsi"/>
                <w:b w:val="0"/>
              </w:rPr>
              <w:t xml:space="preserve"> have not all been </w:t>
            </w:r>
            <w:r w:rsidRPr="00BE5B3E">
              <w:rPr>
                <w:rFonts w:asciiTheme="minorHAnsi" w:hAnsiTheme="minorHAnsi" w:cstheme="minorHAnsi"/>
                <w:b w:val="0"/>
              </w:rPr>
              <w:t>correctly converted to a per 100 kJ basis in this Codex standard. These errors have led to some values being applied in Standard 2.9.1 (intended to be aligned with Codex) being incorrectly stated. The</w:t>
            </w:r>
            <w:r w:rsidR="00ED2DED" w:rsidRPr="00BE5B3E">
              <w:rPr>
                <w:rFonts w:asciiTheme="minorHAnsi" w:hAnsiTheme="minorHAnsi" w:cstheme="minorHAnsi"/>
                <w:b w:val="0"/>
              </w:rPr>
              <w:t xml:space="preserve"> </w:t>
            </w:r>
            <w:r w:rsidRPr="00BE5B3E">
              <w:rPr>
                <w:rFonts w:asciiTheme="minorHAnsi" w:hAnsiTheme="minorHAnsi" w:cstheme="minorHAnsi"/>
                <w:b w:val="0"/>
              </w:rPr>
              <w:t>inconsistencies that result from these incorrect conversion calculations create barriers to</w:t>
            </w:r>
            <w:r w:rsidR="001B5C97" w:rsidRPr="00BE5B3E">
              <w:rPr>
                <w:rFonts w:asciiTheme="minorHAnsi" w:hAnsiTheme="minorHAnsi" w:cstheme="minorHAnsi"/>
                <w:b w:val="0"/>
              </w:rPr>
              <w:t xml:space="preserve"> </w:t>
            </w:r>
            <w:r w:rsidRPr="00BE5B3E">
              <w:rPr>
                <w:rFonts w:asciiTheme="minorHAnsi" w:hAnsiTheme="minorHAnsi" w:cstheme="minorHAnsi"/>
                <w:b w:val="0"/>
              </w:rPr>
              <w:t>trade.</w:t>
            </w:r>
          </w:p>
        </w:tc>
        <w:tc>
          <w:tcPr>
            <w:tcW w:w="866" w:type="pct"/>
          </w:tcPr>
          <w:p w14:paraId="6B188121" w14:textId="77777777" w:rsidR="00776154" w:rsidRPr="00BE5B3E" w:rsidRDefault="00776154" w:rsidP="00776154">
            <w:pPr>
              <w:ind w:left="113" w:hanging="113"/>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BE5B3E">
              <w:rPr>
                <w:rFonts w:asciiTheme="minorHAnsi" w:hAnsiTheme="minorHAnsi" w:cstheme="minorHAnsi"/>
              </w:rPr>
              <w:t>Industry (1)</w:t>
            </w:r>
          </w:p>
        </w:tc>
        <w:tc>
          <w:tcPr>
            <w:tcW w:w="2487" w:type="pct"/>
          </w:tcPr>
          <w:p w14:paraId="261EC5E7" w14:textId="3E4430CE" w:rsidR="00776154" w:rsidRPr="00BE5B3E" w:rsidRDefault="00776154" w:rsidP="008E2B96">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494593">
              <w:rPr>
                <w:rFonts w:asciiTheme="minorHAnsi" w:hAnsiTheme="minorHAnsi" w:cstheme="minorHAnsi"/>
              </w:rPr>
              <w:t xml:space="preserve">FSANZ </w:t>
            </w:r>
            <w:r w:rsidR="00752D98" w:rsidRPr="00494593">
              <w:rPr>
                <w:rFonts w:asciiTheme="minorHAnsi" w:hAnsiTheme="minorHAnsi" w:cstheme="minorHAnsi"/>
              </w:rPr>
              <w:t xml:space="preserve">considered this issue in the nutrition risk assessment (SD1). It was found that </w:t>
            </w:r>
            <w:r w:rsidR="00752D98" w:rsidRPr="00494593">
              <w:rPr>
                <w:lang w:eastAsia="en-AU"/>
              </w:rPr>
              <w:t>multiplying micronutrient values expressed in kcal by the conversion factor specified in the Code (4.18) gives a maximum difference of 10% in the values expre</w:t>
            </w:r>
            <w:r w:rsidR="00494593" w:rsidRPr="00494593">
              <w:rPr>
                <w:lang w:eastAsia="en-AU"/>
              </w:rPr>
              <w:t xml:space="preserve">ssed in kJ. The differences are </w:t>
            </w:r>
            <w:r w:rsidR="00752D98" w:rsidRPr="00494593">
              <w:rPr>
                <w:lang w:eastAsia="en-AU"/>
              </w:rPr>
              <w:t>due to rounding</w:t>
            </w:r>
            <w:r w:rsidR="00494593" w:rsidRPr="00494593">
              <w:rPr>
                <w:lang w:eastAsia="en-AU"/>
              </w:rPr>
              <w:t xml:space="preserve">. </w:t>
            </w:r>
            <w:r w:rsidR="008E2B96">
              <w:rPr>
                <w:lang w:eastAsia="en-AU"/>
              </w:rPr>
              <w:t xml:space="preserve">Given </w:t>
            </w:r>
            <w:r w:rsidR="008E2B96">
              <w:rPr>
                <w:color w:val="000000" w:themeColor="text1"/>
                <w:lang w:val="en-AU" w:bidi="ar-SA"/>
              </w:rPr>
              <w:t xml:space="preserve">that </w:t>
            </w:r>
            <w:r w:rsidR="008E2B96">
              <w:rPr>
                <w:color w:val="000000" w:themeColor="text1"/>
                <w:lang w:bidi="ar-SA"/>
              </w:rPr>
              <w:t xml:space="preserve">there is </w:t>
            </w:r>
            <w:r w:rsidR="008E2B96" w:rsidRPr="001F6B72">
              <w:rPr>
                <w:color w:val="000000" w:themeColor="text1"/>
                <w:lang w:bidi="ar-SA"/>
              </w:rPr>
              <w:t>unlikely to be prolonged consumption</w:t>
            </w:r>
            <w:r w:rsidR="008E2B96">
              <w:rPr>
                <w:color w:val="000000" w:themeColor="text1"/>
                <w:lang w:bidi="ar-SA"/>
              </w:rPr>
              <w:t xml:space="preserve"> of formula containing the  highest or lowest concentrations of micronutrients</w:t>
            </w:r>
            <w:r w:rsidR="008E2B96">
              <w:rPr>
                <w:lang w:eastAsia="en-AU"/>
              </w:rPr>
              <w:t>, i</w:t>
            </w:r>
            <w:r w:rsidR="00494593" w:rsidRPr="00494593">
              <w:rPr>
                <w:lang w:eastAsia="en-AU"/>
              </w:rPr>
              <w:t xml:space="preserve">t is proposed that </w:t>
            </w:r>
            <w:r w:rsidR="00B813D0">
              <w:rPr>
                <w:lang w:eastAsia="en-AU"/>
              </w:rPr>
              <w:t xml:space="preserve">the inconsistencies </w:t>
            </w:r>
            <w:r w:rsidR="00B813D0">
              <w:rPr>
                <w:rFonts w:asciiTheme="minorHAnsi" w:hAnsiTheme="minorHAnsi" w:cstheme="minorHAnsi"/>
              </w:rPr>
              <w:t>can be rectified</w:t>
            </w:r>
            <w:r w:rsidR="00494593" w:rsidRPr="00494593">
              <w:rPr>
                <w:rFonts w:asciiTheme="minorHAnsi" w:hAnsiTheme="minorHAnsi" w:cstheme="minorHAnsi"/>
              </w:rPr>
              <w:t xml:space="preserve"> in</w:t>
            </w:r>
            <w:r w:rsidRPr="00494593">
              <w:rPr>
                <w:rFonts w:asciiTheme="minorHAnsi" w:hAnsiTheme="minorHAnsi" w:cstheme="minorHAnsi"/>
              </w:rPr>
              <w:t xml:space="preserve"> Standard 2.9.1</w:t>
            </w:r>
            <w:r w:rsidR="00494593" w:rsidRPr="00494593">
              <w:rPr>
                <w:rFonts w:asciiTheme="minorHAnsi" w:hAnsiTheme="minorHAnsi" w:cstheme="minorHAnsi"/>
              </w:rPr>
              <w:t>/Schedule 29</w:t>
            </w:r>
            <w:r w:rsidR="00B813D0">
              <w:rPr>
                <w:rFonts w:asciiTheme="minorHAnsi" w:hAnsiTheme="minorHAnsi" w:cstheme="minorHAnsi"/>
              </w:rPr>
              <w:t xml:space="preserve"> (i.e. align with the Codex minimum or maximum as stated in units/100 kJ)</w:t>
            </w:r>
            <w:r w:rsidR="00494593" w:rsidRPr="00494593">
              <w:rPr>
                <w:rFonts w:asciiTheme="minorHAnsi" w:hAnsiTheme="minorHAnsi" w:cstheme="minorHAnsi"/>
              </w:rPr>
              <w:t>.</w:t>
            </w:r>
            <w:r w:rsidR="000A5147">
              <w:rPr>
                <w:rFonts w:asciiTheme="minorHAnsi" w:hAnsiTheme="minorHAnsi" w:cstheme="minorHAnsi"/>
              </w:rPr>
              <w:t xml:space="preserve"> </w:t>
            </w:r>
          </w:p>
        </w:tc>
      </w:tr>
      <w:tr w:rsidR="00776154" w:rsidRPr="00E9515E" w14:paraId="01703058" w14:textId="77777777" w:rsidTr="00544BB2">
        <w:trPr>
          <w:cnfStyle w:val="000000100000" w:firstRow="0" w:lastRow="0" w:firstColumn="0" w:lastColumn="0" w:oddVBand="0" w:evenVBand="0" w:oddHBand="1" w:evenHBand="0" w:firstRowFirstColumn="0" w:firstRowLastColumn="0" w:lastRowFirstColumn="0" w:lastRowLastColumn="0"/>
          <w:trHeight w:val="211"/>
        </w:trPr>
        <w:tc>
          <w:tcPr>
            <w:cnfStyle w:val="001000000000" w:firstRow="0" w:lastRow="0" w:firstColumn="1" w:lastColumn="0" w:oddVBand="0" w:evenVBand="0" w:oddHBand="0" w:evenHBand="0" w:firstRowFirstColumn="0" w:firstRowLastColumn="0" w:lastRowFirstColumn="0" w:lastRowLastColumn="0"/>
            <w:tcW w:w="1647" w:type="pct"/>
          </w:tcPr>
          <w:p w14:paraId="2372FCC7" w14:textId="573B46DC" w:rsidR="00776154" w:rsidRPr="00BE5B3E" w:rsidRDefault="00776154" w:rsidP="00ED2DED">
            <w:pPr>
              <w:autoSpaceDE w:val="0"/>
              <w:autoSpaceDN w:val="0"/>
              <w:adjustRightInd w:val="0"/>
              <w:rPr>
                <w:rFonts w:asciiTheme="minorHAnsi" w:hAnsiTheme="minorHAnsi" w:cstheme="minorHAnsi"/>
                <w:b w:val="0"/>
              </w:rPr>
            </w:pPr>
            <w:r w:rsidRPr="00BE5B3E">
              <w:rPr>
                <w:rFonts w:asciiTheme="minorHAnsi" w:hAnsiTheme="minorHAnsi" w:cstheme="minorHAnsi"/>
                <w:b w:val="0"/>
              </w:rPr>
              <w:t>Use of 4.18 to convert kcal to kJ (main impli</w:t>
            </w:r>
            <w:r w:rsidR="00ED2DED" w:rsidRPr="00BE5B3E">
              <w:rPr>
                <w:rFonts w:asciiTheme="minorHAnsi" w:hAnsiTheme="minorHAnsi" w:cstheme="minorHAnsi"/>
                <w:b w:val="0"/>
              </w:rPr>
              <w:t>cation is for protein minimum).</w:t>
            </w:r>
          </w:p>
        </w:tc>
        <w:tc>
          <w:tcPr>
            <w:tcW w:w="866" w:type="pct"/>
          </w:tcPr>
          <w:p w14:paraId="0D58204F" w14:textId="57B4598B" w:rsidR="00776154" w:rsidRPr="00BE5B3E" w:rsidRDefault="00034F27" w:rsidP="00776154">
            <w:pPr>
              <w:ind w:left="113" w:hanging="113"/>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E5B3E">
              <w:rPr>
                <w:rFonts w:asciiTheme="minorHAnsi" w:hAnsiTheme="minorHAnsi" w:cstheme="minorHAnsi"/>
              </w:rPr>
              <w:t>Industry (3</w:t>
            </w:r>
            <w:r w:rsidR="00776154" w:rsidRPr="00BE5B3E">
              <w:rPr>
                <w:rFonts w:asciiTheme="minorHAnsi" w:hAnsiTheme="minorHAnsi" w:cstheme="minorHAnsi"/>
              </w:rPr>
              <w:t>)</w:t>
            </w:r>
          </w:p>
        </w:tc>
        <w:tc>
          <w:tcPr>
            <w:tcW w:w="2487" w:type="pct"/>
          </w:tcPr>
          <w:p w14:paraId="709250CA" w14:textId="46904B02" w:rsidR="00020FE8" w:rsidRPr="00BE5B3E" w:rsidRDefault="00020FE8" w:rsidP="00ED2DE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E5B3E">
              <w:rPr>
                <w:rFonts w:asciiTheme="minorHAnsi" w:hAnsiTheme="minorHAnsi" w:cstheme="minorHAnsi"/>
              </w:rPr>
              <w:t xml:space="preserve">FSANZ </w:t>
            </w:r>
            <w:r w:rsidR="00680858" w:rsidRPr="00BE5B3E">
              <w:rPr>
                <w:rFonts w:asciiTheme="minorHAnsi" w:hAnsiTheme="minorHAnsi" w:cstheme="minorHAnsi"/>
              </w:rPr>
              <w:t>A</w:t>
            </w:r>
            <w:r w:rsidRPr="00BE5B3E">
              <w:rPr>
                <w:rFonts w:asciiTheme="minorHAnsi" w:hAnsiTheme="minorHAnsi" w:cstheme="minorHAnsi"/>
              </w:rPr>
              <w:t>pplication A1173 (2019</w:t>
            </w:r>
            <w:r w:rsidR="00690623">
              <w:rPr>
                <w:rFonts w:asciiTheme="minorHAnsi" w:hAnsiTheme="minorHAnsi" w:cstheme="minorHAnsi"/>
              </w:rPr>
              <w:t>a</w:t>
            </w:r>
            <w:r w:rsidRPr="00BE5B3E">
              <w:rPr>
                <w:rFonts w:asciiTheme="minorHAnsi" w:hAnsiTheme="minorHAnsi" w:cstheme="minorHAnsi"/>
              </w:rPr>
              <w:t xml:space="preserve">) assessed lowering the </w:t>
            </w:r>
            <w:r w:rsidR="00ED2DED" w:rsidRPr="00BE5B3E">
              <w:rPr>
                <w:rFonts w:asciiTheme="minorHAnsi" w:hAnsiTheme="minorHAnsi" w:cstheme="minorHAnsi"/>
              </w:rPr>
              <w:t xml:space="preserve">minimum protein in </w:t>
            </w:r>
            <w:r w:rsidR="00680858" w:rsidRPr="00BE5B3E">
              <w:rPr>
                <w:rFonts w:asciiTheme="minorHAnsi" w:hAnsiTheme="minorHAnsi" w:cstheme="minorHAnsi"/>
              </w:rPr>
              <w:t>FOF</w:t>
            </w:r>
            <w:r w:rsidR="00ED2DED" w:rsidRPr="00BE5B3E">
              <w:rPr>
                <w:rFonts w:asciiTheme="minorHAnsi" w:hAnsiTheme="minorHAnsi" w:cstheme="minorHAnsi"/>
              </w:rPr>
              <w:t xml:space="preserve">. The application </w:t>
            </w:r>
            <w:r w:rsidRPr="00BE5B3E">
              <w:rPr>
                <w:rFonts w:asciiTheme="minorHAnsi" w:hAnsiTheme="minorHAnsi" w:cstheme="minorHAnsi"/>
              </w:rPr>
              <w:t xml:space="preserve">applied </w:t>
            </w:r>
            <w:r w:rsidR="00ED2DED" w:rsidRPr="00BE5B3E">
              <w:rPr>
                <w:rFonts w:asciiTheme="minorHAnsi" w:hAnsiTheme="minorHAnsi" w:cstheme="minorHAnsi"/>
              </w:rPr>
              <w:t xml:space="preserve">the </w:t>
            </w:r>
            <w:r w:rsidRPr="00BE5B3E">
              <w:rPr>
                <w:rFonts w:asciiTheme="minorHAnsi" w:hAnsiTheme="minorHAnsi" w:cstheme="minorHAnsi"/>
              </w:rPr>
              <w:t xml:space="preserve">4.18 </w:t>
            </w:r>
            <w:r w:rsidR="00ED2DED" w:rsidRPr="00BE5B3E">
              <w:rPr>
                <w:rFonts w:asciiTheme="minorHAnsi" w:hAnsiTheme="minorHAnsi" w:cstheme="minorHAnsi"/>
              </w:rPr>
              <w:t xml:space="preserve">factor </w:t>
            </w:r>
            <w:r w:rsidRPr="00BE5B3E">
              <w:rPr>
                <w:rFonts w:asciiTheme="minorHAnsi" w:hAnsiTheme="minorHAnsi" w:cstheme="minorHAnsi"/>
              </w:rPr>
              <w:t xml:space="preserve">to convert kcal to kJ, however did not discuss </w:t>
            </w:r>
            <w:r w:rsidR="00ED2DED" w:rsidRPr="00BE5B3E">
              <w:rPr>
                <w:rFonts w:asciiTheme="minorHAnsi" w:hAnsiTheme="minorHAnsi" w:cstheme="minorHAnsi"/>
              </w:rPr>
              <w:t xml:space="preserve">any </w:t>
            </w:r>
            <w:r w:rsidR="00F40DE0" w:rsidRPr="00BE5B3E">
              <w:rPr>
                <w:rFonts w:asciiTheme="minorHAnsi" w:hAnsiTheme="minorHAnsi" w:cstheme="minorHAnsi"/>
              </w:rPr>
              <w:t>associated issues</w:t>
            </w:r>
            <w:r w:rsidR="00ED2DED" w:rsidRPr="00BE5B3E">
              <w:rPr>
                <w:rFonts w:asciiTheme="minorHAnsi" w:hAnsiTheme="minorHAnsi" w:cstheme="minorHAnsi"/>
              </w:rPr>
              <w:t xml:space="preserve">. </w:t>
            </w:r>
          </w:p>
          <w:p w14:paraId="38325702" w14:textId="77777777" w:rsidR="00020FE8" w:rsidRPr="00BE5B3E" w:rsidRDefault="00020FE8" w:rsidP="00020FE8">
            <w:pPr>
              <w:pStyle w:val="CommentT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14:paraId="08DC2B27" w14:textId="1B6001A0" w:rsidR="00776154" w:rsidRPr="00BE5B3E" w:rsidRDefault="00ED2DED" w:rsidP="00494593">
            <w:pPr>
              <w:pStyle w:val="CommentT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E5B3E">
              <w:rPr>
                <w:rFonts w:asciiTheme="minorHAnsi" w:hAnsiTheme="minorHAnsi" w:cstheme="minorHAnsi"/>
              </w:rPr>
              <w:t>C</w:t>
            </w:r>
            <w:r w:rsidR="00020FE8" w:rsidRPr="00BE5B3E">
              <w:rPr>
                <w:rFonts w:asciiTheme="minorHAnsi" w:hAnsiTheme="minorHAnsi" w:cstheme="minorHAnsi"/>
              </w:rPr>
              <w:t xml:space="preserve">alculations throughout this proposal </w:t>
            </w:r>
            <w:r w:rsidRPr="00BE5B3E">
              <w:rPr>
                <w:rFonts w:asciiTheme="minorHAnsi" w:hAnsiTheme="minorHAnsi" w:cstheme="minorHAnsi"/>
              </w:rPr>
              <w:t xml:space="preserve">are </w:t>
            </w:r>
            <w:r w:rsidR="00020FE8" w:rsidRPr="00BE5B3E">
              <w:rPr>
                <w:rFonts w:asciiTheme="minorHAnsi" w:hAnsiTheme="minorHAnsi" w:cstheme="minorHAnsi"/>
              </w:rPr>
              <w:t>based on 4.18</w:t>
            </w:r>
            <w:r w:rsidR="00494593">
              <w:rPr>
                <w:rFonts w:asciiTheme="minorHAnsi" w:hAnsiTheme="minorHAnsi" w:cstheme="minorHAnsi"/>
              </w:rPr>
              <w:t>. S</w:t>
            </w:r>
            <w:r w:rsidR="003276BB" w:rsidRPr="00BE5B3E">
              <w:rPr>
                <w:rFonts w:asciiTheme="minorHAnsi" w:hAnsiTheme="minorHAnsi" w:cstheme="minorHAnsi"/>
              </w:rPr>
              <w:t>ee section 5</w:t>
            </w:r>
            <w:r w:rsidR="009A5854" w:rsidRPr="00BE5B3E">
              <w:rPr>
                <w:rFonts w:asciiTheme="minorHAnsi" w:hAnsiTheme="minorHAnsi" w:cstheme="minorHAnsi"/>
              </w:rPr>
              <w:t xml:space="preserve"> and section </w:t>
            </w:r>
            <w:r w:rsidR="003276BB" w:rsidRPr="00BE5B3E">
              <w:rPr>
                <w:rFonts w:asciiTheme="minorHAnsi" w:hAnsiTheme="minorHAnsi" w:cstheme="minorHAnsi"/>
              </w:rPr>
              <w:t>9</w:t>
            </w:r>
            <w:r w:rsidR="009A5854" w:rsidRPr="00BE5B3E">
              <w:rPr>
                <w:rFonts w:asciiTheme="minorHAnsi" w:hAnsiTheme="minorHAnsi" w:cstheme="minorHAnsi"/>
              </w:rPr>
              <w:t xml:space="preserve"> of the SD1</w:t>
            </w:r>
            <w:r w:rsidRPr="00BE5B3E">
              <w:rPr>
                <w:rFonts w:asciiTheme="minorHAnsi" w:hAnsiTheme="minorHAnsi" w:cstheme="minorHAnsi"/>
              </w:rPr>
              <w:t xml:space="preserve"> for further discussion</w:t>
            </w:r>
            <w:r w:rsidR="00020FE8" w:rsidRPr="00BE5B3E">
              <w:rPr>
                <w:rFonts w:asciiTheme="minorHAnsi" w:hAnsiTheme="minorHAnsi" w:cstheme="minorHAnsi"/>
              </w:rPr>
              <w:t xml:space="preserve">. </w:t>
            </w:r>
          </w:p>
        </w:tc>
      </w:tr>
    </w:tbl>
    <w:p w14:paraId="47FB43C9" w14:textId="77777777" w:rsidR="00776154" w:rsidRDefault="00776154" w:rsidP="00776154">
      <w:pPr>
        <w:pStyle w:val="Default"/>
      </w:pPr>
    </w:p>
    <w:p w14:paraId="3EDF8E65" w14:textId="0F339839" w:rsidR="00776154" w:rsidRPr="00DF52AD" w:rsidRDefault="002061D8" w:rsidP="00776154">
      <w:pPr>
        <w:pStyle w:val="Heading1"/>
        <w:rPr>
          <w:webHidden/>
        </w:rPr>
      </w:pPr>
      <w:bookmarkStart w:id="158" w:name="_Toc73455610"/>
      <w:bookmarkStart w:id="159" w:name="_Toc73624883"/>
      <w:bookmarkStart w:id="160" w:name="_Toc76138269"/>
      <w:r>
        <w:lastRenderedPageBreak/>
        <w:t>3</w:t>
      </w:r>
      <w:r w:rsidR="00776154">
        <w:tab/>
      </w:r>
      <w:r w:rsidR="00776154" w:rsidRPr="00DF52AD">
        <w:t>Energy</w:t>
      </w:r>
      <w:bookmarkEnd w:id="158"/>
      <w:bookmarkEnd w:id="159"/>
      <w:bookmarkEnd w:id="160"/>
    </w:p>
    <w:p w14:paraId="21669B60" w14:textId="250C0BB8" w:rsidR="00776154" w:rsidRPr="007B2D2F" w:rsidRDefault="002061D8" w:rsidP="00776154">
      <w:pPr>
        <w:pStyle w:val="Heading2"/>
      </w:pPr>
      <w:bookmarkStart w:id="161" w:name="_Toc73455611"/>
      <w:bookmarkStart w:id="162" w:name="_Toc73624884"/>
      <w:bookmarkStart w:id="163" w:name="_Toc76138270"/>
      <w:r>
        <w:t>3</w:t>
      </w:r>
      <w:r w:rsidR="00776154" w:rsidRPr="007B2D2F">
        <w:t>.1</w:t>
      </w:r>
      <w:r w:rsidR="00776154" w:rsidRPr="007B2D2F">
        <w:tab/>
        <w:t>Energy content</w:t>
      </w:r>
      <w:bookmarkEnd w:id="161"/>
      <w:bookmarkEnd w:id="162"/>
      <w:bookmarkEnd w:id="163"/>
    </w:p>
    <w:p w14:paraId="78636DD1" w14:textId="7F3CED86" w:rsidR="00776154" w:rsidRPr="0017676E" w:rsidRDefault="00776154" w:rsidP="00776154">
      <w:pPr>
        <w:pStyle w:val="Heading4"/>
      </w:pPr>
      <w:r w:rsidRPr="0017676E">
        <w:t>Current regulation</w:t>
      </w:r>
      <w:r w:rsidR="007A6CD5">
        <w:t>s</w:t>
      </w:r>
    </w:p>
    <w:p w14:paraId="1978D0C2" w14:textId="0C350899" w:rsidR="00776154" w:rsidRDefault="00776154" w:rsidP="00776154">
      <w:pPr>
        <w:pStyle w:val="Normal1"/>
        <w:rPr>
          <w:rFonts w:eastAsia="Arial Unicode MS"/>
          <w:szCs w:val="22"/>
          <w:lang w:val="en-AU"/>
        </w:rPr>
      </w:pPr>
      <w:r w:rsidRPr="00786228">
        <w:rPr>
          <w:rFonts w:ascii="Arial" w:hAnsi="Arial" w:cs="Arial"/>
          <w:sz w:val="22"/>
          <w:szCs w:val="22"/>
        </w:rPr>
        <w:t>To ensure infant formula provides</w:t>
      </w:r>
      <w:r w:rsidRPr="003049C1">
        <w:rPr>
          <w:rFonts w:ascii="Arial" w:hAnsi="Arial" w:cs="Arial"/>
          <w:sz w:val="22"/>
          <w:szCs w:val="22"/>
        </w:rPr>
        <w:t xml:space="preserve"> sufficient but not excess energy, Standard 2.9.1 prescribes </w:t>
      </w:r>
      <w:r w:rsidR="00A771CE">
        <w:rPr>
          <w:rFonts w:ascii="Arial" w:hAnsi="Arial" w:cs="Arial"/>
          <w:sz w:val="22"/>
          <w:szCs w:val="22"/>
        </w:rPr>
        <w:t>the energy range of</w:t>
      </w:r>
      <w:r w:rsidRPr="003049C1">
        <w:rPr>
          <w:rFonts w:ascii="Arial" w:hAnsi="Arial" w:cs="Arial"/>
          <w:sz w:val="22"/>
          <w:szCs w:val="22"/>
        </w:rPr>
        <w:t xml:space="preserve"> </w:t>
      </w:r>
      <w:r w:rsidRPr="003049C1">
        <w:rPr>
          <w:rFonts w:ascii="Arial" w:eastAsia="Arial Unicode MS" w:hAnsi="Arial" w:cs="Arial"/>
          <w:sz w:val="22"/>
          <w:szCs w:val="22"/>
        </w:rPr>
        <w:t>2500</w:t>
      </w:r>
      <w:r>
        <w:rPr>
          <w:rFonts w:ascii="Arial" w:eastAsia="Arial Unicode MS" w:hAnsi="Arial" w:cs="Arial"/>
          <w:sz w:val="22"/>
          <w:szCs w:val="22"/>
        </w:rPr>
        <w:t>–</w:t>
      </w:r>
      <w:r w:rsidRPr="003049C1">
        <w:rPr>
          <w:rFonts w:ascii="Arial" w:eastAsia="Arial Unicode MS" w:hAnsi="Arial" w:cs="Arial"/>
          <w:sz w:val="22"/>
          <w:szCs w:val="22"/>
        </w:rPr>
        <w:t>3150 kJ/L</w:t>
      </w:r>
      <w:r w:rsidRPr="003049C1">
        <w:rPr>
          <w:rFonts w:ascii="Arial" w:hAnsi="Arial" w:cs="Arial"/>
          <w:sz w:val="22"/>
          <w:szCs w:val="22"/>
        </w:rPr>
        <w:t xml:space="preserve">. </w:t>
      </w:r>
      <w:r w:rsidRPr="003049C1">
        <w:rPr>
          <w:rFonts w:ascii="Arial" w:eastAsia="Arial Unicode MS" w:hAnsi="Arial" w:cs="Arial"/>
          <w:sz w:val="22"/>
          <w:szCs w:val="22"/>
        </w:rPr>
        <w:t>Th</w:t>
      </w:r>
      <w:r w:rsidRPr="008316FE">
        <w:rPr>
          <w:rFonts w:ascii="Arial" w:eastAsia="Arial Unicode MS" w:hAnsi="Arial" w:cs="Arial"/>
          <w:sz w:val="22"/>
          <w:szCs w:val="22"/>
        </w:rPr>
        <w:t xml:space="preserve">is range was based on </w:t>
      </w:r>
      <w:r w:rsidRPr="00C55BB3">
        <w:rPr>
          <w:rFonts w:ascii="Arial" w:eastAsia="Arial Unicode MS" w:hAnsi="Arial" w:cs="Arial"/>
          <w:sz w:val="22"/>
          <w:szCs w:val="22"/>
        </w:rPr>
        <w:t xml:space="preserve">the evidence and alignment with the Codex provisions at the time of the previous review </w:t>
      </w:r>
      <w:r w:rsidRPr="00786228">
        <w:rPr>
          <w:rFonts w:ascii="Arial" w:eastAsia="Arial Unicode MS" w:hAnsi="Arial" w:cs="Arial"/>
          <w:sz w:val="22"/>
          <w:szCs w:val="22"/>
        </w:rPr>
        <w:t>(</w:t>
      </w:r>
      <w:r>
        <w:rPr>
          <w:rFonts w:ascii="Arial" w:eastAsia="Arial Unicode MS" w:hAnsi="Arial" w:cs="Arial"/>
          <w:sz w:val="22"/>
          <w:szCs w:val="22"/>
        </w:rPr>
        <w:t>ANZFA 1999b)</w:t>
      </w:r>
      <w:r w:rsidRPr="00786228">
        <w:rPr>
          <w:rFonts w:ascii="Arial" w:eastAsia="Arial Unicode MS" w:hAnsi="Arial" w:cs="Arial"/>
          <w:sz w:val="22"/>
          <w:szCs w:val="22"/>
        </w:rPr>
        <w:t xml:space="preserve">. </w:t>
      </w:r>
      <w:r w:rsidRPr="00786228">
        <w:rPr>
          <w:rFonts w:ascii="Arial" w:hAnsi="Arial" w:cs="Arial"/>
          <w:sz w:val="22"/>
          <w:szCs w:val="22"/>
        </w:rPr>
        <w:t>Since then, the permitted range in Codex STAN 72-1981 has been narrowed to 2500–2950</w:t>
      </w:r>
      <w:r w:rsidR="00567AA0">
        <w:rPr>
          <w:rFonts w:ascii="Arial" w:hAnsi="Arial" w:cs="Arial"/>
          <w:sz w:val="22"/>
          <w:szCs w:val="22"/>
        </w:rPr>
        <w:t> </w:t>
      </w:r>
      <w:r w:rsidRPr="00786228">
        <w:rPr>
          <w:rFonts w:ascii="Arial" w:hAnsi="Arial" w:cs="Arial"/>
          <w:sz w:val="22"/>
          <w:szCs w:val="22"/>
        </w:rPr>
        <w:t xml:space="preserve">kJ/L by lowering the maximum </w:t>
      </w:r>
      <w:r w:rsidR="00087219">
        <w:rPr>
          <w:rFonts w:ascii="Arial" w:hAnsi="Arial" w:cs="Arial"/>
          <w:sz w:val="22"/>
          <w:szCs w:val="22"/>
        </w:rPr>
        <w:t>energy content</w:t>
      </w:r>
      <w:r>
        <w:t>.</w:t>
      </w:r>
    </w:p>
    <w:p w14:paraId="4AED5042" w14:textId="77777777" w:rsidR="00776154" w:rsidRDefault="00776154" w:rsidP="00776154">
      <w:pPr>
        <w:pStyle w:val="Heading4"/>
      </w:pPr>
      <w:r>
        <w:t xml:space="preserve">Previous consideration </w:t>
      </w:r>
    </w:p>
    <w:p w14:paraId="0D2CCD25" w14:textId="7765ACDB" w:rsidR="00776154" w:rsidRDefault="00776154" w:rsidP="00776154">
      <w:pPr>
        <w:autoSpaceDE w:val="0"/>
        <w:autoSpaceDN w:val="0"/>
        <w:adjustRightInd w:val="0"/>
        <w:rPr>
          <w:rFonts w:eastAsia="Arial Unicode MS"/>
          <w:szCs w:val="22"/>
          <w:lang w:val="en-AU" w:bidi="ar-SA"/>
        </w:rPr>
      </w:pPr>
      <w:r>
        <w:rPr>
          <w:rFonts w:eastAsia="Arial Unicode MS"/>
          <w:szCs w:val="22"/>
          <w:lang w:val="en-AU" w:bidi="ar-SA"/>
        </w:rPr>
        <w:t>In 2016 FSANZ considered narrowing the energy</w:t>
      </w:r>
      <w:r w:rsidR="00087219">
        <w:rPr>
          <w:rFonts w:eastAsia="Arial Unicode MS"/>
          <w:szCs w:val="22"/>
          <w:lang w:val="en-AU" w:bidi="ar-SA"/>
        </w:rPr>
        <w:t xml:space="preserve"> content</w:t>
      </w:r>
      <w:r>
        <w:rPr>
          <w:rFonts w:eastAsia="Arial Unicode MS"/>
          <w:szCs w:val="22"/>
          <w:lang w:val="en-AU" w:bidi="ar-SA"/>
        </w:rPr>
        <w:t xml:space="preserve"> range to match Codex STAN 72-1981 as the nutrition assessment concluded it </w:t>
      </w:r>
      <w:r>
        <w:rPr>
          <w:lang w:bidi="ar-SA"/>
        </w:rPr>
        <w:t>wa</w:t>
      </w:r>
      <w:r w:rsidRPr="004E10DB">
        <w:rPr>
          <w:lang w:bidi="ar-SA"/>
        </w:rPr>
        <w:t xml:space="preserve">s unlikely </w:t>
      </w:r>
      <w:r>
        <w:rPr>
          <w:lang w:bidi="ar-SA"/>
        </w:rPr>
        <w:t>to pose a risk to infant health</w:t>
      </w:r>
      <w:r w:rsidRPr="004E10DB">
        <w:rPr>
          <w:lang w:bidi="ar-SA"/>
        </w:rPr>
        <w:t>.</w:t>
      </w:r>
    </w:p>
    <w:p w14:paraId="0AC6BDC4" w14:textId="35F22C9E" w:rsidR="00776154" w:rsidRDefault="00143572" w:rsidP="00776154">
      <w:pPr>
        <w:pStyle w:val="Heading4"/>
      </w:pPr>
      <w:r>
        <w:t>Stakeholder views</w:t>
      </w:r>
    </w:p>
    <w:p w14:paraId="056AB9F6" w14:textId="4328BBD8" w:rsidR="00776154" w:rsidRDefault="00776154" w:rsidP="00776154">
      <w:pPr>
        <w:autoSpaceDE w:val="0"/>
        <w:autoSpaceDN w:val="0"/>
        <w:adjustRightInd w:val="0"/>
        <w:rPr>
          <w:rFonts w:eastAsia="Arial Unicode MS"/>
          <w:szCs w:val="22"/>
          <w:lang w:val="en-AU" w:bidi="ar-SA"/>
        </w:rPr>
      </w:pPr>
      <w:r>
        <w:rPr>
          <w:rFonts w:eastAsia="Arial Unicode MS"/>
          <w:szCs w:val="22"/>
          <w:lang w:val="en-AU" w:bidi="ar-SA"/>
        </w:rPr>
        <w:t>Six submitters (</w:t>
      </w:r>
      <w:r w:rsidR="00567AA0">
        <w:rPr>
          <w:rFonts w:eastAsia="Arial Unicode MS"/>
          <w:szCs w:val="22"/>
          <w:lang w:val="en-AU" w:bidi="ar-SA"/>
        </w:rPr>
        <w:t>two</w:t>
      </w:r>
      <w:r>
        <w:rPr>
          <w:rFonts w:eastAsia="Arial Unicode MS"/>
          <w:szCs w:val="22"/>
          <w:lang w:val="en-AU" w:bidi="ar-SA"/>
        </w:rPr>
        <w:t xml:space="preserve"> government, </w:t>
      </w:r>
      <w:r w:rsidR="00567AA0">
        <w:rPr>
          <w:rFonts w:eastAsia="Arial Unicode MS"/>
          <w:szCs w:val="22"/>
          <w:lang w:val="en-AU" w:bidi="ar-SA"/>
        </w:rPr>
        <w:t>four</w:t>
      </w:r>
      <w:r>
        <w:rPr>
          <w:rFonts w:eastAsia="Arial Unicode MS"/>
          <w:szCs w:val="22"/>
          <w:lang w:val="en-AU" w:bidi="ar-SA"/>
        </w:rPr>
        <w:t xml:space="preserve"> industry) commented on the energy content in </w:t>
      </w:r>
      <w:r w:rsidRPr="00804DB4">
        <w:rPr>
          <w:rFonts w:eastAsia="Arial Unicode MS"/>
          <w:szCs w:val="22"/>
          <w:lang w:val="en-AU" w:bidi="ar-SA"/>
        </w:rPr>
        <w:t>response to</w:t>
      </w:r>
      <w:r>
        <w:rPr>
          <w:rFonts w:eastAsia="Arial Unicode MS"/>
          <w:szCs w:val="22"/>
          <w:lang w:val="en-AU" w:bidi="ar-SA"/>
        </w:rPr>
        <w:t xml:space="preserve"> the </w:t>
      </w:r>
      <w:r w:rsidRPr="00721D05">
        <w:rPr>
          <w:rFonts w:eastAsia="Arial Unicode MS"/>
          <w:szCs w:val="22"/>
          <w:lang w:val="en-AU" w:bidi="ar-SA"/>
        </w:rPr>
        <w:t>2016 C</w:t>
      </w:r>
      <w:r w:rsidRPr="00804DB4">
        <w:rPr>
          <w:rFonts w:eastAsia="Arial Unicode MS"/>
          <w:szCs w:val="22"/>
          <w:lang w:val="en-AU" w:bidi="ar-SA"/>
        </w:rPr>
        <w:t>onsultation</w:t>
      </w:r>
      <w:r w:rsidR="00125BF5">
        <w:rPr>
          <w:rFonts w:eastAsia="Arial Unicode MS"/>
          <w:szCs w:val="22"/>
          <w:lang w:val="en-AU" w:bidi="ar-SA"/>
        </w:rPr>
        <w:t xml:space="preserve"> p</w:t>
      </w:r>
      <w:r>
        <w:rPr>
          <w:rFonts w:eastAsia="Arial Unicode MS"/>
          <w:szCs w:val="22"/>
          <w:lang w:val="en-AU" w:bidi="ar-SA"/>
        </w:rPr>
        <w:t xml:space="preserve">aper. All </w:t>
      </w:r>
      <w:r w:rsidRPr="00804DB4">
        <w:rPr>
          <w:rFonts w:eastAsia="Arial Unicode MS"/>
          <w:szCs w:val="22"/>
          <w:lang w:val="en-AU" w:bidi="ar-SA"/>
        </w:rPr>
        <w:t xml:space="preserve">supported </w:t>
      </w:r>
      <w:r>
        <w:rPr>
          <w:rFonts w:eastAsia="Arial Unicode MS"/>
          <w:szCs w:val="22"/>
          <w:lang w:val="en-AU" w:bidi="ar-SA"/>
        </w:rPr>
        <w:t xml:space="preserve">lowering the maximum to </w:t>
      </w:r>
      <w:r w:rsidRPr="00804DB4">
        <w:rPr>
          <w:rFonts w:eastAsia="Arial Unicode MS"/>
          <w:szCs w:val="22"/>
          <w:lang w:val="en-AU" w:bidi="ar-SA"/>
        </w:rPr>
        <w:t>align with</w:t>
      </w:r>
      <w:r>
        <w:rPr>
          <w:rFonts w:eastAsia="Arial Unicode MS"/>
          <w:szCs w:val="22"/>
          <w:lang w:val="en-AU" w:bidi="ar-SA"/>
        </w:rPr>
        <w:t xml:space="preserve"> Codex STAN 72-1981</w:t>
      </w:r>
      <w:r w:rsidRPr="00804DB4">
        <w:rPr>
          <w:rFonts w:eastAsia="Arial Unicode MS"/>
          <w:szCs w:val="22"/>
          <w:lang w:val="en-AU" w:bidi="ar-SA"/>
        </w:rPr>
        <w:t xml:space="preserve">. </w:t>
      </w:r>
      <w:r>
        <w:rPr>
          <w:rFonts w:eastAsia="Arial Unicode MS"/>
          <w:szCs w:val="22"/>
          <w:lang w:val="en-AU" w:bidi="ar-SA"/>
        </w:rPr>
        <w:t>FSANZ’s label survey indicated that t</w:t>
      </w:r>
      <w:r w:rsidR="00125BF5">
        <w:rPr>
          <w:rFonts w:eastAsia="Arial Unicode MS"/>
          <w:szCs w:val="22"/>
          <w:lang w:val="en-AU" w:bidi="ar-SA"/>
        </w:rPr>
        <w:t>he average energy content</w:t>
      </w:r>
      <w:r>
        <w:rPr>
          <w:rFonts w:eastAsia="Arial Unicode MS"/>
          <w:szCs w:val="22"/>
          <w:lang w:val="en-AU" w:bidi="ar-SA"/>
        </w:rPr>
        <w:t xml:space="preserve">, as labelled, was </w:t>
      </w:r>
      <w:r w:rsidRPr="00A24752">
        <w:rPr>
          <w:rFonts w:eastAsia="Arial Unicode MS"/>
          <w:szCs w:val="22"/>
          <w:lang w:val="en-AU" w:bidi="ar-SA"/>
        </w:rPr>
        <w:t xml:space="preserve">within the Codex </w:t>
      </w:r>
      <w:r w:rsidR="00567AA0">
        <w:rPr>
          <w:rFonts w:eastAsia="Arial Unicode MS"/>
          <w:szCs w:val="22"/>
          <w:lang w:val="en-AU" w:bidi="ar-SA"/>
        </w:rPr>
        <w:t>permitted</w:t>
      </w:r>
      <w:r w:rsidRPr="00A24752">
        <w:rPr>
          <w:rFonts w:eastAsia="Arial Unicode MS"/>
          <w:szCs w:val="22"/>
          <w:lang w:val="en-AU" w:bidi="ar-SA"/>
        </w:rPr>
        <w:t xml:space="preserve"> range</w:t>
      </w:r>
      <w:r>
        <w:rPr>
          <w:rFonts w:eastAsia="Arial Unicode MS"/>
          <w:szCs w:val="22"/>
          <w:lang w:val="en-AU" w:bidi="ar-SA"/>
        </w:rPr>
        <w:t>.</w:t>
      </w:r>
    </w:p>
    <w:p w14:paraId="6A6CB6DB" w14:textId="462539EE" w:rsidR="00776154" w:rsidRDefault="00373A04" w:rsidP="00776154">
      <w:pPr>
        <w:pStyle w:val="Heading4"/>
      </w:pPr>
      <w:r>
        <w:t>Nutrition r</w:t>
      </w:r>
      <w:r w:rsidR="00776154">
        <w:t xml:space="preserve">isk assessment </w:t>
      </w:r>
    </w:p>
    <w:p w14:paraId="67AFDB01" w14:textId="4D5D588F" w:rsidR="00776154" w:rsidRPr="00741136" w:rsidRDefault="00776154" w:rsidP="00776154">
      <w:pPr>
        <w:autoSpaceDE w:val="0"/>
        <w:autoSpaceDN w:val="0"/>
        <w:adjustRightInd w:val="0"/>
        <w:rPr>
          <w:rFonts w:eastAsia="Arial Unicode MS"/>
          <w:szCs w:val="22"/>
          <w:lang w:val="en-AU" w:bidi="ar-SA"/>
        </w:rPr>
      </w:pPr>
      <w:r w:rsidRPr="00741136">
        <w:rPr>
          <w:rFonts w:eastAsia="Arial Unicode MS"/>
          <w:szCs w:val="22"/>
          <w:lang w:val="en-AU" w:bidi="ar-SA"/>
        </w:rPr>
        <w:t xml:space="preserve">No further </w:t>
      </w:r>
      <w:r w:rsidR="00373A04">
        <w:rPr>
          <w:rFonts w:eastAsia="Arial Unicode MS"/>
          <w:szCs w:val="22"/>
          <w:lang w:val="en-AU" w:bidi="ar-SA"/>
        </w:rPr>
        <w:t xml:space="preserve">nutrition </w:t>
      </w:r>
      <w:r>
        <w:rPr>
          <w:rFonts w:eastAsia="Arial Unicode MS"/>
          <w:szCs w:val="22"/>
          <w:lang w:val="en-AU" w:bidi="ar-SA"/>
        </w:rPr>
        <w:t>risk assessment was considered on this issue.</w:t>
      </w:r>
    </w:p>
    <w:p w14:paraId="6071A155" w14:textId="77777777" w:rsidR="00776154" w:rsidRDefault="00776154" w:rsidP="00776154">
      <w:pPr>
        <w:pStyle w:val="Heading4"/>
      </w:pPr>
      <w:r>
        <w:t>Options and discussion</w:t>
      </w:r>
    </w:p>
    <w:p w14:paraId="02473045" w14:textId="72E231C3" w:rsidR="00776154" w:rsidRDefault="00776154" w:rsidP="00776154">
      <w:pPr>
        <w:autoSpaceDE w:val="0"/>
        <w:autoSpaceDN w:val="0"/>
        <w:adjustRightInd w:val="0"/>
        <w:rPr>
          <w:rFonts w:eastAsia="Arial Unicode MS"/>
          <w:szCs w:val="22"/>
          <w:lang w:val="en-AU" w:bidi="ar-SA"/>
        </w:rPr>
      </w:pPr>
      <w:r>
        <w:rPr>
          <w:rFonts w:eastAsia="Arial Unicode MS"/>
          <w:szCs w:val="22"/>
          <w:lang w:val="en-AU" w:bidi="ar-SA"/>
        </w:rPr>
        <w:t>Given that (1) the purpose of the proposal is to, where possible, align compositional requirements with Codex STAN 72-1981, (2) there were no potential adverse health risk</w:t>
      </w:r>
      <w:r w:rsidR="00373A04">
        <w:rPr>
          <w:rFonts w:eastAsia="Arial Unicode MS"/>
          <w:szCs w:val="22"/>
          <w:lang w:val="en-AU" w:bidi="ar-SA"/>
        </w:rPr>
        <w:t>s</w:t>
      </w:r>
      <w:r>
        <w:rPr>
          <w:rFonts w:eastAsia="Arial Unicode MS"/>
          <w:szCs w:val="22"/>
          <w:lang w:val="en-AU" w:bidi="ar-SA"/>
        </w:rPr>
        <w:t xml:space="preserve"> identified in the nutrition </w:t>
      </w:r>
      <w:r w:rsidR="00373A04">
        <w:rPr>
          <w:rFonts w:eastAsia="Arial Unicode MS"/>
          <w:szCs w:val="22"/>
          <w:lang w:val="en-AU" w:bidi="ar-SA"/>
        </w:rPr>
        <w:t xml:space="preserve">risk </w:t>
      </w:r>
      <w:r>
        <w:rPr>
          <w:rFonts w:eastAsia="Arial Unicode MS"/>
          <w:szCs w:val="22"/>
          <w:lang w:val="en-AU" w:bidi="ar-SA"/>
        </w:rPr>
        <w:t xml:space="preserve">assessment and (3) all submissions supported the alignment with the Codex standard, the only option considered by FSANZ was to align with </w:t>
      </w:r>
      <w:r w:rsidRPr="005508B2">
        <w:rPr>
          <w:rFonts w:eastAsia="Arial Unicode MS"/>
          <w:szCs w:val="22"/>
          <w:lang w:val="en-AU" w:bidi="ar-SA"/>
        </w:rPr>
        <w:t>Codex STAN 72-198</w:t>
      </w:r>
      <w:r w:rsidR="00373A04">
        <w:rPr>
          <w:rFonts w:eastAsia="Arial Unicode MS"/>
          <w:szCs w:val="22"/>
          <w:lang w:val="en-AU" w:bidi="ar-SA"/>
        </w:rPr>
        <w:t>1</w:t>
      </w:r>
      <w:r>
        <w:rPr>
          <w:rFonts w:eastAsia="Arial Unicode MS"/>
          <w:szCs w:val="22"/>
          <w:lang w:val="en-AU" w:bidi="ar-SA"/>
        </w:rPr>
        <w:t xml:space="preserve">. </w:t>
      </w:r>
    </w:p>
    <w:p w14:paraId="00137A3F" w14:textId="7E0B4A7B" w:rsidR="00776154" w:rsidRDefault="00776154" w:rsidP="00776154">
      <w:pPr>
        <w:pStyle w:val="Heading4"/>
      </w:pPr>
      <w:r>
        <w:t xml:space="preserve">Proposed </w:t>
      </w:r>
      <w:r w:rsidR="00C30BAC">
        <w:t>approach</w:t>
      </w:r>
      <w:r>
        <w:t xml:space="preserve"> </w:t>
      </w:r>
    </w:p>
    <w:p w14:paraId="064578B1" w14:textId="1641904B" w:rsidR="00776154" w:rsidRPr="00BD0048" w:rsidRDefault="00776154" w:rsidP="00776154">
      <w:pPr>
        <w:autoSpaceDE w:val="0"/>
        <w:autoSpaceDN w:val="0"/>
        <w:adjustRightInd w:val="0"/>
        <w:rPr>
          <w:rFonts w:eastAsia="Arial Unicode MS"/>
          <w:szCs w:val="22"/>
          <w:lang w:val="en-AU" w:bidi="ar-SA"/>
        </w:rPr>
      </w:pPr>
      <w:r w:rsidRPr="00A24752">
        <w:rPr>
          <w:rFonts w:eastAsia="Arial Unicode MS"/>
          <w:szCs w:val="22"/>
          <w:lang w:val="en-AU" w:bidi="ar-SA"/>
        </w:rPr>
        <w:t>FSANZ</w:t>
      </w:r>
      <w:r>
        <w:rPr>
          <w:rFonts w:eastAsia="Arial Unicode MS"/>
          <w:szCs w:val="22"/>
          <w:lang w:val="en-AU" w:bidi="ar-SA"/>
        </w:rPr>
        <w:t xml:space="preserve"> proposes to </w:t>
      </w:r>
      <w:r w:rsidR="002C2F22">
        <w:rPr>
          <w:rFonts w:eastAsia="Arial Unicode MS"/>
          <w:szCs w:val="22"/>
          <w:lang w:val="en-AU" w:bidi="ar-SA"/>
        </w:rPr>
        <w:t xml:space="preserve">retain the current </w:t>
      </w:r>
      <w:r w:rsidR="002C2F22" w:rsidRPr="00BD0048">
        <w:rPr>
          <w:rFonts w:eastAsia="Arial Unicode MS"/>
          <w:szCs w:val="22"/>
          <w:lang w:val="en-AU" w:bidi="ar-SA"/>
        </w:rPr>
        <w:t xml:space="preserve">minimum </w:t>
      </w:r>
      <w:r w:rsidR="00087219">
        <w:rPr>
          <w:rFonts w:eastAsia="Arial Unicode MS"/>
          <w:szCs w:val="22"/>
          <w:lang w:val="en-AU" w:bidi="ar-SA"/>
        </w:rPr>
        <w:t>energy content</w:t>
      </w:r>
      <w:r w:rsidR="002C2F22">
        <w:rPr>
          <w:rFonts w:eastAsia="Arial Unicode MS"/>
          <w:szCs w:val="22"/>
          <w:lang w:val="en-AU" w:bidi="ar-SA"/>
        </w:rPr>
        <w:t xml:space="preserve"> and </w:t>
      </w:r>
      <w:r>
        <w:rPr>
          <w:rFonts w:eastAsia="Arial Unicode MS"/>
          <w:szCs w:val="22"/>
          <w:lang w:val="en-AU" w:bidi="ar-SA"/>
        </w:rPr>
        <w:t xml:space="preserve">lower the </w:t>
      </w:r>
      <w:r w:rsidRPr="00A24752">
        <w:rPr>
          <w:rFonts w:eastAsia="Arial Unicode MS"/>
          <w:szCs w:val="22"/>
          <w:lang w:val="en-AU" w:bidi="ar-SA"/>
        </w:rPr>
        <w:t>maximum</w:t>
      </w:r>
      <w:r>
        <w:rPr>
          <w:rFonts w:eastAsia="Arial Unicode MS"/>
          <w:szCs w:val="22"/>
          <w:lang w:val="en-AU" w:bidi="ar-SA"/>
        </w:rPr>
        <w:t xml:space="preserve"> energy</w:t>
      </w:r>
      <w:r w:rsidR="00087219">
        <w:rPr>
          <w:rFonts w:eastAsia="Arial Unicode MS"/>
          <w:szCs w:val="22"/>
          <w:lang w:val="en-AU" w:bidi="ar-SA"/>
        </w:rPr>
        <w:t xml:space="preserve"> content</w:t>
      </w:r>
      <w:r w:rsidRPr="00A24752">
        <w:rPr>
          <w:rFonts w:eastAsia="Arial Unicode MS"/>
          <w:szCs w:val="22"/>
          <w:lang w:val="en-AU" w:bidi="ar-SA"/>
        </w:rPr>
        <w:t xml:space="preserve"> </w:t>
      </w:r>
      <w:r>
        <w:rPr>
          <w:rFonts w:eastAsia="Arial Unicode MS"/>
          <w:szCs w:val="22"/>
          <w:lang w:val="en-AU" w:bidi="ar-SA"/>
        </w:rPr>
        <w:t xml:space="preserve">to </w:t>
      </w:r>
      <w:r w:rsidRPr="00F64B9A">
        <w:rPr>
          <w:rFonts w:eastAsia="Arial Unicode MS"/>
          <w:szCs w:val="22"/>
          <w:lang w:val="en-AU" w:bidi="ar-SA"/>
        </w:rPr>
        <w:t>2950 kJ/L</w:t>
      </w:r>
      <w:r w:rsidRPr="00A24752">
        <w:rPr>
          <w:rFonts w:eastAsia="Arial Unicode MS"/>
          <w:szCs w:val="22"/>
          <w:lang w:val="en-AU" w:bidi="ar-SA"/>
        </w:rPr>
        <w:t xml:space="preserve"> </w:t>
      </w:r>
      <w:r>
        <w:rPr>
          <w:rFonts w:eastAsia="Arial Unicode MS"/>
          <w:szCs w:val="22"/>
          <w:lang w:val="en-AU" w:bidi="ar-SA"/>
        </w:rPr>
        <w:t xml:space="preserve">in line with </w:t>
      </w:r>
      <w:r w:rsidRPr="00A24752">
        <w:rPr>
          <w:rFonts w:eastAsia="Arial Unicode MS"/>
          <w:szCs w:val="22"/>
          <w:lang w:val="en-AU" w:bidi="ar-SA"/>
        </w:rPr>
        <w:t>Codex</w:t>
      </w:r>
      <w:r>
        <w:rPr>
          <w:rFonts w:eastAsia="Arial Unicode MS"/>
          <w:szCs w:val="22"/>
          <w:lang w:val="en-AU" w:bidi="ar-SA"/>
        </w:rPr>
        <w:t xml:space="preserve"> STAN 72-1981.</w:t>
      </w:r>
    </w:p>
    <w:p w14:paraId="3233D272" w14:textId="1CD45B77" w:rsidR="00776154" w:rsidRPr="00190479" w:rsidRDefault="002061D8" w:rsidP="00776154">
      <w:pPr>
        <w:pStyle w:val="Heading2"/>
      </w:pPr>
      <w:bookmarkStart w:id="164" w:name="_Toc73455612"/>
      <w:bookmarkStart w:id="165" w:name="_Toc73624885"/>
      <w:bookmarkStart w:id="166" w:name="_Toc76138271"/>
      <w:r>
        <w:t>3</w:t>
      </w:r>
      <w:r w:rsidR="00776154">
        <w:t>.2</w:t>
      </w:r>
      <w:r w:rsidR="00776154">
        <w:tab/>
      </w:r>
      <w:r w:rsidR="00776154" w:rsidRPr="00190479">
        <w:t xml:space="preserve">Calculation of energy </w:t>
      </w:r>
      <w:r w:rsidR="00087219">
        <w:t>content</w:t>
      </w:r>
      <w:bookmarkEnd w:id="164"/>
      <w:bookmarkEnd w:id="165"/>
      <w:bookmarkEnd w:id="166"/>
      <w:r w:rsidR="00776154" w:rsidRPr="00190479">
        <w:t xml:space="preserve"> </w:t>
      </w:r>
    </w:p>
    <w:p w14:paraId="091D3878" w14:textId="6F58D15C" w:rsidR="00776154" w:rsidRDefault="007A6CD5" w:rsidP="00776154">
      <w:pPr>
        <w:pStyle w:val="Heading4"/>
      </w:pPr>
      <w:r>
        <w:t>Current regulations</w:t>
      </w:r>
    </w:p>
    <w:p w14:paraId="410C15A5" w14:textId="3E0B2505" w:rsidR="00776154" w:rsidRDefault="00776154" w:rsidP="00776154">
      <w:r>
        <w:t xml:space="preserve">Paragraph 2.9.1—4(2)(a) </w:t>
      </w:r>
      <w:r w:rsidRPr="0059307A">
        <w:t>specifies that the energy of infant formula must be calculated</w:t>
      </w:r>
      <w:r w:rsidR="00B07C77">
        <w:t xml:space="preserve"> in accordance with section S29—2.  That is,</w:t>
      </w:r>
      <w:r w:rsidRPr="0059307A">
        <w:t xml:space="preserve"> using only the energy </w:t>
      </w:r>
      <w:r>
        <w:t>contributions from</w:t>
      </w:r>
      <w:r w:rsidRPr="0059307A">
        <w:t xml:space="preserve"> fat, protein and carbohydrate</w:t>
      </w:r>
      <w:r>
        <w:t xml:space="preserve"> </w:t>
      </w:r>
      <w:r w:rsidR="00350970">
        <w:t>components</w:t>
      </w:r>
      <w:r w:rsidRPr="0059307A">
        <w:t>,</w:t>
      </w:r>
      <w:r w:rsidRPr="0059307A">
        <w:rPr>
          <w:lang w:val="en-AU"/>
        </w:rPr>
        <w:t xml:space="preserve"> using the energy factors </w:t>
      </w:r>
      <w:r w:rsidR="00350970" w:rsidRPr="00350970">
        <w:t>relevant energy f</w:t>
      </w:r>
      <w:r w:rsidR="00350970">
        <w:t>actors set out in section S11—2</w:t>
      </w:r>
      <w:r w:rsidR="007D3B41">
        <w:rPr>
          <w:lang w:val="en-AU"/>
        </w:rPr>
        <w:t xml:space="preserve">. </w:t>
      </w:r>
      <w:r w:rsidRPr="005C1958">
        <w:t xml:space="preserve">Codex STAN 72-1981 </w:t>
      </w:r>
      <w:r>
        <w:t xml:space="preserve">does not list energy factors or refer to the </w:t>
      </w:r>
      <w:r w:rsidRPr="0057340D">
        <w:t xml:space="preserve">Codex </w:t>
      </w:r>
      <w:r w:rsidRPr="00733323">
        <w:rPr>
          <w:i/>
        </w:rPr>
        <w:t>Guidelines on Nutrition Labelling</w:t>
      </w:r>
      <w:r w:rsidRPr="0057340D">
        <w:t xml:space="preserve"> (CAC/GL 2-1985)</w:t>
      </w:r>
      <w:r>
        <w:t xml:space="preserve"> which lists e</w:t>
      </w:r>
      <w:r w:rsidRPr="0057340D">
        <w:t>nergy factors for labelling</w:t>
      </w:r>
      <w:r>
        <w:t>.</w:t>
      </w:r>
    </w:p>
    <w:p w14:paraId="07A72610" w14:textId="77777777" w:rsidR="00776154" w:rsidRDefault="00776154" w:rsidP="00776154">
      <w:pPr>
        <w:pStyle w:val="Heading4"/>
      </w:pPr>
      <w:r>
        <w:lastRenderedPageBreak/>
        <w:t xml:space="preserve">Previous consideration </w:t>
      </w:r>
    </w:p>
    <w:p w14:paraId="326BD7C7" w14:textId="2FDA24A9" w:rsidR="00776154" w:rsidRDefault="00776154" w:rsidP="00776154">
      <w:pPr>
        <w:rPr>
          <w:szCs w:val="22"/>
          <w:lang w:val="en-AU"/>
        </w:rPr>
      </w:pPr>
      <w:r>
        <w:rPr>
          <w:szCs w:val="22"/>
          <w:lang w:val="en-AU"/>
        </w:rPr>
        <w:t xml:space="preserve">During development of Standard 2.9.1, </w:t>
      </w:r>
      <w:r w:rsidRPr="00D54209">
        <w:rPr>
          <w:szCs w:val="22"/>
          <w:lang w:val="en-AU"/>
        </w:rPr>
        <w:t>the energy factors</w:t>
      </w:r>
      <w:r w:rsidR="00350970">
        <w:rPr>
          <w:szCs w:val="22"/>
          <w:lang w:val="en-AU"/>
        </w:rPr>
        <w:t xml:space="preserve"> previously</w:t>
      </w:r>
      <w:r w:rsidRPr="00D54209">
        <w:rPr>
          <w:szCs w:val="22"/>
          <w:lang w:val="en-AU"/>
        </w:rPr>
        <w:t xml:space="preserve"> </w:t>
      </w:r>
      <w:r>
        <w:rPr>
          <w:szCs w:val="22"/>
          <w:lang w:val="en-AU"/>
        </w:rPr>
        <w:t xml:space="preserve">listed </w:t>
      </w:r>
      <w:r w:rsidRPr="00D54209">
        <w:rPr>
          <w:szCs w:val="22"/>
          <w:lang w:val="en-AU"/>
        </w:rPr>
        <w:t xml:space="preserve">in </w:t>
      </w:r>
      <w:r>
        <w:rPr>
          <w:szCs w:val="22"/>
          <w:lang w:val="en-AU"/>
        </w:rPr>
        <w:t xml:space="preserve">Standard 1.2.8 were considered appropriate for calculating the energy </w:t>
      </w:r>
      <w:r w:rsidR="00087219">
        <w:rPr>
          <w:szCs w:val="22"/>
          <w:lang w:val="en-AU"/>
        </w:rPr>
        <w:t>content</w:t>
      </w:r>
      <w:r>
        <w:rPr>
          <w:szCs w:val="22"/>
          <w:lang w:val="en-AU"/>
        </w:rPr>
        <w:t xml:space="preserve"> of infant formula (ANZFA 2002). However, </w:t>
      </w:r>
      <w:r w:rsidRPr="002B5044">
        <w:t>Standard 1.2.8</w:t>
      </w:r>
      <w:r>
        <w:t xml:space="preserve"> include</w:t>
      </w:r>
      <w:r w:rsidR="004C31E3">
        <w:t>d</w:t>
      </w:r>
      <w:r>
        <w:t xml:space="preserve"> a statement that </w:t>
      </w:r>
      <w:r w:rsidR="004C31E3">
        <w:t>it did</w:t>
      </w:r>
      <w:r>
        <w:rPr>
          <w:szCs w:val="22"/>
          <w:lang w:val="en-AU"/>
        </w:rPr>
        <w:t xml:space="preserve"> not apply to Standard 2.9.1. The 2016 Consultation </w:t>
      </w:r>
      <w:r w:rsidR="00373A04">
        <w:rPr>
          <w:szCs w:val="22"/>
          <w:lang w:val="en-AU"/>
        </w:rPr>
        <w:t>p</w:t>
      </w:r>
      <w:r>
        <w:rPr>
          <w:szCs w:val="22"/>
          <w:lang w:val="en-AU"/>
        </w:rPr>
        <w:t xml:space="preserve">aper acknowledged the apparent conflict between the two </w:t>
      </w:r>
      <w:r w:rsidR="005577E5">
        <w:rPr>
          <w:szCs w:val="22"/>
          <w:lang w:val="en-AU"/>
        </w:rPr>
        <w:t>s</w:t>
      </w:r>
      <w:r>
        <w:rPr>
          <w:szCs w:val="22"/>
          <w:lang w:val="en-AU"/>
        </w:rPr>
        <w:t xml:space="preserve">tandards in the Code and proposed that the Code’s energy factors should be applied to infant formula. </w:t>
      </w:r>
    </w:p>
    <w:p w14:paraId="6E41CE53" w14:textId="0C868233" w:rsidR="00776154" w:rsidRDefault="00143572" w:rsidP="00776154">
      <w:pPr>
        <w:pStyle w:val="Heading4"/>
      </w:pPr>
      <w:r>
        <w:t>Stakeholder views</w:t>
      </w:r>
    </w:p>
    <w:p w14:paraId="6D95289B" w14:textId="5117C764" w:rsidR="00776154" w:rsidRPr="00741136" w:rsidRDefault="00776154" w:rsidP="00776154">
      <w:pPr>
        <w:rPr>
          <w:szCs w:val="22"/>
          <w:lang w:val="en-AU"/>
        </w:rPr>
      </w:pPr>
      <w:r>
        <w:rPr>
          <w:szCs w:val="22"/>
          <w:lang w:val="en-AU"/>
        </w:rPr>
        <w:t xml:space="preserve">Two submitters </w:t>
      </w:r>
      <w:r w:rsidR="0048005E">
        <w:rPr>
          <w:szCs w:val="22"/>
          <w:lang w:val="en-AU"/>
        </w:rPr>
        <w:t xml:space="preserve">(both industry) </w:t>
      </w:r>
      <w:r>
        <w:rPr>
          <w:szCs w:val="22"/>
          <w:lang w:val="en-AU"/>
        </w:rPr>
        <w:t xml:space="preserve">commented on this issue. Both supported FSANZ’s preliminary view that energy factors </w:t>
      </w:r>
      <w:r w:rsidR="007D3B41">
        <w:rPr>
          <w:szCs w:val="22"/>
          <w:lang w:val="en-AU"/>
        </w:rPr>
        <w:t>in Standard 1.2.8</w:t>
      </w:r>
      <w:r>
        <w:rPr>
          <w:szCs w:val="22"/>
          <w:lang w:val="en-AU"/>
        </w:rPr>
        <w:t xml:space="preserve"> be applied to infant formula.   </w:t>
      </w:r>
    </w:p>
    <w:p w14:paraId="0E43B63A" w14:textId="69CC7A32" w:rsidR="00776154" w:rsidRDefault="005577E5" w:rsidP="00776154">
      <w:pPr>
        <w:pStyle w:val="Heading4"/>
      </w:pPr>
      <w:r>
        <w:t>Nutrition r</w:t>
      </w:r>
      <w:r w:rsidR="00776154">
        <w:t xml:space="preserve">isk assessment </w:t>
      </w:r>
    </w:p>
    <w:p w14:paraId="56B2828C" w14:textId="2AD689E4" w:rsidR="00776154" w:rsidRPr="00741136" w:rsidRDefault="00776154" w:rsidP="00776154">
      <w:pPr>
        <w:autoSpaceDE w:val="0"/>
        <w:autoSpaceDN w:val="0"/>
        <w:adjustRightInd w:val="0"/>
        <w:rPr>
          <w:rFonts w:eastAsia="Arial Unicode MS"/>
          <w:szCs w:val="22"/>
          <w:lang w:val="en-AU" w:bidi="ar-SA"/>
        </w:rPr>
      </w:pPr>
      <w:r w:rsidRPr="00741136">
        <w:rPr>
          <w:rFonts w:eastAsia="Arial Unicode MS"/>
          <w:szCs w:val="22"/>
          <w:lang w:val="en-AU" w:bidi="ar-SA"/>
        </w:rPr>
        <w:t xml:space="preserve">No further </w:t>
      </w:r>
      <w:r w:rsidR="005577E5">
        <w:rPr>
          <w:rFonts w:eastAsia="Arial Unicode MS"/>
          <w:szCs w:val="22"/>
          <w:lang w:val="en-AU" w:bidi="ar-SA"/>
        </w:rPr>
        <w:t xml:space="preserve">nutrition </w:t>
      </w:r>
      <w:r>
        <w:rPr>
          <w:rFonts w:eastAsia="Arial Unicode MS"/>
          <w:szCs w:val="22"/>
          <w:lang w:val="en-AU" w:bidi="ar-SA"/>
        </w:rPr>
        <w:t>risk assessment was considered on this issue.</w:t>
      </w:r>
    </w:p>
    <w:p w14:paraId="19470689" w14:textId="77777777" w:rsidR="00776154" w:rsidRDefault="00776154" w:rsidP="00776154">
      <w:pPr>
        <w:pStyle w:val="Heading4"/>
      </w:pPr>
      <w:r>
        <w:t>Options and discussion</w:t>
      </w:r>
    </w:p>
    <w:p w14:paraId="54D268CB" w14:textId="788EED89" w:rsidR="00776154" w:rsidRDefault="00776154" w:rsidP="00776154">
      <w:pPr>
        <w:rPr>
          <w:szCs w:val="22"/>
        </w:rPr>
      </w:pPr>
      <w:r>
        <w:rPr>
          <w:szCs w:val="22"/>
          <w:lang w:val="en-AU"/>
        </w:rPr>
        <w:t>The issue regarding energy factor</w:t>
      </w:r>
      <w:r w:rsidR="00087219">
        <w:rPr>
          <w:szCs w:val="22"/>
          <w:lang w:val="en-AU"/>
        </w:rPr>
        <w:t>s used to calculate the energy content</w:t>
      </w:r>
      <w:r>
        <w:rPr>
          <w:szCs w:val="22"/>
          <w:lang w:val="en-AU"/>
        </w:rPr>
        <w:t xml:space="preserve"> </w:t>
      </w:r>
      <w:r w:rsidR="004C31E3">
        <w:rPr>
          <w:szCs w:val="22"/>
          <w:lang w:val="en-AU"/>
        </w:rPr>
        <w:t>was</w:t>
      </w:r>
      <w:r>
        <w:rPr>
          <w:szCs w:val="22"/>
          <w:lang w:val="en-AU"/>
        </w:rPr>
        <w:t xml:space="preserve"> resolved in </w:t>
      </w:r>
      <w:r w:rsidR="002A4EA4" w:rsidRPr="002A4EA4">
        <w:rPr>
          <w:szCs w:val="22"/>
          <w:lang w:val="en-AU"/>
        </w:rPr>
        <w:t>Proposal P1025 – Code Revision</w:t>
      </w:r>
      <w:r w:rsidR="00BA0E4A">
        <w:rPr>
          <w:szCs w:val="22"/>
          <w:lang w:val="en-AU"/>
        </w:rPr>
        <w:t xml:space="preserve">. </w:t>
      </w:r>
      <w:r w:rsidRPr="00876E2D">
        <w:rPr>
          <w:szCs w:val="22"/>
        </w:rPr>
        <w:t>S29—2</w:t>
      </w:r>
      <w:r>
        <w:rPr>
          <w:szCs w:val="22"/>
        </w:rPr>
        <w:t xml:space="preserve"> now states that the energy content must be calculated using energy contributions from fat, protein, and carbohydrate with the relevant energy factors set out in </w:t>
      </w:r>
      <w:r w:rsidRPr="00876E2D">
        <w:rPr>
          <w:szCs w:val="22"/>
        </w:rPr>
        <w:t>S11—2</w:t>
      </w:r>
      <w:r>
        <w:rPr>
          <w:szCs w:val="22"/>
        </w:rPr>
        <w:t>.</w:t>
      </w:r>
    </w:p>
    <w:p w14:paraId="270B2856" w14:textId="77777777" w:rsidR="00776154" w:rsidRDefault="00776154" w:rsidP="00776154">
      <w:pPr>
        <w:rPr>
          <w:szCs w:val="22"/>
        </w:rPr>
      </w:pPr>
    </w:p>
    <w:p w14:paraId="721736FE" w14:textId="3DBE4D15" w:rsidR="00776154" w:rsidRPr="00DF52AD" w:rsidRDefault="003D1645" w:rsidP="00776154">
      <w:pPr>
        <w:pStyle w:val="Heading1"/>
      </w:pPr>
      <w:bookmarkStart w:id="167" w:name="_Toc73455613"/>
      <w:bookmarkStart w:id="168" w:name="_Toc73624886"/>
      <w:bookmarkStart w:id="169" w:name="_Toc76138272"/>
      <w:r>
        <w:t>4</w:t>
      </w:r>
      <w:r w:rsidR="00776154">
        <w:tab/>
      </w:r>
      <w:r w:rsidR="00776154" w:rsidRPr="00DF52AD">
        <w:t>Protein</w:t>
      </w:r>
      <w:bookmarkEnd w:id="149"/>
      <w:bookmarkEnd w:id="150"/>
      <w:bookmarkEnd w:id="151"/>
      <w:bookmarkEnd w:id="152"/>
      <w:bookmarkEnd w:id="153"/>
      <w:bookmarkEnd w:id="154"/>
      <w:bookmarkEnd w:id="155"/>
      <w:bookmarkEnd w:id="156"/>
      <w:bookmarkEnd w:id="157"/>
      <w:bookmarkEnd w:id="167"/>
      <w:bookmarkEnd w:id="168"/>
      <w:bookmarkEnd w:id="169"/>
      <w:r w:rsidR="00776154" w:rsidRPr="00DF52AD">
        <w:t xml:space="preserve"> </w:t>
      </w:r>
    </w:p>
    <w:p w14:paraId="7FA5A09C" w14:textId="15BFD442" w:rsidR="00776154" w:rsidRDefault="00776154" w:rsidP="00776154">
      <w:pPr>
        <w:rPr>
          <w:lang w:val="en-AU"/>
        </w:rPr>
      </w:pPr>
      <w:r>
        <w:rPr>
          <w:lang w:bidi="ar-SA"/>
        </w:rPr>
        <w:t xml:space="preserve">Protein </w:t>
      </w:r>
      <w:r w:rsidR="00CD6297">
        <w:rPr>
          <w:lang w:bidi="ar-SA"/>
        </w:rPr>
        <w:t xml:space="preserve">is important to </w:t>
      </w:r>
      <w:r>
        <w:rPr>
          <w:lang w:bidi="ar-SA"/>
        </w:rPr>
        <w:t xml:space="preserve">support normal growth and development of the infant. </w:t>
      </w:r>
      <w:r w:rsidR="006A431A">
        <w:rPr>
          <w:lang w:bidi="ar-SA"/>
        </w:rPr>
        <w:t xml:space="preserve">Aspects of protein regulation </w:t>
      </w:r>
      <w:r>
        <w:rPr>
          <w:lang w:bidi="ar-SA"/>
        </w:rPr>
        <w:t>disc</w:t>
      </w:r>
      <w:r w:rsidR="006A431A">
        <w:rPr>
          <w:lang w:bidi="ar-SA"/>
        </w:rPr>
        <w:t>ussed in the following sections include:</w:t>
      </w:r>
      <w:r>
        <w:rPr>
          <w:lang w:bidi="ar-SA"/>
        </w:rPr>
        <w:t xml:space="preserve"> calculation of protein content, the required range, protein source and quality, and amino acid requirements. </w:t>
      </w:r>
    </w:p>
    <w:p w14:paraId="100F8812" w14:textId="7CD0868E" w:rsidR="00776154" w:rsidRDefault="003D1645" w:rsidP="00776154">
      <w:pPr>
        <w:pStyle w:val="Heading2"/>
      </w:pPr>
      <w:bookmarkStart w:id="170" w:name="_Toc437858770"/>
      <w:bookmarkStart w:id="171" w:name="_Toc440462444"/>
      <w:bookmarkStart w:id="172" w:name="_Toc440470841"/>
      <w:bookmarkStart w:id="173" w:name="_Toc73455614"/>
      <w:bookmarkStart w:id="174" w:name="_Toc73624887"/>
      <w:bookmarkStart w:id="175" w:name="_Toc76138273"/>
      <w:r>
        <w:t>4</w:t>
      </w:r>
      <w:r w:rsidR="00776154">
        <w:t>.1</w:t>
      </w:r>
      <w:r w:rsidR="00776154">
        <w:tab/>
        <w:t>Calculation of protein content</w:t>
      </w:r>
      <w:bookmarkEnd w:id="170"/>
      <w:bookmarkEnd w:id="171"/>
      <w:bookmarkEnd w:id="172"/>
      <w:bookmarkEnd w:id="173"/>
      <w:bookmarkEnd w:id="174"/>
      <w:bookmarkEnd w:id="175"/>
    </w:p>
    <w:p w14:paraId="3EE3D6B5" w14:textId="4AE8C610" w:rsidR="00776154" w:rsidRDefault="00776154" w:rsidP="00776154">
      <w:r>
        <w:t>Protein content is generally determined by measuring the nitrogen content then converting to the protein content using a nitrogen conversion factor (NCF). Different protein sources have variable nitrogen content and therefore different nitr</w:t>
      </w:r>
      <w:r w:rsidR="00EE2E38">
        <w:t>ogen-protein conversion factors</w:t>
      </w:r>
      <w:r>
        <w:t xml:space="preserve">. They range from </w:t>
      </w:r>
      <w:r w:rsidR="00030790">
        <w:t>13</w:t>
      </w:r>
      <w:r w:rsidR="005577E5">
        <w:t xml:space="preserve"> to </w:t>
      </w:r>
      <w:r w:rsidR="00030790">
        <w:t>18%</w:t>
      </w:r>
      <w:r>
        <w:t xml:space="preserve"> </w:t>
      </w:r>
      <w:r w:rsidR="005577E5">
        <w:t xml:space="preserve">as </w:t>
      </w:r>
      <w:r>
        <w:t xml:space="preserve">nitrogen content varies due to greater content of </w:t>
      </w:r>
      <w:r w:rsidR="00030790">
        <w:t xml:space="preserve">glutamine and asparagine </w:t>
      </w:r>
      <w:r>
        <w:t>(which have a greater number of nitrogen atoms compared to other amino acids) or due to chemical side chains that reduce the nitrogen content of the protein. Other factors that can affect the estimation of protein content in a protein source include measurement conditions (e.g. pH)</w:t>
      </w:r>
      <w:r w:rsidR="005577E5">
        <w:t>, and</w:t>
      </w:r>
      <w:r>
        <w:t xml:space="preserve"> </w:t>
      </w:r>
      <w:r w:rsidR="005577E5">
        <w:t>levels</w:t>
      </w:r>
      <w:r>
        <w:t xml:space="preserve"> of non-protein nitrogen (e.g. urea) which can lead to an overestimation of the true protein content. All of these factors have led to on-going debate about appropriate NCFs and/or whether diff</w:t>
      </w:r>
      <w:r w:rsidR="004D11A4">
        <w:t>erent protein sources used in infant formula</w:t>
      </w:r>
      <w:r>
        <w:t xml:space="preserve"> products should have a </w:t>
      </w:r>
      <w:r w:rsidR="005577E5">
        <w:t xml:space="preserve">separate </w:t>
      </w:r>
      <w:r>
        <w:t xml:space="preserve">specified minimum protein amount. </w:t>
      </w:r>
    </w:p>
    <w:p w14:paraId="45B0B220" w14:textId="77777777" w:rsidR="00776154" w:rsidRDefault="00776154" w:rsidP="00776154">
      <w:pPr>
        <w:pStyle w:val="Heading4"/>
      </w:pPr>
      <w:r>
        <w:t xml:space="preserve">Current regulations </w:t>
      </w:r>
    </w:p>
    <w:p w14:paraId="26AE3D55" w14:textId="5E8207C7" w:rsidR="00776154" w:rsidRDefault="00776154" w:rsidP="00776154">
      <w:r>
        <w:t>Table</w:t>
      </w:r>
      <w:r w:rsidR="002017B1">
        <w:t>s</w:t>
      </w:r>
      <w:r>
        <w:t xml:space="preserve"> </w:t>
      </w:r>
      <w:r w:rsidR="003D1645">
        <w:t>4</w:t>
      </w:r>
      <w:r w:rsidR="00544BB2">
        <w:t>.1</w:t>
      </w:r>
      <w:r>
        <w:t xml:space="preserve"> and </w:t>
      </w:r>
      <w:r w:rsidR="003D1645">
        <w:t>4</w:t>
      </w:r>
      <w:r w:rsidR="00544BB2">
        <w:t>.2</w:t>
      </w:r>
      <w:r>
        <w:t xml:space="preserve"> summarise current regulations for NCF for infant formula based on cow</w:t>
      </w:r>
      <w:r w:rsidR="00C73A77">
        <w:t>’</w:t>
      </w:r>
      <w:r>
        <w:t xml:space="preserve">s milk protein and soy protein, respectively. </w:t>
      </w:r>
      <w:r w:rsidR="005577E5">
        <w:t>EU 2016/127</w:t>
      </w:r>
      <w:r>
        <w:t xml:space="preserve"> and the Codex Draft Standard for FUF</w:t>
      </w:r>
      <w:r w:rsidR="002C2F22">
        <w:t xml:space="preserve"> </w:t>
      </w:r>
      <w:r>
        <w:t xml:space="preserve">are included as these have been subject to recent reviews and are not harmonised with Standard 2.9.1 or Codex. The minimum protein level is also shown since this has been used in some regulations to account for protein composition in different sources (and therefore nitrogen content in that protein). </w:t>
      </w:r>
    </w:p>
    <w:p w14:paraId="0573B934" w14:textId="77777777" w:rsidR="00776154" w:rsidRDefault="00776154" w:rsidP="00776154"/>
    <w:p w14:paraId="4394B2C4" w14:textId="11C11C82" w:rsidR="00776154" w:rsidRDefault="00776154" w:rsidP="00A8742F">
      <w:pPr>
        <w:pStyle w:val="FSTitle"/>
      </w:pPr>
      <w:bookmarkStart w:id="176" w:name="_Toc74061226"/>
      <w:r>
        <w:lastRenderedPageBreak/>
        <w:t xml:space="preserve">Table </w:t>
      </w:r>
      <w:r w:rsidR="003D1645">
        <w:t>4</w:t>
      </w:r>
      <w:r w:rsidR="00544BB2">
        <w:t>.1</w:t>
      </w:r>
      <w:r w:rsidR="00544BB2">
        <w:tab/>
      </w:r>
      <w:r>
        <w:t>Standards and regulations for NCF: cow</w:t>
      </w:r>
      <w:r w:rsidR="00C73A77">
        <w:t>’</w:t>
      </w:r>
      <w:r>
        <w:t>s milk protein</w:t>
      </w:r>
      <w:bookmarkEnd w:id="176"/>
      <w:r>
        <w:t xml:space="preserve"> </w:t>
      </w:r>
    </w:p>
    <w:tbl>
      <w:tblPr>
        <w:tblStyle w:val="TableGrid"/>
        <w:tblW w:w="8926" w:type="dxa"/>
        <w:tblLook w:val="04A0" w:firstRow="1" w:lastRow="0" w:firstColumn="1" w:lastColumn="0" w:noHBand="0" w:noVBand="1"/>
        <w:tblCaption w:val="Table 4.1.1 Standards and regulations for NCF: cow’s milk protein "/>
        <w:tblDescription w:val="This table summarises the differing standards and reguations for NCF, cows mik protein. "/>
      </w:tblPr>
      <w:tblGrid>
        <w:gridCol w:w="3256"/>
        <w:gridCol w:w="708"/>
        <w:gridCol w:w="1701"/>
        <w:gridCol w:w="3261"/>
      </w:tblGrid>
      <w:tr w:rsidR="00776154" w:rsidRPr="00C902EA" w14:paraId="5647CB0F" w14:textId="77777777" w:rsidTr="00202DF8">
        <w:trPr>
          <w:trHeight w:val="397"/>
        </w:trPr>
        <w:tc>
          <w:tcPr>
            <w:tcW w:w="3256" w:type="dxa"/>
            <w:shd w:val="clear" w:color="auto" w:fill="EAF1DD" w:themeFill="accent3" w:themeFillTint="33"/>
          </w:tcPr>
          <w:p w14:paraId="3A9AEFDB" w14:textId="77777777" w:rsidR="00776154" w:rsidRPr="00131AC6" w:rsidRDefault="00776154" w:rsidP="00776154">
            <w:pPr>
              <w:jc w:val="center"/>
              <w:rPr>
                <w:rFonts w:cs="Arial"/>
                <w:b/>
                <w:szCs w:val="20"/>
              </w:rPr>
            </w:pPr>
            <w:r>
              <w:rPr>
                <w:rFonts w:cs="Arial"/>
                <w:b/>
                <w:szCs w:val="20"/>
              </w:rPr>
              <w:t>Standard or R</w:t>
            </w:r>
            <w:r w:rsidRPr="00131AC6">
              <w:rPr>
                <w:rFonts w:cs="Arial"/>
                <w:b/>
                <w:szCs w:val="20"/>
              </w:rPr>
              <w:t>egulation</w:t>
            </w:r>
          </w:p>
        </w:tc>
        <w:tc>
          <w:tcPr>
            <w:tcW w:w="708" w:type="dxa"/>
            <w:shd w:val="clear" w:color="auto" w:fill="DBE5F1" w:themeFill="accent1" w:themeFillTint="33"/>
          </w:tcPr>
          <w:p w14:paraId="64F0788D" w14:textId="77777777" w:rsidR="00776154" w:rsidRPr="00131AC6" w:rsidRDefault="00776154" w:rsidP="00776154">
            <w:pPr>
              <w:jc w:val="center"/>
              <w:rPr>
                <w:rFonts w:cs="Arial"/>
                <w:b/>
                <w:szCs w:val="20"/>
              </w:rPr>
            </w:pPr>
            <w:r w:rsidRPr="00131AC6">
              <w:rPr>
                <w:rFonts w:cs="Arial"/>
                <w:b/>
                <w:szCs w:val="20"/>
              </w:rPr>
              <w:t>NCF</w:t>
            </w:r>
          </w:p>
        </w:tc>
        <w:tc>
          <w:tcPr>
            <w:tcW w:w="1701" w:type="dxa"/>
            <w:shd w:val="clear" w:color="auto" w:fill="DAEEF3" w:themeFill="accent5" w:themeFillTint="33"/>
          </w:tcPr>
          <w:p w14:paraId="784DAAD0" w14:textId="77777777" w:rsidR="00776154" w:rsidRDefault="00776154" w:rsidP="00776154">
            <w:pPr>
              <w:jc w:val="center"/>
              <w:rPr>
                <w:rFonts w:cs="Arial"/>
                <w:b/>
                <w:szCs w:val="20"/>
              </w:rPr>
            </w:pPr>
            <w:r w:rsidRPr="00131AC6">
              <w:rPr>
                <w:rFonts w:cs="Arial"/>
                <w:b/>
                <w:szCs w:val="20"/>
              </w:rPr>
              <w:t xml:space="preserve">Minimum protein </w:t>
            </w:r>
          </w:p>
          <w:p w14:paraId="569ED57D" w14:textId="77777777" w:rsidR="00776154" w:rsidRPr="00131AC6" w:rsidRDefault="00776154" w:rsidP="00776154">
            <w:pPr>
              <w:jc w:val="center"/>
              <w:rPr>
                <w:rFonts w:cs="Arial"/>
                <w:b/>
                <w:szCs w:val="20"/>
              </w:rPr>
            </w:pPr>
            <w:r w:rsidRPr="00131AC6">
              <w:rPr>
                <w:rFonts w:cs="Arial"/>
                <w:b/>
                <w:szCs w:val="20"/>
              </w:rPr>
              <w:t>(g/100 kJ)</w:t>
            </w:r>
          </w:p>
        </w:tc>
        <w:tc>
          <w:tcPr>
            <w:tcW w:w="3261" w:type="dxa"/>
            <w:shd w:val="clear" w:color="auto" w:fill="E5DFEC" w:themeFill="accent4" w:themeFillTint="33"/>
          </w:tcPr>
          <w:p w14:paraId="2670F3DA" w14:textId="77777777" w:rsidR="00776154" w:rsidRPr="00131AC6" w:rsidRDefault="00776154" w:rsidP="00776154">
            <w:pPr>
              <w:jc w:val="center"/>
              <w:rPr>
                <w:rFonts w:cs="Arial"/>
                <w:b/>
                <w:szCs w:val="20"/>
              </w:rPr>
            </w:pPr>
            <w:r>
              <w:rPr>
                <w:rFonts w:cs="Arial"/>
                <w:b/>
                <w:szCs w:val="20"/>
              </w:rPr>
              <w:t>Also specified in standard or regulation</w:t>
            </w:r>
          </w:p>
        </w:tc>
      </w:tr>
      <w:tr w:rsidR="00776154" w:rsidRPr="00C902EA" w14:paraId="41970F8E" w14:textId="77777777" w:rsidTr="00202DF8">
        <w:trPr>
          <w:trHeight w:val="397"/>
        </w:trPr>
        <w:tc>
          <w:tcPr>
            <w:tcW w:w="3256" w:type="dxa"/>
          </w:tcPr>
          <w:p w14:paraId="1B45E8A0" w14:textId="2A2A5AA2" w:rsidR="00776154" w:rsidRPr="00453B2B" w:rsidRDefault="00776154" w:rsidP="00776154">
            <w:pPr>
              <w:rPr>
                <w:rFonts w:cs="Arial"/>
                <w:szCs w:val="20"/>
              </w:rPr>
            </w:pPr>
            <w:r>
              <w:rPr>
                <w:rFonts w:cs="Arial"/>
                <w:szCs w:val="20"/>
              </w:rPr>
              <w:t xml:space="preserve">Standard 2.9.1 and </w:t>
            </w:r>
            <w:r w:rsidR="00202DF8">
              <w:rPr>
                <w:rFonts w:cs="Arial"/>
                <w:szCs w:val="20"/>
              </w:rPr>
              <w:t>S29—3</w:t>
            </w:r>
          </w:p>
        </w:tc>
        <w:tc>
          <w:tcPr>
            <w:tcW w:w="708" w:type="dxa"/>
          </w:tcPr>
          <w:p w14:paraId="63FA045C" w14:textId="77777777" w:rsidR="00776154" w:rsidRPr="00453B2B" w:rsidRDefault="00776154" w:rsidP="00776154">
            <w:pPr>
              <w:jc w:val="center"/>
              <w:rPr>
                <w:rFonts w:cs="Arial"/>
                <w:szCs w:val="20"/>
              </w:rPr>
            </w:pPr>
            <w:r w:rsidRPr="00453B2B">
              <w:rPr>
                <w:rFonts w:cs="Arial"/>
                <w:szCs w:val="20"/>
              </w:rPr>
              <w:t>6.38</w:t>
            </w:r>
          </w:p>
        </w:tc>
        <w:tc>
          <w:tcPr>
            <w:tcW w:w="1701" w:type="dxa"/>
          </w:tcPr>
          <w:p w14:paraId="09862D25" w14:textId="77777777" w:rsidR="00776154" w:rsidRPr="00453B2B" w:rsidRDefault="00776154" w:rsidP="00776154">
            <w:pPr>
              <w:jc w:val="center"/>
              <w:rPr>
                <w:rFonts w:cs="Arial"/>
                <w:szCs w:val="20"/>
              </w:rPr>
            </w:pPr>
            <w:r w:rsidRPr="00453B2B">
              <w:rPr>
                <w:rFonts w:cs="Arial"/>
                <w:szCs w:val="20"/>
              </w:rPr>
              <w:t>0.45</w:t>
            </w:r>
          </w:p>
        </w:tc>
        <w:tc>
          <w:tcPr>
            <w:tcW w:w="3261" w:type="dxa"/>
          </w:tcPr>
          <w:p w14:paraId="7B7E913F" w14:textId="77777777" w:rsidR="00776154" w:rsidRPr="00453B2B" w:rsidRDefault="00776154" w:rsidP="00776154">
            <w:pPr>
              <w:rPr>
                <w:rFonts w:cs="Arial"/>
                <w:szCs w:val="20"/>
              </w:rPr>
            </w:pPr>
            <w:r>
              <w:rPr>
                <w:rFonts w:cs="Arial"/>
                <w:szCs w:val="20"/>
              </w:rPr>
              <w:t>I</w:t>
            </w:r>
            <w:r w:rsidRPr="00453B2B">
              <w:rPr>
                <w:rFonts w:cs="Arial"/>
                <w:szCs w:val="20"/>
              </w:rPr>
              <w:t>ncludes partial protein hydrolysates</w:t>
            </w:r>
          </w:p>
        </w:tc>
      </w:tr>
      <w:tr w:rsidR="00776154" w:rsidRPr="00C902EA" w14:paraId="041FD7F9" w14:textId="77777777" w:rsidTr="00202DF8">
        <w:trPr>
          <w:trHeight w:val="397"/>
        </w:trPr>
        <w:tc>
          <w:tcPr>
            <w:tcW w:w="3256" w:type="dxa"/>
          </w:tcPr>
          <w:p w14:paraId="5B3C8331" w14:textId="77777777" w:rsidR="00776154" w:rsidRPr="00453B2B" w:rsidRDefault="00776154" w:rsidP="00776154">
            <w:pPr>
              <w:rPr>
                <w:rFonts w:cs="Arial"/>
                <w:szCs w:val="20"/>
              </w:rPr>
            </w:pPr>
            <w:r w:rsidRPr="00453B2B">
              <w:rPr>
                <w:rFonts w:cs="Arial"/>
                <w:szCs w:val="20"/>
              </w:rPr>
              <w:t>Codex STAN 72-1981</w:t>
            </w:r>
          </w:p>
        </w:tc>
        <w:tc>
          <w:tcPr>
            <w:tcW w:w="708" w:type="dxa"/>
          </w:tcPr>
          <w:p w14:paraId="3B81C904" w14:textId="77777777" w:rsidR="00776154" w:rsidRPr="00453B2B" w:rsidRDefault="00776154" w:rsidP="00776154">
            <w:pPr>
              <w:jc w:val="center"/>
              <w:rPr>
                <w:rFonts w:cs="Arial"/>
                <w:szCs w:val="20"/>
              </w:rPr>
            </w:pPr>
            <w:r>
              <w:rPr>
                <w:rFonts w:cs="Arial"/>
                <w:szCs w:val="20"/>
              </w:rPr>
              <w:t>6.25</w:t>
            </w:r>
          </w:p>
        </w:tc>
        <w:tc>
          <w:tcPr>
            <w:tcW w:w="1701" w:type="dxa"/>
          </w:tcPr>
          <w:p w14:paraId="7D096C9A" w14:textId="77777777" w:rsidR="00776154" w:rsidRPr="00453B2B" w:rsidRDefault="00776154" w:rsidP="00776154">
            <w:pPr>
              <w:jc w:val="center"/>
              <w:rPr>
                <w:rFonts w:cs="Arial"/>
                <w:szCs w:val="20"/>
              </w:rPr>
            </w:pPr>
            <w:r w:rsidRPr="00453B2B">
              <w:rPr>
                <w:rFonts w:cs="Arial"/>
                <w:szCs w:val="20"/>
              </w:rPr>
              <w:t>0.45</w:t>
            </w:r>
          </w:p>
        </w:tc>
        <w:tc>
          <w:tcPr>
            <w:tcW w:w="3261" w:type="dxa"/>
          </w:tcPr>
          <w:p w14:paraId="6D983B17" w14:textId="77777777" w:rsidR="00776154" w:rsidRPr="00453B2B" w:rsidRDefault="00776154" w:rsidP="00776154">
            <w:pPr>
              <w:rPr>
                <w:rFonts w:cs="Arial"/>
                <w:szCs w:val="20"/>
              </w:rPr>
            </w:pPr>
            <w:r>
              <w:rPr>
                <w:rFonts w:cs="Arial"/>
                <w:szCs w:val="20"/>
              </w:rPr>
              <w:t>6.38 g</w:t>
            </w:r>
            <w:r w:rsidRPr="00453B2B">
              <w:rPr>
                <w:rFonts w:cs="Arial"/>
                <w:szCs w:val="20"/>
              </w:rPr>
              <w:t xml:space="preserve">enerally established as </w:t>
            </w:r>
            <w:r>
              <w:rPr>
                <w:rFonts w:cs="Arial"/>
                <w:szCs w:val="20"/>
              </w:rPr>
              <w:t xml:space="preserve">NCF </w:t>
            </w:r>
            <w:r w:rsidRPr="00453B2B">
              <w:rPr>
                <w:rFonts w:cs="Arial"/>
                <w:szCs w:val="20"/>
              </w:rPr>
              <w:t xml:space="preserve">appropriate </w:t>
            </w:r>
            <w:r>
              <w:rPr>
                <w:rFonts w:cs="Arial"/>
                <w:szCs w:val="20"/>
              </w:rPr>
              <w:t>f</w:t>
            </w:r>
            <w:r w:rsidRPr="00453B2B">
              <w:rPr>
                <w:rFonts w:cs="Arial"/>
                <w:szCs w:val="20"/>
              </w:rPr>
              <w:t>or milk products</w:t>
            </w:r>
          </w:p>
        </w:tc>
      </w:tr>
      <w:tr w:rsidR="00776154" w:rsidRPr="00C902EA" w14:paraId="0A362DBD" w14:textId="77777777" w:rsidTr="00202DF8">
        <w:trPr>
          <w:trHeight w:val="397"/>
        </w:trPr>
        <w:tc>
          <w:tcPr>
            <w:tcW w:w="3256" w:type="dxa"/>
          </w:tcPr>
          <w:p w14:paraId="54AD0D40" w14:textId="6ACE2ACA" w:rsidR="00776154" w:rsidRPr="00453B2B" w:rsidRDefault="00607978" w:rsidP="00607978">
            <w:pPr>
              <w:rPr>
                <w:rFonts w:cs="Arial"/>
                <w:szCs w:val="20"/>
              </w:rPr>
            </w:pPr>
            <w:r>
              <w:rPr>
                <w:rFonts w:cs="Arial"/>
                <w:szCs w:val="20"/>
              </w:rPr>
              <w:t>EU</w:t>
            </w:r>
            <w:r w:rsidR="00776154">
              <w:rPr>
                <w:rFonts w:cs="Arial"/>
                <w:szCs w:val="20"/>
              </w:rPr>
              <w:t xml:space="preserve"> </w:t>
            </w:r>
            <w:r w:rsidR="00776154" w:rsidRPr="00453B2B">
              <w:rPr>
                <w:rFonts w:cs="Arial"/>
                <w:szCs w:val="20"/>
              </w:rPr>
              <w:t>2016</w:t>
            </w:r>
            <w:r w:rsidR="00776154">
              <w:rPr>
                <w:rFonts w:cs="Arial"/>
                <w:szCs w:val="20"/>
              </w:rPr>
              <w:t>/127</w:t>
            </w:r>
          </w:p>
        </w:tc>
        <w:tc>
          <w:tcPr>
            <w:tcW w:w="708" w:type="dxa"/>
          </w:tcPr>
          <w:p w14:paraId="0DE22705" w14:textId="77777777" w:rsidR="00776154" w:rsidRPr="00453B2B" w:rsidRDefault="00776154" w:rsidP="00776154">
            <w:pPr>
              <w:jc w:val="center"/>
              <w:rPr>
                <w:rFonts w:cs="Arial"/>
                <w:szCs w:val="20"/>
              </w:rPr>
            </w:pPr>
            <w:r>
              <w:rPr>
                <w:rFonts w:cs="Arial"/>
                <w:szCs w:val="20"/>
              </w:rPr>
              <w:t>6.25</w:t>
            </w:r>
          </w:p>
        </w:tc>
        <w:tc>
          <w:tcPr>
            <w:tcW w:w="1701" w:type="dxa"/>
          </w:tcPr>
          <w:p w14:paraId="37FFAB55" w14:textId="77777777" w:rsidR="00776154" w:rsidRPr="00453B2B" w:rsidRDefault="00776154" w:rsidP="00776154">
            <w:pPr>
              <w:jc w:val="center"/>
              <w:rPr>
                <w:rFonts w:cs="Arial"/>
                <w:szCs w:val="20"/>
              </w:rPr>
            </w:pPr>
            <w:r>
              <w:rPr>
                <w:rFonts w:cs="Arial"/>
                <w:szCs w:val="20"/>
              </w:rPr>
              <w:t>0.43</w:t>
            </w:r>
            <w:r w:rsidRPr="00210597">
              <w:rPr>
                <w:rFonts w:cs="Arial"/>
                <w:szCs w:val="20"/>
                <w:vertAlign w:val="superscript"/>
              </w:rPr>
              <w:t>1</w:t>
            </w:r>
          </w:p>
        </w:tc>
        <w:tc>
          <w:tcPr>
            <w:tcW w:w="3261" w:type="dxa"/>
          </w:tcPr>
          <w:p w14:paraId="665C9E6A" w14:textId="77777777" w:rsidR="00776154" w:rsidRPr="00453B2B" w:rsidRDefault="00776154" w:rsidP="00776154">
            <w:pPr>
              <w:rPr>
                <w:rFonts w:cs="Arial"/>
                <w:szCs w:val="20"/>
              </w:rPr>
            </w:pPr>
            <w:r>
              <w:rPr>
                <w:rFonts w:cs="Arial"/>
                <w:szCs w:val="20"/>
              </w:rPr>
              <w:t>Includes protein hydrolysates</w:t>
            </w:r>
          </w:p>
        </w:tc>
      </w:tr>
      <w:tr w:rsidR="00776154" w:rsidRPr="00C902EA" w14:paraId="00E8D72F" w14:textId="77777777" w:rsidTr="00202DF8">
        <w:trPr>
          <w:trHeight w:val="397"/>
        </w:trPr>
        <w:tc>
          <w:tcPr>
            <w:tcW w:w="3256" w:type="dxa"/>
          </w:tcPr>
          <w:p w14:paraId="5B856E58" w14:textId="46C023D2" w:rsidR="00776154" w:rsidRPr="00C902EA" w:rsidRDefault="00511073" w:rsidP="00776154">
            <w:pPr>
              <w:rPr>
                <w:rFonts w:cs="Arial"/>
                <w:szCs w:val="20"/>
              </w:rPr>
            </w:pPr>
            <w:r>
              <w:rPr>
                <w:rFonts w:cs="Arial"/>
                <w:szCs w:val="20"/>
              </w:rPr>
              <w:t>Draft Codex FUF (2018</w:t>
            </w:r>
            <w:r w:rsidR="00776154" w:rsidRPr="00C902EA">
              <w:rPr>
                <w:rFonts w:cs="Arial"/>
                <w:szCs w:val="20"/>
              </w:rPr>
              <w:t>)</w:t>
            </w:r>
          </w:p>
        </w:tc>
        <w:tc>
          <w:tcPr>
            <w:tcW w:w="708" w:type="dxa"/>
          </w:tcPr>
          <w:p w14:paraId="28E71923" w14:textId="77777777" w:rsidR="00776154" w:rsidRPr="00453B2B" w:rsidRDefault="00776154" w:rsidP="00776154">
            <w:pPr>
              <w:jc w:val="center"/>
              <w:rPr>
                <w:rFonts w:cs="Arial"/>
                <w:szCs w:val="20"/>
              </w:rPr>
            </w:pPr>
            <w:r>
              <w:rPr>
                <w:rFonts w:cs="Arial"/>
                <w:szCs w:val="20"/>
              </w:rPr>
              <w:t>6.38</w:t>
            </w:r>
          </w:p>
        </w:tc>
        <w:tc>
          <w:tcPr>
            <w:tcW w:w="1701" w:type="dxa"/>
          </w:tcPr>
          <w:p w14:paraId="44BC0E29" w14:textId="77777777" w:rsidR="00776154" w:rsidRPr="00453B2B" w:rsidRDefault="00776154" w:rsidP="00776154">
            <w:pPr>
              <w:jc w:val="center"/>
              <w:rPr>
                <w:rFonts w:cs="Arial"/>
                <w:szCs w:val="20"/>
              </w:rPr>
            </w:pPr>
            <w:r>
              <w:rPr>
                <w:rFonts w:cs="Arial"/>
                <w:szCs w:val="20"/>
              </w:rPr>
              <w:t>0.43</w:t>
            </w:r>
            <w:r w:rsidRPr="00210597">
              <w:rPr>
                <w:rFonts w:cs="Arial"/>
                <w:szCs w:val="20"/>
                <w:vertAlign w:val="superscript"/>
              </w:rPr>
              <w:t>1</w:t>
            </w:r>
          </w:p>
        </w:tc>
        <w:tc>
          <w:tcPr>
            <w:tcW w:w="3261" w:type="dxa"/>
          </w:tcPr>
          <w:p w14:paraId="7D780871" w14:textId="77777777" w:rsidR="00776154" w:rsidRPr="00453B2B" w:rsidRDefault="00776154" w:rsidP="00776154">
            <w:pPr>
              <w:rPr>
                <w:rFonts w:cs="Arial"/>
                <w:szCs w:val="20"/>
              </w:rPr>
            </w:pPr>
            <w:r w:rsidRPr="00AC14E7">
              <w:rPr>
                <w:rFonts w:cs="Arial"/>
                <w:szCs w:val="20"/>
              </w:rPr>
              <w:t>Other NCF can be used if scientifically justified</w:t>
            </w:r>
          </w:p>
        </w:tc>
      </w:tr>
    </w:tbl>
    <w:p w14:paraId="7F93CA90" w14:textId="77777777" w:rsidR="00776154" w:rsidRPr="00BC5468" w:rsidRDefault="00776154" w:rsidP="00776154">
      <w:pPr>
        <w:rPr>
          <w:i/>
          <w:sz w:val="18"/>
          <w:szCs w:val="20"/>
        </w:rPr>
      </w:pPr>
      <w:r w:rsidRPr="00BC5468">
        <w:rPr>
          <w:i/>
          <w:sz w:val="18"/>
          <w:szCs w:val="20"/>
          <w:vertAlign w:val="superscript"/>
        </w:rPr>
        <w:t>1</w:t>
      </w:r>
      <w:r w:rsidRPr="00BC5468">
        <w:rPr>
          <w:i/>
          <w:sz w:val="18"/>
          <w:szCs w:val="20"/>
        </w:rPr>
        <w:t xml:space="preserve"> Minimum specified as 1.8 g/kcal in these standards which is consistent with Codex STAN 72-1981. The lower minimum of 0.43 g/100 kJ results from the calculation to g/100 kJ using an energy conversion factor of 1 kcal = 4.18 kJ.</w:t>
      </w:r>
    </w:p>
    <w:p w14:paraId="63CEE1C2" w14:textId="77777777" w:rsidR="00776154" w:rsidRPr="00210597" w:rsidRDefault="00776154" w:rsidP="00776154">
      <w:pPr>
        <w:rPr>
          <w:sz w:val="20"/>
          <w:szCs w:val="20"/>
        </w:rPr>
      </w:pPr>
    </w:p>
    <w:p w14:paraId="12B7C6FE" w14:textId="48C7EDCF" w:rsidR="00776154" w:rsidRDefault="00776154" w:rsidP="00E9515E">
      <w:pPr>
        <w:pStyle w:val="FSTitle"/>
      </w:pPr>
      <w:bookmarkStart w:id="177" w:name="_Toc74061227"/>
      <w:r>
        <w:t xml:space="preserve">Table </w:t>
      </w:r>
      <w:r w:rsidR="003D1645">
        <w:t>4</w:t>
      </w:r>
      <w:r w:rsidR="005577E5">
        <w:t>.2</w:t>
      </w:r>
      <w:r w:rsidR="00544BB2">
        <w:tab/>
      </w:r>
      <w:r>
        <w:t>Standards and regulations for NCF: soy protein</w:t>
      </w:r>
      <w:bookmarkEnd w:id="177"/>
      <w:r>
        <w:t xml:space="preserve"> </w:t>
      </w:r>
    </w:p>
    <w:tbl>
      <w:tblPr>
        <w:tblStyle w:val="TableGrid"/>
        <w:tblW w:w="8926" w:type="dxa"/>
        <w:tblLook w:val="04A0" w:firstRow="1" w:lastRow="0" w:firstColumn="1" w:lastColumn="0" w:noHBand="0" w:noVBand="1"/>
        <w:tblCaption w:val="Table 4.1.2 Standards and regulations for NCF: soy protein "/>
        <w:tblDescription w:val="This table summarises the differing standards and regualtions for NCF, soy protein. "/>
      </w:tblPr>
      <w:tblGrid>
        <w:gridCol w:w="3256"/>
        <w:gridCol w:w="708"/>
        <w:gridCol w:w="1701"/>
        <w:gridCol w:w="3261"/>
      </w:tblGrid>
      <w:tr w:rsidR="00776154" w:rsidRPr="00C902EA" w14:paraId="20829E79" w14:textId="77777777" w:rsidTr="00C6286D">
        <w:trPr>
          <w:trHeight w:val="397"/>
        </w:trPr>
        <w:tc>
          <w:tcPr>
            <w:tcW w:w="3256" w:type="dxa"/>
            <w:shd w:val="clear" w:color="auto" w:fill="EAF1DD" w:themeFill="accent3" w:themeFillTint="33"/>
          </w:tcPr>
          <w:p w14:paraId="2F59A6E3" w14:textId="77777777" w:rsidR="00776154" w:rsidRPr="00131AC6" w:rsidRDefault="00776154" w:rsidP="00776154">
            <w:pPr>
              <w:jc w:val="center"/>
              <w:rPr>
                <w:rFonts w:cs="Arial"/>
                <w:b/>
                <w:szCs w:val="20"/>
              </w:rPr>
            </w:pPr>
            <w:r>
              <w:rPr>
                <w:rFonts w:cs="Arial"/>
                <w:b/>
                <w:szCs w:val="20"/>
              </w:rPr>
              <w:t>Standard or R</w:t>
            </w:r>
            <w:r w:rsidRPr="00131AC6">
              <w:rPr>
                <w:rFonts w:cs="Arial"/>
                <w:b/>
                <w:szCs w:val="20"/>
              </w:rPr>
              <w:t>egulation</w:t>
            </w:r>
          </w:p>
        </w:tc>
        <w:tc>
          <w:tcPr>
            <w:tcW w:w="708" w:type="dxa"/>
            <w:shd w:val="clear" w:color="auto" w:fill="DBE5F1" w:themeFill="accent1" w:themeFillTint="33"/>
          </w:tcPr>
          <w:p w14:paraId="1D64172D" w14:textId="77777777" w:rsidR="00776154" w:rsidRPr="00131AC6" w:rsidRDefault="00776154" w:rsidP="00776154">
            <w:pPr>
              <w:jc w:val="center"/>
              <w:rPr>
                <w:rFonts w:cs="Arial"/>
                <w:b/>
                <w:szCs w:val="20"/>
              </w:rPr>
            </w:pPr>
            <w:r w:rsidRPr="00131AC6">
              <w:rPr>
                <w:rFonts w:cs="Arial"/>
                <w:b/>
                <w:szCs w:val="20"/>
              </w:rPr>
              <w:t>NCF</w:t>
            </w:r>
          </w:p>
        </w:tc>
        <w:tc>
          <w:tcPr>
            <w:tcW w:w="1701" w:type="dxa"/>
            <w:shd w:val="clear" w:color="auto" w:fill="DAEEF3" w:themeFill="accent5" w:themeFillTint="33"/>
          </w:tcPr>
          <w:p w14:paraId="23D9E27B" w14:textId="77777777" w:rsidR="00776154" w:rsidRDefault="00776154" w:rsidP="00776154">
            <w:pPr>
              <w:jc w:val="center"/>
              <w:rPr>
                <w:rFonts w:cs="Arial"/>
                <w:b/>
                <w:szCs w:val="20"/>
              </w:rPr>
            </w:pPr>
            <w:r w:rsidRPr="00131AC6">
              <w:rPr>
                <w:rFonts w:cs="Arial"/>
                <w:b/>
                <w:szCs w:val="20"/>
              </w:rPr>
              <w:t xml:space="preserve">Minimum protein </w:t>
            </w:r>
          </w:p>
          <w:p w14:paraId="78D246F2" w14:textId="77777777" w:rsidR="00776154" w:rsidRPr="00131AC6" w:rsidRDefault="00776154" w:rsidP="00776154">
            <w:pPr>
              <w:jc w:val="center"/>
              <w:rPr>
                <w:rFonts w:cs="Arial"/>
                <w:b/>
                <w:szCs w:val="20"/>
              </w:rPr>
            </w:pPr>
            <w:r w:rsidRPr="00131AC6">
              <w:rPr>
                <w:rFonts w:cs="Arial"/>
                <w:b/>
                <w:szCs w:val="20"/>
              </w:rPr>
              <w:t>(g/100 kJ)</w:t>
            </w:r>
          </w:p>
        </w:tc>
        <w:tc>
          <w:tcPr>
            <w:tcW w:w="3261" w:type="dxa"/>
            <w:shd w:val="clear" w:color="auto" w:fill="E5DFEC" w:themeFill="accent4" w:themeFillTint="33"/>
          </w:tcPr>
          <w:p w14:paraId="35F8AFF2" w14:textId="77777777" w:rsidR="00776154" w:rsidRPr="00131AC6" w:rsidRDefault="00776154" w:rsidP="00776154">
            <w:pPr>
              <w:jc w:val="center"/>
              <w:rPr>
                <w:rFonts w:cs="Arial"/>
                <w:b/>
                <w:szCs w:val="20"/>
              </w:rPr>
            </w:pPr>
            <w:r>
              <w:rPr>
                <w:rFonts w:cs="Arial"/>
                <w:b/>
                <w:szCs w:val="20"/>
              </w:rPr>
              <w:t>Also specified in standard or regulation</w:t>
            </w:r>
          </w:p>
        </w:tc>
      </w:tr>
      <w:tr w:rsidR="00776154" w:rsidRPr="00C902EA" w14:paraId="12DD8E83" w14:textId="77777777" w:rsidTr="00C6286D">
        <w:trPr>
          <w:trHeight w:val="397"/>
        </w:trPr>
        <w:tc>
          <w:tcPr>
            <w:tcW w:w="3256" w:type="dxa"/>
            <w:vAlign w:val="center"/>
          </w:tcPr>
          <w:p w14:paraId="4E064D57" w14:textId="63C89251" w:rsidR="00776154" w:rsidRPr="00453B2B" w:rsidRDefault="00776154" w:rsidP="00776154">
            <w:pPr>
              <w:rPr>
                <w:rFonts w:cs="Arial"/>
                <w:szCs w:val="20"/>
              </w:rPr>
            </w:pPr>
            <w:r>
              <w:rPr>
                <w:rFonts w:cs="Arial"/>
                <w:szCs w:val="20"/>
              </w:rPr>
              <w:t xml:space="preserve">Standards 2.9.1 and </w:t>
            </w:r>
            <w:r w:rsidR="00C6286D">
              <w:rPr>
                <w:rFonts w:cs="Arial"/>
                <w:szCs w:val="20"/>
              </w:rPr>
              <w:t>S29—3</w:t>
            </w:r>
          </w:p>
        </w:tc>
        <w:tc>
          <w:tcPr>
            <w:tcW w:w="708" w:type="dxa"/>
            <w:vAlign w:val="center"/>
          </w:tcPr>
          <w:p w14:paraId="62D1E416" w14:textId="77777777" w:rsidR="00776154" w:rsidRPr="00453B2B" w:rsidRDefault="00776154" w:rsidP="00776154">
            <w:pPr>
              <w:rPr>
                <w:rFonts w:cs="Arial"/>
                <w:szCs w:val="20"/>
              </w:rPr>
            </w:pPr>
            <w:r w:rsidRPr="00453B2B">
              <w:rPr>
                <w:rFonts w:cs="Arial"/>
                <w:szCs w:val="20"/>
              </w:rPr>
              <w:t>6.25</w:t>
            </w:r>
          </w:p>
        </w:tc>
        <w:tc>
          <w:tcPr>
            <w:tcW w:w="1701" w:type="dxa"/>
          </w:tcPr>
          <w:p w14:paraId="292805E5" w14:textId="77777777" w:rsidR="00776154" w:rsidRPr="00453B2B" w:rsidRDefault="00776154" w:rsidP="00776154">
            <w:pPr>
              <w:jc w:val="center"/>
              <w:rPr>
                <w:rFonts w:cs="Arial"/>
                <w:szCs w:val="20"/>
              </w:rPr>
            </w:pPr>
            <w:r w:rsidRPr="00453B2B">
              <w:rPr>
                <w:rFonts w:cs="Arial"/>
                <w:szCs w:val="20"/>
              </w:rPr>
              <w:t>0.45</w:t>
            </w:r>
          </w:p>
        </w:tc>
        <w:tc>
          <w:tcPr>
            <w:tcW w:w="3261" w:type="dxa"/>
          </w:tcPr>
          <w:p w14:paraId="7F76FD3A" w14:textId="77777777" w:rsidR="00776154" w:rsidRPr="00453B2B" w:rsidRDefault="00776154" w:rsidP="00776154">
            <w:pPr>
              <w:rPr>
                <w:rFonts w:cs="Arial"/>
                <w:szCs w:val="20"/>
              </w:rPr>
            </w:pPr>
          </w:p>
        </w:tc>
      </w:tr>
      <w:tr w:rsidR="00776154" w:rsidRPr="00C902EA" w14:paraId="1440A6A6" w14:textId="77777777" w:rsidTr="00C6286D">
        <w:trPr>
          <w:trHeight w:val="397"/>
        </w:trPr>
        <w:tc>
          <w:tcPr>
            <w:tcW w:w="3256" w:type="dxa"/>
            <w:vAlign w:val="center"/>
          </w:tcPr>
          <w:p w14:paraId="58B0F58E" w14:textId="77777777" w:rsidR="00776154" w:rsidRPr="00453B2B" w:rsidRDefault="00776154" w:rsidP="00776154">
            <w:pPr>
              <w:rPr>
                <w:rFonts w:cs="Arial"/>
                <w:szCs w:val="20"/>
              </w:rPr>
            </w:pPr>
            <w:r w:rsidRPr="00453B2B">
              <w:rPr>
                <w:rFonts w:cs="Arial"/>
                <w:szCs w:val="20"/>
              </w:rPr>
              <w:t>Codex STAN 72-1981</w:t>
            </w:r>
          </w:p>
        </w:tc>
        <w:tc>
          <w:tcPr>
            <w:tcW w:w="708" w:type="dxa"/>
            <w:vAlign w:val="center"/>
          </w:tcPr>
          <w:p w14:paraId="17C92ABF" w14:textId="77777777" w:rsidR="00776154" w:rsidRPr="00453B2B" w:rsidRDefault="00776154" w:rsidP="00776154">
            <w:pPr>
              <w:rPr>
                <w:rFonts w:cs="Arial"/>
                <w:szCs w:val="20"/>
              </w:rPr>
            </w:pPr>
            <w:r>
              <w:rPr>
                <w:rFonts w:cs="Arial"/>
                <w:szCs w:val="20"/>
              </w:rPr>
              <w:t>6.25</w:t>
            </w:r>
          </w:p>
        </w:tc>
        <w:tc>
          <w:tcPr>
            <w:tcW w:w="1701" w:type="dxa"/>
          </w:tcPr>
          <w:p w14:paraId="2205F752" w14:textId="12B9627B" w:rsidR="00776154" w:rsidRPr="00453B2B" w:rsidRDefault="00776154" w:rsidP="00582064">
            <w:pPr>
              <w:jc w:val="center"/>
              <w:rPr>
                <w:rFonts w:cs="Arial"/>
                <w:szCs w:val="20"/>
              </w:rPr>
            </w:pPr>
            <w:r w:rsidRPr="00453B2B">
              <w:rPr>
                <w:rFonts w:cs="Arial"/>
                <w:szCs w:val="20"/>
              </w:rPr>
              <w:t>0.5</w:t>
            </w:r>
            <w:r w:rsidRPr="0023724A">
              <w:rPr>
                <w:rFonts w:cs="Arial"/>
                <w:szCs w:val="20"/>
                <w:vertAlign w:val="superscript"/>
              </w:rPr>
              <w:t>1</w:t>
            </w:r>
          </w:p>
        </w:tc>
        <w:tc>
          <w:tcPr>
            <w:tcW w:w="3261" w:type="dxa"/>
          </w:tcPr>
          <w:p w14:paraId="59EDD63C" w14:textId="3DF14478" w:rsidR="00776154" w:rsidRPr="00453B2B" w:rsidRDefault="00776154" w:rsidP="00776154">
            <w:pPr>
              <w:rPr>
                <w:rFonts w:cs="Arial"/>
                <w:szCs w:val="20"/>
              </w:rPr>
            </w:pPr>
            <w:r>
              <w:rPr>
                <w:rFonts w:cs="Arial"/>
                <w:szCs w:val="20"/>
              </w:rPr>
              <w:t>5.71 g</w:t>
            </w:r>
            <w:r w:rsidRPr="00453B2B">
              <w:rPr>
                <w:rFonts w:cs="Arial"/>
                <w:szCs w:val="20"/>
              </w:rPr>
              <w:t>enerally established as NCF appropriate</w:t>
            </w:r>
            <w:r>
              <w:rPr>
                <w:rFonts w:cs="Arial"/>
                <w:szCs w:val="20"/>
              </w:rPr>
              <w:t xml:space="preserve"> for soy</w:t>
            </w:r>
            <w:r w:rsidR="00582064">
              <w:rPr>
                <w:rFonts w:cs="Arial"/>
                <w:szCs w:val="20"/>
              </w:rPr>
              <w:t>-based</w:t>
            </w:r>
            <w:r>
              <w:rPr>
                <w:rFonts w:cs="Arial"/>
                <w:szCs w:val="20"/>
              </w:rPr>
              <w:t xml:space="preserve"> products</w:t>
            </w:r>
          </w:p>
        </w:tc>
      </w:tr>
      <w:tr w:rsidR="00776154" w:rsidRPr="00C902EA" w14:paraId="558184AB" w14:textId="77777777" w:rsidTr="00C6286D">
        <w:trPr>
          <w:trHeight w:val="397"/>
        </w:trPr>
        <w:tc>
          <w:tcPr>
            <w:tcW w:w="3256" w:type="dxa"/>
            <w:vAlign w:val="center"/>
          </w:tcPr>
          <w:p w14:paraId="0F45E288" w14:textId="7AAA0CE4" w:rsidR="00776154" w:rsidRPr="00C902EA" w:rsidRDefault="00607978" w:rsidP="00607978">
            <w:pPr>
              <w:rPr>
                <w:rFonts w:cs="Arial"/>
                <w:szCs w:val="20"/>
              </w:rPr>
            </w:pPr>
            <w:r>
              <w:rPr>
                <w:rFonts w:cs="Arial"/>
                <w:szCs w:val="20"/>
              </w:rPr>
              <w:t>EU</w:t>
            </w:r>
            <w:r w:rsidR="00776154" w:rsidRPr="00AC14E7">
              <w:rPr>
                <w:rFonts w:cs="Arial"/>
                <w:szCs w:val="20"/>
              </w:rPr>
              <w:t xml:space="preserve"> 2016/127</w:t>
            </w:r>
          </w:p>
        </w:tc>
        <w:tc>
          <w:tcPr>
            <w:tcW w:w="708" w:type="dxa"/>
            <w:vAlign w:val="center"/>
          </w:tcPr>
          <w:p w14:paraId="0710460A" w14:textId="77777777" w:rsidR="00776154" w:rsidRPr="00453B2B" w:rsidRDefault="00776154" w:rsidP="00776154">
            <w:pPr>
              <w:rPr>
                <w:rFonts w:cs="Arial"/>
                <w:szCs w:val="20"/>
              </w:rPr>
            </w:pPr>
            <w:r w:rsidRPr="00453B2B">
              <w:rPr>
                <w:rFonts w:cs="Arial"/>
                <w:szCs w:val="20"/>
              </w:rPr>
              <w:t>6.25</w:t>
            </w:r>
          </w:p>
        </w:tc>
        <w:tc>
          <w:tcPr>
            <w:tcW w:w="1701" w:type="dxa"/>
            <w:vAlign w:val="center"/>
          </w:tcPr>
          <w:p w14:paraId="165B9DD1" w14:textId="77777777" w:rsidR="00776154" w:rsidRPr="00453B2B" w:rsidRDefault="00776154" w:rsidP="00776154">
            <w:pPr>
              <w:jc w:val="center"/>
              <w:rPr>
                <w:rFonts w:cs="Arial"/>
                <w:szCs w:val="20"/>
              </w:rPr>
            </w:pPr>
            <w:r>
              <w:rPr>
                <w:rFonts w:cs="Arial"/>
                <w:szCs w:val="20"/>
              </w:rPr>
              <w:t>0.54</w:t>
            </w:r>
            <w:r w:rsidRPr="0023724A">
              <w:rPr>
                <w:rFonts w:cs="Arial"/>
                <w:szCs w:val="20"/>
                <w:vertAlign w:val="superscript"/>
              </w:rPr>
              <w:t>1</w:t>
            </w:r>
          </w:p>
        </w:tc>
        <w:tc>
          <w:tcPr>
            <w:tcW w:w="3261" w:type="dxa"/>
          </w:tcPr>
          <w:p w14:paraId="53C20688" w14:textId="77777777" w:rsidR="00776154" w:rsidRPr="00453B2B" w:rsidRDefault="00776154" w:rsidP="00776154">
            <w:pPr>
              <w:rPr>
                <w:rFonts w:cs="Arial"/>
                <w:szCs w:val="20"/>
              </w:rPr>
            </w:pPr>
          </w:p>
        </w:tc>
      </w:tr>
      <w:tr w:rsidR="00776154" w:rsidRPr="00C902EA" w14:paraId="19800FD5" w14:textId="77777777" w:rsidTr="00C6286D">
        <w:trPr>
          <w:trHeight w:val="397"/>
        </w:trPr>
        <w:tc>
          <w:tcPr>
            <w:tcW w:w="3256" w:type="dxa"/>
            <w:vAlign w:val="center"/>
          </w:tcPr>
          <w:p w14:paraId="64CB7839" w14:textId="41300608" w:rsidR="00776154" w:rsidRPr="00C902EA" w:rsidRDefault="00511073" w:rsidP="00511073">
            <w:pPr>
              <w:rPr>
                <w:rFonts w:cs="Arial"/>
                <w:szCs w:val="20"/>
              </w:rPr>
            </w:pPr>
            <w:r>
              <w:rPr>
                <w:rFonts w:cs="Arial"/>
                <w:szCs w:val="20"/>
              </w:rPr>
              <w:t>Draft Codex FUF (2018</w:t>
            </w:r>
            <w:r w:rsidR="00776154" w:rsidRPr="00C902EA">
              <w:rPr>
                <w:rFonts w:cs="Arial"/>
                <w:szCs w:val="20"/>
              </w:rPr>
              <w:t>)</w:t>
            </w:r>
          </w:p>
        </w:tc>
        <w:tc>
          <w:tcPr>
            <w:tcW w:w="708" w:type="dxa"/>
            <w:vAlign w:val="center"/>
          </w:tcPr>
          <w:p w14:paraId="6CD01652" w14:textId="77777777" w:rsidR="00776154" w:rsidRPr="00453B2B" w:rsidRDefault="00776154" w:rsidP="00776154">
            <w:pPr>
              <w:rPr>
                <w:rFonts w:cs="Arial"/>
                <w:szCs w:val="20"/>
              </w:rPr>
            </w:pPr>
            <w:r>
              <w:rPr>
                <w:rFonts w:cs="Arial"/>
                <w:szCs w:val="20"/>
              </w:rPr>
              <w:t>6.25</w:t>
            </w:r>
          </w:p>
        </w:tc>
        <w:tc>
          <w:tcPr>
            <w:tcW w:w="1701" w:type="dxa"/>
            <w:vAlign w:val="center"/>
          </w:tcPr>
          <w:p w14:paraId="05F52C0C" w14:textId="77777777" w:rsidR="00776154" w:rsidRPr="00453B2B" w:rsidRDefault="00776154" w:rsidP="00776154">
            <w:pPr>
              <w:jc w:val="center"/>
              <w:rPr>
                <w:rFonts w:cs="Arial"/>
                <w:szCs w:val="20"/>
              </w:rPr>
            </w:pPr>
            <w:r>
              <w:rPr>
                <w:rFonts w:cs="Arial"/>
                <w:szCs w:val="20"/>
              </w:rPr>
              <w:t>0.54</w:t>
            </w:r>
            <w:r w:rsidRPr="0023724A">
              <w:rPr>
                <w:rFonts w:cs="Arial"/>
                <w:szCs w:val="20"/>
                <w:vertAlign w:val="superscript"/>
              </w:rPr>
              <w:t>1</w:t>
            </w:r>
          </w:p>
        </w:tc>
        <w:tc>
          <w:tcPr>
            <w:tcW w:w="3261" w:type="dxa"/>
          </w:tcPr>
          <w:p w14:paraId="29A77D56" w14:textId="77777777" w:rsidR="00776154" w:rsidRPr="00453B2B" w:rsidRDefault="00776154" w:rsidP="00776154">
            <w:pPr>
              <w:rPr>
                <w:rFonts w:cs="Arial"/>
                <w:szCs w:val="20"/>
              </w:rPr>
            </w:pPr>
            <w:r>
              <w:rPr>
                <w:rFonts w:cs="Arial"/>
                <w:szCs w:val="20"/>
              </w:rPr>
              <w:t>Other NCF can be used if scientifically justified</w:t>
            </w:r>
          </w:p>
        </w:tc>
      </w:tr>
    </w:tbl>
    <w:p w14:paraId="60EC0BB5" w14:textId="71AE11FE" w:rsidR="00776154" w:rsidRPr="00BC5468" w:rsidRDefault="00776154" w:rsidP="00776154">
      <w:pPr>
        <w:rPr>
          <w:i/>
          <w:sz w:val="18"/>
          <w:szCs w:val="20"/>
        </w:rPr>
      </w:pPr>
      <w:r w:rsidRPr="00BC5468">
        <w:rPr>
          <w:i/>
          <w:sz w:val="18"/>
          <w:szCs w:val="20"/>
          <w:vertAlign w:val="superscript"/>
        </w:rPr>
        <w:t>1</w:t>
      </w:r>
      <w:r w:rsidRPr="00BC5468">
        <w:rPr>
          <w:i/>
          <w:sz w:val="18"/>
          <w:szCs w:val="20"/>
        </w:rPr>
        <w:t xml:space="preserve"> Higher minimum protein to ensure adequate protein for soy-based </w:t>
      </w:r>
      <w:r w:rsidR="00582064" w:rsidRPr="00BC5468">
        <w:rPr>
          <w:i/>
          <w:sz w:val="18"/>
          <w:szCs w:val="20"/>
        </w:rPr>
        <w:t xml:space="preserve">products </w:t>
      </w:r>
      <w:r w:rsidRPr="00BC5468">
        <w:rPr>
          <w:i/>
          <w:sz w:val="18"/>
          <w:szCs w:val="20"/>
        </w:rPr>
        <w:t>when NCF 6.25 is used</w:t>
      </w:r>
      <w:r w:rsidR="00582064" w:rsidRPr="00BC5468">
        <w:rPr>
          <w:i/>
          <w:sz w:val="18"/>
          <w:szCs w:val="20"/>
        </w:rPr>
        <w:t>.</w:t>
      </w:r>
    </w:p>
    <w:p w14:paraId="5A8A1AD5" w14:textId="77777777" w:rsidR="00776154" w:rsidRDefault="00776154" w:rsidP="00776154">
      <w:pPr>
        <w:pStyle w:val="Heading4"/>
      </w:pPr>
      <w:r>
        <w:t xml:space="preserve">Previous consideration  </w:t>
      </w:r>
    </w:p>
    <w:p w14:paraId="7F3455C9" w14:textId="76AD49E9" w:rsidR="00776154" w:rsidRDefault="00776154" w:rsidP="00776154">
      <w:pPr>
        <w:rPr>
          <w:rFonts w:eastAsia="Arial Unicode MS"/>
          <w:szCs w:val="22"/>
          <w:lang w:val="en-AU" w:bidi="ar-SA"/>
        </w:rPr>
      </w:pPr>
      <w:r>
        <w:t xml:space="preserve">In 2016 FSANZ’s preliminary view proposed specifying </w:t>
      </w:r>
      <w:r w:rsidRPr="002371A6">
        <w:t xml:space="preserve">two </w:t>
      </w:r>
      <w:r w:rsidRPr="00D83CC7">
        <w:t>conversion</w:t>
      </w:r>
      <w:r w:rsidRPr="002371A6">
        <w:t xml:space="preserve"> factors</w:t>
      </w:r>
      <w:r>
        <w:t xml:space="preserve">: 6.25 for mammalian milk and 5.71 </w:t>
      </w:r>
      <w:r w:rsidR="00582064">
        <w:t>for</w:t>
      </w:r>
      <w:r>
        <w:t xml:space="preserve"> soy protein.</w:t>
      </w:r>
    </w:p>
    <w:p w14:paraId="15CBFC41" w14:textId="77777777" w:rsidR="00776154" w:rsidRDefault="00776154" w:rsidP="00776154">
      <w:pPr>
        <w:pStyle w:val="Heading5"/>
        <w:rPr>
          <w:lang w:val="en-AU" w:bidi="ar-SA"/>
        </w:rPr>
      </w:pPr>
      <w:r>
        <w:rPr>
          <w:lang w:val="en-AU" w:bidi="ar-SA"/>
        </w:rPr>
        <w:t>Milk protein</w:t>
      </w:r>
    </w:p>
    <w:p w14:paraId="4D990362" w14:textId="48074152" w:rsidR="00776154" w:rsidRDefault="00776154" w:rsidP="00776154">
      <w:pPr>
        <w:rPr>
          <w:lang w:val="en-AU" w:bidi="ar-SA"/>
        </w:rPr>
      </w:pPr>
      <w:r>
        <w:rPr>
          <w:lang w:val="en-AU" w:bidi="ar-SA"/>
        </w:rPr>
        <w:t xml:space="preserve">The 6.25 NCF was derived from the average nitrogen content of mixed food proteins which is approximately 16%. Thus, 1 g of nitrogen is equivalent to about 6.25 g of crude protein. </w:t>
      </w:r>
      <w:r w:rsidRPr="00A11EC5">
        <w:rPr>
          <w:lang w:val="en-AU" w:bidi="ar-SA"/>
        </w:rPr>
        <w:t>As</w:t>
      </w:r>
      <w:r>
        <w:rPr>
          <w:lang w:val="en-AU" w:bidi="ar-SA"/>
        </w:rPr>
        <w:t xml:space="preserve"> reviewed by the EC SCF (2003), 6.25 was considered </w:t>
      </w:r>
      <w:r w:rsidRPr="00A11EC5">
        <w:rPr>
          <w:lang w:val="en-AU" w:bidi="ar-SA"/>
        </w:rPr>
        <w:t xml:space="preserve">to </w:t>
      </w:r>
      <w:r>
        <w:rPr>
          <w:lang w:val="en-AU" w:bidi="ar-SA"/>
        </w:rPr>
        <w:t xml:space="preserve">be appropriate to </w:t>
      </w:r>
      <w:r w:rsidRPr="00A11EC5">
        <w:rPr>
          <w:lang w:val="en-AU" w:bidi="ar-SA"/>
        </w:rPr>
        <w:t>calculate</w:t>
      </w:r>
      <w:r>
        <w:rPr>
          <w:lang w:val="en-AU" w:bidi="ar-SA"/>
        </w:rPr>
        <w:t xml:space="preserve"> amounts of</w:t>
      </w:r>
      <w:r w:rsidRPr="00A11EC5">
        <w:rPr>
          <w:lang w:val="en-AU" w:bidi="ar-SA"/>
        </w:rPr>
        <w:t xml:space="preserve"> </w:t>
      </w:r>
      <w:r>
        <w:rPr>
          <w:lang w:val="en-AU" w:bidi="ar-SA"/>
        </w:rPr>
        <w:t xml:space="preserve">crude (or </w:t>
      </w:r>
      <w:r w:rsidRPr="00A11EC5">
        <w:rPr>
          <w:lang w:val="en-AU" w:bidi="ar-SA"/>
        </w:rPr>
        <w:t>total</w:t>
      </w:r>
      <w:r>
        <w:rPr>
          <w:lang w:val="en-AU" w:bidi="ar-SA"/>
        </w:rPr>
        <w:t>)</w:t>
      </w:r>
      <w:r w:rsidRPr="00A11EC5">
        <w:rPr>
          <w:lang w:val="en-AU" w:bidi="ar-SA"/>
        </w:rPr>
        <w:t xml:space="preserve"> protein </w:t>
      </w:r>
      <w:r>
        <w:rPr>
          <w:lang w:val="en-AU" w:bidi="ar-SA"/>
        </w:rPr>
        <w:t>and amino acid</w:t>
      </w:r>
      <w:r w:rsidRPr="00A11EC5">
        <w:rPr>
          <w:lang w:val="en-AU" w:bidi="ar-SA"/>
        </w:rPr>
        <w:t xml:space="preserve">s </w:t>
      </w:r>
      <w:r>
        <w:rPr>
          <w:lang w:val="en-AU" w:bidi="ar-SA"/>
        </w:rPr>
        <w:t>in infant formula.</w:t>
      </w:r>
    </w:p>
    <w:p w14:paraId="0223A22B" w14:textId="77777777" w:rsidR="00776154" w:rsidRDefault="00776154" w:rsidP="00776154">
      <w:pPr>
        <w:rPr>
          <w:lang w:val="en-AU" w:bidi="ar-SA"/>
        </w:rPr>
      </w:pPr>
    </w:p>
    <w:p w14:paraId="2C10FDC0" w14:textId="77777777" w:rsidR="00776154" w:rsidRDefault="00776154" w:rsidP="00776154">
      <w:pPr>
        <w:rPr>
          <w:lang w:val="en-AU" w:bidi="ar-SA"/>
        </w:rPr>
      </w:pPr>
      <w:r>
        <w:rPr>
          <w:lang w:val="en-AU" w:bidi="ar-SA"/>
        </w:rPr>
        <w:t>The 6.38 factor was derived from the amino acid sequence of casein protein component</w:t>
      </w:r>
      <w:r w:rsidDel="00BF51FE">
        <w:rPr>
          <w:lang w:val="en-AU" w:bidi="ar-SA"/>
        </w:rPr>
        <w:t xml:space="preserve"> </w:t>
      </w:r>
      <w:r>
        <w:rPr>
          <w:lang w:val="en-AU" w:bidi="ar-SA"/>
        </w:rPr>
        <w:t xml:space="preserve">(6.36) and whey protein component (6.41) where regardless of the relative proportions of these protein components, the NCF remains about 6.38 (Maubois and Laurient 2015). </w:t>
      </w:r>
    </w:p>
    <w:p w14:paraId="22E37616" w14:textId="77777777" w:rsidR="00776154" w:rsidRDefault="00776154" w:rsidP="00776154">
      <w:pPr>
        <w:rPr>
          <w:lang w:val="en-AU" w:bidi="ar-SA"/>
        </w:rPr>
      </w:pPr>
    </w:p>
    <w:p w14:paraId="0B35F17A" w14:textId="4C2B9DE7" w:rsidR="00776154" w:rsidRDefault="00776154" w:rsidP="00776154">
      <w:pPr>
        <w:rPr>
          <w:lang w:val="en-AU" w:bidi="ar-SA"/>
        </w:rPr>
      </w:pPr>
      <w:r>
        <w:rPr>
          <w:lang w:val="en-AU" w:bidi="ar-SA"/>
        </w:rPr>
        <w:t xml:space="preserve">For the calculation of protein content, use of 6.25 for cow’s milk protein sources when 6.38 is more appropriate underestimates protein content by about 2%. Given the relatively large variation in </w:t>
      </w:r>
      <w:r w:rsidR="00C73A77">
        <w:rPr>
          <w:lang w:val="en-AU" w:bidi="ar-SA"/>
        </w:rPr>
        <w:t>non-protein nitrogen (</w:t>
      </w:r>
      <w:r>
        <w:rPr>
          <w:lang w:val="en-AU" w:bidi="ar-SA"/>
        </w:rPr>
        <w:t>NPN</w:t>
      </w:r>
      <w:r w:rsidR="00C73A77">
        <w:rPr>
          <w:lang w:val="en-AU" w:bidi="ar-SA"/>
        </w:rPr>
        <w:t>)</w:t>
      </w:r>
      <w:r>
        <w:rPr>
          <w:lang w:val="en-AU" w:bidi="ar-SA"/>
        </w:rPr>
        <w:t xml:space="preserve"> amounts in cow’s milk, this underestimation can be considered minor for typical cow</w:t>
      </w:r>
      <w:r w:rsidR="005D7571">
        <w:rPr>
          <w:lang w:val="en-AU" w:bidi="ar-SA"/>
        </w:rPr>
        <w:t>’</w:t>
      </w:r>
      <w:r>
        <w:rPr>
          <w:lang w:val="en-AU" w:bidi="ar-SA"/>
        </w:rPr>
        <w:t xml:space="preserve">s milk-based infant formulas. If the protein source is processed and enriched with certain protein fractions, the percentage could be greater or less but there is no data published on such NCFs. </w:t>
      </w:r>
    </w:p>
    <w:p w14:paraId="2F7D93BD" w14:textId="77777777" w:rsidR="00776154" w:rsidRDefault="00776154" w:rsidP="00776154">
      <w:pPr>
        <w:pStyle w:val="Heading5"/>
        <w:rPr>
          <w:lang w:val="en-AU" w:bidi="ar-SA"/>
        </w:rPr>
      </w:pPr>
      <w:r>
        <w:rPr>
          <w:lang w:val="en-AU" w:bidi="ar-SA"/>
        </w:rPr>
        <w:t>Soy protein</w:t>
      </w:r>
    </w:p>
    <w:p w14:paraId="7F9978E5" w14:textId="65822C23" w:rsidR="00776154" w:rsidRDefault="00776154" w:rsidP="00776154">
      <w:pPr>
        <w:rPr>
          <w:lang w:val="en-AU" w:bidi="ar-SA"/>
        </w:rPr>
      </w:pPr>
      <w:r>
        <w:rPr>
          <w:lang w:val="en-AU" w:bidi="ar-SA"/>
        </w:rPr>
        <w:t xml:space="preserve">The nitrogen-protein factor for soy (5.71) is substantially lower than that for milk proteins. The composition of soy protein is different from milk proteins as it contains </w:t>
      </w:r>
      <w:r w:rsidRPr="009A51CC">
        <w:rPr>
          <w:lang w:val="en-AU" w:bidi="ar-SA"/>
        </w:rPr>
        <w:t xml:space="preserve">side chain glycosylation which </w:t>
      </w:r>
      <w:r>
        <w:rPr>
          <w:lang w:val="en-AU" w:bidi="ar-SA"/>
        </w:rPr>
        <w:t xml:space="preserve">reduces its nitrogen content. If 6.25 was used to calculate the protein </w:t>
      </w:r>
      <w:r>
        <w:rPr>
          <w:lang w:val="en-AU" w:bidi="ar-SA"/>
        </w:rPr>
        <w:lastRenderedPageBreak/>
        <w:t>amount for soy protein, the calculated protein amount would be overestimated and potentially the true protein content would be insufficient to meet infant requirements.</w:t>
      </w:r>
    </w:p>
    <w:p w14:paraId="3DBFF515" w14:textId="77777777" w:rsidR="00776154" w:rsidRDefault="00776154" w:rsidP="00776154">
      <w:pPr>
        <w:rPr>
          <w:lang w:val="en-AU" w:bidi="ar-SA"/>
        </w:rPr>
      </w:pPr>
    </w:p>
    <w:p w14:paraId="4F9399BC" w14:textId="3BAB2731" w:rsidR="00C54F29" w:rsidRDefault="00776154" w:rsidP="00776154">
      <w:pPr>
        <w:rPr>
          <w:lang w:val="en-AU" w:bidi="ar-SA"/>
        </w:rPr>
      </w:pPr>
      <w:r>
        <w:rPr>
          <w:lang w:val="en-AU" w:bidi="ar-SA"/>
        </w:rPr>
        <w:t xml:space="preserve">Table </w:t>
      </w:r>
      <w:r w:rsidR="003D1645">
        <w:rPr>
          <w:lang w:val="en-AU" w:bidi="ar-SA"/>
        </w:rPr>
        <w:t>4</w:t>
      </w:r>
      <w:r w:rsidR="00477C96">
        <w:rPr>
          <w:lang w:val="en-AU" w:bidi="ar-SA"/>
        </w:rPr>
        <w:t>.3</w:t>
      </w:r>
      <w:r>
        <w:rPr>
          <w:lang w:val="en-AU" w:bidi="ar-SA"/>
        </w:rPr>
        <w:t xml:space="preserve"> summarises the basis for the three NCFs of concern in this discussion</w:t>
      </w:r>
      <w:r w:rsidR="00C54F29">
        <w:t xml:space="preserve">, based on experimental analyses of samples and/or theoretical calculations based on amino acid data, </w:t>
      </w:r>
      <w:r>
        <w:rPr>
          <w:lang w:val="en-AU" w:bidi="ar-SA"/>
        </w:rPr>
        <w:t>noting experimental conditions may cause some variation.</w:t>
      </w:r>
    </w:p>
    <w:p w14:paraId="4F18C4FD" w14:textId="77777777" w:rsidR="00776154" w:rsidRDefault="00776154" w:rsidP="00776154">
      <w:pPr>
        <w:rPr>
          <w:lang w:val="en-AU" w:bidi="ar-SA"/>
        </w:rPr>
      </w:pPr>
    </w:p>
    <w:p w14:paraId="0449FC19" w14:textId="380DCE2D" w:rsidR="00776154" w:rsidRDefault="00776154" w:rsidP="00E9515E">
      <w:pPr>
        <w:pStyle w:val="FSTitle"/>
        <w:rPr>
          <w:lang w:val="en-AU" w:bidi="ar-SA"/>
        </w:rPr>
      </w:pPr>
      <w:bookmarkStart w:id="178" w:name="_Toc74061228"/>
      <w:r>
        <w:rPr>
          <w:lang w:val="en-AU" w:bidi="ar-SA"/>
        </w:rPr>
        <w:t xml:space="preserve">Table </w:t>
      </w:r>
      <w:r w:rsidR="003D1645">
        <w:rPr>
          <w:lang w:val="en-AU" w:bidi="ar-SA"/>
        </w:rPr>
        <w:t>4</w:t>
      </w:r>
      <w:r w:rsidR="00477C96">
        <w:rPr>
          <w:lang w:val="en-AU" w:bidi="ar-SA"/>
        </w:rPr>
        <w:t>.3</w:t>
      </w:r>
      <w:r w:rsidR="00544BB2">
        <w:rPr>
          <w:lang w:val="en-AU" w:bidi="ar-SA"/>
        </w:rPr>
        <w:tab/>
      </w:r>
      <w:r>
        <w:rPr>
          <w:lang w:val="en-AU" w:bidi="ar-SA"/>
        </w:rPr>
        <w:t xml:space="preserve">Basis for </w:t>
      </w:r>
      <w:r w:rsidR="00477C96">
        <w:rPr>
          <w:lang w:val="en-AU" w:bidi="ar-SA"/>
        </w:rPr>
        <w:t>NCFs</w:t>
      </w:r>
      <w:r w:rsidR="004D11A4">
        <w:rPr>
          <w:lang w:val="en-AU" w:bidi="ar-SA"/>
        </w:rPr>
        <w:t xml:space="preserve"> used for infant formula</w:t>
      </w:r>
      <w:r>
        <w:rPr>
          <w:lang w:val="en-AU" w:bidi="ar-SA"/>
        </w:rPr>
        <w:t xml:space="preserve"> protein sources</w:t>
      </w:r>
      <w:bookmarkEnd w:id="178"/>
    </w:p>
    <w:tbl>
      <w:tblPr>
        <w:tblStyle w:val="TableGrid"/>
        <w:tblW w:w="0" w:type="auto"/>
        <w:tblInd w:w="-5" w:type="dxa"/>
        <w:tblLook w:val="04A0" w:firstRow="1" w:lastRow="0" w:firstColumn="1" w:lastColumn="0" w:noHBand="0" w:noVBand="1"/>
        <w:tblCaption w:val="Table 4.1.3 Basis for NCFs used for infant formula protein sources"/>
        <w:tblDescription w:val="This table summarises the basis for NCFs used for infant formula protein sources."/>
      </w:tblPr>
      <w:tblGrid>
        <w:gridCol w:w="993"/>
        <w:gridCol w:w="2268"/>
        <w:gridCol w:w="5642"/>
      </w:tblGrid>
      <w:tr w:rsidR="00776154" w:rsidRPr="00A02C58" w14:paraId="3BD69DDA" w14:textId="77777777" w:rsidTr="00BC5468">
        <w:trPr>
          <w:trHeight w:val="359"/>
        </w:trPr>
        <w:tc>
          <w:tcPr>
            <w:tcW w:w="993" w:type="dxa"/>
            <w:shd w:val="clear" w:color="auto" w:fill="E5DFEC" w:themeFill="accent4" w:themeFillTint="33"/>
          </w:tcPr>
          <w:p w14:paraId="25590AEC" w14:textId="77777777" w:rsidR="00776154" w:rsidRPr="0082588A" w:rsidRDefault="00776154" w:rsidP="00776154">
            <w:pPr>
              <w:rPr>
                <w:rFonts w:cs="Arial"/>
                <w:b/>
                <w:szCs w:val="20"/>
              </w:rPr>
            </w:pPr>
            <w:r w:rsidRPr="0082588A">
              <w:rPr>
                <w:rFonts w:cs="Arial"/>
                <w:b/>
                <w:szCs w:val="20"/>
              </w:rPr>
              <w:t>Protein source</w:t>
            </w:r>
          </w:p>
        </w:tc>
        <w:tc>
          <w:tcPr>
            <w:tcW w:w="2268" w:type="dxa"/>
            <w:shd w:val="clear" w:color="auto" w:fill="DBE5F1" w:themeFill="accent1" w:themeFillTint="33"/>
          </w:tcPr>
          <w:p w14:paraId="6404D048" w14:textId="77777777" w:rsidR="00776154" w:rsidRPr="0082588A" w:rsidRDefault="00776154" w:rsidP="00776154">
            <w:pPr>
              <w:rPr>
                <w:rFonts w:cs="Arial"/>
                <w:b/>
                <w:szCs w:val="20"/>
              </w:rPr>
            </w:pPr>
            <w:r w:rsidRPr="0082588A">
              <w:rPr>
                <w:rFonts w:cs="Arial"/>
                <w:b/>
                <w:szCs w:val="20"/>
              </w:rPr>
              <w:t>NCF</w:t>
            </w:r>
          </w:p>
        </w:tc>
        <w:tc>
          <w:tcPr>
            <w:tcW w:w="5642" w:type="dxa"/>
            <w:shd w:val="clear" w:color="auto" w:fill="EAF1DD" w:themeFill="accent3" w:themeFillTint="33"/>
          </w:tcPr>
          <w:p w14:paraId="27B73E1D" w14:textId="77777777" w:rsidR="00776154" w:rsidRPr="0082588A" w:rsidRDefault="00776154" w:rsidP="00776154">
            <w:pPr>
              <w:rPr>
                <w:rFonts w:cs="Arial"/>
                <w:b/>
                <w:szCs w:val="20"/>
              </w:rPr>
            </w:pPr>
            <w:r w:rsidRPr="0082588A">
              <w:rPr>
                <w:rFonts w:cs="Arial"/>
                <w:b/>
                <w:szCs w:val="20"/>
              </w:rPr>
              <w:t>Basis</w:t>
            </w:r>
          </w:p>
        </w:tc>
      </w:tr>
      <w:tr w:rsidR="00776154" w:rsidRPr="0082588A" w14:paraId="7065A472" w14:textId="77777777" w:rsidTr="00776154">
        <w:trPr>
          <w:trHeight w:val="397"/>
        </w:trPr>
        <w:tc>
          <w:tcPr>
            <w:tcW w:w="993" w:type="dxa"/>
          </w:tcPr>
          <w:p w14:paraId="33727A54" w14:textId="77777777" w:rsidR="00776154" w:rsidRPr="0082588A" w:rsidRDefault="00776154" w:rsidP="00776154">
            <w:pPr>
              <w:rPr>
                <w:rFonts w:cs="Arial"/>
                <w:szCs w:val="20"/>
              </w:rPr>
            </w:pPr>
            <w:r w:rsidRPr="0082588A">
              <w:rPr>
                <w:rFonts w:cs="Arial"/>
                <w:szCs w:val="20"/>
              </w:rPr>
              <w:t>Soy</w:t>
            </w:r>
          </w:p>
        </w:tc>
        <w:tc>
          <w:tcPr>
            <w:tcW w:w="2268" w:type="dxa"/>
          </w:tcPr>
          <w:p w14:paraId="49CBC2F4" w14:textId="77777777" w:rsidR="00776154" w:rsidRPr="0082588A" w:rsidRDefault="00776154" w:rsidP="00776154">
            <w:pPr>
              <w:rPr>
                <w:rFonts w:cs="Arial"/>
                <w:szCs w:val="20"/>
              </w:rPr>
            </w:pPr>
            <w:r w:rsidRPr="0082588A">
              <w:rPr>
                <w:rFonts w:cs="Arial"/>
                <w:szCs w:val="20"/>
              </w:rPr>
              <w:t>1 g N = 5.71 g protein</w:t>
            </w:r>
          </w:p>
        </w:tc>
        <w:tc>
          <w:tcPr>
            <w:tcW w:w="5642" w:type="dxa"/>
          </w:tcPr>
          <w:p w14:paraId="2902EDB3" w14:textId="53EF1142" w:rsidR="00776154" w:rsidRPr="0082588A" w:rsidRDefault="00776154" w:rsidP="00776154">
            <w:pPr>
              <w:rPr>
                <w:rFonts w:cs="Arial"/>
                <w:szCs w:val="20"/>
              </w:rPr>
            </w:pPr>
            <w:r w:rsidRPr="0082588A">
              <w:rPr>
                <w:rFonts w:cs="Arial"/>
                <w:szCs w:val="20"/>
              </w:rPr>
              <w:t>Experimentally determined, scien</w:t>
            </w:r>
            <w:r w:rsidR="00477C96">
              <w:rPr>
                <w:rFonts w:cs="Arial"/>
                <w:szCs w:val="20"/>
              </w:rPr>
              <w:t>ce</w:t>
            </w:r>
            <w:r w:rsidRPr="0082588A">
              <w:rPr>
                <w:rFonts w:cs="Arial"/>
                <w:szCs w:val="20"/>
              </w:rPr>
              <w:t>-based NCF for soy protein sources (</w:t>
            </w:r>
            <w:r w:rsidR="001F2573" w:rsidRPr="001F2573">
              <w:rPr>
                <w:rFonts w:cs="Arial"/>
                <w:szCs w:val="20"/>
              </w:rPr>
              <w:t>Maubois and Laurient 2015</w:t>
            </w:r>
            <w:r w:rsidRPr="0082588A">
              <w:rPr>
                <w:rFonts w:cs="Arial"/>
                <w:szCs w:val="20"/>
              </w:rPr>
              <w:t>)</w:t>
            </w:r>
            <w:r w:rsidR="001F2573">
              <w:rPr>
                <w:rFonts w:cs="Arial"/>
                <w:szCs w:val="20"/>
              </w:rPr>
              <w:t>.</w:t>
            </w:r>
          </w:p>
        </w:tc>
      </w:tr>
      <w:tr w:rsidR="00776154" w:rsidRPr="0082588A" w14:paraId="619E9B41" w14:textId="77777777" w:rsidTr="00776154">
        <w:trPr>
          <w:trHeight w:val="397"/>
        </w:trPr>
        <w:tc>
          <w:tcPr>
            <w:tcW w:w="993" w:type="dxa"/>
          </w:tcPr>
          <w:p w14:paraId="0662A101" w14:textId="77777777" w:rsidR="00776154" w:rsidRPr="0082588A" w:rsidRDefault="00776154" w:rsidP="00776154">
            <w:pPr>
              <w:rPr>
                <w:rFonts w:cs="Arial"/>
                <w:szCs w:val="20"/>
              </w:rPr>
            </w:pPr>
            <w:r w:rsidRPr="0082588A">
              <w:rPr>
                <w:rFonts w:cs="Arial"/>
                <w:szCs w:val="20"/>
              </w:rPr>
              <w:t>General</w:t>
            </w:r>
          </w:p>
        </w:tc>
        <w:tc>
          <w:tcPr>
            <w:tcW w:w="2268" w:type="dxa"/>
          </w:tcPr>
          <w:p w14:paraId="49C5CE81" w14:textId="6845FC7D" w:rsidR="00776154" w:rsidRPr="0082588A" w:rsidRDefault="00776154" w:rsidP="00477C96">
            <w:pPr>
              <w:rPr>
                <w:rFonts w:cs="Arial"/>
                <w:szCs w:val="20"/>
              </w:rPr>
            </w:pPr>
            <w:r w:rsidRPr="0082588A">
              <w:rPr>
                <w:rFonts w:cs="Arial"/>
                <w:szCs w:val="20"/>
              </w:rPr>
              <w:t>1 g N = 6.25 g protein</w:t>
            </w:r>
          </w:p>
        </w:tc>
        <w:tc>
          <w:tcPr>
            <w:tcW w:w="5642" w:type="dxa"/>
          </w:tcPr>
          <w:p w14:paraId="448FF45E" w14:textId="77777777" w:rsidR="00776154" w:rsidRPr="0082588A" w:rsidRDefault="00776154" w:rsidP="00776154">
            <w:pPr>
              <w:rPr>
                <w:rFonts w:cs="Arial"/>
                <w:szCs w:val="20"/>
              </w:rPr>
            </w:pPr>
            <w:r w:rsidRPr="0082588A">
              <w:rPr>
                <w:rFonts w:cs="Arial"/>
                <w:szCs w:val="20"/>
              </w:rPr>
              <w:t>An approximated conversion factor for all protein sources based on average nitrogen content of mixed food proteins which is approximately 16%</w:t>
            </w:r>
          </w:p>
        </w:tc>
      </w:tr>
      <w:tr w:rsidR="00776154" w:rsidRPr="0082588A" w14:paraId="5967860A" w14:textId="77777777" w:rsidTr="00776154">
        <w:trPr>
          <w:trHeight w:val="397"/>
        </w:trPr>
        <w:tc>
          <w:tcPr>
            <w:tcW w:w="993" w:type="dxa"/>
          </w:tcPr>
          <w:p w14:paraId="1CB6F60A" w14:textId="77777777" w:rsidR="00776154" w:rsidRPr="0082588A" w:rsidRDefault="00776154" w:rsidP="00776154">
            <w:pPr>
              <w:rPr>
                <w:rFonts w:cs="Arial"/>
                <w:szCs w:val="20"/>
              </w:rPr>
            </w:pPr>
            <w:r w:rsidRPr="0082588A">
              <w:rPr>
                <w:rFonts w:cs="Arial"/>
                <w:szCs w:val="20"/>
              </w:rPr>
              <w:t xml:space="preserve">Cow’s milk </w:t>
            </w:r>
          </w:p>
        </w:tc>
        <w:tc>
          <w:tcPr>
            <w:tcW w:w="2268" w:type="dxa"/>
          </w:tcPr>
          <w:p w14:paraId="3209A6EA" w14:textId="77777777" w:rsidR="00776154" w:rsidRPr="0082588A" w:rsidRDefault="00776154" w:rsidP="00776154">
            <w:pPr>
              <w:rPr>
                <w:rFonts w:cs="Arial"/>
                <w:szCs w:val="20"/>
              </w:rPr>
            </w:pPr>
            <w:r w:rsidRPr="0082588A">
              <w:rPr>
                <w:rFonts w:cs="Arial"/>
                <w:szCs w:val="20"/>
              </w:rPr>
              <w:t>1 g N = 6.38 g protein</w:t>
            </w:r>
          </w:p>
        </w:tc>
        <w:tc>
          <w:tcPr>
            <w:tcW w:w="5642" w:type="dxa"/>
          </w:tcPr>
          <w:p w14:paraId="37552B36" w14:textId="3DD05850" w:rsidR="00776154" w:rsidRPr="0082588A" w:rsidRDefault="00776154" w:rsidP="00776154">
            <w:pPr>
              <w:rPr>
                <w:rFonts w:cs="Arial"/>
                <w:szCs w:val="20"/>
              </w:rPr>
            </w:pPr>
            <w:r w:rsidRPr="0082588A">
              <w:rPr>
                <w:rFonts w:cs="Arial"/>
                <w:szCs w:val="20"/>
              </w:rPr>
              <w:t>Experimentally determined, scien</w:t>
            </w:r>
            <w:r w:rsidR="00477C96">
              <w:rPr>
                <w:rFonts w:cs="Arial"/>
                <w:szCs w:val="20"/>
              </w:rPr>
              <w:t>ce</w:t>
            </w:r>
            <w:r w:rsidRPr="0082588A">
              <w:rPr>
                <w:rFonts w:cs="Arial"/>
                <w:szCs w:val="20"/>
              </w:rPr>
              <w:t>-based NCF for dairy protein sources (</w:t>
            </w:r>
            <w:r w:rsidR="001F2573" w:rsidRPr="001F2573">
              <w:rPr>
                <w:rFonts w:cs="Arial"/>
                <w:szCs w:val="20"/>
              </w:rPr>
              <w:t>Maubois and Laurient 2015).</w:t>
            </w:r>
          </w:p>
        </w:tc>
      </w:tr>
    </w:tbl>
    <w:p w14:paraId="738E1C26" w14:textId="48D0ED45" w:rsidR="00776154" w:rsidRDefault="00143572" w:rsidP="00776154">
      <w:pPr>
        <w:pStyle w:val="Heading4"/>
      </w:pPr>
      <w:r>
        <w:t>Stakeholder views</w:t>
      </w:r>
    </w:p>
    <w:p w14:paraId="2DDADAF0" w14:textId="37160B92" w:rsidR="00776154" w:rsidRDefault="00477C96" w:rsidP="00776154">
      <w:r>
        <w:t>Thirteen</w:t>
      </w:r>
      <w:r w:rsidR="00776154">
        <w:t xml:space="preserve"> submitters</w:t>
      </w:r>
      <w:r w:rsidR="0048005E">
        <w:t xml:space="preserve"> </w:t>
      </w:r>
      <w:r w:rsidR="00776154">
        <w:t>(</w:t>
      </w:r>
      <w:r>
        <w:t>one</w:t>
      </w:r>
      <w:r w:rsidR="00776154">
        <w:t xml:space="preserve"> government, 12 industry) commented on NCFs</w:t>
      </w:r>
      <w:r w:rsidR="004C6B9C">
        <w:t xml:space="preserve">, with </w:t>
      </w:r>
      <w:r w:rsidR="00776154">
        <w:t>no clear ag</w:t>
      </w:r>
      <w:r w:rsidR="00544BB2">
        <w:t>reement across the submissions (</w:t>
      </w:r>
      <w:r w:rsidR="00776154">
        <w:t xml:space="preserve">Table </w:t>
      </w:r>
      <w:r w:rsidR="003D1645">
        <w:t>4</w:t>
      </w:r>
      <w:r>
        <w:t>.4</w:t>
      </w:r>
      <w:r w:rsidR="00544BB2">
        <w:t>)</w:t>
      </w:r>
      <w:r w:rsidR="00776154">
        <w:t xml:space="preserve">.  </w:t>
      </w:r>
    </w:p>
    <w:p w14:paraId="400DE9DA" w14:textId="77777777" w:rsidR="00776154" w:rsidRDefault="00776154" w:rsidP="00776154"/>
    <w:p w14:paraId="70D120AA" w14:textId="56A6BE9F" w:rsidR="00776154" w:rsidRDefault="00416F19" w:rsidP="00E9515E">
      <w:pPr>
        <w:pStyle w:val="FSTitle"/>
      </w:pPr>
      <w:bookmarkStart w:id="179" w:name="_Toc74061229"/>
      <w:r>
        <w:t xml:space="preserve">Table </w:t>
      </w:r>
      <w:r w:rsidR="003D1645">
        <w:t>4</w:t>
      </w:r>
      <w:r w:rsidR="00477C96">
        <w:t>.4</w:t>
      </w:r>
      <w:r w:rsidR="00544BB2">
        <w:tab/>
      </w:r>
      <w:r w:rsidR="00776154">
        <w:t xml:space="preserve">Submitter </w:t>
      </w:r>
      <w:r w:rsidR="00544BB2">
        <w:t xml:space="preserve">comments </w:t>
      </w:r>
      <w:r w:rsidR="00776154">
        <w:t>on nitrogen protein conversion factors</w:t>
      </w:r>
      <w:bookmarkEnd w:id="179"/>
      <w:r w:rsidR="00776154">
        <w:t xml:space="preserve"> </w:t>
      </w:r>
    </w:p>
    <w:tbl>
      <w:tblPr>
        <w:tblStyle w:val="MediumShading1-Accent3"/>
        <w:tblW w:w="5000" w:type="pct"/>
        <w:tblLook w:val="04A0" w:firstRow="1" w:lastRow="0" w:firstColumn="1" w:lastColumn="0" w:noHBand="0" w:noVBand="1"/>
        <w:tblCaption w:val="Table 4.1.4 Submitter views on nitrogen protein conversion factors "/>
        <w:tblDescription w:val="This table summarises submissions regarding NCF to the previous Consultation papers for Proposal P1028"/>
      </w:tblPr>
      <w:tblGrid>
        <w:gridCol w:w="1484"/>
        <w:gridCol w:w="1356"/>
        <w:gridCol w:w="3082"/>
        <w:gridCol w:w="3084"/>
      </w:tblGrid>
      <w:tr w:rsidR="00776154" w:rsidRPr="00561BD5" w14:paraId="6E5A203B" w14:textId="77777777" w:rsidTr="008B1ED5">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24" w:type="pct"/>
          </w:tcPr>
          <w:p w14:paraId="21DF1D1C" w14:textId="65A6F15E" w:rsidR="00776154" w:rsidRPr="00BC5468" w:rsidRDefault="00843305" w:rsidP="00561BD5">
            <w:pPr>
              <w:jc w:val="center"/>
              <w:rPr>
                <w:rFonts w:cs="Arial"/>
                <w:color w:val="auto"/>
                <w:szCs w:val="20"/>
              </w:rPr>
            </w:pPr>
            <w:r>
              <w:rPr>
                <w:rFonts w:cs="Arial"/>
                <w:color w:val="auto"/>
                <w:szCs w:val="20"/>
              </w:rPr>
              <w:t>View</w:t>
            </w:r>
          </w:p>
        </w:tc>
        <w:tc>
          <w:tcPr>
            <w:tcW w:w="753" w:type="pct"/>
          </w:tcPr>
          <w:p w14:paraId="076C7EB0" w14:textId="654F0CA0" w:rsidR="00776154" w:rsidRPr="00BC5468" w:rsidRDefault="00776154" w:rsidP="00561BD5">
            <w:pPr>
              <w:jc w:val="center"/>
              <w:cnfStyle w:val="100000000000" w:firstRow="1" w:lastRow="0" w:firstColumn="0" w:lastColumn="0" w:oddVBand="0" w:evenVBand="0" w:oddHBand="0" w:evenHBand="0" w:firstRowFirstColumn="0" w:firstRowLastColumn="0" w:lastRowFirstColumn="0" w:lastRowLastColumn="0"/>
              <w:rPr>
                <w:rFonts w:cs="Arial"/>
                <w:color w:val="auto"/>
                <w:szCs w:val="20"/>
              </w:rPr>
            </w:pPr>
            <w:r w:rsidRPr="00BC5468">
              <w:rPr>
                <w:rFonts w:cs="Arial"/>
                <w:color w:val="auto"/>
                <w:szCs w:val="20"/>
              </w:rPr>
              <w:t>Submissions</w:t>
            </w:r>
          </w:p>
        </w:tc>
        <w:tc>
          <w:tcPr>
            <w:tcW w:w="1711" w:type="pct"/>
          </w:tcPr>
          <w:p w14:paraId="6844CC4C" w14:textId="77777777" w:rsidR="00776154" w:rsidRPr="00BC5468" w:rsidRDefault="00776154" w:rsidP="00561BD5">
            <w:pPr>
              <w:jc w:val="center"/>
              <w:cnfStyle w:val="100000000000" w:firstRow="1" w:lastRow="0" w:firstColumn="0" w:lastColumn="0" w:oddVBand="0" w:evenVBand="0" w:oddHBand="0" w:evenHBand="0" w:firstRowFirstColumn="0" w:firstRowLastColumn="0" w:lastRowFirstColumn="0" w:lastRowLastColumn="0"/>
              <w:rPr>
                <w:rFonts w:cs="Arial"/>
                <w:color w:val="auto"/>
                <w:szCs w:val="20"/>
              </w:rPr>
            </w:pPr>
            <w:r w:rsidRPr="00BC5468">
              <w:rPr>
                <w:rFonts w:cs="Arial"/>
                <w:color w:val="auto"/>
                <w:szCs w:val="20"/>
              </w:rPr>
              <w:t>Submitter comments</w:t>
            </w:r>
          </w:p>
        </w:tc>
        <w:tc>
          <w:tcPr>
            <w:tcW w:w="1712" w:type="pct"/>
          </w:tcPr>
          <w:p w14:paraId="325E7FD0" w14:textId="77777777" w:rsidR="00776154" w:rsidRPr="00BC5468" w:rsidRDefault="00776154" w:rsidP="00561BD5">
            <w:pPr>
              <w:jc w:val="center"/>
              <w:cnfStyle w:val="100000000000" w:firstRow="1" w:lastRow="0" w:firstColumn="0" w:lastColumn="0" w:oddVBand="0" w:evenVBand="0" w:oddHBand="0" w:evenHBand="0" w:firstRowFirstColumn="0" w:firstRowLastColumn="0" w:lastRowFirstColumn="0" w:lastRowLastColumn="0"/>
              <w:rPr>
                <w:rFonts w:cs="Arial"/>
                <w:color w:val="auto"/>
                <w:szCs w:val="20"/>
              </w:rPr>
            </w:pPr>
            <w:r w:rsidRPr="00BC5468">
              <w:rPr>
                <w:rFonts w:cs="Arial"/>
                <w:color w:val="auto"/>
                <w:szCs w:val="20"/>
              </w:rPr>
              <w:t>FSANZ response</w:t>
            </w:r>
          </w:p>
        </w:tc>
      </w:tr>
      <w:tr w:rsidR="00776154" w:rsidRPr="00561BD5" w14:paraId="3F070023" w14:textId="77777777" w:rsidTr="008B1ED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24" w:type="pct"/>
            <w:vMerge w:val="restart"/>
            <w:shd w:val="clear" w:color="auto" w:fill="EAF1DD" w:themeFill="accent3" w:themeFillTint="33"/>
          </w:tcPr>
          <w:p w14:paraId="12937730" w14:textId="6B05AD7D" w:rsidR="00776154" w:rsidRPr="00561BD5" w:rsidRDefault="00776154" w:rsidP="00776154">
            <w:pPr>
              <w:rPr>
                <w:rFonts w:cs="Arial"/>
                <w:szCs w:val="20"/>
              </w:rPr>
            </w:pPr>
            <w:r w:rsidRPr="00561BD5">
              <w:rPr>
                <w:rFonts w:cs="Arial"/>
                <w:szCs w:val="20"/>
              </w:rPr>
              <w:t>Supports 6.</w:t>
            </w:r>
            <w:r w:rsidR="004D11A4">
              <w:rPr>
                <w:rFonts w:cs="Arial"/>
                <w:szCs w:val="20"/>
              </w:rPr>
              <w:t>25 as appropriate NCF for all infant formula.</w:t>
            </w:r>
            <w:r w:rsidRPr="00561BD5">
              <w:rPr>
                <w:rFonts w:cs="Arial"/>
                <w:szCs w:val="20"/>
              </w:rPr>
              <w:t xml:space="preserve"> </w:t>
            </w:r>
          </w:p>
        </w:tc>
        <w:tc>
          <w:tcPr>
            <w:tcW w:w="753" w:type="pct"/>
            <w:vMerge w:val="restart"/>
            <w:shd w:val="clear" w:color="auto" w:fill="EAF1DD" w:themeFill="accent3" w:themeFillTint="33"/>
          </w:tcPr>
          <w:p w14:paraId="025B7276" w14:textId="335A43C7" w:rsidR="00776154" w:rsidRPr="00561BD5" w:rsidRDefault="00776154" w:rsidP="00776154">
            <w:pPr>
              <w:cnfStyle w:val="000000100000" w:firstRow="0" w:lastRow="0" w:firstColumn="0" w:lastColumn="0" w:oddVBand="0" w:evenVBand="0" w:oddHBand="1" w:evenHBand="0" w:firstRowFirstColumn="0" w:firstRowLastColumn="0" w:lastRowFirstColumn="0" w:lastRowLastColumn="0"/>
              <w:rPr>
                <w:rFonts w:cs="Arial"/>
                <w:szCs w:val="20"/>
              </w:rPr>
            </w:pPr>
            <w:r w:rsidRPr="00561BD5">
              <w:rPr>
                <w:rFonts w:cs="Arial"/>
                <w:szCs w:val="20"/>
              </w:rPr>
              <w:t>Industry (3)</w:t>
            </w:r>
          </w:p>
        </w:tc>
        <w:tc>
          <w:tcPr>
            <w:tcW w:w="1711" w:type="pct"/>
            <w:shd w:val="clear" w:color="auto" w:fill="EAF1DD" w:themeFill="accent3" w:themeFillTint="33"/>
          </w:tcPr>
          <w:p w14:paraId="0942D3C4" w14:textId="77777777" w:rsidR="00776154" w:rsidRPr="00561BD5" w:rsidRDefault="00776154" w:rsidP="00776154">
            <w:pPr>
              <w:cnfStyle w:val="000000100000" w:firstRow="0" w:lastRow="0" w:firstColumn="0" w:lastColumn="0" w:oddVBand="0" w:evenVBand="0" w:oddHBand="1" w:evenHBand="0" w:firstRowFirstColumn="0" w:firstRowLastColumn="0" w:lastRowFirstColumn="0" w:lastRowLastColumn="0"/>
              <w:rPr>
                <w:rFonts w:cs="Arial"/>
                <w:szCs w:val="20"/>
              </w:rPr>
            </w:pPr>
            <w:r w:rsidRPr="00561BD5">
              <w:rPr>
                <w:rFonts w:cs="Arial"/>
                <w:szCs w:val="20"/>
              </w:rPr>
              <w:t xml:space="preserve">Considers 5.71 to be derived from incorrect data </w:t>
            </w:r>
          </w:p>
        </w:tc>
        <w:tc>
          <w:tcPr>
            <w:tcW w:w="1712" w:type="pct"/>
            <w:shd w:val="clear" w:color="auto" w:fill="EAF1DD" w:themeFill="accent3" w:themeFillTint="33"/>
          </w:tcPr>
          <w:p w14:paraId="63C2B0D6" w14:textId="77777777" w:rsidR="00776154" w:rsidRPr="00561BD5" w:rsidRDefault="00776154" w:rsidP="00776154">
            <w:pPr>
              <w:cnfStyle w:val="000000100000" w:firstRow="0" w:lastRow="0" w:firstColumn="0" w:lastColumn="0" w:oddVBand="0" w:evenVBand="0" w:oddHBand="1" w:evenHBand="0" w:firstRowFirstColumn="0" w:firstRowLastColumn="0" w:lastRowFirstColumn="0" w:lastRowLastColumn="0"/>
              <w:rPr>
                <w:rFonts w:cs="Arial"/>
                <w:szCs w:val="20"/>
              </w:rPr>
            </w:pPr>
            <w:r w:rsidRPr="00561BD5">
              <w:rPr>
                <w:rFonts w:cs="Arial"/>
                <w:szCs w:val="20"/>
              </w:rPr>
              <w:t xml:space="preserve">Codex has recently completed systematic review of data to derive NCF. See discussion section. </w:t>
            </w:r>
          </w:p>
        </w:tc>
      </w:tr>
      <w:tr w:rsidR="00776154" w:rsidRPr="00561BD5" w14:paraId="0B55E411" w14:textId="77777777" w:rsidTr="008B1ED5">
        <w:trPr>
          <w:cnfStyle w:val="000000010000" w:firstRow="0" w:lastRow="0" w:firstColumn="0" w:lastColumn="0" w:oddVBand="0" w:evenVBand="0" w:oddHBand="0" w:evenHBand="1"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24" w:type="pct"/>
            <w:vMerge/>
            <w:shd w:val="clear" w:color="auto" w:fill="EAF1DD" w:themeFill="accent3" w:themeFillTint="33"/>
          </w:tcPr>
          <w:p w14:paraId="0A9D19AE" w14:textId="77777777" w:rsidR="00776154" w:rsidRPr="00561BD5" w:rsidRDefault="00776154" w:rsidP="00776154">
            <w:pPr>
              <w:rPr>
                <w:rFonts w:cs="Arial"/>
                <w:szCs w:val="20"/>
              </w:rPr>
            </w:pPr>
          </w:p>
        </w:tc>
        <w:tc>
          <w:tcPr>
            <w:tcW w:w="753" w:type="pct"/>
            <w:vMerge/>
            <w:shd w:val="clear" w:color="auto" w:fill="EAF1DD" w:themeFill="accent3" w:themeFillTint="33"/>
          </w:tcPr>
          <w:p w14:paraId="47EEEF51" w14:textId="77777777" w:rsidR="00776154" w:rsidRPr="00561BD5" w:rsidRDefault="00776154" w:rsidP="00776154">
            <w:pPr>
              <w:cnfStyle w:val="000000010000" w:firstRow="0" w:lastRow="0" w:firstColumn="0" w:lastColumn="0" w:oddVBand="0" w:evenVBand="0" w:oddHBand="0" w:evenHBand="1" w:firstRowFirstColumn="0" w:firstRowLastColumn="0" w:lastRowFirstColumn="0" w:lastRowLastColumn="0"/>
              <w:rPr>
                <w:rFonts w:cs="Arial"/>
                <w:szCs w:val="20"/>
              </w:rPr>
            </w:pPr>
          </w:p>
        </w:tc>
        <w:tc>
          <w:tcPr>
            <w:tcW w:w="1711" w:type="pct"/>
            <w:shd w:val="clear" w:color="auto" w:fill="EAF1DD" w:themeFill="accent3" w:themeFillTint="33"/>
          </w:tcPr>
          <w:p w14:paraId="5CF0596A" w14:textId="5F9622CB" w:rsidR="00776154" w:rsidRPr="00561BD5" w:rsidRDefault="00776154" w:rsidP="00776154">
            <w:pPr>
              <w:cnfStyle w:val="000000010000" w:firstRow="0" w:lastRow="0" w:firstColumn="0" w:lastColumn="0" w:oddVBand="0" w:evenVBand="0" w:oddHBand="0" w:evenHBand="1" w:firstRowFirstColumn="0" w:firstRowLastColumn="0" w:lastRowFirstColumn="0" w:lastRowLastColumn="0"/>
              <w:rPr>
                <w:rFonts w:cs="Arial"/>
                <w:szCs w:val="20"/>
              </w:rPr>
            </w:pPr>
            <w:r w:rsidRPr="00561BD5">
              <w:rPr>
                <w:rFonts w:cs="Arial"/>
                <w:szCs w:val="20"/>
              </w:rPr>
              <w:t xml:space="preserve">Considers 6.25 to be consistent with Codex and EU legislation and with scientific literature. </w:t>
            </w:r>
          </w:p>
        </w:tc>
        <w:tc>
          <w:tcPr>
            <w:tcW w:w="1712" w:type="pct"/>
            <w:shd w:val="clear" w:color="auto" w:fill="EAF1DD" w:themeFill="accent3" w:themeFillTint="33"/>
          </w:tcPr>
          <w:p w14:paraId="0BA31B2A" w14:textId="4F57FF71" w:rsidR="00776154" w:rsidRPr="00561BD5" w:rsidRDefault="00776154" w:rsidP="003D1645">
            <w:pPr>
              <w:cnfStyle w:val="000000010000" w:firstRow="0" w:lastRow="0" w:firstColumn="0" w:lastColumn="0" w:oddVBand="0" w:evenVBand="0" w:oddHBand="0" w:evenHBand="1" w:firstRowFirstColumn="0" w:firstRowLastColumn="0" w:lastRowFirstColumn="0" w:lastRowLastColumn="0"/>
              <w:rPr>
                <w:rFonts w:cs="Arial"/>
                <w:szCs w:val="20"/>
              </w:rPr>
            </w:pPr>
            <w:r w:rsidRPr="00561BD5">
              <w:rPr>
                <w:rFonts w:cs="Arial"/>
                <w:szCs w:val="20"/>
              </w:rPr>
              <w:t xml:space="preserve">Codex and EFSA </w:t>
            </w:r>
            <w:r w:rsidR="00056097">
              <w:rPr>
                <w:rFonts w:cs="Arial"/>
                <w:szCs w:val="20"/>
              </w:rPr>
              <w:t>(</w:t>
            </w:r>
            <w:r w:rsidRPr="00561BD5">
              <w:rPr>
                <w:rFonts w:cs="Arial"/>
                <w:szCs w:val="20"/>
              </w:rPr>
              <w:t>2014</w:t>
            </w:r>
            <w:r w:rsidR="00056097">
              <w:rPr>
                <w:rFonts w:cs="Arial"/>
                <w:szCs w:val="20"/>
              </w:rPr>
              <w:t>b)</w:t>
            </w:r>
            <w:r w:rsidRPr="00561BD5">
              <w:rPr>
                <w:rFonts w:cs="Arial"/>
                <w:szCs w:val="20"/>
              </w:rPr>
              <w:t xml:space="preserve"> specify NCF 6.25 but Codex includes footnotes for 6.38 or 5.71. Note that both also set higher minimum protein for </w:t>
            </w:r>
            <w:r w:rsidR="003D1645">
              <w:rPr>
                <w:rFonts w:cs="Arial"/>
                <w:szCs w:val="20"/>
              </w:rPr>
              <w:t xml:space="preserve">soy protein isolate </w:t>
            </w:r>
            <w:r w:rsidRPr="00561BD5">
              <w:rPr>
                <w:rFonts w:cs="Arial"/>
                <w:szCs w:val="20"/>
              </w:rPr>
              <w:t>to correct for</w:t>
            </w:r>
            <w:r w:rsidR="004D11A4">
              <w:rPr>
                <w:rFonts w:cs="Arial"/>
                <w:szCs w:val="20"/>
              </w:rPr>
              <w:t xml:space="preserve"> over-estimation in soy-based infant formula</w:t>
            </w:r>
            <w:r w:rsidRPr="00561BD5">
              <w:rPr>
                <w:rFonts w:cs="Arial"/>
                <w:szCs w:val="20"/>
              </w:rPr>
              <w:t>.</w:t>
            </w:r>
          </w:p>
        </w:tc>
      </w:tr>
      <w:tr w:rsidR="00776154" w:rsidRPr="00561BD5" w14:paraId="25F9C810" w14:textId="77777777" w:rsidTr="008B1ED5">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824" w:type="pct"/>
            <w:vMerge/>
            <w:shd w:val="clear" w:color="auto" w:fill="EAF1DD" w:themeFill="accent3" w:themeFillTint="33"/>
          </w:tcPr>
          <w:p w14:paraId="791B106D" w14:textId="77777777" w:rsidR="00776154" w:rsidRPr="00561BD5" w:rsidRDefault="00776154" w:rsidP="00776154">
            <w:pPr>
              <w:rPr>
                <w:rFonts w:cs="Arial"/>
                <w:szCs w:val="20"/>
              </w:rPr>
            </w:pPr>
          </w:p>
        </w:tc>
        <w:tc>
          <w:tcPr>
            <w:tcW w:w="753" w:type="pct"/>
            <w:vMerge/>
            <w:shd w:val="clear" w:color="auto" w:fill="EAF1DD" w:themeFill="accent3" w:themeFillTint="33"/>
          </w:tcPr>
          <w:p w14:paraId="1E5224E7" w14:textId="77777777" w:rsidR="00776154" w:rsidRPr="00561BD5" w:rsidRDefault="00776154" w:rsidP="00776154">
            <w:pPr>
              <w:cnfStyle w:val="000000100000" w:firstRow="0" w:lastRow="0" w:firstColumn="0" w:lastColumn="0" w:oddVBand="0" w:evenVBand="0" w:oddHBand="1" w:evenHBand="0" w:firstRowFirstColumn="0" w:firstRowLastColumn="0" w:lastRowFirstColumn="0" w:lastRowLastColumn="0"/>
              <w:rPr>
                <w:rFonts w:cs="Arial"/>
                <w:szCs w:val="20"/>
              </w:rPr>
            </w:pPr>
          </w:p>
        </w:tc>
        <w:tc>
          <w:tcPr>
            <w:tcW w:w="1711" w:type="pct"/>
            <w:shd w:val="clear" w:color="auto" w:fill="EAF1DD" w:themeFill="accent3" w:themeFillTint="33"/>
          </w:tcPr>
          <w:p w14:paraId="505E7CC5" w14:textId="77777777" w:rsidR="00776154" w:rsidRPr="00561BD5" w:rsidRDefault="00776154" w:rsidP="00776154">
            <w:pPr>
              <w:cnfStyle w:val="000000100000" w:firstRow="0" w:lastRow="0" w:firstColumn="0" w:lastColumn="0" w:oddVBand="0" w:evenVBand="0" w:oddHBand="1" w:evenHBand="0" w:firstRowFirstColumn="0" w:firstRowLastColumn="0" w:lastRowFirstColumn="0" w:lastRowLastColumn="0"/>
              <w:rPr>
                <w:rFonts w:cs="Arial"/>
                <w:szCs w:val="20"/>
              </w:rPr>
            </w:pPr>
            <w:r w:rsidRPr="00561BD5">
              <w:rPr>
                <w:rFonts w:cs="Arial"/>
                <w:szCs w:val="20"/>
              </w:rPr>
              <w:t>Change to 5.71 has implications for soy as a high quality protein source, and on economic and international trade factors (higher product cost, re-formulation, adaption of labelling)</w:t>
            </w:r>
          </w:p>
        </w:tc>
        <w:tc>
          <w:tcPr>
            <w:tcW w:w="1712" w:type="pct"/>
            <w:shd w:val="clear" w:color="auto" w:fill="EAF1DD" w:themeFill="accent3" w:themeFillTint="33"/>
          </w:tcPr>
          <w:p w14:paraId="53E57D03" w14:textId="37C63019" w:rsidR="00776154" w:rsidRPr="00561BD5" w:rsidRDefault="00776154" w:rsidP="00776154">
            <w:pPr>
              <w:cnfStyle w:val="000000100000" w:firstRow="0" w:lastRow="0" w:firstColumn="0" w:lastColumn="0" w:oddVBand="0" w:evenVBand="0" w:oddHBand="1" w:evenHBand="0" w:firstRowFirstColumn="0" w:firstRowLastColumn="0" w:lastRowFirstColumn="0" w:lastRowLastColumn="0"/>
              <w:rPr>
                <w:rFonts w:cs="Arial"/>
                <w:szCs w:val="20"/>
              </w:rPr>
            </w:pPr>
            <w:r w:rsidRPr="00561BD5">
              <w:rPr>
                <w:rFonts w:cs="Arial"/>
                <w:szCs w:val="20"/>
              </w:rPr>
              <w:t>FSANZ is aware of potential costs to industry (which are potentially passed on to consumers). See discussion</w:t>
            </w:r>
            <w:r w:rsidR="003254B8">
              <w:rPr>
                <w:rFonts w:cs="Arial"/>
                <w:szCs w:val="20"/>
              </w:rPr>
              <w:t xml:space="preserve"> section</w:t>
            </w:r>
            <w:r w:rsidRPr="00561BD5">
              <w:rPr>
                <w:rFonts w:cs="Arial"/>
                <w:szCs w:val="20"/>
              </w:rPr>
              <w:t>.</w:t>
            </w:r>
          </w:p>
        </w:tc>
      </w:tr>
      <w:tr w:rsidR="00776154" w:rsidRPr="00561BD5" w14:paraId="64D7B379" w14:textId="77777777" w:rsidTr="008B1ED5">
        <w:trPr>
          <w:cnfStyle w:val="000000010000" w:firstRow="0" w:lastRow="0" w:firstColumn="0" w:lastColumn="0" w:oddVBand="0" w:evenVBand="0" w:oddHBand="0" w:evenHBand="1"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824" w:type="pct"/>
            <w:vMerge w:val="restart"/>
          </w:tcPr>
          <w:p w14:paraId="23573449" w14:textId="5F971262" w:rsidR="00776154" w:rsidRPr="003254B8" w:rsidRDefault="00776154" w:rsidP="00776154">
            <w:pPr>
              <w:rPr>
                <w:rFonts w:cs="Arial"/>
                <w:b w:val="0"/>
                <w:bCs w:val="0"/>
                <w:szCs w:val="20"/>
              </w:rPr>
            </w:pPr>
            <w:r w:rsidRPr="00561BD5">
              <w:rPr>
                <w:rFonts w:cs="Arial"/>
                <w:szCs w:val="20"/>
              </w:rPr>
              <w:t>Supports 5.71, 6.25, or 6.38 depending on source; manufacturer to decide most appropriate</w:t>
            </w:r>
            <w:r w:rsidR="004D11A4">
              <w:rPr>
                <w:rFonts w:cs="Arial"/>
                <w:szCs w:val="20"/>
              </w:rPr>
              <w:t>.</w:t>
            </w:r>
          </w:p>
        </w:tc>
        <w:tc>
          <w:tcPr>
            <w:tcW w:w="753" w:type="pct"/>
            <w:vMerge w:val="restart"/>
          </w:tcPr>
          <w:p w14:paraId="1702DAB1" w14:textId="22CF1869" w:rsidR="00776154" w:rsidRPr="00561BD5" w:rsidRDefault="00776154" w:rsidP="00776154">
            <w:pPr>
              <w:cnfStyle w:val="000000010000" w:firstRow="0" w:lastRow="0" w:firstColumn="0" w:lastColumn="0" w:oddVBand="0" w:evenVBand="0" w:oddHBand="0" w:evenHBand="1" w:firstRowFirstColumn="0" w:firstRowLastColumn="0" w:lastRowFirstColumn="0" w:lastRowLastColumn="0"/>
              <w:rPr>
                <w:rFonts w:cs="Arial"/>
                <w:szCs w:val="20"/>
              </w:rPr>
            </w:pPr>
            <w:r w:rsidRPr="00561BD5">
              <w:rPr>
                <w:rFonts w:cs="Arial"/>
                <w:szCs w:val="20"/>
              </w:rPr>
              <w:t>Industry (6), Government (1)</w:t>
            </w:r>
          </w:p>
        </w:tc>
        <w:tc>
          <w:tcPr>
            <w:tcW w:w="1711" w:type="pct"/>
            <w:shd w:val="clear" w:color="auto" w:fill="FFFFFF" w:themeFill="background1"/>
          </w:tcPr>
          <w:p w14:paraId="638C7D15" w14:textId="77777777" w:rsidR="00776154" w:rsidRPr="00561BD5" w:rsidRDefault="00776154" w:rsidP="00776154">
            <w:pPr>
              <w:cnfStyle w:val="000000010000" w:firstRow="0" w:lastRow="0" w:firstColumn="0" w:lastColumn="0" w:oddVBand="0" w:evenVBand="0" w:oddHBand="0" w:evenHBand="1" w:firstRowFirstColumn="0" w:firstRowLastColumn="0" w:lastRowFirstColumn="0" w:lastRowLastColumn="0"/>
              <w:rPr>
                <w:rFonts w:cs="Arial"/>
                <w:szCs w:val="20"/>
              </w:rPr>
            </w:pPr>
            <w:r w:rsidRPr="00561BD5">
              <w:rPr>
                <w:rFonts w:cs="Arial"/>
                <w:szCs w:val="20"/>
              </w:rPr>
              <w:t>Supports alignment with Codex which provides permission for all three factors: 5.71, 6.25 and 6.38</w:t>
            </w:r>
          </w:p>
        </w:tc>
        <w:tc>
          <w:tcPr>
            <w:tcW w:w="1712" w:type="pct"/>
            <w:vMerge w:val="restart"/>
          </w:tcPr>
          <w:p w14:paraId="1FA78518" w14:textId="77777777" w:rsidR="00776154" w:rsidRPr="00561BD5" w:rsidRDefault="00776154" w:rsidP="00776154">
            <w:pPr>
              <w:cnfStyle w:val="000000010000" w:firstRow="0" w:lastRow="0" w:firstColumn="0" w:lastColumn="0" w:oddVBand="0" w:evenVBand="0" w:oddHBand="0" w:evenHBand="1" w:firstRowFirstColumn="0" w:firstRowLastColumn="0" w:lastRowFirstColumn="0" w:lastRowLastColumn="0"/>
              <w:rPr>
                <w:rFonts w:cs="Arial"/>
                <w:szCs w:val="20"/>
              </w:rPr>
            </w:pPr>
            <w:r w:rsidRPr="00561BD5">
              <w:rPr>
                <w:rFonts w:cs="Arial"/>
                <w:szCs w:val="20"/>
              </w:rPr>
              <w:t xml:space="preserve">Although comments appear somewhat conflicting, these submitters basically support the most flexible option: NCF specified to allow industry to use most appropriate for their protein source. FSANZ also notes: </w:t>
            </w:r>
          </w:p>
          <w:p w14:paraId="78A9A3DC" w14:textId="3CC3CEBF" w:rsidR="00776154" w:rsidRPr="00561BD5" w:rsidRDefault="00776154" w:rsidP="00774FC6">
            <w:pPr>
              <w:pStyle w:val="ListParagraph"/>
              <w:numPr>
                <w:ilvl w:val="0"/>
                <w:numId w:val="13"/>
              </w:numPr>
              <w:ind w:left="182" w:hanging="113"/>
              <w:cnfStyle w:val="000000010000" w:firstRow="0" w:lastRow="0" w:firstColumn="0" w:lastColumn="0" w:oddVBand="0" w:evenVBand="0" w:oddHBand="0" w:evenHBand="1" w:firstRowFirstColumn="0" w:firstRowLastColumn="0" w:lastRowFirstColumn="0" w:lastRowLastColumn="0"/>
              <w:rPr>
                <w:rFonts w:cs="Arial"/>
                <w:szCs w:val="20"/>
              </w:rPr>
            </w:pPr>
            <w:r w:rsidRPr="00561BD5">
              <w:rPr>
                <w:rFonts w:cs="Arial"/>
                <w:szCs w:val="20"/>
              </w:rPr>
              <w:t>Codex use of footnotes to allow 6.38 or 5.71. EFSA 2014 specifies only NCF 6.25. Minimum protein for SPI is 0.54 g/100 kJ (EFSA</w:t>
            </w:r>
            <w:r w:rsidR="005F7906">
              <w:rPr>
                <w:rFonts w:cs="Arial"/>
                <w:szCs w:val="20"/>
              </w:rPr>
              <w:t xml:space="preserve"> 2014b</w:t>
            </w:r>
            <w:r w:rsidRPr="00561BD5">
              <w:rPr>
                <w:rFonts w:cs="Arial"/>
                <w:szCs w:val="20"/>
              </w:rPr>
              <w:t xml:space="preserve">) or 0.5 g/100 kJ (Codex) </w:t>
            </w:r>
          </w:p>
          <w:p w14:paraId="1F002D54" w14:textId="016B2146" w:rsidR="00776154" w:rsidRPr="00561BD5" w:rsidRDefault="00776154" w:rsidP="00774FC6">
            <w:pPr>
              <w:pStyle w:val="ListParagraph"/>
              <w:numPr>
                <w:ilvl w:val="0"/>
                <w:numId w:val="13"/>
              </w:numPr>
              <w:ind w:left="182" w:hanging="113"/>
              <w:cnfStyle w:val="000000010000" w:firstRow="0" w:lastRow="0" w:firstColumn="0" w:lastColumn="0" w:oddVBand="0" w:evenVBand="0" w:oddHBand="0" w:evenHBand="1" w:firstRowFirstColumn="0" w:firstRowLastColumn="0" w:lastRowFirstColumn="0" w:lastRowLastColumn="0"/>
              <w:rPr>
                <w:rFonts w:cs="Arial"/>
                <w:szCs w:val="20"/>
              </w:rPr>
            </w:pPr>
            <w:r w:rsidRPr="00561BD5">
              <w:rPr>
                <w:rFonts w:cs="Arial"/>
                <w:szCs w:val="20"/>
              </w:rPr>
              <w:lastRenderedPageBreak/>
              <w:t>From a scientific and technical perspective 6.25 is not appr</w:t>
            </w:r>
            <w:r w:rsidR="004D11A4">
              <w:rPr>
                <w:rFonts w:cs="Arial"/>
                <w:szCs w:val="20"/>
              </w:rPr>
              <w:t>opriate for soy-based infant formula</w:t>
            </w:r>
            <w:r w:rsidRPr="00561BD5">
              <w:rPr>
                <w:rFonts w:cs="Arial"/>
                <w:szCs w:val="20"/>
              </w:rPr>
              <w:t xml:space="preserve"> for reasons cited by submitters. See discussion section for other considerations. </w:t>
            </w:r>
          </w:p>
        </w:tc>
      </w:tr>
      <w:tr w:rsidR="00776154" w:rsidRPr="00561BD5" w14:paraId="1335E193" w14:textId="77777777" w:rsidTr="008B1ED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24" w:type="pct"/>
            <w:vMerge/>
          </w:tcPr>
          <w:p w14:paraId="420D1F7E" w14:textId="77777777" w:rsidR="00776154" w:rsidRPr="00561BD5" w:rsidRDefault="00776154" w:rsidP="00776154">
            <w:pPr>
              <w:rPr>
                <w:rFonts w:cs="Arial"/>
                <w:szCs w:val="20"/>
              </w:rPr>
            </w:pPr>
          </w:p>
        </w:tc>
        <w:tc>
          <w:tcPr>
            <w:tcW w:w="753" w:type="pct"/>
            <w:vMerge/>
          </w:tcPr>
          <w:p w14:paraId="0C7E0C41" w14:textId="77777777" w:rsidR="00776154" w:rsidRPr="00561BD5" w:rsidRDefault="00776154" w:rsidP="00776154">
            <w:pPr>
              <w:cnfStyle w:val="000000100000" w:firstRow="0" w:lastRow="0" w:firstColumn="0" w:lastColumn="0" w:oddVBand="0" w:evenVBand="0" w:oddHBand="1" w:evenHBand="0" w:firstRowFirstColumn="0" w:firstRowLastColumn="0" w:lastRowFirstColumn="0" w:lastRowLastColumn="0"/>
              <w:rPr>
                <w:rFonts w:cs="Arial"/>
                <w:szCs w:val="20"/>
              </w:rPr>
            </w:pPr>
          </w:p>
        </w:tc>
        <w:tc>
          <w:tcPr>
            <w:tcW w:w="1711" w:type="pct"/>
            <w:shd w:val="clear" w:color="auto" w:fill="FFFFFF" w:themeFill="background1"/>
          </w:tcPr>
          <w:p w14:paraId="5AA8C72B" w14:textId="52BD293C" w:rsidR="00776154" w:rsidRPr="00561BD5" w:rsidRDefault="00776154" w:rsidP="003254B8">
            <w:pPr>
              <w:cnfStyle w:val="000000100000" w:firstRow="0" w:lastRow="0" w:firstColumn="0" w:lastColumn="0" w:oddVBand="0" w:evenVBand="0" w:oddHBand="1" w:evenHBand="0" w:firstRowFirstColumn="0" w:firstRowLastColumn="0" w:lastRowFirstColumn="0" w:lastRowLastColumn="0"/>
              <w:rPr>
                <w:rFonts w:cs="Arial"/>
                <w:szCs w:val="20"/>
              </w:rPr>
            </w:pPr>
            <w:r w:rsidRPr="00561BD5">
              <w:rPr>
                <w:rFonts w:cs="Arial"/>
                <w:szCs w:val="20"/>
              </w:rPr>
              <w:t xml:space="preserve">Supports alignment with Codex STAN 72-1981 and EFSA </w:t>
            </w:r>
            <w:r w:rsidR="00056097">
              <w:rPr>
                <w:rFonts w:cs="Arial"/>
                <w:szCs w:val="20"/>
              </w:rPr>
              <w:t>(</w:t>
            </w:r>
            <w:r w:rsidRPr="00561BD5">
              <w:rPr>
                <w:rFonts w:cs="Arial"/>
                <w:szCs w:val="20"/>
              </w:rPr>
              <w:t>2014</w:t>
            </w:r>
            <w:r w:rsidR="00056097">
              <w:rPr>
                <w:rFonts w:cs="Arial"/>
                <w:szCs w:val="20"/>
              </w:rPr>
              <w:t>b)</w:t>
            </w:r>
            <w:r w:rsidRPr="00561BD5">
              <w:rPr>
                <w:rFonts w:cs="Arial"/>
                <w:szCs w:val="20"/>
              </w:rPr>
              <w:t xml:space="preserve"> with higher minimum for soy (0.5 g/100 kJ)</w:t>
            </w:r>
          </w:p>
        </w:tc>
        <w:tc>
          <w:tcPr>
            <w:tcW w:w="1712" w:type="pct"/>
            <w:vMerge/>
          </w:tcPr>
          <w:p w14:paraId="17EDA73F" w14:textId="77777777" w:rsidR="00776154" w:rsidRPr="00561BD5" w:rsidRDefault="00776154" w:rsidP="00776154">
            <w:pPr>
              <w:cnfStyle w:val="000000100000" w:firstRow="0" w:lastRow="0" w:firstColumn="0" w:lastColumn="0" w:oddVBand="0" w:evenVBand="0" w:oddHBand="1" w:evenHBand="0" w:firstRowFirstColumn="0" w:firstRowLastColumn="0" w:lastRowFirstColumn="0" w:lastRowLastColumn="0"/>
              <w:rPr>
                <w:rFonts w:cs="Arial"/>
                <w:szCs w:val="20"/>
              </w:rPr>
            </w:pPr>
          </w:p>
        </w:tc>
      </w:tr>
      <w:tr w:rsidR="00776154" w:rsidRPr="00561BD5" w14:paraId="71BCBC5D" w14:textId="77777777" w:rsidTr="008B1ED5">
        <w:trPr>
          <w:cnfStyle w:val="000000010000" w:firstRow="0" w:lastRow="0" w:firstColumn="0" w:lastColumn="0" w:oddVBand="0" w:evenVBand="0" w:oddHBand="0" w:evenHBand="1"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24" w:type="pct"/>
            <w:vMerge/>
          </w:tcPr>
          <w:p w14:paraId="151B7509" w14:textId="77777777" w:rsidR="00776154" w:rsidRPr="00561BD5" w:rsidRDefault="00776154" w:rsidP="00776154">
            <w:pPr>
              <w:rPr>
                <w:rFonts w:cs="Arial"/>
                <w:szCs w:val="20"/>
              </w:rPr>
            </w:pPr>
          </w:p>
        </w:tc>
        <w:tc>
          <w:tcPr>
            <w:tcW w:w="753" w:type="pct"/>
            <w:vMerge/>
          </w:tcPr>
          <w:p w14:paraId="59658953" w14:textId="77777777" w:rsidR="00776154" w:rsidRPr="00561BD5" w:rsidRDefault="00776154" w:rsidP="00776154">
            <w:pPr>
              <w:cnfStyle w:val="000000010000" w:firstRow="0" w:lastRow="0" w:firstColumn="0" w:lastColumn="0" w:oddVBand="0" w:evenVBand="0" w:oddHBand="0" w:evenHBand="1" w:firstRowFirstColumn="0" w:firstRowLastColumn="0" w:lastRowFirstColumn="0" w:lastRowLastColumn="0"/>
              <w:rPr>
                <w:rFonts w:cs="Arial"/>
                <w:szCs w:val="20"/>
              </w:rPr>
            </w:pPr>
          </w:p>
        </w:tc>
        <w:tc>
          <w:tcPr>
            <w:tcW w:w="1711" w:type="pct"/>
            <w:shd w:val="clear" w:color="auto" w:fill="FFFFFF" w:themeFill="background1"/>
          </w:tcPr>
          <w:p w14:paraId="275211B1" w14:textId="77777777" w:rsidR="00776154" w:rsidRPr="00561BD5" w:rsidRDefault="00776154" w:rsidP="00776154">
            <w:pPr>
              <w:cnfStyle w:val="000000010000" w:firstRow="0" w:lastRow="0" w:firstColumn="0" w:lastColumn="0" w:oddVBand="0" w:evenVBand="0" w:oddHBand="0" w:evenHBand="1" w:firstRowFirstColumn="0" w:firstRowLastColumn="0" w:lastRowFirstColumn="0" w:lastRowLastColumn="0"/>
              <w:rPr>
                <w:rFonts w:cs="Arial"/>
                <w:szCs w:val="20"/>
              </w:rPr>
            </w:pPr>
            <w:r w:rsidRPr="00561BD5">
              <w:rPr>
                <w:rFonts w:cs="Arial"/>
                <w:szCs w:val="20"/>
              </w:rPr>
              <w:t>Either 6.25 or 6.38 is appropriate for dairy as there is only 2% difference</w:t>
            </w:r>
          </w:p>
        </w:tc>
        <w:tc>
          <w:tcPr>
            <w:tcW w:w="1712" w:type="pct"/>
            <w:vMerge/>
          </w:tcPr>
          <w:p w14:paraId="127D734B" w14:textId="77777777" w:rsidR="00776154" w:rsidRPr="00561BD5" w:rsidRDefault="00776154" w:rsidP="00776154">
            <w:pPr>
              <w:cnfStyle w:val="000000010000" w:firstRow="0" w:lastRow="0" w:firstColumn="0" w:lastColumn="0" w:oddVBand="0" w:evenVBand="0" w:oddHBand="0" w:evenHBand="1" w:firstRowFirstColumn="0" w:firstRowLastColumn="0" w:lastRowFirstColumn="0" w:lastRowLastColumn="0"/>
              <w:rPr>
                <w:rFonts w:cs="Arial"/>
                <w:szCs w:val="20"/>
              </w:rPr>
            </w:pPr>
          </w:p>
        </w:tc>
      </w:tr>
      <w:tr w:rsidR="00776154" w:rsidRPr="00561BD5" w14:paraId="0FC6855E" w14:textId="77777777" w:rsidTr="008B1ED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24" w:type="pct"/>
            <w:vMerge/>
          </w:tcPr>
          <w:p w14:paraId="70933DDC" w14:textId="77777777" w:rsidR="00776154" w:rsidRPr="00561BD5" w:rsidRDefault="00776154" w:rsidP="00776154">
            <w:pPr>
              <w:rPr>
                <w:rFonts w:cs="Arial"/>
                <w:szCs w:val="20"/>
              </w:rPr>
            </w:pPr>
          </w:p>
        </w:tc>
        <w:tc>
          <w:tcPr>
            <w:tcW w:w="753" w:type="pct"/>
            <w:vMerge/>
          </w:tcPr>
          <w:p w14:paraId="5BB90759" w14:textId="77777777" w:rsidR="00776154" w:rsidRPr="00561BD5" w:rsidRDefault="00776154" w:rsidP="00776154">
            <w:pPr>
              <w:cnfStyle w:val="000000100000" w:firstRow="0" w:lastRow="0" w:firstColumn="0" w:lastColumn="0" w:oddVBand="0" w:evenVBand="0" w:oddHBand="1" w:evenHBand="0" w:firstRowFirstColumn="0" w:firstRowLastColumn="0" w:lastRowFirstColumn="0" w:lastRowLastColumn="0"/>
              <w:rPr>
                <w:rFonts w:cs="Arial"/>
                <w:szCs w:val="20"/>
              </w:rPr>
            </w:pPr>
          </w:p>
        </w:tc>
        <w:tc>
          <w:tcPr>
            <w:tcW w:w="1711" w:type="pct"/>
            <w:shd w:val="clear" w:color="auto" w:fill="FFFFFF" w:themeFill="background1"/>
          </w:tcPr>
          <w:p w14:paraId="645BC6DC" w14:textId="536F5A33" w:rsidR="00776154" w:rsidRPr="00561BD5" w:rsidRDefault="00776154" w:rsidP="003254B8">
            <w:pPr>
              <w:cnfStyle w:val="000000100000" w:firstRow="0" w:lastRow="0" w:firstColumn="0" w:lastColumn="0" w:oddVBand="0" w:evenVBand="0" w:oddHBand="1" w:evenHBand="0" w:firstRowFirstColumn="0" w:firstRowLastColumn="0" w:lastRowFirstColumn="0" w:lastRowLastColumn="0"/>
              <w:rPr>
                <w:rFonts w:cs="Arial"/>
                <w:szCs w:val="20"/>
              </w:rPr>
            </w:pPr>
            <w:r w:rsidRPr="00561BD5">
              <w:rPr>
                <w:rFonts w:cs="Arial"/>
                <w:szCs w:val="20"/>
              </w:rPr>
              <w:t>6.25 is not appropriate for soy</w:t>
            </w:r>
            <w:r w:rsidR="003254B8">
              <w:rPr>
                <w:rFonts w:cs="Arial"/>
                <w:szCs w:val="20"/>
              </w:rPr>
              <w:t>-</w:t>
            </w:r>
            <w:r w:rsidRPr="00561BD5">
              <w:rPr>
                <w:rFonts w:cs="Arial"/>
                <w:szCs w:val="20"/>
              </w:rPr>
              <w:t xml:space="preserve">based </w:t>
            </w:r>
            <w:r w:rsidR="003D1645">
              <w:rPr>
                <w:rFonts w:cs="Arial"/>
                <w:szCs w:val="20"/>
              </w:rPr>
              <w:t>infant formula</w:t>
            </w:r>
            <w:r w:rsidR="003254B8">
              <w:rPr>
                <w:rFonts w:cs="Arial"/>
                <w:szCs w:val="20"/>
              </w:rPr>
              <w:t xml:space="preserve"> </w:t>
            </w:r>
            <w:r w:rsidRPr="00561BD5">
              <w:rPr>
                <w:rFonts w:cs="Arial"/>
                <w:szCs w:val="20"/>
              </w:rPr>
              <w:t xml:space="preserve">as it </w:t>
            </w:r>
            <w:r w:rsidRPr="00561BD5">
              <w:rPr>
                <w:rFonts w:cs="Arial"/>
                <w:szCs w:val="20"/>
              </w:rPr>
              <w:lastRenderedPageBreak/>
              <w:t>overestimates protein content by 9%</w:t>
            </w:r>
          </w:p>
        </w:tc>
        <w:tc>
          <w:tcPr>
            <w:tcW w:w="1712" w:type="pct"/>
            <w:vMerge/>
          </w:tcPr>
          <w:p w14:paraId="2FE8C47C" w14:textId="77777777" w:rsidR="00776154" w:rsidRPr="00561BD5" w:rsidRDefault="00776154" w:rsidP="00776154">
            <w:pPr>
              <w:cnfStyle w:val="000000100000" w:firstRow="0" w:lastRow="0" w:firstColumn="0" w:lastColumn="0" w:oddVBand="0" w:evenVBand="0" w:oddHBand="1" w:evenHBand="0" w:firstRowFirstColumn="0" w:firstRowLastColumn="0" w:lastRowFirstColumn="0" w:lastRowLastColumn="0"/>
              <w:rPr>
                <w:rFonts w:cs="Arial"/>
                <w:szCs w:val="20"/>
              </w:rPr>
            </w:pPr>
          </w:p>
        </w:tc>
      </w:tr>
      <w:tr w:rsidR="00776154" w:rsidRPr="00561BD5" w14:paraId="43C67C05" w14:textId="77777777" w:rsidTr="008B1ED5">
        <w:trPr>
          <w:cnfStyle w:val="000000010000" w:firstRow="0" w:lastRow="0" w:firstColumn="0" w:lastColumn="0" w:oddVBand="0" w:evenVBand="0" w:oddHBand="0" w:evenHBand="1" w:firstRowFirstColumn="0" w:firstRowLastColumn="0" w:lastRowFirstColumn="0" w:lastRowLastColumn="0"/>
          <w:trHeight w:val="812"/>
        </w:trPr>
        <w:tc>
          <w:tcPr>
            <w:cnfStyle w:val="001000000000" w:firstRow="0" w:lastRow="0" w:firstColumn="1" w:lastColumn="0" w:oddVBand="0" w:evenVBand="0" w:oddHBand="0" w:evenHBand="0" w:firstRowFirstColumn="0" w:firstRowLastColumn="0" w:lastRowFirstColumn="0" w:lastRowLastColumn="0"/>
            <w:tcW w:w="824" w:type="pct"/>
            <w:vMerge/>
          </w:tcPr>
          <w:p w14:paraId="4DF72317" w14:textId="77777777" w:rsidR="00776154" w:rsidRPr="00561BD5" w:rsidRDefault="00776154" w:rsidP="00776154">
            <w:pPr>
              <w:rPr>
                <w:rFonts w:cs="Arial"/>
                <w:szCs w:val="20"/>
              </w:rPr>
            </w:pPr>
          </w:p>
        </w:tc>
        <w:tc>
          <w:tcPr>
            <w:tcW w:w="753" w:type="pct"/>
            <w:vMerge/>
          </w:tcPr>
          <w:p w14:paraId="1D0A0F2F" w14:textId="77777777" w:rsidR="00776154" w:rsidRPr="00561BD5" w:rsidRDefault="00776154" w:rsidP="00776154">
            <w:pPr>
              <w:cnfStyle w:val="000000010000" w:firstRow="0" w:lastRow="0" w:firstColumn="0" w:lastColumn="0" w:oddVBand="0" w:evenVBand="0" w:oddHBand="0" w:evenHBand="1" w:firstRowFirstColumn="0" w:firstRowLastColumn="0" w:lastRowFirstColumn="0" w:lastRowLastColumn="0"/>
              <w:rPr>
                <w:rFonts w:cs="Arial"/>
                <w:szCs w:val="20"/>
              </w:rPr>
            </w:pPr>
          </w:p>
        </w:tc>
        <w:tc>
          <w:tcPr>
            <w:tcW w:w="1711" w:type="pct"/>
            <w:shd w:val="clear" w:color="auto" w:fill="FFFFFF" w:themeFill="background1"/>
          </w:tcPr>
          <w:p w14:paraId="25F55225" w14:textId="447F0649" w:rsidR="00776154" w:rsidRPr="00561BD5" w:rsidRDefault="00776154" w:rsidP="00776154">
            <w:pPr>
              <w:cnfStyle w:val="000000010000" w:firstRow="0" w:lastRow="0" w:firstColumn="0" w:lastColumn="0" w:oddVBand="0" w:evenVBand="0" w:oddHBand="0" w:evenHBand="1" w:firstRowFirstColumn="0" w:firstRowLastColumn="0" w:lastRowFirstColumn="0" w:lastRowLastColumn="0"/>
              <w:rPr>
                <w:rFonts w:cs="Arial"/>
                <w:szCs w:val="20"/>
              </w:rPr>
            </w:pPr>
            <w:r w:rsidRPr="00561BD5">
              <w:rPr>
                <w:rFonts w:cs="Arial"/>
                <w:szCs w:val="20"/>
              </w:rPr>
              <w:t>If 6.25 is used, then need to increase protein minimum to 0.5 g/100 kJ to ensure appropriate protein amount</w:t>
            </w:r>
          </w:p>
        </w:tc>
        <w:tc>
          <w:tcPr>
            <w:tcW w:w="1712" w:type="pct"/>
            <w:vMerge/>
          </w:tcPr>
          <w:p w14:paraId="4F5D27A3" w14:textId="77777777" w:rsidR="00776154" w:rsidRPr="00561BD5" w:rsidRDefault="00776154" w:rsidP="00776154">
            <w:pPr>
              <w:cnfStyle w:val="000000010000" w:firstRow="0" w:lastRow="0" w:firstColumn="0" w:lastColumn="0" w:oddVBand="0" w:evenVBand="0" w:oddHBand="0" w:evenHBand="1" w:firstRowFirstColumn="0" w:firstRowLastColumn="0" w:lastRowFirstColumn="0" w:lastRowLastColumn="0"/>
              <w:rPr>
                <w:rFonts w:cs="Arial"/>
                <w:szCs w:val="20"/>
              </w:rPr>
            </w:pPr>
          </w:p>
        </w:tc>
      </w:tr>
      <w:tr w:rsidR="00776154" w:rsidRPr="00561BD5" w14:paraId="087A9687" w14:textId="77777777" w:rsidTr="008B1ED5">
        <w:trPr>
          <w:cnfStyle w:val="000000100000" w:firstRow="0" w:lastRow="0" w:firstColumn="0" w:lastColumn="0" w:oddVBand="0" w:evenVBand="0" w:oddHBand="1" w:evenHBand="0" w:firstRowFirstColumn="0" w:firstRowLastColumn="0" w:lastRowFirstColumn="0" w:lastRowLastColumn="0"/>
          <w:trHeight w:val="844"/>
        </w:trPr>
        <w:tc>
          <w:tcPr>
            <w:cnfStyle w:val="001000000000" w:firstRow="0" w:lastRow="0" w:firstColumn="1" w:lastColumn="0" w:oddVBand="0" w:evenVBand="0" w:oddHBand="0" w:evenHBand="0" w:firstRowFirstColumn="0" w:firstRowLastColumn="0" w:lastRowFirstColumn="0" w:lastRowLastColumn="0"/>
            <w:tcW w:w="824" w:type="pct"/>
            <w:vMerge/>
          </w:tcPr>
          <w:p w14:paraId="3090A38F" w14:textId="77777777" w:rsidR="00776154" w:rsidRPr="00561BD5" w:rsidRDefault="00776154" w:rsidP="00776154">
            <w:pPr>
              <w:rPr>
                <w:rFonts w:cs="Arial"/>
                <w:szCs w:val="20"/>
              </w:rPr>
            </w:pPr>
          </w:p>
        </w:tc>
        <w:tc>
          <w:tcPr>
            <w:tcW w:w="753" w:type="pct"/>
            <w:vMerge/>
          </w:tcPr>
          <w:p w14:paraId="37DF7353" w14:textId="77777777" w:rsidR="00776154" w:rsidRPr="00561BD5" w:rsidRDefault="00776154" w:rsidP="00776154">
            <w:pPr>
              <w:cnfStyle w:val="000000100000" w:firstRow="0" w:lastRow="0" w:firstColumn="0" w:lastColumn="0" w:oddVBand="0" w:evenVBand="0" w:oddHBand="1" w:evenHBand="0" w:firstRowFirstColumn="0" w:firstRowLastColumn="0" w:lastRowFirstColumn="0" w:lastRowLastColumn="0"/>
              <w:rPr>
                <w:rFonts w:cs="Arial"/>
                <w:szCs w:val="20"/>
              </w:rPr>
            </w:pPr>
          </w:p>
        </w:tc>
        <w:tc>
          <w:tcPr>
            <w:tcW w:w="1711" w:type="pct"/>
            <w:shd w:val="clear" w:color="auto" w:fill="FFFFFF" w:themeFill="background1"/>
          </w:tcPr>
          <w:p w14:paraId="125810D8" w14:textId="5FDC99D4" w:rsidR="00776154" w:rsidRPr="00561BD5" w:rsidRDefault="00776154" w:rsidP="00776154">
            <w:pPr>
              <w:cnfStyle w:val="000000100000" w:firstRow="0" w:lastRow="0" w:firstColumn="0" w:lastColumn="0" w:oddVBand="0" w:evenVBand="0" w:oddHBand="1" w:evenHBand="0" w:firstRowFirstColumn="0" w:firstRowLastColumn="0" w:lastRowFirstColumn="0" w:lastRowLastColumn="0"/>
              <w:rPr>
                <w:rFonts w:cs="Arial"/>
                <w:szCs w:val="20"/>
              </w:rPr>
            </w:pPr>
            <w:r w:rsidRPr="00561BD5">
              <w:rPr>
                <w:rFonts w:cs="Arial"/>
                <w:szCs w:val="20"/>
              </w:rPr>
              <w:t>Manufacturer to choose most appropriate NCF to the market of sale ensures flexibility is maintained</w:t>
            </w:r>
          </w:p>
        </w:tc>
        <w:tc>
          <w:tcPr>
            <w:tcW w:w="1712" w:type="pct"/>
            <w:vMerge/>
          </w:tcPr>
          <w:p w14:paraId="578AF234" w14:textId="77777777" w:rsidR="00776154" w:rsidRPr="00561BD5" w:rsidRDefault="00776154" w:rsidP="00776154">
            <w:pPr>
              <w:cnfStyle w:val="000000100000" w:firstRow="0" w:lastRow="0" w:firstColumn="0" w:lastColumn="0" w:oddVBand="0" w:evenVBand="0" w:oddHBand="1" w:evenHBand="0" w:firstRowFirstColumn="0" w:firstRowLastColumn="0" w:lastRowFirstColumn="0" w:lastRowLastColumn="0"/>
              <w:rPr>
                <w:rFonts w:cs="Arial"/>
                <w:szCs w:val="20"/>
              </w:rPr>
            </w:pPr>
          </w:p>
        </w:tc>
      </w:tr>
      <w:tr w:rsidR="00776154" w:rsidRPr="00561BD5" w14:paraId="5898FB35" w14:textId="77777777" w:rsidTr="008B1ED5">
        <w:trPr>
          <w:cnfStyle w:val="000000010000" w:firstRow="0" w:lastRow="0" w:firstColumn="0" w:lastColumn="0" w:oddVBand="0" w:evenVBand="0" w:oddHBand="0" w:evenHBand="1" w:firstRowFirstColumn="0" w:firstRowLastColumn="0" w:lastRowFirstColumn="0" w:lastRowLastColumn="0"/>
          <w:trHeight w:val="977"/>
        </w:trPr>
        <w:tc>
          <w:tcPr>
            <w:cnfStyle w:val="001000000000" w:firstRow="0" w:lastRow="0" w:firstColumn="1" w:lastColumn="0" w:oddVBand="0" w:evenVBand="0" w:oddHBand="0" w:evenHBand="0" w:firstRowFirstColumn="0" w:firstRowLastColumn="0" w:lastRowFirstColumn="0" w:lastRowLastColumn="0"/>
            <w:tcW w:w="824" w:type="pct"/>
            <w:shd w:val="clear" w:color="auto" w:fill="EAF1DD" w:themeFill="accent3" w:themeFillTint="33"/>
          </w:tcPr>
          <w:p w14:paraId="61ED6027" w14:textId="0D071E31" w:rsidR="00776154" w:rsidRPr="00561BD5" w:rsidRDefault="004D11A4" w:rsidP="00776154">
            <w:pPr>
              <w:rPr>
                <w:rFonts w:cs="Arial"/>
                <w:szCs w:val="20"/>
              </w:rPr>
            </w:pPr>
            <w:r>
              <w:rPr>
                <w:rFonts w:cs="Arial"/>
                <w:szCs w:val="20"/>
              </w:rPr>
              <w:t>Supports 5.71 for soy-based infant formula and 6.38 for dairy-based infant formula</w:t>
            </w:r>
            <w:r w:rsidR="00776154" w:rsidRPr="00561BD5">
              <w:rPr>
                <w:rFonts w:cs="Arial"/>
                <w:szCs w:val="20"/>
              </w:rPr>
              <w:t>; do</w:t>
            </w:r>
            <w:r w:rsidR="00A61824">
              <w:rPr>
                <w:rFonts w:cs="Arial"/>
                <w:szCs w:val="20"/>
              </w:rPr>
              <w:t>es</w:t>
            </w:r>
            <w:r w:rsidR="00776154" w:rsidRPr="00561BD5">
              <w:rPr>
                <w:rFonts w:cs="Arial"/>
                <w:szCs w:val="20"/>
              </w:rPr>
              <w:t xml:space="preserve"> not support 6.25.</w:t>
            </w:r>
          </w:p>
        </w:tc>
        <w:tc>
          <w:tcPr>
            <w:tcW w:w="753" w:type="pct"/>
            <w:shd w:val="clear" w:color="auto" w:fill="EAF1DD" w:themeFill="accent3" w:themeFillTint="33"/>
          </w:tcPr>
          <w:p w14:paraId="1F489A79" w14:textId="54C3183F" w:rsidR="00776154" w:rsidRPr="00561BD5" w:rsidRDefault="00776154" w:rsidP="00776154">
            <w:pPr>
              <w:cnfStyle w:val="000000010000" w:firstRow="0" w:lastRow="0" w:firstColumn="0" w:lastColumn="0" w:oddVBand="0" w:evenVBand="0" w:oddHBand="0" w:evenHBand="1" w:firstRowFirstColumn="0" w:firstRowLastColumn="0" w:lastRowFirstColumn="0" w:lastRowLastColumn="0"/>
              <w:rPr>
                <w:rFonts w:cs="Arial"/>
                <w:szCs w:val="20"/>
              </w:rPr>
            </w:pPr>
            <w:r w:rsidRPr="00561BD5">
              <w:rPr>
                <w:rFonts w:cs="Arial"/>
                <w:szCs w:val="20"/>
              </w:rPr>
              <w:t>Industry (3)</w:t>
            </w:r>
          </w:p>
        </w:tc>
        <w:tc>
          <w:tcPr>
            <w:tcW w:w="1711" w:type="pct"/>
            <w:shd w:val="clear" w:color="auto" w:fill="EAF1DD" w:themeFill="accent3" w:themeFillTint="33"/>
          </w:tcPr>
          <w:p w14:paraId="3F5AD871" w14:textId="27796001" w:rsidR="00776154" w:rsidRPr="00561BD5" w:rsidRDefault="00776154" w:rsidP="00A61824">
            <w:pPr>
              <w:cnfStyle w:val="000000010000" w:firstRow="0" w:lastRow="0" w:firstColumn="0" w:lastColumn="0" w:oddVBand="0" w:evenVBand="0" w:oddHBand="0" w:evenHBand="1" w:firstRowFirstColumn="0" w:firstRowLastColumn="0" w:lastRowFirstColumn="0" w:lastRowLastColumn="0"/>
              <w:rPr>
                <w:rFonts w:cs="Arial"/>
                <w:szCs w:val="20"/>
              </w:rPr>
            </w:pPr>
            <w:r w:rsidRPr="00561BD5">
              <w:rPr>
                <w:rFonts w:cs="Arial"/>
                <w:szCs w:val="20"/>
              </w:rPr>
              <w:t>Support</w:t>
            </w:r>
            <w:r w:rsidR="00A61824">
              <w:rPr>
                <w:rFonts w:cs="Arial"/>
                <w:szCs w:val="20"/>
              </w:rPr>
              <w:t>s</w:t>
            </w:r>
            <w:r w:rsidRPr="00561BD5">
              <w:rPr>
                <w:rFonts w:cs="Arial"/>
                <w:szCs w:val="20"/>
              </w:rPr>
              <w:t xml:space="preserve"> 5.71 for soy and 6.38 for dairy on </w:t>
            </w:r>
            <w:r w:rsidRPr="004D11A4">
              <w:rPr>
                <w:rFonts w:cs="Arial"/>
                <w:szCs w:val="20"/>
              </w:rPr>
              <w:t>scientific, nutritional, sustainability and economic basis; use of 6.25 not supported as it was selected based on arbitrary considerations</w:t>
            </w:r>
            <w:r w:rsidRPr="00561BD5">
              <w:rPr>
                <w:rFonts w:cs="Arial"/>
                <w:szCs w:val="20"/>
              </w:rPr>
              <w:t>.</w:t>
            </w:r>
          </w:p>
        </w:tc>
        <w:tc>
          <w:tcPr>
            <w:tcW w:w="1712" w:type="pct"/>
            <w:shd w:val="clear" w:color="auto" w:fill="EAF1DD" w:themeFill="accent3" w:themeFillTint="33"/>
          </w:tcPr>
          <w:p w14:paraId="1B2E41A4" w14:textId="1B3CDF92" w:rsidR="00776154" w:rsidRPr="00561BD5" w:rsidRDefault="00776154" w:rsidP="00A61824">
            <w:pPr>
              <w:cnfStyle w:val="000000010000" w:firstRow="0" w:lastRow="0" w:firstColumn="0" w:lastColumn="0" w:oddVBand="0" w:evenVBand="0" w:oddHBand="0" w:evenHBand="1" w:firstRowFirstColumn="0" w:firstRowLastColumn="0" w:lastRowFirstColumn="0" w:lastRowLastColumn="0"/>
              <w:rPr>
                <w:rFonts w:cs="Arial"/>
                <w:szCs w:val="20"/>
              </w:rPr>
            </w:pPr>
            <w:r w:rsidRPr="00561BD5">
              <w:rPr>
                <w:rFonts w:cs="Arial"/>
                <w:szCs w:val="20"/>
              </w:rPr>
              <w:t>FSANZ notes that 6.25 may be more appropriate NCF for whey-based protein. FSAN</w:t>
            </w:r>
            <w:r w:rsidR="00A61824">
              <w:rPr>
                <w:rFonts w:cs="Arial"/>
                <w:szCs w:val="20"/>
              </w:rPr>
              <w:t>Z</w:t>
            </w:r>
            <w:r w:rsidRPr="00561BD5">
              <w:rPr>
                <w:rFonts w:cs="Arial"/>
                <w:szCs w:val="20"/>
              </w:rPr>
              <w:t xml:space="preserve"> also notes that </w:t>
            </w:r>
            <w:r w:rsidRPr="004D11A4">
              <w:rPr>
                <w:rFonts w:cs="Arial"/>
                <w:szCs w:val="20"/>
              </w:rPr>
              <w:t>adopting 6.25 as the NCF for all protein sources</w:t>
            </w:r>
            <w:r w:rsidRPr="00561BD5">
              <w:rPr>
                <w:rFonts w:cs="Arial"/>
                <w:szCs w:val="20"/>
              </w:rPr>
              <w:t xml:space="preserve"> </w:t>
            </w:r>
            <w:r w:rsidRPr="004D11A4">
              <w:rPr>
                <w:rFonts w:cs="Arial"/>
                <w:szCs w:val="20"/>
              </w:rPr>
              <w:t xml:space="preserve">has been used in the most recent international regulations (EU 2016/127) and standards (2020 </w:t>
            </w:r>
            <w:r w:rsidR="00B96544">
              <w:t>Codex Draft Standard for FUF</w:t>
            </w:r>
            <w:r w:rsidRPr="004D11A4">
              <w:rPr>
                <w:rFonts w:cs="Arial"/>
                <w:szCs w:val="20"/>
              </w:rPr>
              <w:t>).</w:t>
            </w:r>
          </w:p>
        </w:tc>
      </w:tr>
      <w:tr w:rsidR="00776154" w:rsidRPr="00561BD5" w14:paraId="45F73DBF" w14:textId="77777777" w:rsidTr="008B1ED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24" w:type="pct"/>
            <w:shd w:val="clear" w:color="auto" w:fill="FFFFFF" w:themeFill="background1"/>
          </w:tcPr>
          <w:p w14:paraId="7FE9F6CB" w14:textId="303E5B46" w:rsidR="00776154" w:rsidRPr="00561BD5" w:rsidRDefault="004D11A4" w:rsidP="00776154">
            <w:pPr>
              <w:rPr>
                <w:rFonts w:cs="Arial"/>
                <w:szCs w:val="20"/>
              </w:rPr>
            </w:pPr>
            <w:r>
              <w:rPr>
                <w:rFonts w:cs="Arial"/>
                <w:szCs w:val="20"/>
              </w:rPr>
              <w:t>Supports 5.71 for soy-based infant formula and 6.25 for all other infant formula.</w:t>
            </w:r>
            <w:r w:rsidR="00776154" w:rsidRPr="00561BD5">
              <w:rPr>
                <w:rFonts w:cs="Arial"/>
                <w:szCs w:val="20"/>
              </w:rPr>
              <w:t xml:space="preserve"> </w:t>
            </w:r>
          </w:p>
        </w:tc>
        <w:tc>
          <w:tcPr>
            <w:tcW w:w="753" w:type="pct"/>
            <w:shd w:val="clear" w:color="auto" w:fill="FFFFFF" w:themeFill="background1"/>
          </w:tcPr>
          <w:p w14:paraId="1DFB6EAE" w14:textId="6B200D72" w:rsidR="00776154" w:rsidRPr="00561BD5" w:rsidRDefault="00A61824" w:rsidP="00776154">
            <w:pPr>
              <w:cnfStyle w:val="000000100000" w:firstRow="0" w:lastRow="0" w:firstColumn="0" w:lastColumn="0" w:oddVBand="0" w:evenVBand="0" w:oddHBand="1" w:evenHBand="0" w:firstRowFirstColumn="0" w:firstRowLastColumn="0" w:lastRowFirstColumn="0" w:lastRowLastColumn="0"/>
              <w:rPr>
                <w:rFonts w:cs="Arial"/>
                <w:szCs w:val="20"/>
              </w:rPr>
            </w:pPr>
            <w:r>
              <w:rPr>
                <w:rFonts w:cs="Arial"/>
                <w:szCs w:val="20"/>
              </w:rPr>
              <w:t>Industry (1)</w:t>
            </w:r>
          </w:p>
        </w:tc>
        <w:tc>
          <w:tcPr>
            <w:tcW w:w="1711" w:type="pct"/>
            <w:shd w:val="clear" w:color="auto" w:fill="FFFFFF" w:themeFill="background1"/>
          </w:tcPr>
          <w:p w14:paraId="51D1D4E3" w14:textId="7818A59E" w:rsidR="00776154" w:rsidRPr="00561BD5" w:rsidRDefault="00776154" w:rsidP="00A61824">
            <w:pPr>
              <w:cnfStyle w:val="000000100000" w:firstRow="0" w:lastRow="0" w:firstColumn="0" w:lastColumn="0" w:oddVBand="0" w:evenVBand="0" w:oddHBand="1" w:evenHBand="0" w:firstRowFirstColumn="0" w:firstRowLastColumn="0" w:lastRowFirstColumn="0" w:lastRowLastColumn="0"/>
              <w:rPr>
                <w:rFonts w:cs="Arial"/>
                <w:szCs w:val="20"/>
              </w:rPr>
            </w:pPr>
            <w:r w:rsidRPr="00561BD5">
              <w:rPr>
                <w:rFonts w:cs="Arial"/>
                <w:szCs w:val="20"/>
              </w:rPr>
              <w:t>6.38 not supported as most infant formula products are now whey</w:t>
            </w:r>
            <w:r w:rsidR="00A61824">
              <w:rPr>
                <w:rFonts w:cs="Arial"/>
                <w:szCs w:val="20"/>
              </w:rPr>
              <w:t>-</w:t>
            </w:r>
            <w:r w:rsidRPr="00561BD5">
              <w:rPr>
                <w:rFonts w:cs="Arial"/>
                <w:szCs w:val="20"/>
              </w:rPr>
              <w:t>dominant which have a lower NCF; increased minimum of 0.5 g/100kJ when considered together with a conversion</w:t>
            </w:r>
            <w:r w:rsidR="004D11A4">
              <w:rPr>
                <w:rFonts w:cs="Arial"/>
                <w:szCs w:val="20"/>
              </w:rPr>
              <w:t xml:space="preserve"> factor of 5.71 for soy-based infant formula</w:t>
            </w:r>
            <w:r w:rsidRPr="00561BD5">
              <w:rPr>
                <w:rFonts w:cs="Arial"/>
                <w:szCs w:val="20"/>
              </w:rPr>
              <w:t>; support 0.5 g/100 kJ for soy and 0.43 g/100 kJ otherwise</w:t>
            </w:r>
          </w:p>
        </w:tc>
        <w:tc>
          <w:tcPr>
            <w:tcW w:w="1712" w:type="pct"/>
            <w:shd w:val="clear" w:color="auto" w:fill="FFFFFF" w:themeFill="background1"/>
          </w:tcPr>
          <w:p w14:paraId="79E0F3D5" w14:textId="67196873" w:rsidR="00776154" w:rsidRPr="004D11A4" w:rsidRDefault="004D11A4" w:rsidP="00776154">
            <w:pPr>
              <w:pStyle w:val="Default"/>
              <w:cnfStyle w:val="000000100000" w:firstRow="0" w:lastRow="0" w:firstColumn="0" w:lastColumn="0" w:oddVBand="0" w:evenVBand="0" w:oddHBand="1" w:evenHBand="0" w:firstRowFirstColumn="0" w:firstRowLastColumn="0" w:lastRowFirstColumn="0" w:lastRowLastColumn="0"/>
              <w:rPr>
                <w:rFonts w:ascii="Calibri" w:hAnsi="Calibri" w:cs="Arial"/>
                <w:color w:val="auto"/>
                <w:sz w:val="20"/>
                <w:szCs w:val="20"/>
                <w:lang w:bidi="en-US"/>
              </w:rPr>
            </w:pPr>
            <w:r w:rsidRPr="004D11A4">
              <w:rPr>
                <w:rFonts w:ascii="Calibri" w:hAnsi="Calibri" w:cs="Arial"/>
                <w:color w:val="auto"/>
                <w:sz w:val="20"/>
                <w:szCs w:val="20"/>
                <w:lang w:bidi="en-US"/>
              </w:rPr>
              <w:t xml:space="preserve">Use of 6.25 for whey-based infant formula </w:t>
            </w:r>
            <w:r w:rsidR="00776154" w:rsidRPr="004D11A4">
              <w:rPr>
                <w:rFonts w:ascii="Calibri" w:hAnsi="Calibri" w:cs="Arial"/>
                <w:color w:val="auto"/>
                <w:sz w:val="20"/>
                <w:szCs w:val="20"/>
                <w:lang w:bidi="en-US"/>
              </w:rPr>
              <w:t>is consistent with science (Maubois and Lorient 2016) which reports NCF of 6.29-6.07. FSANZ und</w:t>
            </w:r>
            <w:r w:rsidRPr="004D11A4">
              <w:rPr>
                <w:rFonts w:ascii="Calibri" w:hAnsi="Calibri" w:cs="Arial"/>
                <w:color w:val="auto"/>
                <w:sz w:val="20"/>
                <w:szCs w:val="20"/>
                <w:lang w:bidi="en-US"/>
              </w:rPr>
              <w:t>erstands approximately 85% of infant formula</w:t>
            </w:r>
            <w:r w:rsidR="00776154" w:rsidRPr="004D11A4">
              <w:rPr>
                <w:rFonts w:ascii="Calibri" w:hAnsi="Calibri" w:cs="Arial"/>
                <w:color w:val="auto"/>
                <w:sz w:val="20"/>
                <w:szCs w:val="20"/>
                <w:lang w:bidi="en-US"/>
              </w:rPr>
              <w:t xml:space="preserve"> on the market is whey-based formula (60:40 or 70:30 whey:casein). </w:t>
            </w:r>
          </w:p>
        </w:tc>
      </w:tr>
    </w:tbl>
    <w:p w14:paraId="1A69E693" w14:textId="326F7AA5" w:rsidR="00776154" w:rsidRDefault="00A61824" w:rsidP="00776154">
      <w:pPr>
        <w:pStyle w:val="Heading4"/>
      </w:pPr>
      <w:r>
        <w:t>Nutrition r</w:t>
      </w:r>
      <w:r w:rsidR="00776154">
        <w:t xml:space="preserve">isk assessment </w:t>
      </w:r>
    </w:p>
    <w:p w14:paraId="6BBF4EB8" w14:textId="03F0880C" w:rsidR="00776154" w:rsidRDefault="00776154" w:rsidP="00776154">
      <w:pPr>
        <w:rPr>
          <w:lang w:eastAsia="en-AU"/>
        </w:rPr>
      </w:pPr>
      <w:r>
        <w:rPr>
          <w:lang w:eastAsia="en-AU"/>
        </w:rPr>
        <w:t xml:space="preserve">No further </w:t>
      </w:r>
      <w:r w:rsidR="00A61824">
        <w:rPr>
          <w:lang w:eastAsia="en-AU"/>
        </w:rPr>
        <w:t xml:space="preserve">nutrition </w:t>
      </w:r>
      <w:r>
        <w:rPr>
          <w:lang w:eastAsia="en-AU"/>
        </w:rPr>
        <w:t>risk assessment was considered on this issue.</w:t>
      </w:r>
    </w:p>
    <w:p w14:paraId="253BE753" w14:textId="77777777" w:rsidR="00776154" w:rsidRDefault="00776154" w:rsidP="00776154">
      <w:pPr>
        <w:pStyle w:val="Heading4"/>
      </w:pPr>
      <w:r>
        <w:t>Options and discussion</w:t>
      </w:r>
    </w:p>
    <w:p w14:paraId="06262602" w14:textId="5486E209" w:rsidR="00776154" w:rsidRDefault="00776154" w:rsidP="00776154">
      <w:pPr>
        <w:pStyle w:val="Heading5"/>
        <w:ind w:left="0" w:firstLine="0"/>
        <w:rPr>
          <w:lang w:val="en-AU" w:bidi="ar-SA"/>
        </w:rPr>
      </w:pPr>
      <w:r>
        <w:rPr>
          <w:lang w:val="en-AU" w:bidi="ar-SA"/>
        </w:rPr>
        <w:t xml:space="preserve">Issues with the current Standard 2.9.1 </w:t>
      </w:r>
      <w:r w:rsidR="001F00DA">
        <w:rPr>
          <w:lang w:val="en-AU" w:bidi="ar-SA"/>
        </w:rPr>
        <w:t xml:space="preserve">(Schedule 29) </w:t>
      </w:r>
      <w:r>
        <w:rPr>
          <w:lang w:val="en-AU" w:bidi="ar-SA"/>
        </w:rPr>
        <w:t>and Codex STAN 72-1981</w:t>
      </w:r>
    </w:p>
    <w:p w14:paraId="008CDFD1" w14:textId="0EAF8505" w:rsidR="00776154" w:rsidRDefault="001F00DA" w:rsidP="00776154">
      <w:pPr>
        <w:rPr>
          <w:lang w:val="en-AU" w:bidi="ar-SA"/>
        </w:rPr>
      </w:pPr>
      <w:bookmarkStart w:id="180" w:name="_Ref341884900"/>
      <w:r w:rsidRPr="0086665C">
        <w:rPr>
          <w:bCs/>
          <w:lang w:bidi="ar-SA"/>
        </w:rPr>
        <w:t>S29—3</w:t>
      </w:r>
      <w:bookmarkEnd w:id="180"/>
      <w:r>
        <w:rPr>
          <w:lang w:val="en-AU" w:bidi="ar-SA"/>
        </w:rPr>
        <w:t xml:space="preserve"> </w:t>
      </w:r>
      <w:r w:rsidR="004469B4">
        <w:rPr>
          <w:lang w:val="en-AU" w:bidi="ar-SA"/>
        </w:rPr>
        <w:t>prescribes the NCF for soy-based protein is 6.25</w:t>
      </w:r>
      <w:r w:rsidR="00776154">
        <w:rPr>
          <w:lang w:val="en-AU" w:bidi="ar-SA"/>
        </w:rPr>
        <w:t xml:space="preserve"> and the</w:t>
      </w:r>
      <w:r w:rsidR="004469B4">
        <w:rPr>
          <w:lang w:val="en-AU" w:bidi="ar-SA"/>
        </w:rPr>
        <w:t xml:space="preserve">re is one </w:t>
      </w:r>
      <w:r w:rsidR="00776154">
        <w:rPr>
          <w:lang w:val="en-AU" w:bidi="ar-SA"/>
        </w:rPr>
        <w:t xml:space="preserve">minimum protein level </w:t>
      </w:r>
      <w:r w:rsidR="004469B4">
        <w:rPr>
          <w:lang w:val="en-AU" w:bidi="ar-SA"/>
        </w:rPr>
        <w:t xml:space="preserve">for all </w:t>
      </w:r>
      <w:r w:rsidR="00776154">
        <w:rPr>
          <w:lang w:val="en-AU" w:bidi="ar-SA"/>
        </w:rPr>
        <w:t>protein sources (0.45 g/100 kJ)</w:t>
      </w:r>
      <w:r w:rsidR="004469B4">
        <w:rPr>
          <w:lang w:val="en-AU" w:bidi="ar-SA"/>
        </w:rPr>
        <w:t xml:space="preserve"> including soy based protein</w:t>
      </w:r>
      <w:r w:rsidR="00776154">
        <w:rPr>
          <w:lang w:val="en-AU" w:bidi="ar-SA"/>
        </w:rPr>
        <w:t>. Therefore, there is no correction for the lower nitrogen content of soy protein</w:t>
      </w:r>
      <w:r w:rsidR="00A61824">
        <w:rPr>
          <w:lang w:val="en-AU" w:bidi="ar-SA"/>
        </w:rPr>
        <w:t>, for example</w:t>
      </w:r>
      <w:r w:rsidR="008960CE">
        <w:rPr>
          <w:lang w:val="en-AU" w:bidi="ar-SA"/>
        </w:rPr>
        <w:t xml:space="preserve"> by</w:t>
      </w:r>
      <w:r w:rsidR="00776154">
        <w:rPr>
          <w:lang w:val="en-AU" w:bidi="ar-SA"/>
        </w:rPr>
        <w:t xml:space="preserve"> increas</w:t>
      </w:r>
      <w:r w:rsidR="00A61824">
        <w:rPr>
          <w:lang w:val="en-AU" w:bidi="ar-SA"/>
        </w:rPr>
        <w:t>ing</w:t>
      </w:r>
      <w:r w:rsidR="00776154">
        <w:rPr>
          <w:lang w:val="en-AU" w:bidi="ar-SA"/>
        </w:rPr>
        <w:t xml:space="preserve"> minimum protein amount or appl</w:t>
      </w:r>
      <w:r w:rsidR="00A61824">
        <w:rPr>
          <w:lang w:val="en-AU" w:bidi="ar-SA"/>
        </w:rPr>
        <w:t>ying</w:t>
      </w:r>
      <w:r w:rsidR="00776154">
        <w:rPr>
          <w:lang w:val="en-AU" w:bidi="ar-SA"/>
        </w:rPr>
        <w:t xml:space="preserve"> 5.71 as the NCF.</w:t>
      </w:r>
    </w:p>
    <w:p w14:paraId="3772F42C" w14:textId="77777777" w:rsidR="00776154" w:rsidRDefault="00776154" w:rsidP="00776154">
      <w:pPr>
        <w:rPr>
          <w:lang w:val="en-AU" w:bidi="ar-SA"/>
        </w:rPr>
      </w:pPr>
    </w:p>
    <w:p w14:paraId="500E0C02" w14:textId="030B5A80" w:rsidR="00776154" w:rsidRDefault="00776154" w:rsidP="00776154">
      <w:pPr>
        <w:rPr>
          <w:lang w:val="en-AU" w:bidi="ar-SA"/>
        </w:rPr>
      </w:pPr>
      <w:r>
        <w:rPr>
          <w:lang w:val="en-AU" w:bidi="ar-SA"/>
        </w:rPr>
        <w:t>The main issue with Codex STAN 72-1981 is that 5.71 is specified as the correct NCF for soy protein but also prescribes a higher minimum protein amount for soy</w:t>
      </w:r>
      <w:r w:rsidR="00A61824">
        <w:rPr>
          <w:lang w:val="en-AU" w:bidi="ar-SA"/>
        </w:rPr>
        <w:t>-</w:t>
      </w:r>
      <w:r>
        <w:rPr>
          <w:lang w:val="en-AU" w:bidi="ar-SA"/>
        </w:rPr>
        <w:t>based formulas</w:t>
      </w:r>
      <w:r w:rsidR="008960CE">
        <w:rPr>
          <w:lang w:val="en-AU" w:bidi="ar-SA"/>
        </w:rPr>
        <w:t>. O</w:t>
      </w:r>
      <w:r w:rsidR="00A61824">
        <w:rPr>
          <w:lang w:val="en-AU" w:bidi="ar-SA"/>
        </w:rPr>
        <w:t>nly one</w:t>
      </w:r>
      <w:r>
        <w:rPr>
          <w:lang w:val="en-AU" w:bidi="ar-SA"/>
        </w:rPr>
        <w:t xml:space="preserve"> of these corrections</w:t>
      </w:r>
      <w:r w:rsidR="00A61824">
        <w:rPr>
          <w:lang w:val="en-AU" w:bidi="ar-SA"/>
        </w:rPr>
        <w:t xml:space="preserve"> is needed</w:t>
      </w:r>
      <w:r>
        <w:rPr>
          <w:lang w:val="en-AU" w:bidi="ar-SA"/>
        </w:rPr>
        <w:t>, not both.</w:t>
      </w:r>
    </w:p>
    <w:p w14:paraId="45EF8DBB" w14:textId="77777777" w:rsidR="00776154" w:rsidRDefault="00776154" w:rsidP="00776154">
      <w:pPr>
        <w:rPr>
          <w:lang w:val="en-AU" w:bidi="ar-SA"/>
        </w:rPr>
      </w:pPr>
    </w:p>
    <w:p w14:paraId="121D1315" w14:textId="5F9BCEA9" w:rsidR="00776154" w:rsidRPr="004812BE" w:rsidRDefault="00776154" w:rsidP="00776154">
      <w:pPr>
        <w:rPr>
          <w:lang w:val="en-AU" w:bidi="ar-SA"/>
        </w:rPr>
      </w:pPr>
      <w:r>
        <w:rPr>
          <w:lang w:val="en-AU" w:bidi="ar-SA"/>
        </w:rPr>
        <w:t>Both standards allow the use of 6.38 for cow</w:t>
      </w:r>
      <w:r w:rsidR="005D7571">
        <w:rPr>
          <w:lang w:val="en-AU" w:bidi="ar-SA"/>
        </w:rPr>
        <w:t>’</w:t>
      </w:r>
      <w:r>
        <w:rPr>
          <w:lang w:val="en-AU" w:bidi="ar-SA"/>
        </w:rPr>
        <w:t xml:space="preserve">s milk protein although </w:t>
      </w:r>
      <w:r w:rsidR="00A61824">
        <w:rPr>
          <w:lang w:val="en-AU" w:bidi="ar-SA"/>
        </w:rPr>
        <w:t xml:space="preserve">in </w:t>
      </w:r>
      <w:r w:rsidR="0086665C" w:rsidRPr="0086665C">
        <w:rPr>
          <w:bCs/>
          <w:lang w:bidi="ar-SA"/>
        </w:rPr>
        <w:t>S</w:t>
      </w:r>
      <w:r w:rsidR="004469B4">
        <w:rPr>
          <w:bCs/>
          <w:lang w:bidi="ar-SA"/>
        </w:rPr>
        <w:t>29—3</w:t>
      </w:r>
      <w:r w:rsidR="0086665C">
        <w:rPr>
          <w:lang w:val="en-AU" w:bidi="ar-SA"/>
        </w:rPr>
        <w:t xml:space="preserve"> </w:t>
      </w:r>
      <w:r>
        <w:rPr>
          <w:lang w:val="en-AU" w:bidi="ar-SA"/>
        </w:rPr>
        <w:t xml:space="preserve">this is mandatory for these protein sources. </w:t>
      </w:r>
    </w:p>
    <w:p w14:paraId="0071BF6F" w14:textId="77777777" w:rsidR="00776154" w:rsidRDefault="00776154" w:rsidP="00776154">
      <w:pPr>
        <w:pStyle w:val="Heading5"/>
        <w:ind w:left="0" w:firstLine="0"/>
        <w:rPr>
          <w:lang w:val="en-AU" w:bidi="ar-SA"/>
        </w:rPr>
      </w:pPr>
      <w:r w:rsidRPr="006A1268">
        <w:rPr>
          <w:lang w:val="en-AU" w:bidi="ar-SA"/>
        </w:rPr>
        <w:t xml:space="preserve">Recent reviews </w:t>
      </w:r>
      <w:r>
        <w:rPr>
          <w:lang w:val="en-AU" w:bidi="ar-SA"/>
        </w:rPr>
        <w:t>on NCF</w:t>
      </w:r>
    </w:p>
    <w:p w14:paraId="26C9BEA5" w14:textId="7E48C6A8" w:rsidR="00776154" w:rsidRDefault="00776154" w:rsidP="00776154">
      <w:pPr>
        <w:rPr>
          <w:lang w:val="en-AU" w:bidi="ar-SA"/>
        </w:rPr>
      </w:pPr>
      <w:r>
        <w:rPr>
          <w:lang w:val="en-AU" w:bidi="ar-SA"/>
        </w:rPr>
        <w:t xml:space="preserve">There have been two recent reviews commissioned by Codex committees on the appropriate NCF to calculate protein content in infant formula. </w:t>
      </w:r>
    </w:p>
    <w:p w14:paraId="24A3980F" w14:textId="77777777" w:rsidR="00776154" w:rsidRPr="004812BE" w:rsidRDefault="00776154" w:rsidP="00776154">
      <w:pPr>
        <w:rPr>
          <w:lang w:val="en-AU" w:bidi="ar-SA"/>
        </w:rPr>
      </w:pPr>
    </w:p>
    <w:p w14:paraId="330D4DCE" w14:textId="1D2C5161" w:rsidR="00776154" w:rsidRDefault="006A431A" w:rsidP="00776154">
      <w:pPr>
        <w:rPr>
          <w:lang w:val="en-AU" w:bidi="ar-SA"/>
        </w:rPr>
      </w:pPr>
      <w:r>
        <w:rPr>
          <w:lang w:val="en-AU" w:bidi="ar-SA"/>
        </w:rPr>
        <w:t xml:space="preserve">The </w:t>
      </w:r>
      <w:r w:rsidR="00776154">
        <w:rPr>
          <w:lang w:val="en-AU" w:bidi="ar-SA"/>
        </w:rPr>
        <w:t>37</w:t>
      </w:r>
      <w:r w:rsidR="00776154" w:rsidRPr="00DD465D">
        <w:rPr>
          <w:vertAlign w:val="superscript"/>
          <w:lang w:val="en-AU" w:bidi="ar-SA"/>
        </w:rPr>
        <w:t>th</w:t>
      </w:r>
      <w:r w:rsidR="00776154">
        <w:rPr>
          <w:lang w:val="en-AU" w:bidi="ar-SA"/>
        </w:rPr>
        <w:t xml:space="preserve"> session</w:t>
      </w:r>
      <w:r w:rsidR="00BD2826">
        <w:rPr>
          <w:lang w:val="en-AU" w:bidi="ar-SA"/>
        </w:rPr>
        <w:t xml:space="preserve"> of </w:t>
      </w:r>
      <w:r w:rsidR="00BD2826">
        <w:rPr>
          <w:rFonts w:cs="Arial"/>
          <w:bCs/>
          <w:szCs w:val="22"/>
        </w:rPr>
        <w:t>Codex Committee on Methods o</w:t>
      </w:r>
      <w:r w:rsidR="00BD2826" w:rsidRPr="00454EA0">
        <w:rPr>
          <w:rFonts w:cs="Arial"/>
          <w:bCs/>
          <w:szCs w:val="22"/>
        </w:rPr>
        <w:t>f Analysis Sampling</w:t>
      </w:r>
      <w:r>
        <w:rPr>
          <w:rFonts w:cs="Arial"/>
          <w:bCs/>
          <w:szCs w:val="22"/>
        </w:rPr>
        <w:t xml:space="preserve"> was presented with </w:t>
      </w:r>
      <w:r w:rsidR="00776154">
        <w:rPr>
          <w:lang w:val="en-AU" w:bidi="ar-SA"/>
        </w:rPr>
        <w:t xml:space="preserve"> a position paper </w:t>
      </w:r>
      <w:r>
        <w:rPr>
          <w:lang w:val="en-AU" w:bidi="ar-SA"/>
        </w:rPr>
        <w:t>which considered 6.25 to be the</w:t>
      </w:r>
      <w:r w:rsidR="00776154" w:rsidRPr="001F2573">
        <w:rPr>
          <w:lang w:val="en-AU" w:bidi="ar-SA"/>
        </w:rPr>
        <w:t xml:space="preserve"> appropriate </w:t>
      </w:r>
      <w:r w:rsidR="002A4EA4">
        <w:rPr>
          <w:lang w:val="en-AU" w:bidi="ar-SA"/>
        </w:rPr>
        <w:t>NCF for soy protein (</w:t>
      </w:r>
      <w:r w:rsidR="00696DA7">
        <w:rPr>
          <w:lang w:val="en-AU" w:bidi="ar-SA"/>
        </w:rPr>
        <w:t xml:space="preserve">Codex </w:t>
      </w:r>
      <w:r w:rsidR="00696DA7">
        <w:rPr>
          <w:lang w:val="en-AU" w:bidi="ar-SA"/>
        </w:rPr>
        <w:lastRenderedPageBreak/>
        <w:t>2016).</w:t>
      </w:r>
      <w:r w:rsidR="00776154" w:rsidRPr="001F2573">
        <w:rPr>
          <w:lang w:val="en-AU" w:bidi="ar-SA"/>
        </w:rPr>
        <w:t xml:space="preserve"> This conclusion was supported by</w:t>
      </w:r>
      <w:r w:rsidR="00776154">
        <w:rPr>
          <w:lang w:val="en-AU" w:bidi="ar-SA"/>
        </w:rPr>
        <w:t xml:space="preserve"> several </w:t>
      </w:r>
      <w:r w:rsidR="00776154" w:rsidRPr="00327E73">
        <w:rPr>
          <w:lang w:bidi="ar-SA"/>
        </w:rPr>
        <w:t>scientific and regulatory experts and organi</w:t>
      </w:r>
      <w:r w:rsidR="00A61824">
        <w:rPr>
          <w:lang w:bidi="ar-SA"/>
        </w:rPr>
        <w:t>s</w:t>
      </w:r>
      <w:r w:rsidR="00776154" w:rsidRPr="00327E73">
        <w:rPr>
          <w:lang w:bidi="ar-SA"/>
        </w:rPr>
        <w:t>ations</w:t>
      </w:r>
      <w:r w:rsidR="0070287C">
        <w:rPr>
          <w:lang w:bidi="ar-SA"/>
        </w:rPr>
        <w:t>.</w:t>
      </w:r>
      <w:r w:rsidR="00776154">
        <w:rPr>
          <w:lang w:bidi="ar-SA"/>
        </w:rPr>
        <w:t xml:space="preserve"> </w:t>
      </w:r>
      <w:r w:rsidR="00776154" w:rsidRPr="004812BE">
        <w:rPr>
          <w:lang w:val="en-AU" w:bidi="ar-SA"/>
        </w:rPr>
        <w:t>The paper</w:t>
      </w:r>
      <w:r w:rsidR="00776154">
        <w:rPr>
          <w:i/>
          <w:lang w:bidi="ar-SA"/>
        </w:rPr>
        <w:t xml:space="preserve"> </w:t>
      </w:r>
      <w:r w:rsidR="00776154" w:rsidRPr="00327E73">
        <w:rPr>
          <w:lang w:val="en-AU" w:bidi="ar-SA"/>
        </w:rPr>
        <w:t xml:space="preserve">purported that the 5.71 NCF </w:t>
      </w:r>
      <w:r w:rsidR="00776154">
        <w:rPr>
          <w:lang w:val="en-AU" w:bidi="ar-SA"/>
        </w:rPr>
        <w:t>for soy protein wa</w:t>
      </w:r>
      <w:r w:rsidR="00776154" w:rsidRPr="00327E73">
        <w:rPr>
          <w:lang w:val="en-AU" w:bidi="ar-SA"/>
        </w:rPr>
        <w:t>s based on outdated and inaccurate data originally reported in 1931</w:t>
      </w:r>
      <w:r w:rsidR="00776154">
        <w:rPr>
          <w:lang w:bidi="ar-SA"/>
        </w:rPr>
        <w:t xml:space="preserve"> and that this value has been invalidated by improvements in analytical methodology, </w:t>
      </w:r>
      <w:r w:rsidR="008960CE">
        <w:rPr>
          <w:lang w:bidi="ar-SA"/>
        </w:rPr>
        <w:t xml:space="preserve">and by new </w:t>
      </w:r>
      <w:r w:rsidR="00776154">
        <w:rPr>
          <w:lang w:bidi="ar-SA"/>
        </w:rPr>
        <w:t xml:space="preserve">information about protein composition and its impact on human health. </w:t>
      </w:r>
      <w:r w:rsidR="00776154">
        <w:rPr>
          <w:lang w:val="en-AU" w:bidi="ar-SA"/>
        </w:rPr>
        <w:t>The paper also contended that “</w:t>
      </w:r>
      <w:r w:rsidR="00776154" w:rsidRPr="00DD465D">
        <w:rPr>
          <w:lang w:val="en-AU" w:bidi="ar-SA"/>
        </w:rPr>
        <w:t>soy is a high-quality protein that supports growth and maintenance when consumed as a sole source protein and 6.25 is used to calcul</w:t>
      </w:r>
      <w:r w:rsidR="00776154">
        <w:rPr>
          <w:lang w:val="en-AU" w:bidi="ar-SA"/>
        </w:rPr>
        <w:t>ate the protein content of diet</w:t>
      </w:r>
      <w:r w:rsidR="00034F27">
        <w:rPr>
          <w:lang w:val="en-AU" w:bidi="ar-SA"/>
        </w:rPr>
        <w:t>”.</w:t>
      </w:r>
      <w:r w:rsidR="00776154">
        <w:rPr>
          <w:lang w:val="en-AU" w:bidi="ar-SA"/>
        </w:rPr>
        <w:t xml:space="preserve"> The paper argues that c</w:t>
      </w:r>
      <w:r w:rsidR="00776154" w:rsidRPr="00327E73">
        <w:rPr>
          <w:lang w:val="en-AU" w:bidi="ar-SA"/>
        </w:rPr>
        <w:t xml:space="preserve">hanging from the 6.25 to 5.71 conversion factor will result in an almost 10% reduction in the </w:t>
      </w:r>
      <w:r w:rsidR="00776154" w:rsidRPr="008960CE">
        <w:rPr>
          <w:i/>
          <w:lang w:val="en-AU" w:bidi="ar-SA"/>
        </w:rPr>
        <w:t>calculated</w:t>
      </w:r>
      <w:r w:rsidR="00776154" w:rsidRPr="00327E73">
        <w:rPr>
          <w:lang w:val="en-AU" w:bidi="ar-SA"/>
        </w:rPr>
        <w:t xml:space="preserve"> protein content of </w:t>
      </w:r>
      <w:r w:rsidR="00776154">
        <w:rPr>
          <w:lang w:val="en-AU" w:bidi="ar-SA"/>
        </w:rPr>
        <w:t xml:space="preserve">“soy foods” </w:t>
      </w:r>
      <w:r w:rsidR="00776154" w:rsidRPr="00327E73">
        <w:rPr>
          <w:lang w:val="en-AU" w:bidi="ar-SA"/>
        </w:rPr>
        <w:t>without any change to the product itself.</w:t>
      </w:r>
    </w:p>
    <w:p w14:paraId="206EAB92" w14:textId="77777777" w:rsidR="00776154" w:rsidRDefault="00776154" w:rsidP="00776154">
      <w:pPr>
        <w:rPr>
          <w:lang w:val="en-AU" w:bidi="ar-SA"/>
        </w:rPr>
      </w:pPr>
    </w:p>
    <w:p w14:paraId="50B8C60F" w14:textId="540FC013" w:rsidR="00776154" w:rsidRPr="00327E73" w:rsidRDefault="00776154" w:rsidP="00776154">
      <w:pPr>
        <w:rPr>
          <w:lang w:val="en-AU" w:bidi="ar-SA"/>
        </w:rPr>
      </w:pPr>
      <w:r>
        <w:rPr>
          <w:lang w:val="en-AU" w:bidi="ar-SA"/>
        </w:rPr>
        <w:t xml:space="preserve">In 2020, a systematic review of the scientific literature on </w:t>
      </w:r>
      <w:r w:rsidRPr="00441540">
        <w:rPr>
          <w:lang w:bidi="ar-SA"/>
        </w:rPr>
        <w:t>nitrogen and protein content</w:t>
      </w:r>
      <w:r>
        <w:rPr>
          <w:lang w:bidi="ar-SA"/>
        </w:rPr>
        <w:t xml:space="preserve"> </w:t>
      </w:r>
      <w:r w:rsidRPr="00441540">
        <w:rPr>
          <w:lang w:bidi="ar-SA"/>
        </w:rPr>
        <w:t>measurement and nitrogen to protein</w:t>
      </w:r>
      <w:r>
        <w:rPr>
          <w:lang w:bidi="ar-SA"/>
        </w:rPr>
        <w:t xml:space="preserve"> </w:t>
      </w:r>
      <w:r w:rsidRPr="00441540">
        <w:rPr>
          <w:lang w:bidi="ar-SA"/>
        </w:rPr>
        <w:t>conversion factors for dairy and soy</w:t>
      </w:r>
      <w:r>
        <w:rPr>
          <w:lang w:bidi="ar-SA"/>
        </w:rPr>
        <w:t xml:space="preserve"> protein-based infant formulas </w:t>
      </w:r>
      <w:r>
        <w:rPr>
          <w:lang w:val="en-AU" w:bidi="ar-SA"/>
        </w:rPr>
        <w:t>was published by the Joint FAO/WHO Expert Meetings on Nutrition (JEMNU)</w:t>
      </w:r>
      <w:r w:rsidR="002A4EA4">
        <w:rPr>
          <w:lang w:val="en-AU" w:bidi="ar-SA"/>
        </w:rPr>
        <w:t xml:space="preserve"> (</w:t>
      </w:r>
      <w:r w:rsidR="00696DA7">
        <w:rPr>
          <w:lang w:val="en-AU" w:bidi="ar-SA"/>
        </w:rPr>
        <w:t>WHO/FAO 2019</w:t>
      </w:r>
      <w:r w:rsidR="002A4EA4">
        <w:rPr>
          <w:lang w:val="en-AU" w:bidi="ar-SA"/>
        </w:rPr>
        <w:t>)</w:t>
      </w:r>
      <w:r>
        <w:rPr>
          <w:lang w:val="en-AU" w:bidi="ar-SA"/>
        </w:rPr>
        <w:t xml:space="preserve">. The review included assessment of known NCFs and measurement methods as there are a number of factors (e.g. pH, amino acid determination, non-protein nitrogen, presence of side-chain groups) that can lead to variable NCFs for a particular protein source. The review also specifically addressed the most appropriate NCF for infant formula and </w:t>
      </w:r>
      <w:r w:rsidR="002D1983">
        <w:rPr>
          <w:lang w:val="en-AU" w:bidi="ar-SA"/>
        </w:rPr>
        <w:t>FOF</w:t>
      </w:r>
      <w:r>
        <w:rPr>
          <w:lang w:val="en-AU" w:bidi="ar-SA"/>
        </w:rPr>
        <w:t xml:space="preserve"> by including studies where the nitrogen content was determined directly in infant formula products. Based on a limited number of studies for both </w:t>
      </w:r>
      <w:r w:rsidR="00B30C8B">
        <w:rPr>
          <w:lang w:val="en-AU" w:bidi="ar-SA"/>
        </w:rPr>
        <w:t>cow’s</w:t>
      </w:r>
      <w:r>
        <w:rPr>
          <w:lang w:val="en-AU" w:bidi="ar-SA"/>
        </w:rPr>
        <w:t xml:space="preserve"> milk</w:t>
      </w:r>
      <w:r w:rsidR="002D1983">
        <w:rPr>
          <w:lang w:val="en-AU" w:bidi="ar-SA"/>
        </w:rPr>
        <w:t>-</w:t>
      </w:r>
      <w:r>
        <w:rPr>
          <w:lang w:val="en-AU" w:bidi="ar-SA"/>
        </w:rPr>
        <w:t xml:space="preserve"> and soy-based formulas, the mean NCF of 6.08 was determined for </w:t>
      </w:r>
      <w:r w:rsidR="00B30C8B">
        <w:rPr>
          <w:lang w:val="en-AU" w:bidi="ar-SA"/>
        </w:rPr>
        <w:t xml:space="preserve">cow’s </w:t>
      </w:r>
      <w:r>
        <w:rPr>
          <w:lang w:val="en-AU" w:bidi="ar-SA"/>
        </w:rPr>
        <w:t>milk-based formula (moderate certainty of evidence) and a mean NCF of 5.71 was determined for soy</w:t>
      </w:r>
      <w:r w:rsidR="002D1983">
        <w:rPr>
          <w:lang w:val="en-AU" w:bidi="ar-SA"/>
        </w:rPr>
        <w:t>-</w:t>
      </w:r>
      <w:r>
        <w:rPr>
          <w:lang w:val="en-AU" w:bidi="ar-SA"/>
        </w:rPr>
        <w:t xml:space="preserve">based formulas (very low certainty of evidence). </w:t>
      </w:r>
    </w:p>
    <w:p w14:paraId="5B93109E" w14:textId="77777777" w:rsidR="00776154" w:rsidRDefault="00776154" w:rsidP="00776154">
      <w:pPr>
        <w:rPr>
          <w:sz w:val="20"/>
          <w:szCs w:val="20"/>
        </w:rPr>
      </w:pPr>
    </w:p>
    <w:p w14:paraId="33F1536B" w14:textId="4D638BA3" w:rsidR="00776154" w:rsidRPr="0066207F" w:rsidRDefault="00776154" w:rsidP="00776154">
      <w:pPr>
        <w:rPr>
          <w:lang w:val="en-AU" w:bidi="ar-SA"/>
        </w:rPr>
      </w:pPr>
      <w:r>
        <w:rPr>
          <w:lang w:val="en-AU" w:bidi="ar-SA"/>
        </w:rPr>
        <w:t xml:space="preserve">Based on these two recent reviews, there is apparently no consensus on the most appropriate NCF for infant formula products. For consumers of a mixed diet, 6.25 is a valid approximation to calculate the protein content. But because </w:t>
      </w:r>
      <w:r w:rsidR="0064104B">
        <w:rPr>
          <w:lang w:val="en-AU" w:bidi="ar-SA"/>
        </w:rPr>
        <w:t>infant formula</w:t>
      </w:r>
      <w:r>
        <w:rPr>
          <w:lang w:val="en-AU" w:bidi="ar-SA"/>
        </w:rPr>
        <w:t xml:space="preserve"> is the sole source of nutrition for some infants, scientifically accurate NCFs should be applied to avoid potential health effects associated with excess or deficient protein intakes. G</w:t>
      </w:r>
      <w:r w:rsidRPr="00485489">
        <w:rPr>
          <w:lang w:val="en-AU" w:bidi="ar-SA"/>
        </w:rPr>
        <w:t xml:space="preserve">iven </w:t>
      </w:r>
      <w:r>
        <w:rPr>
          <w:lang w:val="en-AU" w:bidi="ar-SA"/>
        </w:rPr>
        <w:t xml:space="preserve">the approach used in the JEMNU review (i.e. determine NCF in infant formula product directly), the JEMNU findings </w:t>
      </w:r>
      <w:r w:rsidRPr="00485489">
        <w:rPr>
          <w:lang w:val="en-AU" w:bidi="ar-SA"/>
        </w:rPr>
        <w:t xml:space="preserve">provide the </w:t>
      </w:r>
      <w:r w:rsidR="002D1983">
        <w:rPr>
          <w:lang w:val="en-AU" w:bidi="ar-SA"/>
        </w:rPr>
        <w:t>best</w:t>
      </w:r>
      <w:r w:rsidR="002D1983" w:rsidRPr="00485489">
        <w:rPr>
          <w:lang w:val="en-AU" w:bidi="ar-SA"/>
        </w:rPr>
        <w:t xml:space="preserve"> </w:t>
      </w:r>
      <w:r>
        <w:rPr>
          <w:lang w:val="en-AU" w:bidi="ar-SA"/>
        </w:rPr>
        <w:t>scientific</w:t>
      </w:r>
      <w:r w:rsidRPr="00485489">
        <w:rPr>
          <w:lang w:val="en-AU" w:bidi="ar-SA"/>
        </w:rPr>
        <w:t xml:space="preserve"> basis for </w:t>
      </w:r>
      <w:r>
        <w:rPr>
          <w:lang w:val="en-AU" w:bidi="ar-SA"/>
        </w:rPr>
        <w:t xml:space="preserve">the appropriate </w:t>
      </w:r>
      <w:r w:rsidRPr="00485489">
        <w:rPr>
          <w:lang w:val="en-AU" w:bidi="ar-SA"/>
        </w:rPr>
        <w:t>NCF</w:t>
      </w:r>
      <w:r>
        <w:rPr>
          <w:lang w:val="en-AU" w:bidi="ar-SA"/>
        </w:rPr>
        <w:t xml:space="preserve">s </w:t>
      </w:r>
      <w:r w:rsidRPr="00485489">
        <w:rPr>
          <w:lang w:val="en-AU" w:bidi="ar-SA"/>
        </w:rPr>
        <w:t>for infant formulas</w:t>
      </w:r>
      <w:r>
        <w:rPr>
          <w:lang w:val="en-AU" w:bidi="ar-SA"/>
        </w:rPr>
        <w:t xml:space="preserve">. </w:t>
      </w:r>
      <w:r w:rsidR="006654C6">
        <w:rPr>
          <w:lang w:val="en-AU" w:bidi="ar-SA"/>
        </w:rPr>
        <w:t xml:space="preserve">However, the JEMNU </w:t>
      </w:r>
      <w:r>
        <w:rPr>
          <w:lang w:val="en-AU" w:bidi="ar-SA"/>
        </w:rPr>
        <w:t xml:space="preserve">conclusion of 6.08 as appropriate for </w:t>
      </w:r>
      <w:r w:rsidR="00B30C8B">
        <w:rPr>
          <w:lang w:val="en-AU" w:bidi="ar-SA"/>
        </w:rPr>
        <w:t xml:space="preserve">cow’s </w:t>
      </w:r>
      <w:r>
        <w:rPr>
          <w:lang w:val="en-AU" w:bidi="ar-SA"/>
        </w:rPr>
        <w:t xml:space="preserve">milk-based formulas does not </w:t>
      </w:r>
      <w:r w:rsidR="002D1983">
        <w:rPr>
          <w:lang w:val="en-AU" w:bidi="ar-SA"/>
        </w:rPr>
        <w:t xml:space="preserve">align </w:t>
      </w:r>
      <w:r>
        <w:rPr>
          <w:lang w:val="en-AU" w:bidi="ar-SA"/>
        </w:rPr>
        <w:t xml:space="preserve">with any international regulations. </w:t>
      </w:r>
    </w:p>
    <w:p w14:paraId="4C19F76D" w14:textId="77777777" w:rsidR="00776154" w:rsidRDefault="00776154" w:rsidP="00776154">
      <w:pPr>
        <w:pStyle w:val="Heading5"/>
        <w:rPr>
          <w:lang w:val="en-AU" w:bidi="ar-SA"/>
        </w:rPr>
      </w:pPr>
      <w:r>
        <w:rPr>
          <w:lang w:val="en-AU" w:bidi="ar-SA"/>
        </w:rPr>
        <w:t>Economic factors</w:t>
      </w:r>
    </w:p>
    <w:p w14:paraId="1B35FC59" w14:textId="21CDAB5B" w:rsidR="00776154" w:rsidRPr="001056CC" w:rsidRDefault="00776154" w:rsidP="00776154">
      <w:pPr>
        <w:rPr>
          <w:lang w:val="en-AU" w:bidi="ar-SA"/>
        </w:rPr>
      </w:pPr>
      <w:r>
        <w:rPr>
          <w:lang w:val="en-AU" w:bidi="ar-SA"/>
        </w:rPr>
        <w:t>The amount of protein source needed to achieve the prescribed protein minimum depends on the NCF that is used. This is an important consideration for both cow</w:t>
      </w:r>
      <w:r w:rsidR="005D7571">
        <w:rPr>
          <w:lang w:val="en-AU" w:bidi="ar-SA"/>
        </w:rPr>
        <w:t>’</w:t>
      </w:r>
      <w:r>
        <w:rPr>
          <w:lang w:val="en-AU" w:bidi="ar-SA"/>
        </w:rPr>
        <w:t>s milk</w:t>
      </w:r>
      <w:r w:rsidR="002D1983">
        <w:rPr>
          <w:lang w:val="en-AU" w:bidi="ar-SA"/>
        </w:rPr>
        <w:t>-</w:t>
      </w:r>
      <w:r>
        <w:rPr>
          <w:lang w:val="en-AU" w:bidi="ar-SA"/>
        </w:rPr>
        <w:t xml:space="preserve"> and soy-based infant formulas. For soy</w:t>
      </w:r>
      <w:r w:rsidR="002D1983">
        <w:rPr>
          <w:lang w:val="en-AU" w:bidi="ar-SA"/>
        </w:rPr>
        <w:t>-</w:t>
      </w:r>
      <w:r>
        <w:rPr>
          <w:lang w:val="en-AU" w:bidi="ar-SA"/>
        </w:rPr>
        <w:t>based formulas, approximately 9% more protein source is needed to meet the minimum protein amount if 5.71 is used instead of 6.25. Similarly for cow</w:t>
      </w:r>
      <w:r w:rsidR="00C73A77">
        <w:rPr>
          <w:lang w:val="en-AU" w:bidi="ar-SA"/>
        </w:rPr>
        <w:t>’</w:t>
      </w:r>
      <w:r>
        <w:rPr>
          <w:lang w:val="en-AU" w:bidi="ar-SA"/>
        </w:rPr>
        <w:t xml:space="preserve">s milk-based formulas, 2% more protein source is needed to meet the minimum protein amount if 6.25 is used instead of 6.38. These differences represent significant business costs for manufacturers. (An example of this calculation is provided in Appendix </w:t>
      </w:r>
      <w:r w:rsidR="003139BB">
        <w:rPr>
          <w:lang w:val="en-AU" w:bidi="ar-SA"/>
        </w:rPr>
        <w:t>2</w:t>
      </w:r>
      <w:r w:rsidR="00B177E5">
        <w:rPr>
          <w:lang w:val="en-AU" w:bidi="ar-SA"/>
        </w:rPr>
        <w:t>)</w:t>
      </w:r>
      <w:r w:rsidR="00125BF5">
        <w:rPr>
          <w:lang w:val="en-AU" w:bidi="ar-SA"/>
        </w:rPr>
        <w:t>.</w:t>
      </w:r>
    </w:p>
    <w:p w14:paraId="011E9D74" w14:textId="77777777" w:rsidR="00776154" w:rsidRPr="003D65B8" w:rsidRDefault="00776154" w:rsidP="00776154">
      <w:pPr>
        <w:pStyle w:val="Heading5"/>
        <w:ind w:left="0" w:firstLine="0"/>
        <w:rPr>
          <w:lang w:val="en-AU" w:bidi="ar-SA"/>
        </w:rPr>
      </w:pPr>
      <w:r>
        <w:rPr>
          <w:lang w:val="en-AU" w:bidi="ar-SA"/>
        </w:rPr>
        <w:t>Possible options</w:t>
      </w:r>
    </w:p>
    <w:p w14:paraId="0E8B2AAF" w14:textId="0FAEB71E" w:rsidR="00776154" w:rsidRDefault="00776154" w:rsidP="00776154">
      <w:pPr>
        <w:rPr>
          <w:lang w:val="en-AU" w:bidi="ar-SA"/>
        </w:rPr>
      </w:pPr>
      <w:r>
        <w:rPr>
          <w:lang w:val="en-AU" w:bidi="ar-SA"/>
        </w:rPr>
        <w:t xml:space="preserve">Two options are proposed </w:t>
      </w:r>
      <w:r w:rsidR="00C47D16">
        <w:rPr>
          <w:lang w:val="en-AU" w:bidi="ar-SA"/>
        </w:rPr>
        <w:t>that</w:t>
      </w:r>
      <w:r>
        <w:rPr>
          <w:lang w:val="en-AU" w:bidi="ar-SA"/>
        </w:rPr>
        <w:t xml:space="preserve"> best meet submitters concerns, agree with the scientific evidence, and align with international regulations:</w:t>
      </w:r>
    </w:p>
    <w:p w14:paraId="0BF13041" w14:textId="77777777" w:rsidR="00776154" w:rsidRDefault="00776154" w:rsidP="00776154">
      <w:pPr>
        <w:rPr>
          <w:lang w:val="en-AU" w:bidi="ar-SA"/>
        </w:rPr>
      </w:pPr>
    </w:p>
    <w:p w14:paraId="3ED4E0D4" w14:textId="70DAFA1A" w:rsidR="00776154" w:rsidRDefault="00776154" w:rsidP="00776154">
      <w:pPr>
        <w:ind w:left="567"/>
        <w:rPr>
          <w:lang w:val="en-AU" w:bidi="ar-SA"/>
        </w:rPr>
      </w:pPr>
      <w:r w:rsidRPr="00194867">
        <w:rPr>
          <w:b/>
          <w:i/>
          <w:lang w:val="en-AU" w:bidi="ar-SA"/>
        </w:rPr>
        <w:t>Option 1:</w:t>
      </w:r>
      <w:r>
        <w:rPr>
          <w:lang w:val="en-AU" w:bidi="ar-SA"/>
        </w:rPr>
        <w:t xml:space="preserve"> Adopt 6.25 as the NCF for all protein sources. Advantages of this approach are that it aligns with approaches that have been used in the most recent international regulations (EU 2016/127) and standards (</w:t>
      </w:r>
      <w:r w:rsidR="00B96544">
        <w:t>Codex Draft Standard for FUF</w:t>
      </w:r>
      <w:r>
        <w:rPr>
          <w:lang w:val="en-AU" w:bidi="ar-SA"/>
        </w:rPr>
        <w:t>). It is considered to be a scientific</w:t>
      </w:r>
      <w:r w:rsidR="00E92D17">
        <w:rPr>
          <w:lang w:val="en-AU" w:bidi="ar-SA"/>
        </w:rPr>
        <w:t>ally valid NCF for whey-based infant formula</w:t>
      </w:r>
      <w:r>
        <w:rPr>
          <w:lang w:val="en-AU" w:bidi="ar-SA"/>
        </w:rPr>
        <w:t xml:space="preserve"> (which represents approximately 85% of the market). It is also valid to apply this NCF for soy-based protein as long as the minimum protein amount is increased to 0.54 g/100 kJ. The higher minimum will account for the lower protein content in soy (based on its </w:t>
      </w:r>
      <w:r>
        <w:rPr>
          <w:lang w:val="en-AU" w:bidi="ar-SA"/>
        </w:rPr>
        <w:lastRenderedPageBreak/>
        <w:t xml:space="preserve">composition) that leads to over-estimation of </w:t>
      </w:r>
      <w:r w:rsidR="00034F27">
        <w:rPr>
          <w:lang w:val="en-AU" w:bidi="ar-SA"/>
        </w:rPr>
        <w:t>the actual protein content in infant formula</w:t>
      </w:r>
      <w:r>
        <w:rPr>
          <w:lang w:val="en-AU" w:bidi="ar-SA"/>
        </w:rPr>
        <w:t xml:space="preserve"> products. A higher minimum</w:t>
      </w:r>
      <w:r w:rsidR="00034F27">
        <w:rPr>
          <w:lang w:val="en-AU" w:bidi="ar-SA"/>
        </w:rPr>
        <w:t xml:space="preserve"> protein amount for soy-based infant formula</w:t>
      </w:r>
      <w:r>
        <w:rPr>
          <w:lang w:val="en-AU" w:bidi="ar-SA"/>
        </w:rPr>
        <w:t xml:space="preserve"> products has also been adopted into </w:t>
      </w:r>
      <w:r w:rsidR="00C47D16">
        <w:rPr>
          <w:lang w:val="en-AU" w:bidi="ar-SA"/>
        </w:rPr>
        <w:t>EU 2016/127</w:t>
      </w:r>
      <w:r>
        <w:rPr>
          <w:lang w:val="en-AU" w:bidi="ar-SA"/>
        </w:rPr>
        <w:t xml:space="preserve">and the </w:t>
      </w:r>
      <w:r w:rsidR="00B96544">
        <w:t>Codex Draft Standard for FUF</w:t>
      </w:r>
      <w:r>
        <w:rPr>
          <w:lang w:val="en-AU" w:bidi="ar-SA"/>
        </w:rPr>
        <w:t>.</w:t>
      </w:r>
    </w:p>
    <w:p w14:paraId="07C1F17C" w14:textId="77777777" w:rsidR="00776154" w:rsidRDefault="00776154" w:rsidP="00776154">
      <w:pPr>
        <w:ind w:left="567"/>
        <w:rPr>
          <w:lang w:val="en-AU" w:bidi="ar-SA"/>
        </w:rPr>
      </w:pPr>
    </w:p>
    <w:p w14:paraId="3659D05A" w14:textId="6902189F" w:rsidR="00776154" w:rsidRDefault="00776154" w:rsidP="00776154">
      <w:pPr>
        <w:ind w:left="567"/>
        <w:rPr>
          <w:lang w:val="en-AU" w:bidi="ar-SA"/>
        </w:rPr>
      </w:pPr>
      <w:r w:rsidRPr="00194867">
        <w:rPr>
          <w:b/>
          <w:i/>
          <w:lang w:val="en-AU" w:bidi="ar-SA"/>
        </w:rPr>
        <w:t>Option 2:</w:t>
      </w:r>
      <w:r>
        <w:rPr>
          <w:lang w:val="en-AU" w:bidi="ar-SA"/>
        </w:rPr>
        <w:tab/>
        <w:t xml:space="preserve">Adopt all three NCF (5.71, 6.25, 6.38). Advantages of this option are that it is science-based (albeit </w:t>
      </w:r>
      <w:r w:rsidR="00C47D16">
        <w:rPr>
          <w:lang w:val="en-AU" w:bidi="ar-SA"/>
        </w:rPr>
        <w:t xml:space="preserve">with </w:t>
      </w:r>
      <w:r>
        <w:rPr>
          <w:lang w:val="en-AU" w:bidi="ar-SA"/>
        </w:rPr>
        <w:t>some disagreement in recent expert reviews) and it enables the highest degree of flexibility for manufacturers to apply the most appropriate NCF for a particular protein source (e.g. 5.71 for soy, 6.25 for whey</w:t>
      </w:r>
      <w:r w:rsidR="00C47D16">
        <w:rPr>
          <w:lang w:val="en-AU" w:bidi="ar-SA"/>
        </w:rPr>
        <w:t>-</w:t>
      </w:r>
      <w:r>
        <w:rPr>
          <w:lang w:val="en-AU" w:bidi="ar-SA"/>
        </w:rPr>
        <w:t>based protein, and 6.38 for other dairy</w:t>
      </w:r>
      <w:r w:rsidR="00C47D16">
        <w:rPr>
          <w:lang w:val="en-AU" w:bidi="ar-SA"/>
        </w:rPr>
        <w:t>)</w:t>
      </w:r>
      <w:r>
        <w:rPr>
          <w:lang w:val="en-AU" w:bidi="ar-SA"/>
        </w:rPr>
        <w:t xml:space="preserve">. Manufacturers would have </w:t>
      </w:r>
      <w:r w:rsidR="00C47D16">
        <w:rPr>
          <w:lang w:val="en-AU" w:bidi="ar-SA"/>
        </w:rPr>
        <w:t xml:space="preserve">the </w:t>
      </w:r>
      <w:r>
        <w:rPr>
          <w:lang w:val="en-AU" w:bidi="ar-SA"/>
        </w:rPr>
        <w:t>option to use 6.25 which is aligned with international regulations. If 6.25 is used for a soy-based protein, then a higher minimum protein amount (0.54 g/100 kJ) will apply.</w:t>
      </w:r>
    </w:p>
    <w:p w14:paraId="2E9AF047" w14:textId="77777777" w:rsidR="00776154" w:rsidRDefault="00776154" w:rsidP="00776154">
      <w:pPr>
        <w:rPr>
          <w:lang w:val="en-AU" w:bidi="ar-SA"/>
        </w:rPr>
      </w:pPr>
    </w:p>
    <w:p w14:paraId="090096A2" w14:textId="77777777" w:rsidR="00776154" w:rsidRDefault="00776154" w:rsidP="00776154">
      <w:pPr>
        <w:rPr>
          <w:lang w:val="en-AU" w:bidi="ar-SA"/>
        </w:rPr>
      </w:pPr>
      <w:r>
        <w:rPr>
          <w:lang w:val="en-AU" w:bidi="ar-SA"/>
        </w:rPr>
        <w:t>Both options will require the NCF to be used to calculate protein content of the final product ready for consumption.</w:t>
      </w:r>
    </w:p>
    <w:p w14:paraId="769F7939" w14:textId="65FC4721" w:rsidR="00776154" w:rsidRPr="00194867" w:rsidRDefault="00776154" w:rsidP="00776154">
      <w:pPr>
        <w:pStyle w:val="Heading4"/>
      </w:pPr>
      <w:r w:rsidRPr="00194867">
        <w:t xml:space="preserve">Proposed </w:t>
      </w:r>
      <w:r w:rsidR="00C30BAC">
        <w:t>approach</w:t>
      </w:r>
    </w:p>
    <w:p w14:paraId="5EFA7EA2" w14:textId="3BA8B84C" w:rsidR="00776154" w:rsidRDefault="00776154" w:rsidP="00776154">
      <w:pPr>
        <w:rPr>
          <w:lang w:val="en-AU" w:bidi="ar-SA"/>
        </w:rPr>
      </w:pPr>
      <w:r>
        <w:rPr>
          <w:lang w:val="en-AU" w:bidi="ar-SA"/>
        </w:rPr>
        <w:t>Based on the arguments presented above</w:t>
      </w:r>
      <w:r w:rsidR="003C7F63">
        <w:rPr>
          <w:lang w:val="en-AU" w:bidi="ar-SA"/>
        </w:rPr>
        <w:t>,</w:t>
      </w:r>
      <w:r>
        <w:rPr>
          <w:lang w:val="en-AU" w:bidi="ar-SA"/>
        </w:rPr>
        <w:t xml:space="preserve"> FSANZ proposes that Option 1 </w:t>
      </w:r>
      <w:r w:rsidR="00C47D16">
        <w:rPr>
          <w:lang w:val="en-AU" w:bidi="ar-SA"/>
        </w:rPr>
        <w:t xml:space="preserve">is </w:t>
      </w:r>
      <w:r>
        <w:rPr>
          <w:lang w:val="en-AU" w:bidi="ar-SA"/>
        </w:rPr>
        <w:t>the most practical option and should be adopted into Standard 2.9.1.</w:t>
      </w:r>
    </w:p>
    <w:p w14:paraId="4AD901AA" w14:textId="25BE84F8" w:rsidR="00776154" w:rsidRDefault="00034F27" w:rsidP="00776154">
      <w:pPr>
        <w:pStyle w:val="Heading2"/>
      </w:pPr>
      <w:bookmarkStart w:id="181" w:name="_Toc73455615"/>
      <w:bookmarkStart w:id="182" w:name="_Toc73624888"/>
      <w:bookmarkStart w:id="183" w:name="_Toc76138274"/>
      <w:r>
        <w:t>4</w:t>
      </w:r>
      <w:r w:rsidR="00776154">
        <w:t>.2</w:t>
      </w:r>
      <w:r w:rsidR="00776154">
        <w:tab/>
        <w:t>Protein range</w:t>
      </w:r>
      <w:bookmarkEnd w:id="181"/>
      <w:bookmarkEnd w:id="182"/>
      <w:bookmarkEnd w:id="183"/>
    </w:p>
    <w:p w14:paraId="0221B76B" w14:textId="65871ABB" w:rsidR="00776154" w:rsidRPr="00190479" w:rsidRDefault="00034F27" w:rsidP="00C73A77">
      <w:pPr>
        <w:pStyle w:val="Heading3"/>
      </w:pPr>
      <w:bookmarkStart w:id="184" w:name="_Toc73455616"/>
      <w:bookmarkStart w:id="185" w:name="_Toc73624889"/>
      <w:r>
        <w:t>4</w:t>
      </w:r>
      <w:r w:rsidR="00776154">
        <w:t>.2.1</w:t>
      </w:r>
      <w:r w:rsidR="00776154">
        <w:tab/>
        <w:t xml:space="preserve"> Cow</w:t>
      </w:r>
      <w:r w:rsidR="00C73A77">
        <w:t>’</w:t>
      </w:r>
      <w:r w:rsidR="00776154">
        <w:t>s milk-based</w:t>
      </w:r>
      <w:bookmarkEnd w:id="184"/>
      <w:bookmarkEnd w:id="185"/>
    </w:p>
    <w:p w14:paraId="6286437C" w14:textId="30F13189" w:rsidR="00776154" w:rsidRPr="0017676E" w:rsidRDefault="007A6CD5" w:rsidP="00776154">
      <w:pPr>
        <w:pStyle w:val="Heading4"/>
      </w:pPr>
      <w:r>
        <w:t>Current regulations</w:t>
      </w:r>
    </w:p>
    <w:p w14:paraId="53D7CE0E" w14:textId="06D9E877" w:rsidR="00776154" w:rsidRDefault="00776154" w:rsidP="00776154">
      <w:pPr>
        <w:autoSpaceDE w:val="0"/>
        <w:autoSpaceDN w:val="0"/>
        <w:adjustRightInd w:val="0"/>
        <w:rPr>
          <w:rFonts w:eastAsia="Arial Unicode MS"/>
          <w:szCs w:val="22"/>
          <w:lang w:val="en-AU" w:bidi="ar-SA"/>
        </w:rPr>
      </w:pPr>
      <w:r>
        <w:rPr>
          <w:rFonts w:eastAsia="Arial Unicode MS"/>
        </w:rPr>
        <w:t>The Code and Codex STAN 72-1981 are already aligned for the protein permitted range for infant formula based on cow</w:t>
      </w:r>
      <w:r w:rsidR="00C73A77">
        <w:rPr>
          <w:rFonts w:eastAsia="Arial Unicode MS"/>
        </w:rPr>
        <w:t>’</w:t>
      </w:r>
      <w:r>
        <w:rPr>
          <w:rFonts w:eastAsia="Arial Unicode MS"/>
        </w:rPr>
        <w:t>s milk protein (</w:t>
      </w:r>
      <w:r>
        <w:rPr>
          <w:rFonts w:eastAsia="Arial Unicode MS"/>
          <w:szCs w:val="22"/>
          <w:lang w:val="en-AU" w:bidi="ar-SA"/>
        </w:rPr>
        <w:t>0.45 g/100 kJ minimum</w:t>
      </w:r>
      <w:r w:rsidRPr="00DB458D">
        <w:rPr>
          <w:rFonts w:eastAsia="Arial Unicode MS"/>
          <w:szCs w:val="22"/>
          <w:lang w:val="en-AU" w:bidi="ar-SA"/>
        </w:rPr>
        <w:t xml:space="preserve"> to 0.7 g/100 kJ maximum</w:t>
      </w:r>
      <w:r w:rsidRPr="00186D7C">
        <w:rPr>
          <w:rFonts w:eastAsia="Arial Unicode MS"/>
        </w:rPr>
        <w:t>)</w:t>
      </w:r>
      <w:r>
        <w:rPr>
          <w:rFonts w:eastAsia="Arial Unicode MS"/>
        </w:rPr>
        <w:t xml:space="preserve">. </w:t>
      </w:r>
      <w:r w:rsidR="008419F4">
        <w:rPr>
          <w:rFonts w:eastAsia="Arial Unicode MS"/>
        </w:rPr>
        <w:t xml:space="preserve">This range is similar to EU 2016/127 range of </w:t>
      </w:r>
      <w:r w:rsidR="008419F4">
        <w:rPr>
          <w:rFonts w:eastAsia="Arial Unicode MS"/>
          <w:szCs w:val="22"/>
          <w:lang w:val="en-AU" w:bidi="ar-SA"/>
        </w:rPr>
        <w:t>0.43 g/100 kJ minimum to 0.6</w:t>
      </w:r>
      <w:r w:rsidR="008419F4" w:rsidRPr="00DB458D">
        <w:rPr>
          <w:rFonts w:eastAsia="Arial Unicode MS"/>
          <w:szCs w:val="22"/>
          <w:lang w:val="en-AU" w:bidi="ar-SA"/>
        </w:rPr>
        <w:t xml:space="preserve"> g/100 kJ maximum</w:t>
      </w:r>
      <w:r w:rsidR="008419F4">
        <w:rPr>
          <w:rFonts w:eastAsia="Arial Unicode MS"/>
          <w:szCs w:val="22"/>
          <w:lang w:val="en-AU" w:bidi="ar-SA"/>
        </w:rPr>
        <w:t>.</w:t>
      </w:r>
    </w:p>
    <w:p w14:paraId="1908D00C" w14:textId="77777777" w:rsidR="00776154" w:rsidRDefault="00776154" w:rsidP="00776154">
      <w:pPr>
        <w:pStyle w:val="Heading4"/>
      </w:pPr>
      <w:r>
        <w:t xml:space="preserve">Previous consideration </w:t>
      </w:r>
    </w:p>
    <w:p w14:paraId="0222117D" w14:textId="77777777" w:rsidR="00776154" w:rsidRDefault="00776154" w:rsidP="00776154">
      <w:pPr>
        <w:autoSpaceDE w:val="0"/>
        <w:autoSpaceDN w:val="0"/>
        <w:adjustRightInd w:val="0"/>
        <w:rPr>
          <w:lang w:val="en-AU" w:bidi="ar-SA"/>
        </w:rPr>
      </w:pPr>
      <w:r>
        <w:rPr>
          <w:lang w:val="en-AU" w:bidi="ar-SA"/>
        </w:rPr>
        <w:t xml:space="preserve">Protein amounts have been specified as a range (0.45–0.70 g/100 kJ) in Standard 2.9.1 and Codex STAN 72-1981 to allow for differences in amino acid profile between breast milk and cow’s milk. </w:t>
      </w:r>
    </w:p>
    <w:p w14:paraId="70059391" w14:textId="77777777" w:rsidR="00776154" w:rsidRPr="00FA6AEF" w:rsidRDefault="00776154" w:rsidP="00776154"/>
    <w:p w14:paraId="20FB137F" w14:textId="37F996A4" w:rsidR="00776154" w:rsidRDefault="00776154" w:rsidP="00776154">
      <w:pPr>
        <w:autoSpaceDE w:val="0"/>
        <w:autoSpaceDN w:val="0"/>
        <w:adjustRightInd w:val="0"/>
        <w:rPr>
          <w:rFonts w:eastAsia="Arial Unicode MS"/>
        </w:rPr>
      </w:pPr>
      <w:r>
        <w:rPr>
          <w:rFonts w:eastAsia="Arial Unicode MS"/>
        </w:rPr>
        <w:t>Despite concerns that high protein amounts in infant formula may be associated with higher obesity risk in childhood (</w:t>
      </w:r>
      <w:r w:rsidRPr="00D91627">
        <w:rPr>
          <w:lang w:bidi="ar-SA"/>
        </w:rPr>
        <w:t>European Childhood Obesity Trial or ECOT</w:t>
      </w:r>
      <w:r>
        <w:rPr>
          <w:lang w:bidi="ar-SA"/>
        </w:rPr>
        <w:t xml:space="preserve"> </w:t>
      </w:r>
      <w:r>
        <w:rPr>
          <w:lang w:bidi="ar-SA"/>
        </w:rPr>
        <w:fldChar w:fldCharType="begin">
          <w:fldData xml:space="preserve">PFJlZm1hbj48Q2l0ZT48QXV0aG9yPktvbGV0emtvPC9BdXRob3I+PFllYXI+MjAwOTwvWWVhcj48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</w:fldData>
        </w:fldChar>
      </w:r>
      <w:r>
        <w:rPr>
          <w:lang w:bidi="ar-SA"/>
        </w:rPr>
        <w:instrText xml:space="preserve"> ADDIN REFMGR.CITE </w:instrText>
      </w:r>
      <w:r>
        <w:rPr>
          <w:lang w:bidi="ar-SA"/>
        </w:rPr>
        <w:fldChar w:fldCharType="begin">
          <w:fldData xml:space="preserve">PFJlZm1hbj48Q2l0ZT48QXV0aG9yPktvbGV0emtvPC9BdXRob3I+PFllYXI+MjAwOTwvWWVhcj48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</w:fldData>
        </w:fldChar>
      </w:r>
      <w:r>
        <w:rPr>
          <w:lang w:bidi="ar-SA"/>
        </w:rPr>
        <w:instrText xml:space="preserve"> ADDIN EN.CITE.DATA </w:instrText>
      </w:r>
      <w:r>
        <w:rPr>
          <w:lang w:bidi="ar-SA"/>
        </w:rPr>
      </w:r>
      <w:r>
        <w:rPr>
          <w:lang w:bidi="ar-SA"/>
        </w:rPr>
        <w:fldChar w:fldCharType="end"/>
      </w:r>
      <w:r>
        <w:rPr>
          <w:lang w:bidi="ar-SA"/>
        </w:rPr>
      </w:r>
      <w:r>
        <w:rPr>
          <w:lang w:bidi="ar-SA"/>
        </w:rPr>
        <w:fldChar w:fldCharType="separate"/>
      </w:r>
      <w:r>
        <w:rPr>
          <w:noProof/>
          <w:lang w:bidi="ar-SA"/>
        </w:rPr>
        <w:t>(Koletzko et al. 2009)</w:t>
      </w:r>
      <w:r>
        <w:rPr>
          <w:lang w:bidi="ar-SA"/>
        </w:rPr>
        <w:fldChar w:fldCharType="end"/>
      </w:r>
      <w:r>
        <w:rPr>
          <w:lang w:bidi="ar-SA"/>
        </w:rPr>
        <w:t>)</w:t>
      </w:r>
      <w:r>
        <w:rPr>
          <w:rFonts w:eastAsia="Arial Unicode MS"/>
        </w:rPr>
        <w:t xml:space="preserve">, </w:t>
      </w:r>
      <w:r>
        <w:t>t</w:t>
      </w:r>
      <w:r>
        <w:rPr>
          <w:rFonts w:eastAsia="Arial Unicode MS"/>
        </w:rPr>
        <w:t>he preliminary view in 2016 was to retain the current permitted range for protein. FSANZ considered that more evidence was required to demonstrate the benefits to infant health by decreasing infant protein intakes</w:t>
      </w:r>
      <w:r w:rsidR="00F67C2D">
        <w:rPr>
          <w:rFonts w:eastAsia="Arial Unicode MS"/>
        </w:rPr>
        <w:t xml:space="preserve"> through a reduction in the protein minimum in infant formula</w:t>
      </w:r>
      <w:r>
        <w:rPr>
          <w:rFonts w:eastAsia="Arial Unicode MS"/>
        </w:rPr>
        <w:t>.</w:t>
      </w:r>
    </w:p>
    <w:p w14:paraId="5B27B63E" w14:textId="77777777" w:rsidR="00776154" w:rsidRDefault="00776154" w:rsidP="00776154">
      <w:pPr>
        <w:autoSpaceDE w:val="0"/>
        <w:autoSpaceDN w:val="0"/>
        <w:adjustRightInd w:val="0"/>
        <w:rPr>
          <w:rFonts w:eastAsia="Arial Unicode MS"/>
        </w:rPr>
      </w:pPr>
    </w:p>
    <w:p w14:paraId="1D8750D3" w14:textId="77FE37B1" w:rsidR="00776154" w:rsidRDefault="00776154" w:rsidP="00776154">
      <w:pPr>
        <w:rPr>
          <w:lang w:val="en-AU" w:bidi="ar-SA"/>
        </w:rPr>
      </w:pPr>
      <w:r>
        <w:rPr>
          <w:lang w:val="en-AU" w:bidi="ar-SA"/>
        </w:rPr>
        <w:t xml:space="preserve">The assessment also noted that although there is no protein UL, very high protein content (around 20% of total energy) causes increased urea production and impairs water balance </w:t>
      </w:r>
      <w:r>
        <w:rPr>
          <w:noProof/>
          <w:lang w:val="en-AU" w:bidi="ar-SA"/>
        </w:rPr>
        <w:t>(EFSA 2012)</w:t>
      </w:r>
      <w:r>
        <w:rPr>
          <w:lang w:val="en-AU" w:bidi="ar-SA"/>
        </w:rPr>
        <w:t>. Th</w:t>
      </w:r>
      <w:r w:rsidRPr="006A064D">
        <w:rPr>
          <w:lang w:val="en-AU" w:bidi="ar-SA"/>
        </w:rPr>
        <w:t>e EC SCF (2003) recommended that formula should no</w:t>
      </w:r>
      <w:r>
        <w:rPr>
          <w:lang w:val="en-AU" w:bidi="ar-SA"/>
        </w:rPr>
        <w:t>t</w:t>
      </w:r>
      <w:r w:rsidRPr="006A064D">
        <w:rPr>
          <w:lang w:val="en-AU" w:bidi="ar-SA"/>
        </w:rPr>
        <w:t xml:space="preserve"> provide more than 12% of energy</w:t>
      </w:r>
      <w:r w:rsidR="005C0D5F">
        <w:rPr>
          <w:lang w:val="en-AU" w:bidi="ar-SA"/>
        </w:rPr>
        <w:t xml:space="preserve"> content as protein</w:t>
      </w:r>
      <w:r>
        <w:rPr>
          <w:lang w:val="en-AU" w:bidi="ar-SA"/>
        </w:rPr>
        <w:t xml:space="preserve"> to ensure that the potential renal solute load </w:t>
      </w:r>
      <w:r w:rsidR="005C0D5F">
        <w:rPr>
          <w:lang w:val="en-AU" w:bidi="ar-SA"/>
        </w:rPr>
        <w:t>i</w:t>
      </w:r>
      <w:r>
        <w:rPr>
          <w:lang w:val="en-AU" w:bidi="ar-SA"/>
        </w:rPr>
        <w:t xml:space="preserve">s not unacceptably high. </w:t>
      </w:r>
    </w:p>
    <w:p w14:paraId="6B34827F" w14:textId="77777777" w:rsidR="00776154" w:rsidRDefault="00776154" w:rsidP="00776154">
      <w:pPr>
        <w:rPr>
          <w:lang w:val="en-AU" w:bidi="ar-SA"/>
        </w:rPr>
      </w:pPr>
    </w:p>
    <w:p w14:paraId="587F25CA" w14:textId="77777777" w:rsidR="00776154" w:rsidRDefault="00776154" w:rsidP="00776154">
      <w:pPr>
        <w:rPr>
          <w:lang w:val="en-AU" w:bidi="ar-SA"/>
        </w:rPr>
      </w:pPr>
      <w:r>
        <w:rPr>
          <w:lang w:val="en-AU" w:bidi="ar-SA"/>
        </w:rPr>
        <w:t>B</w:t>
      </w:r>
      <w:r w:rsidRPr="00015825">
        <w:rPr>
          <w:lang w:val="en-AU" w:bidi="ar-SA"/>
        </w:rPr>
        <w:t>ased on a review of current research, FSANZ conclude</w:t>
      </w:r>
      <w:r>
        <w:rPr>
          <w:lang w:val="en-AU" w:bidi="ar-SA"/>
        </w:rPr>
        <w:t>d</w:t>
      </w:r>
      <w:r w:rsidRPr="00015825">
        <w:rPr>
          <w:lang w:val="en-AU" w:bidi="ar-SA"/>
        </w:rPr>
        <w:t xml:space="preserve"> that </w:t>
      </w:r>
      <w:r>
        <w:rPr>
          <w:lang w:val="en-AU" w:bidi="ar-SA"/>
        </w:rPr>
        <w:t xml:space="preserve">the </w:t>
      </w:r>
      <w:r w:rsidRPr="00015825">
        <w:rPr>
          <w:lang w:val="en-AU" w:bidi="ar-SA"/>
        </w:rPr>
        <w:t xml:space="preserve">protein minimum and maximum should be retained at </w:t>
      </w:r>
      <w:r>
        <w:rPr>
          <w:lang w:val="en-AU" w:bidi="ar-SA"/>
        </w:rPr>
        <w:t>the current amounts (as per both</w:t>
      </w:r>
      <w:r w:rsidRPr="00015825">
        <w:rPr>
          <w:lang w:val="en-AU" w:bidi="ar-SA"/>
        </w:rPr>
        <w:t xml:space="preserve"> Standard 2.9.1 and Codex </w:t>
      </w:r>
      <w:r>
        <w:rPr>
          <w:lang w:val="en-AU" w:bidi="ar-SA"/>
        </w:rPr>
        <w:t xml:space="preserve">STAN 72-1981) as </w:t>
      </w:r>
      <w:r w:rsidRPr="00015825">
        <w:rPr>
          <w:lang w:val="en-AU" w:bidi="ar-SA"/>
        </w:rPr>
        <w:t xml:space="preserve">use of these </w:t>
      </w:r>
      <w:r>
        <w:rPr>
          <w:lang w:val="en-AU" w:bidi="ar-SA"/>
        </w:rPr>
        <w:t xml:space="preserve">amounts </w:t>
      </w:r>
      <w:r w:rsidRPr="00015825">
        <w:rPr>
          <w:lang w:val="en-AU" w:bidi="ar-SA"/>
        </w:rPr>
        <w:t xml:space="preserve">is unlikely </w:t>
      </w:r>
      <w:r>
        <w:rPr>
          <w:lang w:val="en-AU" w:bidi="ar-SA"/>
        </w:rPr>
        <w:t>to pose a risk to infant health</w:t>
      </w:r>
      <w:r w:rsidRPr="00015825">
        <w:rPr>
          <w:lang w:val="en-AU" w:bidi="ar-SA"/>
        </w:rPr>
        <w:t>.</w:t>
      </w:r>
    </w:p>
    <w:p w14:paraId="20D9A6B4" w14:textId="180A5F71" w:rsidR="00776154" w:rsidRDefault="00EA5E74" w:rsidP="00776154">
      <w:pPr>
        <w:pStyle w:val="Heading4"/>
      </w:pPr>
      <w:r>
        <w:lastRenderedPageBreak/>
        <w:t>Stakeholder views</w:t>
      </w:r>
    </w:p>
    <w:p w14:paraId="58DD0594" w14:textId="386654D6" w:rsidR="00776154" w:rsidRDefault="00776154" w:rsidP="00776154">
      <w:pPr>
        <w:autoSpaceDE w:val="0"/>
        <w:autoSpaceDN w:val="0"/>
        <w:adjustRightInd w:val="0"/>
        <w:rPr>
          <w:szCs w:val="22"/>
        </w:rPr>
      </w:pPr>
      <w:r>
        <w:rPr>
          <w:rFonts w:eastAsia="Arial Unicode MS"/>
        </w:rPr>
        <w:t>Eight submitters (</w:t>
      </w:r>
      <w:r w:rsidR="005C0D5F">
        <w:rPr>
          <w:rFonts w:eastAsia="Arial Unicode MS"/>
        </w:rPr>
        <w:t>two</w:t>
      </w:r>
      <w:r>
        <w:rPr>
          <w:rFonts w:eastAsia="Arial Unicode MS"/>
        </w:rPr>
        <w:t xml:space="preserve"> government, </w:t>
      </w:r>
      <w:r w:rsidR="005C0D5F">
        <w:rPr>
          <w:rFonts w:eastAsia="Arial Unicode MS"/>
        </w:rPr>
        <w:t>six</w:t>
      </w:r>
      <w:r>
        <w:rPr>
          <w:rFonts w:eastAsia="Arial Unicode MS"/>
        </w:rPr>
        <w:t xml:space="preserve"> industry) commented on this issue. Seven of these supported the preliminary view to retain the current minimum and maximum values. One submitter supported reducing the maximum to 0.6 g/100 kJ to align with EU 2016/127 and to ensure that </w:t>
      </w:r>
      <w:r>
        <w:rPr>
          <w:szCs w:val="22"/>
        </w:rPr>
        <w:t>the percentage of energy as protein does not exceed 12%.</w:t>
      </w:r>
    </w:p>
    <w:p w14:paraId="322BF5D4" w14:textId="77777777" w:rsidR="00776154" w:rsidRDefault="00776154" w:rsidP="00776154">
      <w:pPr>
        <w:autoSpaceDE w:val="0"/>
        <w:autoSpaceDN w:val="0"/>
        <w:adjustRightInd w:val="0"/>
        <w:rPr>
          <w:szCs w:val="22"/>
        </w:rPr>
      </w:pPr>
    </w:p>
    <w:p w14:paraId="5B82918B" w14:textId="66BFDEF4" w:rsidR="00776154" w:rsidRPr="00136601" w:rsidRDefault="00776154" w:rsidP="00776154">
      <w:pPr>
        <w:autoSpaceDE w:val="0"/>
        <w:autoSpaceDN w:val="0"/>
        <w:adjustRightInd w:val="0"/>
      </w:pPr>
      <w:r>
        <w:rPr>
          <w:szCs w:val="22"/>
        </w:rPr>
        <w:t xml:space="preserve">In addition, three industry submitters requested a </w:t>
      </w:r>
      <w:r w:rsidRPr="00486960">
        <w:rPr>
          <w:szCs w:val="22"/>
        </w:rPr>
        <w:t>technical adjustment be made to the min</w:t>
      </w:r>
      <w:r>
        <w:rPr>
          <w:szCs w:val="22"/>
        </w:rPr>
        <w:t xml:space="preserve">imum </w:t>
      </w:r>
      <w:r w:rsidRPr="00486960">
        <w:rPr>
          <w:szCs w:val="22"/>
        </w:rPr>
        <w:t>and max</w:t>
      </w:r>
      <w:r>
        <w:rPr>
          <w:szCs w:val="22"/>
        </w:rPr>
        <w:t>imum amounts</w:t>
      </w:r>
      <w:r w:rsidRPr="00486960">
        <w:rPr>
          <w:szCs w:val="22"/>
        </w:rPr>
        <w:t xml:space="preserve"> to correct what they consider is a</w:t>
      </w:r>
      <w:r>
        <w:rPr>
          <w:szCs w:val="22"/>
        </w:rPr>
        <w:t>n</w:t>
      </w:r>
      <w:r w:rsidRPr="00486960">
        <w:rPr>
          <w:szCs w:val="22"/>
        </w:rPr>
        <w:t xml:space="preserve"> error </w:t>
      </w:r>
      <w:r>
        <w:rPr>
          <w:szCs w:val="22"/>
        </w:rPr>
        <w:t xml:space="preserve">in converting kcal to kJ </w:t>
      </w:r>
      <w:r w:rsidRPr="00486960">
        <w:rPr>
          <w:szCs w:val="22"/>
        </w:rPr>
        <w:t>in Codex STAN 72-1981</w:t>
      </w:r>
      <w:r>
        <w:rPr>
          <w:szCs w:val="22"/>
        </w:rPr>
        <w:t xml:space="preserve"> (</w:t>
      </w:r>
      <w:r w:rsidRPr="00F67C2D">
        <w:rPr>
          <w:szCs w:val="22"/>
        </w:rPr>
        <w:t xml:space="preserve">see section </w:t>
      </w:r>
      <w:r w:rsidR="005C0D5F">
        <w:rPr>
          <w:szCs w:val="22"/>
        </w:rPr>
        <w:t>2</w:t>
      </w:r>
      <w:r>
        <w:rPr>
          <w:szCs w:val="22"/>
        </w:rPr>
        <w:t xml:space="preserve">). These submitters support a protein </w:t>
      </w:r>
      <w:r w:rsidRPr="00486960">
        <w:rPr>
          <w:szCs w:val="22"/>
        </w:rPr>
        <w:t xml:space="preserve">range </w:t>
      </w:r>
      <w:r>
        <w:rPr>
          <w:szCs w:val="22"/>
        </w:rPr>
        <w:t>of 0.43 g to 0.72 g/100</w:t>
      </w:r>
      <w:r w:rsidR="005C0D5F">
        <w:rPr>
          <w:szCs w:val="22"/>
        </w:rPr>
        <w:t xml:space="preserve"> </w:t>
      </w:r>
      <w:r>
        <w:rPr>
          <w:szCs w:val="22"/>
        </w:rPr>
        <w:t xml:space="preserve">kJ based on the equivalence factor of 1 kcal = 4.18 kJ. </w:t>
      </w:r>
    </w:p>
    <w:p w14:paraId="3B165EEF" w14:textId="17034FDB" w:rsidR="00776154" w:rsidRDefault="00553E3A" w:rsidP="00776154">
      <w:pPr>
        <w:pStyle w:val="Heading4"/>
      </w:pPr>
      <w:r>
        <w:t>Nutrition r</w:t>
      </w:r>
      <w:r w:rsidR="00776154">
        <w:t xml:space="preserve">isk assessment </w:t>
      </w:r>
    </w:p>
    <w:p w14:paraId="6444BDB4" w14:textId="17D0CAC1" w:rsidR="00776154" w:rsidRDefault="00776154" w:rsidP="00776154">
      <w:pPr>
        <w:autoSpaceDE w:val="0"/>
        <w:autoSpaceDN w:val="0"/>
        <w:adjustRightInd w:val="0"/>
        <w:rPr>
          <w:rFonts w:eastAsia="Arial Unicode MS"/>
          <w:szCs w:val="22"/>
          <w:lang w:val="en-AU" w:bidi="ar-SA"/>
        </w:rPr>
      </w:pPr>
      <w:r>
        <w:rPr>
          <w:rFonts w:eastAsia="Arial Unicode MS"/>
          <w:szCs w:val="22"/>
          <w:lang w:val="en-AU" w:bidi="ar-SA"/>
        </w:rPr>
        <w:t xml:space="preserve">Additional </w:t>
      </w:r>
      <w:r w:rsidR="00553E3A">
        <w:rPr>
          <w:rFonts w:eastAsia="Arial Unicode MS"/>
          <w:szCs w:val="22"/>
          <w:lang w:val="en-AU" w:bidi="ar-SA"/>
        </w:rPr>
        <w:t xml:space="preserve">nutrition </w:t>
      </w:r>
      <w:r>
        <w:rPr>
          <w:rFonts w:eastAsia="Arial Unicode MS"/>
          <w:szCs w:val="22"/>
          <w:lang w:val="en-AU" w:bidi="ar-SA"/>
        </w:rPr>
        <w:t>risk assessment considered the scientific basis for the</w:t>
      </w:r>
      <w:r w:rsidRPr="001A6A84">
        <w:rPr>
          <w:rFonts w:eastAsia="Arial Unicode MS"/>
          <w:szCs w:val="22"/>
          <w:lang w:val="en-AU" w:bidi="ar-SA"/>
        </w:rPr>
        <w:t xml:space="preserve"> maximum of 0.6 g/100 kJ as prescribed in </w:t>
      </w:r>
      <w:r w:rsidR="00553E3A">
        <w:rPr>
          <w:rFonts w:eastAsia="Arial Unicode MS"/>
        </w:rPr>
        <w:t>EU 2016/127</w:t>
      </w:r>
      <w:r>
        <w:rPr>
          <w:rFonts w:eastAsia="Arial Unicode MS"/>
          <w:szCs w:val="22"/>
          <w:lang w:val="en-AU" w:bidi="ar-SA"/>
        </w:rPr>
        <w:t xml:space="preserve">. The lower EU </w:t>
      </w:r>
      <w:r w:rsidR="00CA1C39">
        <w:rPr>
          <w:rFonts w:eastAsia="Arial Unicode MS"/>
          <w:szCs w:val="22"/>
          <w:lang w:val="en-AU" w:bidi="ar-SA"/>
        </w:rPr>
        <w:t xml:space="preserve">2016/127 </w:t>
      </w:r>
      <w:r>
        <w:rPr>
          <w:rFonts w:eastAsia="Arial Unicode MS"/>
          <w:szCs w:val="22"/>
          <w:lang w:val="en-AU" w:bidi="ar-SA"/>
        </w:rPr>
        <w:t xml:space="preserve">maximum was based on EFSA </w:t>
      </w:r>
      <w:r w:rsidR="00056097">
        <w:rPr>
          <w:rFonts w:eastAsia="Arial Unicode MS"/>
          <w:szCs w:val="22"/>
          <w:lang w:val="en-AU" w:bidi="ar-SA"/>
        </w:rPr>
        <w:t>(2</w:t>
      </w:r>
      <w:r>
        <w:rPr>
          <w:rFonts w:eastAsia="Arial Unicode MS"/>
          <w:szCs w:val="22"/>
          <w:lang w:val="en-AU" w:bidi="ar-SA"/>
        </w:rPr>
        <w:t>014</w:t>
      </w:r>
      <w:r w:rsidR="00056097">
        <w:rPr>
          <w:rFonts w:eastAsia="Arial Unicode MS"/>
          <w:szCs w:val="22"/>
          <w:lang w:val="en-AU" w:bidi="ar-SA"/>
        </w:rPr>
        <w:t>b)</w:t>
      </w:r>
      <w:r>
        <w:rPr>
          <w:rFonts w:eastAsia="Arial Unicode MS"/>
          <w:szCs w:val="22"/>
          <w:lang w:val="en-AU" w:bidi="ar-SA"/>
        </w:rPr>
        <w:t xml:space="preserve"> which cited the estimated upper bound of protein intakes for European infants and the observation that there is </w:t>
      </w:r>
      <w:r w:rsidRPr="00182339">
        <w:rPr>
          <w:rFonts w:eastAsia="Arial Unicode MS"/>
          <w:szCs w:val="22"/>
          <w:lang w:val="en-AU" w:bidi="ar-SA"/>
        </w:rPr>
        <w:t>no evidence of a physiological need for protein intakes at ≥</w:t>
      </w:r>
      <w:r>
        <w:rPr>
          <w:rFonts w:eastAsia="Arial Unicode MS"/>
          <w:szCs w:val="22"/>
          <w:lang w:val="en-AU" w:bidi="ar-SA"/>
        </w:rPr>
        <w:t xml:space="preserve"> </w:t>
      </w:r>
      <w:r w:rsidRPr="00182339">
        <w:rPr>
          <w:rFonts w:eastAsia="Arial Unicode MS"/>
          <w:szCs w:val="22"/>
          <w:lang w:val="en-AU" w:bidi="ar-SA"/>
        </w:rPr>
        <w:t xml:space="preserve">0.72 g/100 </w:t>
      </w:r>
      <w:r>
        <w:rPr>
          <w:rFonts w:eastAsia="Arial Unicode MS"/>
          <w:szCs w:val="22"/>
          <w:lang w:val="en-AU" w:bidi="ar-SA"/>
        </w:rPr>
        <w:t>kJ</w:t>
      </w:r>
      <w:r w:rsidRPr="00182339">
        <w:rPr>
          <w:rFonts w:eastAsia="Arial Unicode MS"/>
          <w:szCs w:val="22"/>
          <w:lang w:val="en-AU" w:bidi="ar-SA"/>
        </w:rPr>
        <w:t xml:space="preserve"> in infanc</w:t>
      </w:r>
      <w:r>
        <w:rPr>
          <w:rFonts w:eastAsia="Arial Unicode MS"/>
          <w:szCs w:val="22"/>
          <w:lang w:val="en-AU" w:bidi="ar-SA"/>
        </w:rPr>
        <w:t>y.</w:t>
      </w:r>
    </w:p>
    <w:p w14:paraId="0538B469" w14:textId="4D6A78F3" w:rsidR="002F0F9C" w:rsidRDefault="002F0F9C" w:rsidP="00776154">
      <w:pPr>
        <w:autoSpaceDE w:val="0"/>
        <w:autoSpaceDN w:val="0"/>
        <w:adjustRightInd w:val="0"/>
        <w:rPr>
          <w:rFonts w:eastAsia="Arial Unicode MS"/>
          <w:szCs w:val="22"/>
          <w:lang w:val="en-AU" w:bidi="ar-SA"/>
        </w:rPr>
      </w:pPr>
    </w:p>
    <w:p w14:paraId="17A2867B" w14:textId="3A09EC19" w:rsidR="002F0F9C" w:rsidRPr="00EF3F62" w:rsidRDefault="002F0F9C" w:rsidP="002F0F9C">
      <w:pPr>
        <w:contextualSpacing/>
        <w:rPr>
          <w:lang w:eastAsia="en-AU"/>
        </w:rPr>
      </w:pPr>
      <w:r>
        <w:rPr>
          <w:lang w:eastAsia="en-AU"/>
        </w:rPr>
        <w:t>The nutrition risk assessment also considered that t</w:t>
      </w:r>
      <w:r w:rsidRPr="00EF3F62">
        <w:rPr>
          <w:lang w:eastAsia="en-AU"/>
        </w:rPr>
        <w:t>he lower</w:t>
      </w:r>
      <w:r>
        <w:rPr>
          <w:lang w:eastAsia="en-AU"/>
        </w:rPr>
        <w:t>ed</w:t>
      </w:r>
      <w:r w:rsidRPr="00EF3F62">
        <w:rPr>
          <w:lang w:eastAsia="en-AU"/>
        </w:rPr>
        <w:t xml:space="preserve"> maximum permitted protein levels in </w:t>
      </w:r>
      <w:r>
        <w:rPr>
          <w:lang w:eastAsia="en-AU"/>
        </w:rPr>
        <w:t xml:space="preserve">the </w:t>
      </w:r>
      <w:r w:rsidRPr="00EF3F62">
        <w:rPr>
          <w:lang w:eastAsia="en-AU"/>
        </w:rPr>
        <w:t>EU 2016/127 are based on estimated upper bounds of the adequate ran</w:t>
      </w:r>
      <w:r>
        <w:rPr>
          <w:lang w:eastAsia="en-AU"/>
        </w:rPr>
        <w:t>ge of p</w:t>
      </w:r>
      <w:r w:rsidR="005F7906">
        <w:rPr>
          <w:lang w:eastAsia="en-AU"/>
        </w:rPr>
        <w:t>rotein intake. The EFSA (2014b</w:t>
      </w:r>
      <w:r>
        <w:rPr>
          <w:lang w:eastAsia="en-AU"/>
        </w:rPr>
        <w:t>) recommendations we</w:t>
      </w:r>
      <w:r w:rsidRPr="00EF3F62">
        <w:rPr>
          <w:lang w:eastAsia="en-AU"/>
        </w:rPr>
        <w:t>re based on the observation that there is no evidence of a physiologic</w:t>
      </w:r>
      <w:r>
        <w:rPr>
          <w:lang w:eastAsia="en-AU"/>
        </w:rPr>
        <w:t xml:space="preserve">al need for protein intakes at amounts of 3.0 g/100 kcal </w:t>
      </w:r>
      <w:r w:rsidRPr="00EF3F62">
        <w:rPr>
          <w:lang w:eastAsia="en-AU"/>
        </w:rPr>
        <w:t xml:space="preserve">in infancy, </w:t>
      </w:r>
      <w:r w:rsidRPr="000F3926">
        <w:rPr>
          <w:lang w:eastAsia="en-AU"/>
        </w:rPr>
        <w:t xml:space="preserve">which is the currently permitted maximum content in </w:t>
      </w:r>
      <w:r>
        <w:rPr>
          <w:lang w:eastAsia="en-AU"/>
        </w:rPr>
        <w:t xml:space="preserve">infant formula, </w:t>
      </w:r>
      <w:r w:rsidRPr="00EF3F62">
        <w:rPr>
          <w:lang w:eastAsia="en-AU"/>
        </w:rPr>
        <w:t>and that protein intakes by infants in the E</w:t>
      </w:r>
      <w:r>
        <w:rPr>
          <w:lang w:eastAsia="en-AU"/>
        </w:rPr>
        <w:t>U are generally well above requirements</w:t>
      </w:r>
      <w:r w:rsidRPr="00EF3F62">
        <w:rPr>
          <w:lang w:eastAsia="en-AU"/>
        </w:rPr>
        <w:t>.</w:t>
      </w:r>
    </w:p>
    <w:p w14:paraId="510DD840" w14:textId="77777777" w:rsidR="002F0F9C" w:rsidRDefault="002F0F9C" w:rsidP="002F0F9C">
      <w:pPr>
        <w:contextualSpacing/>
        <w:rPr>
          <w:b/>
          <w:lang w:eastAsia="en-AU"/>
        </w:rPr>
      </w:pPr>
    </w:p>
    <w:p w14:paraId="08AEE05A" w14:textId="5B7080B0" w:rsidR="002F0F9C" w:rsidRPr="002F0F9C" w:rsidRDefault="002F0F9C" w:rsidP="002F0F9C">
      <w:pPr>
        <w:contextualSpacing/>
      </w:pPr>
      <w:r w:rsidRPr="00BC2ACA">
        <w:t xml:space="preserve">The higher permitted </w:t>
      </w:r>
      <w:r>
        <w:t>maximum amount</w:t>
      </w:r>
      <w:r w:rsidRPr="00BC2ACA">
        <w:t xml:space="preserve">s </w:t>
      </w:r>
      <w:r>
        <w:t xml:space="preserve">in </w:t>
      </w:r>
      <w:r w:rsidRPr="00BC2ACA">
        <w:t>EU 2016/127 for formulas based on isolated soy proteins, compared with cow</w:t>
      </w:r>
      <w:r w:rsidR="008428EA">
        <w:t>’s milk</w:t>
      </w:r>
      <w:r w:rsidRPr="00BC2ACA">
        <w:t>- or goat</w:t>
      </w:r>
      <w:r w:rsidR="008428EA">
        <w:t>’s milk</w:t>
      </w:r>
      <w:r w:rsidRPr="00BC2ACA">
        <w:t>-based formulas, are to account for lower levels of some essential amino acids and lower digestibility of plant proteins compared to milk proteins due to the increased content of phytic ac</w:t>
      </w:r>
      <w:r>
        <w:t>id and trypsin inhibitors</w:t>
      </w:r>
      <w:r w:rsidRPr="00BC2ACA">
        <w:t>.</w:t>
      </w:r>
      <w:r>
        <w:t xml:space="preserve"> </w:t>
      </w:r>
      <w:r w:rsidRPr="00421470">
        <w:t>A rationale for the higher maximum level set for formula containing protein hydrolysates, compared with cow</w:t>
      </w:r>
      <w:r w:rsidR="008428EA">
        <w:t>’s milk</w:t>
      </w:r>
      <w:r w:rsidRPr="00421470">
        <w:t>- or goat</w:t>
      </w:r>
      <w:r w:rsidR="008428EA">
        <w:t>’s milk</w:t>
      </w:r>
      <w:r w:rsidRPr="00421470">
        <w:t>-based formulas, was not provided.</w:t>
      </w:r>
    </w:p>
    <w:p w14:paraId="3C2E9C26" w14:textId="77777777" w:rsidR="00776154" w:rsidRDefault="00776154" w:rsidP="00776154">
      <w:pPr>
        <w:pStyle w:val="Heading4"/>
      </w:pPr>
      <w:r>
        <w:t xml:space="preserve">Options and discussion </w:t>
      </w:r>
    </w:p>
    <w:p w14:paraId="771FF2CD" w14:textId="5D4928DE" w:rsidR="00185A57" w:rsidRDefault="00D019A5" w:rsidP="00776154">
      <w:pPr>
        <w:autoSpaceDE w:val="0"/>
        <w:autoSpaceDN w:val="0"/>
        <w:adjustRightInd w:val="0"/>
        <w:rPr>
          <w:rFonts w:eastAsia="Arial Unicode MS"/>
          <w:i/>
        </w:rPr>
      </w:pPr>
      <w:r w:rsidRPr="00D019A5">
        <w:rPr>
          <w:rFonts w:eastAsia="Arial Unicode MS"/>
          <w:i/>
        </w:rPr>
        <w:t xml:space="preserve">Minimum protein </w:t>
      </w:r>
    </w:p>
    <w:p w14:paraId="5AB1A330" w14:textId="07B20FE3" w:rsidR="00D019A5" w:rsidRDefault="00D019A5" w:rsidP="00776154">
      <w:pPr>
        <w:autoSpaceDE w:val="0"/>
        <w:autoSpaceDN w:val="0"/>
        <w:adjustRightInd w:val="0"/>
        <w:rPr>
          <w:rFonts w:eastAsia="Arial Unicode MS"/>
          <w:i/>
        </w:rPr>
      </w:pPr>
    </w:p>
    <w:p w14:paraId="28387BAE" w14:textId="7B65C392" w:rsidR="00BE64B1" w:rsidRPr="00777F0F" w:rsidRDefault="00BE64B1" w:rsidP="00BE64B1">
      <w:pPr>
        <w:rPr>
          <w:rFonts w:cs="Arial"/>
          <w:szCs w:val="22"/>
        </w:rPr>
      </w:pPr>
      <w:r>
        <w:rPr>
          <w:rFonts w:cs="Arial"/>
        </w:rPr>
        <w:t>The m</w:t>
      </w:r>
      <w:r w:rsidRPr="00777F0F">
        <w:rPr>
          <w:rFonts w:cs="Arial"/>
          <w:szCs w:val="22"/>
        </w:rPr>
        <w:t>inimum protein amount is set to ensure minimum amino acid requirements can be met for a given protein source. FSANZ’s 2016 assessment reviewed the evidence linking high protein-containing formulas and obesity in older infants and concluded that the evidence was not sufficient to warrant a change in the permitted range for protein in IF. Submitters to the 2016 Consultation paper supported this approach.</w:t>
      </w:r>
    </w:p>
    <w:p w14:paraId="19ED8EA4" w14:textId="77777777" w:rsidR="00BE64B1" w:rsidRPr="00777F0F" w:rsidRDefault="00BE64B1" w:rsidP="00BE64B1">
      <w:pPr>
        <w:rPr>
          <w:rFonts w:cs="Arial"/>
          <w:szCs w:val="22"/>
        </w:rPr>
      </w:pPr>
    </w:p>
    <w:p w14:paraId="4985E78B" w14:textId="28A4FC09" w:rsidR="00BE64B1" w:rsidRDefault="00BE64B1" w:rsidP="00BE64B1">
      <w:pPr>
        <w:rPr>
          <w:rFonts w:cs="Arial"/>
          <w:sz w:val="20"/>
          <w:szCs w:val="20"/>
        </w:rPr>
      </w:pPr>
      <w:r w:rsidRPr="00777F0F">
        <w:rPr>
          <w:rFonts w:cs="Arial"/>
          <w:szCs w:val="22"/>
        </w:rPr>
        <w:t xml:space="preserve">In 2019, FSANZ approved a reduction in the </w:t>
      </w:r>
      <w:r>
        <w:rPr>
          <w:rFonts w:cs="Arial"/>
        </w:rPr>
        <w:t xml:space="preserve">minimum protein in </w:t>
      </w:r>
      <w:r w:rsidR="006229FF">
        <w:rPr>
          <w:rFonts w:cs="Arial"/>
        </w:rPr>
        <w:t>FOF</w:t>
      </w:r>
      <w:r>
        <w:rPr>
          <w:rFonts w:cs="Arial"/>
        </w:rPr>
        <w:t xml:space="preserve"> (i.e. for infants 6-12 months) to 0.38 g/100 kJ (</w:t>
      </w:r>
      <w:r w:rsidR="000C348D">
        <w:rPr>
          <w:rFonts w:cs="Arial"/>
        </w:rPr>
        <w:t xml:space="preserve">FSANZ </w:t>
      </w:r>
      <w:r w:rsidR="000C348D" w:rsidRPr="00142651">
        <w:rPr>
          <w:rFonts w:cs="Arial"/>
        </w:rPr>
        <w:t>2019</w:t>
      </w:r>
      <w:r w:rsidR="00690623">
        <w:rPr>
          <w:rFonts w:cs="Arial"/>
        </w:rPr>
        <w:t>a</w:t>
      </w:r>
      <w:r w:rsidRPr="00142651">
        <w:rPr>
          <w:rFonts w:cs="Arial"/>
        </w:rPr>
        <w:t>). This was based</w:t>
      </w:r>
      <w:r>
        <w:rPr>
          <w:rFonts w:cs="Arial"/>
        </w:rPr>
        <w:t xml:space="preserve"> on an assessment that found that this minimum was consistent with </w:t>
      </w:r>
      <w:r>
        <w:rPr>
          <w:rFonts w:cs="Arial"/>
          <w:szCs w:val="22"/>
        </w:rPr>
        <w:t>human milk</w:t>
      </w:r>
      <w:r>
        <w:rPr>
          <w:rFonts w:cs="Arial"/>
        </w:rPr>
        <w:t xml:space="preserve"> protein content</w:t>
      </w:r>
      <w:r>
        <w:rPr>
          <w:rFonts w:cs="Arial"/>
          <w:szCs w:val="22"/>
        </w:rPr>
        <w:t xml:space="preserve">, </w:t>
      </w:r>
      <w:r w:rsidR="001E0417">
        <w:rPr>
          <w:rFonts w:cs="Arial"/>
          <w:szCs w:val="22"/>
        </w:rPr>
        <w:t xml:space="preserve">would support </w:t>
      </w:r>
      <w:r>
        <w:rPr>
          <w:rFonts w:cs="Arial"/>
        </w:rPr>
        <w:t xml:space="preserve">infant growth that was comparable to breast fed infants, </w:t>
      </w:r>
      <w:r>
        <w:rPr>
          <w:rFonts w:cs="Arial"/>
          <w:szCs w:val="22"/>
        </w:rPr>
        <w:t xml:space="preserve">and </w:t>
      </w:r>
      <w:r w:rsidR="001E0417">
        <w:rPr>
          <w:rFonts w:cs="Arial"/>
          <w:szCs w:val="22"/>
        </w:rPr>
        <w:t xml:space="preserve">did not introduce </w:t>
      </w:r>
      <w:r>
        <w:rPr>
          <w:rFonts w:cs="Arial"/>
        </w:rPr>
        <w:t xml:space="preserve">risk of inadequate protein intakes </w:t>
      </w:r>
      <w:r w:rsidR="001E0417">
        <w:rPr>
          <w:rFonts w:cs="Arial"/>
        </w:rPr>
        <w:t>(</w:t>
      </w:r>
      <w:r>
        <w:rPr>
          <w:rFonts w:cs="Arial"/>
        </w:rPr>
        <w:t>for infants aged 6-12 months</w:t>
      </w:r>
      <w:r w:rsidR="001E0417">
        <w:rPr>
          <w:rFonts w:cs="Arial"/>
        </w:rPr>
        <w:t xml:space="preserve"> this</w:t>
      </w:r>
      <w:r>
        <w:rPr>
          <w:rFonts w:cs="Arial"/>
        </w:rPr>
        <w:t xml:space="preserve"> includes protein from complementary foods</w:t>
      </w:r>
      <w:r w:rsidR="001E0417">
        <w:rPr>
          <w:rFonts w:cs="Arial"/>
        </w:rPr>
        <w:t>)</w:t>
      </w:r>
      <w:r>
        <w:rPr>
          <w:rFonts w:cs="Arial"/>
        </w:rPr>
        <w:t xml:space="preserve">. In submissions to A1173, health professionals </w:t>
      </w:r>
      <w:r w:rsidRPr="00777F0F">
        <w:rPr>
          <w:rFonts w:cs="Arial"/>
          <w:szCs w:val="22"/>
        </w:rPr>
        <w:t>noted that</w:t>
      </w:r>
      <w:r>
        <w:rPr>
          <w:rFonts w:cs="Arial"/>
        </w:rPr>
        <w:t xml:space="preserve"> obesity has complex causality and it is simplistic to </w:t>
      </w:r>
      <w:r w:rsidRPr="00855EB5">
        <w:rPr>
          <w:rFonts w:cs="Arial"/>
          <w:szCs w:val="22"/>
        </w:rPr>
        <w:t xml:space="preserve">attribute a lower rate of obesity to lower protein concentrations in </w:t>
      </w:r>
      <w:r w:rsidR="006229FF">
        <w:rPr>
          <w:rFonts w:cs="Arial"/>
          <w:szCs w:val="22"/>
        </w:rPr>
        <w:t>FOF</w:t>
      </w:r>
      <w:r w:rsidRPr="00855EB5">
        <w:rPr>
          <w:rFonts w:cs="Arial"/>
          <w:szCs w:val="22"/>
        </w:rPr>
        <w:t>.</w:t>
      </w:r>
      <w:r>
        <w:rPr>
          <w:rFonts w:cs="Arial"/>
          <w:sz w:val="20"/>
          <w:szCs w:val="20"/>
        </w:rPr>
        <w:t xml:space="preserve"> </w:t>
      </w:r>
    </w:p>
    <w:p w14:paraId="3110A1A7" w14:textId="77777777" w:rsidR="00BE64B1" w:rsidRPr="00777F0F" w:rsidRDefault="00BE64B1" w:rsidP="00BE64B1">
      <w:pPr>
        <w:rPr>
          <w:rFonts w:cs="Arial"/>
          <w:szCs w:val="22"/>
        </w:rPr>
      </w:pPr>
    </w:p>
    <w:p w14:paraId="66165B8F" w14:textId="1C60D035" w:rsidR="00BE64B1" w:rsidRDefault="00BE64B1" w:rsidP="00BE64B1">
      <w:r>
        <w:t xml:space="preserve">Since 2016, there has been continued </w:t>
      </w:r>
      <w:r w:rsidRPr="00777F0F">
        <w:rPr>
          <w:szCs w:val="22"/>
        </w:rPr>
        <w:t xml:space="preserve">debate on the possible link between high protein </w:t>
      </w:r>
      <w:r>
        <w:t xml:space="preserve">content </w:t>
      </w:r>
      <w:r w:rsidRPr="00777F0F">
        <w:rPr>
          <w:szCs w:val="22"/>
        </w:rPr>
        <w:t xml:space="preserve">in infant formula and risk of obesity </w:t>
      </w:r>
      <w:r>
        <w:t>in later</w:t>
      </w:r>
      <w:r w:rsidRPr="00777F0F">
        <w:rPr>
          <w:szCs w:val="22"/>
        </w:rPr>
        <w:t xml:space="preserve"> life. However, </w:t>
      </w:r>
      <w:r>
        <w:t xml:space="preserve">most </w:t>
      </w:r>
      <w:r w:rsidRPr="00777F0F">
        <w:rPr>
          <w:szCs w:val="22"/>
        </w:rPr>
        <w:t>studies</w:t>
      </w:r>
      <w:r>
        <w:t xml:space="preserve"> that</w:t>
      </w:r>
      <w:r w:rsidRPr="00777F0F">
        <w:rPr>
          <w:szCs w:val="22"/>
        </w:rPr>
        <w:t xml:space="preserve"> </w:t>
      </w:r>
      <w:r>
        <w:t xml:space="preserve">examine low protein formulas </w:t>
      </w:r>
      <w:r w:rsidRPr="00777F0F">
        <w:rPr>
          <w:szCs w:val="22"/>
        </w:rPr>
        <w:t>utilise experimental formulas in which composition reli</w:t>
      </w:r>
      <w:r>
        <w:t xml:space="preserve">es on a high </w:t>
      </w:r>
      <w:r>
        <w:lastRenderedPageBreak/>
        <w:t xml:space="preserve">content of free amino acids </w:t>
      </w:r>
      <w:r w:rsidRPr="00777F0F">
        <w:rPr>
          <w:szCs w:val="22"/>
        </w:rPr>
        <w:t xml:space="preserve">(see for </w:t>
      </w:r>
      <w:r w:rsidRPr="000C348D">
        <w:rPr>
          <w:szCs w:val="22"/>
        </w:rPr>
        <w:t>example Kouwenhoven et al 2020) in</w:t>
      </w:r>
      <w:r w:rsidRPr="00777F0F">
        <w:rPr>
          <w:szCs w:val="22"/>
        </w:rPr>
        <w:t xml:space="preserve"> order to meet amino acid requirements. This is unlikely to be practical for infant formula manufacturers and may influence formula intakes</w:t>
      </w:r>
      <w:r w:rsidR="00576703">
        <w:rPr>
          <w:szCs w:val="22"/>
        </w:rPr>
        <w:t xml:space="preserve"> as free amino acids may be </w:t>
      </w:r>
      <w:r w:rsidR="00A86D66">
        <w:rPr>
          <w:szCs w:val="22"/>
        </w:rPr>
        <w:t>unpalatable</w:t>
      </w:r>
      <w:r w:rsidRPr="00777F0F">
        <w:rPr>
          <w:szCs w:val="22"/>
        </w:rPr>
        <w:t xml:space="preserve">. </w:t>
      </w:r>
    </w:p>
    <w:p w14:paraId="02C35944" w14:textId="77777777" w:rsidR="00BE64B1" w:rsidRDefault="00BE64B1" w:rsidP="00BE64B1"/>
    <w:p w14:paraId="1B4430CA" w14:textId="07615698" w:rsidR="00BE64B1" w:rsidRPr="00777F0F" w:rsidRDefault="00BE64B1" w:rsidP="00BE64B1">
      <w:pPr>
        <w:rPr>
          <w:szCs w:val="22"/>
        </w:rPr>
      </w:pPr>
      <w:r w:rsidRPr="00777F0F">
        <w:rPr>
          <w:szCs w:val="22"/>
        </w:rPr>
        <w:t xml:space="preserve">A recent </w:t>
      </w:r>
      <w:r>
        <w:t xml:space="preserve">systematic review on the link between protein intakes and obesity outcomes showed that total protein intakes from birth to 2 years was associated with </w:t>
      </w:r>
      <w:r w:rsidR="005C5109">
        <w:t xml:space="preserve">higher </w:t>
      </w:r>
      <w:r w:rsidR="00552141">
        <w:t xml:space="preserve">body mass index </w:t>
      </w:r>
      <w:r>
        <w:t xml:space="preserve">in later childhood and </w:t>
      </w:r>
      <w:r w:rsidRPr="00142651">
        <w:t>adolescence (Stokes et al 2021). The study</w:t>
      </w:r>
      <w:r>
        <w:t xml:space="preserve"> did not examine the association between obesity outcomes and infant formula of varying protein concentrations. Therefore it is not possible to derive a conclusion about a minimum protein concentration for infant formula from this study.</w:t>
      </w:r>
    </w:p>
    <w:p w14:paraId="221079DF" w14:textId="77777777" w:rsidR="00BE64B1" w:rsidRPr="00777F0F" w:rsidRDefault="00BE64B1" w:rsidP="00BE64B1">
      <w:pPr>
        <w:rPr>
          <w:szCs w:val="22"/>
        </w:rPr>
      </w:pPr>
    </w:p>
    <w:p w14:paraId="6D202B3D" w14:textId="697D72DC" w:rsidR="00BE64B1" w:rsidRPr="00777F0F" w:rsidRDefault="00BE64B1" w:rsidP="00BE64B1">
      <w:pPr>
        <w:rPr>
          <w:szCs w:val="22"/>
        </w:rPr>
      </w:pPr>
      <w:r>
        <w:t xml:space="preserve">Based on the above discussion, FSANZ confirms </w:t>
      </w:r>
      <w:r w:rsidRPr="00777F0F">
        <w:rPr>
          <w:szCs w:val="22"/>
        </w:rPr>
        <w:t xml:space="preserve">the proposed approach from 2016 to retain the current minimum amount for protein. </w:t>
      </w:r>
      <w:r>
        <w:t xml:space="preserve">We note </w:t>
      </w:r>
      <w:r>
        <w:rPr>
          <w:lang w:val="en-AU" w:bidi="ar-SA"/>
        </w:rPr>
        <w:t xml:space="preserve">that the Codex draft revised standard for </w:t>
      </w:r>
      <w:r w:rsidR="00CA1C39">
        <w:rPr>
          <w:lang w:val="en-AU" w:bidi="ar-SA"/>
        </w:rPr>
        <w:t>FUF</w:t>
      </w:r>
      <w:r>
        <w:rPr>
          <w:lang w:val="en-AU" w:bidi="ar-SA"/>
        </w:rPr>
        <w:t xml:space="preserve"> has set a protein range of 0.43–0.72 g/100 kJ. The slight difference from Codex STAN 72-1981 and Standard 2.9.1 is due to a technical calculation issue which is discussed in </w:t>
      </w:r>
      <w:r w:rsidRPr="00034F27">
        <w:rPr>
          <w:lang w:val="en-AU" w:bidi="ar-SA"/>
        </w:rPr>
        <w:t>section 2</w:t>
      </w:r>
      <w:r w:rsidR="001E0417">
        <w:rPr>
          <w:lang w:val="en-AU" w:bidi="ar-SA"/>
        </w:rPr>
        <w:t xml:space="preserve"> of this report</w:t>
      </w:r>
      <w:r>
        <w:rPr>
          <w:lang w:val="en-AU" w:bidi="ar-SA"/>
        </w:rPr>
        <w:t>.</w:t>
      </w:r>
    </w:p>
    <w:p w14:paraId="65A0DA7B" w14:textId="4724C88A" w:rsidR="00D019A5" w:rsidRDefault="00D019A5" w:rsidP="00D019A5">
      <w:pPr>
        <w:rPr>
          <w:rFonts w:eastAsia="Arial Unicode MS"/>
        </w:rPr>
      </w:pPr>
    </w:p>
    <w:p w14:paraId="692E28C7" w14:textId="3719AD58" w:rsidR="00D019A5" w:rsidRPr="00D019A5" w:rsidRDefault="00D019A5" w:rsidP="00776154">
      <w:pPr>
        <w:autoSpaceDE w:val="0"/>
        <w:autoSpaceDN w:val="0"/>
        <w:adjustRightInd w:val="0"/>
        <w:rPr>
          <w:rFonts w:eastAsia="Arial Unicode MS"/>
          <w:i/>
        </w:rPr>
      </w:pPr>
      <w:r>
        <w:rPr>
          <w:rFonts w:eastAsia="Arial Unicode MS"/>
          <w:i/>
        </w:rPr>
        <w:t>Maximum protein</w:t>
      </w:r>
    </w:p>
    <w:p w14:paraId="4FB28D42" w14:textId="77777777" w:rsidR="00185A57" w:rsidRDefault="00185A57" w:rsidP="00776154">
      <w:pPr>
        <w:autoSpaceDE w:val="0"/>
        <w:autoSpaceDN w:val="0"/>
        <w:adjustRightInd w:val="0"/>
        <w:rPr>
          <w:rFonts w:eastAsia="Arial Unicode MS"/>
        </w:rPr>
      </w:pPr>
    </w:p>
    <w:p w14:paraId="63293E03" w14:textId="789AB332" w:rsidR="00776154" w:rsidRDefault="00776154" w:rsidP="00776154">
      <w:pPr>
        <w:autoSpaceDE w:val="0"/>
        <w:autoSpaceDN w:val="0"/>
        <w:adjustRightInd w:val="0"/>
        <w:rPr>
          <w:rFonts w:eastAsia="Arial Unicode MS"/>
        </w:rPr>
      </w:pPr>
      <w:r>
        <w:rPr>
          <w:rFonts w:eastAsia="Arial Unicode MS"/>
        </w:rPr>
        <w:t xml:space="preserve">EU </w:t>
      </w:r>
      <w:r w:rsidRPr="00362156">
        <w:rPr>
          <w:rFonts w:eastAsia="Arial Unicode MS"/>
        </w:rPr>
        <w:t>2016/127 specifies</w:t>
      </w:r>
      <w:r>
        <w:rPr>
          <w:rFonts w:eastAsia="Arial Unicode MS"/>
        </w:rPr>
        <w:t xml:space="preserve"> a protein maximum of 0.6 g/100 kJ if </w:t>
      </w:r>
      <w:r w:rsidR="0040697B">
        <w:rPr>
          <w:rFonts w:cs="Arial"/>
          <w:szCs w:val="20"/>
        </w:rPr>
        <w:t>i</w:t>
      </w:r>
      <w:r w:rsidRPr="0038471C">
        <w:rPr>
          <w:rFonts w:cs="Arial"/>
          <w:szCs w:val="20"/>
        </w:rPr>
        <w:t>nfant formula manufactured from cow</w:t>
      </w:r>
      <w:r w:rsidR="00C73A77">
        <w:rPr>
          <w:rFonts w:cs="Arial"/>
          <w:szCs w:val="20"/>
        </w:rPr>
        <w:t>’</w:t>
      </w:r>
      <w:r w:rsidRPr="0038471C">
        <w:rPr>
          <w:rFonts w:cs="Arial"/>
          <w:szCs w:val="20"/>
        </w:rPr>
        <w:t>s milk or goat</w:t>
      </w:r>
      <w:r w:rsidR="00C73A77">
        <w:rPr>
          <w:rFonts w:cs="Arial"/>
          <w:szCs w:val="20"/>
        </w:rPr>
        <w:t>’</w:t>
      </w:r>
      <w:r w:rsidRPr="0038471C">
        <w:rPr>
          <w:rFonts w:cs="Arial"/>
          <w:szCs w:val="20"/>
        </w:rPr>
        <w:t>s milk proteins</w:t>
      </w:r>
      <w:r>
        <w:rPr>
          <w:rFonts w:cs="Arial"/>
          <w:szCs w:val="20"/>
        </w:rPr>
        <w:t xml:space="preserve"> and a maximum 0.67 g/100 kJ i</w:t>
      </w:r>
      <w:r w:rsidR="008428EA">
        <w:rPr>
          <w:rFonts w:cs="Arial"/>
          <w:szCs w:val="20"/>
        </w:rPr>
        <w:t>n</w:t>
      </w:r>
      <w:r>
        <w:rPr>
          <w:rFonts w:cs="Arial"/>
          <w:szCs w:val="20"/>
        </w:rPr>
        <w:t xml:space="preserve"> </w:t>
      </w:r>
      <w:r w:rsidR="0040697B">
        <w:rPr>
          <w:rFonts w:cs="Arial"/>
          <w:szCs w:val="20"/>
        </w:rPr>
        <w:t>i</w:t>
      </w:r>
      <w:r w:rsidRPr="0038471C">
        <w:rPr>
          <w:rFonts w:cs="Arial"/>
          <w:szCs w:val="20"/>
        </w:rPr>
        <w:t>nfant formula manufactured from protein hydrolysates</w:t>
      </w:r>
      <w:r>
        <w:rPr>
          <w:rFonts w:cs="Arial"/>
          <w:szCs w:val="20"/>
        </w:rPr>
        <w:t>. B</w:t>
      </w:r>
      <w:r>
        <w:rPr>
          <w:rFonts w:eastAsia="Arial Unicode MS"/>
        </w:rPr>
        <w:t xml:space="preserve">oth are </w:t>
      </w:r>
      <w:r w:rsidRPr="00362156">
        <w:rPr>
          <w:rFonts w:eastAsia="Arial Unicode MS"/>
        </w:rPr>
        <w:t xml:space="preserve">lower than the single maximum </w:t>
      </w:r>
      <w:r>
        <w:rPr>
          <w:rFonts w:eastAsia="Arial Unicode MS"/>
        </w:rPr>
        <w:t>specified in</w:t>
      </w:r>
      <w:r w:rsidRPr="00362156">
        <w:rPr>
          <w:rFonts w:eastAsia="Arial Unicode MS"/>
        </w:rPr>
        <w:t xml:space="preserve"> Commission Directive</w:t>
      </w:r>
      <w:r w:rsidRPr="00362156">
        <w:t xml:space="preserve"> 2006/141/EC</w:t>
      </w:r>
      <w:r>
        <w:t xml:space="preserve"> (in effect prior to the 2016 regulation) and in Codex STAN 72-1981 (</w:t>
      </w:r>
      <w:r w:rsidRPr="00FA6AEF">
        <w:t>3.0 g/100 kcal (equivalent to 0.7 g/100 kJ)</w:t>
      </w:r>
      <w:r>
        <w:t xml:space="preserve">. </w:t>
      </w:r>
      <w:r>
        <w:rPr>
          <w:rFonts w:eastAsia="Arial Unicode MS"/>
        </w:rPr>
        <w:t>This change appears to be based on the conclusion from EFSA that “there is no evidence of a physiological need for protein intakes at 3.0 g/100 kcal in infancy” (EFSA 2014</w:t>
      </w:r>
      <w:r w:rsidR="00056097">
        <w:rPr>
          <w:rFonts w:eastAsia="Arial Unicode MS"/>
        </w:rPr>
        <w:t>b</w:t>
      </w:r>
      <w:r>
        <w:rPr>
          <w:rFonts w:eastAsia="Arial Unicode MS"/>
        </w:rPr>
        <w:t>). The EFSA Panel also acknowledged that “there are no scientific data available which allow the establishment of precise cut-off values for t</w:t>
      </w:r>
      <w:r w:rsidR="004D11A4">
        <w:rPr>
          <w:rFonts w:eastAsia="Arial Unicode MS"/>
        </w:rPr>
        <w:t xml:space="preserve">he maximum protein content in </w:t>
      </w:r>
      <w:r w:rsidR="004D11A4">
        <w:rPr>
          <w:rFonts w:cs="Arial"/>
          <w:szCs w:val="20"/>
        </w:rPr>
        <w:t>infant formula</w:t>
      </w:r>
      <w:r>
        <w:rPr>
          <w:rFonts w:eastAsia="Arial Unicode MS"/>
        </w:rPr>
        <w:t>.”</w:t>
      </w:r>
    </w:p>
    <w:p w14:paraId="2AC9DB0F" w14:textId="2A4B9FE2" w:rsidR="00776154" w:rsidRDefault="00776154" w:rsidP="00776154">
      <w:pPr>
        <w:pStyle w:val="Heading4"/>
      </w:pPr>
      <w:r>
        <w:t xml:space="preserve">Proposed </w:t>
      </w:r>
      <w:r w:rsidR="00C30BAC">
        <w:t>approach</w:t>
      </w:r>
    </w:p>
    <w:p w14:paraId="1CE5A1D9" w14:textId="6470C73F" w:rsidR="00776154" w:rsidRDefault="00776154" w:rsidP="00776154">
      <w:pPr>
        <w:autoSpaceDE w:val="0"/>
        <w:autoSpaceDN w:val="0"/>
        <w:adjustRightInd w:val="0"/>
        <w:rPr>
          <w:lang w:val="en-AU" w:bidi="ar-SA"/>
        </w:rPr>
      </w:pPr>
      <w:r>
        <w:rPr>
          <w:lang w:val="en-AU" w:bidi="ar-SA"/>
        </w:rPr>
        <w:t xml:space="preserve">Based on absence of evidence noting harm to </w:t>
      </w:r>
      <w:r w:rsidR="00552141">
        <w:rPr>
          <w:lang w:val="en-AU" w:bidi="ar-SA"/>
        </w:rPr>
        <w:t>infant health for this range</w:t>
      </w:r>
      <w:r>
        <w:rPr>
          <w:lang w:val="en-AU" w:bidi="ar-SA"/>
        </w:rPr>
        <w:t xml:space="preserve">, </w:t>
      </w:r>
      <w:r w:rsidR="00552141">
        <w:rPr>
          <w:lang w:val="en-AU" w:bidi="ar-SA"/>
        </w:rPr>
        <w:t>submitter comments to the 2016 Consultation paper, consistency with the EU 2016/1</w:t>
      </w:r>
      <w:r w:rsidR="005005A6">
        <w:rPr>
          <w:lang w:val="en-AU" w:bidi="ar-SA"/>
        </w:rPr>
        <w:t>2</w:t>
      </w:r>
      <w:r w:rsidR="00552141">
        <w:rPr>
          <w:lang w:val="en-AU" w:bidi="ar-SA"/>
        </w:rPr>
        <w:t xml:space="preserve">7 regulations (minimum), </w:t>
      </w:r>
      <w:r>
        <w:rPr>
          <w:lang w:val="en-AU" w:bidi="ar-SA"/>
        </w:rPr>
        <w:t xml:space="preserve">FSANZ proposes to prescribe a permitted protein range of 0.43–0.7g/100 kJ for </w:t>
      </w:r>
      <w:r w:rsidR="00553E3A">
        <w:rPr>
          <w:lang w:val="en-AU" w:bidi="ar-SA"/>
        </w:rPr>
        <w:t>c</w:t>
      </w:r>
      <w:r w:rsidR="00034F27">
        <w:rPr>
          <w:lang w:val="en-AU" w:bidi="ar-SA"/>
        </w:rPr>
        <w:t>ow’s milk-based infant formula</w:t>
      </w:r>
      <w:r>
        <w:rPr>
          <w:lang w:val="en-AU" w:bidi="ar-SA"/>
        </w:rPr>
        <w:t>.</w:t>
      </w:r>
      <w:r w:rsidR="008419F4">
        <w:rPr>
          <w:lang w:val="en-AU" w:bidi="ar-SA"/>
        </w:rPr>
        <w:t xml:space="preserve"> </w:t>
      </w:r>
      <w:r w:rsidR="00552141">
        <w:rPr>
          <w:lang w:val="en-AU" w:bidi="ar-SA"/>
        </w:rPr>
        <w:t xml:space="preserve">FSANZ also notes that </w:t>
      </w:r>
      <w:r w:rsidR="00D11815">
        <w:rPr>
          <w:lang w:val="en-AU" w:bidi="ar-SA"/>
        </w:rPr>
        <w:t xml:space="preserve">the recently reviewed </w:t>
      </w:r>
      <w:r w:rsidR="00D11815">
        <w:t>Codex Draft Standard for FUF</w:t>
      </w:r>
      <w:r w:rsidR="00511073">
        <w:t xml:space="preserve"> (FAO/WHO 2018) is also aligned with this range.</w:t>
      </w:r>
    </w:p>
    <w:p w14:paraId="307EBBAE" w14:textId="3F561F76" w:rsidR="00776154" w:rsidRPr="00190479" w:rsidRDefault="004D11A4" w:rsidP="00C73A77">
      <w:pPr>
        <w:pStyle w:val="Heading3"/>
      </w:pPr>
      <w:bookmarkStart w:id="186" w:name="_Toc73455617"/>
      <w:bookmarkStart w:id="187" w:name="_Toc73624890"/>
      <w:r>
        <w:t>4</w:t>
      </w:r>
      <w:r w:rsidR="00776154">
        <w:t>.2.2</w:t>
      </w:r>
      <w:r w:rsidR="00776154">
        <w:tab/>
        <w:t>Soy-based</w:t>
      </w:r>
      <w:bookmarkEnd w:id="186"/>
      <w:bookmarkEnd w:id="187"/>
    </w:p>
    <w:p w14:paraId="08F2BE62" w14:textId="34480985" w:rsidR="00776154" w:rsidRDefault="007A6CD5" w:rsidP="00776154">
      <w:pPr>
        <w:pStyle w:val="Heading4"/>
      </w:pPr>
      <w:r>
        <w:t>Current regulations</w:t>
      </w:r>
    </w:p>
    <w:p w14:paraId="637E639B" w14:textId="77777777" w:rsidR="00776154" w:rsidRPr="002F4A56" w:rsidRDefault="00776154" w:rsidP="00776154">
      <w:pPr>
        <w:keepNext/>
        <w:autoSpaceDE w:val="0"/>
        <w:autoSpaceDN w:val="0"/>
        <w:adjustRightInd w:val="0"/>
        <w:contextualSpacing/>
        <w:rPr>
          <w:lang w:bidi="ar-SA"/>
        </w:rPr>
      </w:pPr>
      <w:r>
        <w:rPr>
          <w:lang w:bidi="ar-SA"/>
        </w:rPr>
        <w:t>A</w:t>
      </w:r>
      <w:r w:rsidRPr="00250822">
        <w:rPr>
          <w:lang w:bidi="ar-SA"/>
        </w:rPr>
        <w:t xml:space="preserve"> footnote in Codex STAN 72-1981 specifies </w:t>
      </w:r>
      <w:r w:rsidRPr="00250822">
        <w:rPr>
          <w:lang w:val="en-AU" w:bidi="ar-SA"/>
        </w:rPr>
        <w:t>a higher minimum protein content</w:t>
      </w:r>
      <w:r>
        <w:rPr>
          <w:lang w:val="en-AU" w:bidi="ar-SA"/>
        </w:rPr>
        <w:t xml:space="preserve"> (0.5 g/100 kJ)</w:t>
      </w:r>
      <w:r w:rsidRPr="00250822">
        <w:rPr>
          <w:lang w:val="en-AU" w:bidi="ar-SA"/>
        </w:rPr>
        <w:t xml:space="preserve"> </w:t>
      </w:r>
      <w:r w:rsidRPr="00A32585">
        <w:rPr>
          <w:lang w:bidi="ar-SA"/>
        </w:rPr>
        <w:t xml:space="preserve">for infant formula based on soy protein isolate to ensure that amino acid requirements can be met. </w:t>
      </w:r>
      <w:r w:rsidRPr="00F1420B">
        <w:rPr>
          <w:lang w:bidi="ar-SA"/>
        </w:rPr>
        <w:t>Standard 2.9.1 does not differentiate between protein sources for the protein minimum</w:t>
      </w:r>
      <w:r>
        <w:rPr>
          <w:lang w:bidi="ar-SA"/>
        </w:rPr>
        <w:t>.</w:t>
      </w:r>
    </w:p>
    <w:p w14:paraId="02C01F62" w14:textId="77777777" w:rsidR="00776154" w:rsidRDefault="00776154" w:rsidP="00776154">
      <w:pPr>
        <w:pStyle w:val="Heading4"/>
      </w:pPr>
      <w:r>
        <w:t xml:space="preserve">Previous consideration </w:t>
      </w:r>
    </w:p>
    <w:p w14:paraId="1F809F90" w14:textId="3DAE132D" w:rsidR="00776154" w:rsidRPr="00250822" w:rsidRDefault="00776154" w:rsidP="00776154">
      <w:pPr>
        <w:keepNext/>
        <w:autoSpaceDE w:val="0"/>
        <w:autoSpaceDN w:val="0"/>
        <w:adjustRightInd w:val="0"/>
        <w:contextualSpacing/>
        <w:rPr>
          <w:lang w:bidi="ar-SA"/>
        </w:rPr>
      </w:pPr>
      <w:r>
        <w:rPr>
          <w:lang w:bidi="ar-SA"/>
        </w:rPr>
        <w:t xml:space="preserve">The Codex standard is based on the consideration that </w:t>
      </w:r>
      <w:r w:rsidRPr="002F4A56">
        <w:rPr>
          <w:lang w:val="en-AU" w:bidi="ar-SA"/>
        </w:rPr>
        <w:t>s</w:t>
      </w:r>
      <w:r w:rsidRPr="002F4A56">
        <w:rPr>
          <w:lang w:bidi="ar-SA"/>
        </w:rPr>
        <w:t>oy and other plant protein</w:t>
      </w:r>
      <w:r>
        <w:rPr>
          <w:lang w:bidi="ar-SA"/>
        </w:rPr>
        <w:t>s have</w:t>
      </w:r>
      <w:r w:rsidRPr="002F4A56">
        <w:rPr>
          <w:lang w:bidi="ar-SA"/>
        </w:rPr>
        <w:t xml:space="preserve"> a different amino acid profile</w:t>
      </w:r>
      <w:r w:rsidR="00553E3A">
        <w:rPr>
          <w:lang w:bidi="ar-SA"/>
        </w:rPr>
        <w:t xml:space="preserve"> to cow’s milk proteins</w:t>
      </w:r>
      <w:r>
        <w:rPr>
          <w:lang w:bidi="ar-SA"/>
        </w:rPr>
        <w:t xml:space="preserve"> and </w:t>
      </w:r>
      <w:r w:rsidRPr="002F4A56">
        <w:rPr>
          <w:lang w:val="en-AU" w:bidi="ar-SA"/>
        </w:rPr>
        <w:t>take</w:t>
      </w:r>
      <w:r>
        <w:rPr>
          <w:lang w:val="en-AU" w:bidi="ar-SA"/>
        </w:rPr>
        <w:t>s</w:t>
      </w:r>
      <w:r w:rsidRPr="002F4A56">
        <w:rPr>
          <w:lang w:val="en-AU" w:bidi="ar-SA"/>
        </w:rPr>
        <w:t xml:space="preserve"> into account the lower nitrogen conversion factor used for soy</w:t>
      </w:r>
      <w:r>
        <w:rPr>
          <w:lang w:val="en-AU" w:bidi="ar-SA"/>
        </w:rPr>
        <w:t xml:space="preserve"> (see section </w:t>
      </w:r>
      <w:r w:rsidR="00034F27">
        <w:rPr>
          <w:lang w:val="en-AU" w:bidi="ar-SA"/>
        </w:rPr>
        <w:t>4.1</w:t>
      </w:r>
      <w:r>
        <w:rPr>
          <w:lang w:val="en-AU" w:bidi="ar-SA"/>
        </w:rPr>
        <w:t>)</w:t>
      </w:r>
      <w:r w:rsidRPr="002F4A56">
        <w:rPr>
          <w:lang w:val="en-AU" w:bidi="ar-SA"/>
        </w:rPr>
        <w:t>.</w:t>
      </w:r>
      <w:r>
        <w:rPr>
          <w:lang w:val="en-AU" w:bidi="ar-SA"/>
        </w:rPr>
        <w:t xml:space="preserve"> FSANZ’s 2016 nutrition assessment concluded that </w:t>
      </w:r>
      <w:r>
        <w:rPr>
          <w:szCs w:val="22"/>
        </w:rPr>
        <w:t xml:space="preserve">the current protein range was unlikely to adversely affect infant health and there were no indications that soy-based formulas formulated under either standard would not meet nutritional needs to support normal growth and development. </w:t>
      </w:r>
      <w:r>
        <w:rPr>
          <w:lang w:val="en-AU" w:bidi="ar-SA"/>
        </w:rPr>
        <w:t xml:space="preserve">However, we </w:t>
      </w:r>
      <w:r w:rsidRPr="00250822">
        <w:rPr>
          <w:lang w:bidi="ar-SA"/>
        </w:rPr>
        <w:t xml:space="preserve">sought </w:t>
      </w:r>
      <w:r w:rsidRPr="00250822">
        <w:rPr>
          <w:lang w:val="en-AU" w:bidi="ar-SA"/>
        </w:rPr>
        <w:lastRenderedPageBreak/>
        <w:t xml:space="preserve">further information from submitters on the need for a higher protein minimum for isolated soy protein of </w:t>
      </w:r>
      <w:r w:rsidRPr="00250822">
        <w:rPr>
          <w:lang w:bidi="ar-SA"/>
        </w:rPr>
        <w:t xml:space="preserve">0.5 g/100 kJ instead of 0.45 g/100 kJ. </w:t>
      </w:r>
    </w:p>
    <w:p w14:paraId="24760A31" w14:textId="622ABE45" w:rsidR="00776154" w:rsidRDefault="00EA5E74" w:rsidP="00776154">
      <w:pPr>
        <w:pStyle w:val="Heading4"/>
      </w:pPr>
      <w:r>
        <w:t>Stakeholder views</w:t>
      </w:r>
    </w:p>
    <w:p w14:paraId="5F71D117" w14:textId="71EB1810" w:rsidR="00776154" w:rsidRDefault="00776154" w:rsidP="00776154">
      <w:pPr>
        <w:rPr>
          <w:lang w:val="en-AU" w:eastAsia="en-AU" w:bidi="ar-SA"/>
        </w:rPr>
      </w:pPr>
      <w:r>
        <w:t>Seven submitters (</w:t>
      </w:r>
      <w:r w:rsidR="00553E3A">
        <w:t>four</w:t>
      </w:r>
      <w:r>
        <w:t xml:space="preserve"> government, </w:t>
      </w:r>
      <w:r w:rsidR="00553E3A">
        <w:t>three</w:t>
      </w:r>
      <w:r>
        <w:t xml:space="preserve"> industry) commented on the minimum protein level for isolated soy protein. All supported a higher minimum to be applied for soy-based formulas, noting that this needs to be considered in conjunction with the appropriate NCF for the protein source. </w:t>
      </w:r>
    </w:p>
    <w:p w14:paraId="2C6F50A6" w14:textId="02996449" w:rsidR="00776154" w:rsidRDefault="00553E3A" w:rsidP="00776154">
      <w:pPr>
        <w:pStyle w:val="Heading4"/>
      </w:pPr>
      <w:r>
        <w:t>Nutrition r</w:t>
      </w:r>
      <w:r w:rsidR="00776154">
        <w:t xml:space="preserve">isk assessment </w:t>
      </w:r>
    </w:p>
    <w:p w14:paraId="4575BC5B" w14:textId="66FCA574" w:rsidR="00776154" w:rsidRPr="0003733E" w:rsidRDefault="00776154" w:rsidP="00776154">
      <w:pPr>
        <w:autoSpaceDE w:val="0"/>
        <w:autoSpaceDN w:val="0"/>
        <w:adjustRightInd w:val="0"/>
        <w:rPr>
          <w:rFonts w:eastAsia="Arial Unicode MS"/>
          <w:szCs w:val="22"/>
          <w:lang w:val="en-AU" w:bidi="ar-SA"/>
        </w:rPr>
      </w:pPr>
      <w:r w:rsidRPr="00741136">
        <w:rPr>
          <w:rFonts w:eastAsia="Arial Unicode MS"/>
          <w:szCs w:val="22"/>
          <w:lang w:val="en-AU" w:bidi="ar-SA"/>
        </w:rPr>
        <w:t xml:space="preserve">No further </w:t>
      </w:r>
      <w:r w:rsidR="00553E3A">
        <w:rPr>
          <w:rFonts w:eastAsia="Arial Unicode MS"/>
          <w:szCs w:val="22"/>
          <w:lang w:val="en-AU" w:bidi="ar-SA"/>
        </w:rPr>
        <w:t xml:space="preserve">nutrition </w:t>
      </w:r>
      <w:r>
        <w:rPr>
          <w:rFonts w:eastAsia="Arial Unicode MS"/>
          <w:szCs w:val="22"/>
          <w:lang w:val="en-AU" w:bidi="ar-SA"/>
        </w:rPr>
        <w:t>risk assessment was considered on this issue.</w:t>
      </w:r>
    </w:p>
    <w:p w14:paraId="50C7D6E9" w14:textId="77777777" w:rsidR="00776154" w:rsidRDefault="00776154" w:rsidP="00776154">
      <w:pPr>
        <w:pStyle w:val="Heading4"/>
      </w:pPr>
      <w:r>
        <w:t>Options and discussion</w:t>
      </w:r>
    </w:p>
    <w:p w14:paraId="1D8C790C" w14:textId="40285F45" w:rsidR="00776154" w:rsidRPr="00886A73" w:rsidRDefault="00776154" w:rsidP="00776154">
      <w:pPr>
        <w:keepNext/>
        <w:autoSpaceDE w:val="0"/>
        <w:autoSpaceDN w:val="0"/>
        <w:adjustRightInd w:val="0"/>
        <w:contextualSpacing/>
        <w:rPr>
          <w:lang w:bidi="ar-SA"/>
        </w:rPr>
      </w:pPr>
      <w:r w:rsidRPr="00886A73">
        <w:rPr>
          <w:lang w:bidi="ar-SA"/>
        </w:rPr>
        <w:t>There is unlikely</w:t>
      </w:r>
      <w:r>
        <w:rPr>
          <w:lang w:bidi="ar-SA"/>
        </w:rPr>
        <w:t xml:space="preserve"> to be</w:t>
      </w:r>
      <w:r w:rsidRPr="00886A73">
        <w:rPr>
          <w:lang w:bidi="ar-SA"/>
        </w:rPr>
        <w:t xml:space="preserve"> infant health issues related to insufficient protein in </w:t>
      </w:r>
      <w:r w:rsidR="00F46AB9">
        <w:rPr>
          <w:lang w:bidi="ar-SA"/>
        </w:rPr>
        <w:t>ANZ</w:t>
      </w:r>
      <w:r w:rsidR="0040697B">
        <w:rPr>
          <w:lang w:bidi="ar-SA"/>
        </w:rPr>
        <w:t>.</w:t>
      </w:r>
      <w:r w:rsidRPr="00886A73">
        <w:rPr>
          <w:lang w:bidi="ar-SA"/>
        </w:rPr>
        <w:t xml:space="preserve"> However, to get an accurate estimate of </w:t>
      </w:r>
      <w:r>
        <w:rPr>
          <w:lang w:bidi="ar-SA"/>
        </w:rPr>
        <w:t xml:space="preserve">the </w:t>
      </w:r>
      <w:r w:rsidRPr="00886A73">
        <w:rPr>
          <w:lang w:bidi="ar-SA"/>
        </w:rPr>
        <w:t>amount of a protein source to be added to meet the minimum, an accurate NCF</w:t>
      </w:r>
      <w:r>
        <w:rPr>
          <w:lang w:bidi="ar-SA"/>
        </w:rPr>
        <w:t xml:space="preserve"> should be used</w:t>
      </w:r>
      <w:r w:rsidRPr="00886A73">
        <w:rPr>
          <w:lang w:bidi="ar-SA"/>
        </w:rPr>
        <w:t>.</w:t>
      </w:r>
    </w:p>
    <w:p w14:paraId="310C7104" w14:textId="77777777" w:rsidR="00776154" w:rsidRPr="00886A73" w:rsidRDefault="00776154" w:rsidP="00776154">
      <w:pPr>
        <w:keepNext/>
        <w:autoSpaceDE w:val="0"/>
        <w:autoSpaceDN w:val="0"/>
        <w:adjustRightInd w:val="0"/>
        <w:contextualSpacing/>
        <w:rPr>
          <w:lang w:bidi="ar-SA"/>
        </w:rPr>
      </w:pPr>
    </w:p>
    <w:p w14:paraId="45586E02" w14:textId="620B0EB0" w:rsidR="00776154" w:rsidRDefault="00553E3A" w:rsidP="00776154">
      <w:pPr>
        <w:keepNext/>
        <w:autoSpaceDE w:val="0"/>
        <w:autoSpaceDN w:val="0"/>
        <w:adjustRightInd w:val="0"/>
        <w:contextualSpacing/>
        <w:rPr>
          <w:lang w:val="en-AU" w:bidi="ar-SA"/>
        </w:rPr>
      </w:pPr>
      <w:r>
        <w:rPr>
          <w:lang w:bidi="ar-SA"/>
        </w:rPr>
        <w:t xml:space="preserve">Using </w:t>
      </w:r>
      <w:r w:rsidR="00776154" w:rsidRPr="00886A73">
        <w:rPr>
          <w:lang w:bidi="ar-SA"/>
        </w:rPr>
        <w:t>6.25 (which is not accurate for soy</w:t>
      </w:r>
      <w:r w:rsidR="00776154">
        <w:rPr>
          <w:lang w:bidi="ar-SA"/>
        </w:rPr>
        <w:t xml:space="preserve"> protein</w:t>
      </w:r>
      <w:r w:rsidR="00776154" w:rsidRPr="00886A73">
        <w:rPr>
          <w:lang w:bidi="ar-SA"/>
        </w:rPr>
        <w:t>) will overestimate the true protein content. Therefore, if using 6.25 then the minimum</w:t>
      </w:r>
      <w:r>
        <w:rPr>
          <w:lang w:bidi="ar-SA"/>
        </w:rPr>
        <w:t xml:space="preserve"> protein content</w:t>
      </w:r>
      <w:r w:rsidR="00776154" w:rsidRPr="00886A73">
        <w:rPr>
          <w:lang w:bidi="ar-SA"/>
        </w:rPr>
        <w:t xml:space="preserve"> for soy-based formula </w:t>
      </w:r>
      <w:r>
        <w:rPr>
          <w:lang w:bidi="ar-SA"/>
        </w:rPr>
        <w:t xml:space="preserve">must be increased </w:t>
      </w:r>
      <w:r w:rsidR="00776154" w:rsidRPr="00886A73">
        <w:rPr>
          <w:lang w:bidi="ar-SA"/>
        </w:rPr>
        <w:t>by about 10%</w:t>
      </w:r>
      <w:r>
        <w:rPr>
          <w:lang w:bidi="ar-SA"/>
        </w:rPr>
        <w:t>,</w:t>
      </w:r>
      <w:r w:rsidR="00776154" w:rsidRPr="00886A73">
        <w:rPr>
          <w:lang w:bidi="ar-SA"/>
        </w:rPr>
        <w:t xml:space="preserve"> or to 0.54 g/100 kJ as set in </w:t>
      </w:r>
      <w:r w:rsidR="00B96544">
        <w:rPr>
          <w:lang w:bidi="ar-SA"/>
        </w:rPr>
        <w:t xml:space="preserve">the </w:t>
      </w:r>
      <w:r w:rsidR="00B96544">
        <w:t>Codex Draft Standard for FUF</w:t>
      </w:r>
      <w:r w:rsidR="00B96544" w:rsidRPr="00886A73">
        <w:rPr>
          <w:lang w:bidi="ar-SA"/>
        </w:rPr>
        <w:t xml:space="preserve"> </w:t>
      </w:r>
      <w:r w:rsidR="00776154" w:rsidRPr="00886A73">
        <w:rPr>
          <w:lang w:bidi="ar-SA"/>
        </w:rPr>
        <w:t xml:space="preserve">and </w:t>
      </w:r>
      <w:r w:rsidR="00C47D16">
        <w:rPr>
          <w:lang w:val="en-AU" w:bidi="ar-SA"/>
        </w:rPr>
        <w:t>EU 2016/127</w:t>
      </w:r>
      <w:r w:rsidR="00776154" w:rsidRPr="00886A73">
        <w:rPr>
          <w:lang w:bidi="ar-SA"/>
        </w:rPr>
        <w:t>.</w:t>
      </w:r>
      <w:r w:rsidR="00776154">
        <w:rPr>
          <w:lang w:bidi="ar-SA"/>
        </w:rPr>
        <w:t xml:space="preserve"> </w:t>
      </w:r>
      <w:r w:rsidR="00776154">
        <w:rPr>
          <w:lang w:val="en-AU" w:bidi="ar-SA"/>
        </w:rPr>
        <w:t xml:space="preserve">Based on the arguments presented in section </w:t>
      </w:r>
      <w:r w:rsidR="00034F27">
        <w:rPr>
          <w:lang w:val="en-AU" w:bidi="ar-SA"/>
        </w:rPr>
        <w:t>4.1</w:t>
      </w:r>
      <w:r w:rsidR="00776154">
        <w:rPr>
          <w:lang w:val="en-AU" w:bidi="ar-SA"/>
        </w:rPr>
        <w:t xml:space="preserve">, FSANZ considers it appropriate set a higher minimum protein amount for soy-based formula only if 6.25 is used as the NCF. </w:t>
      </w:r>
    </w:p>
    <w:p w14:paraId="6C812E79" w14:textId="730A34F7" w:rsidR="00776154" w:rsidRDefault="00776154" w:rsidP="00776154">
      <w:pPr>
        <w:pStyle w:val="Heading4"/>
      </w:pPr>
      <w:bookmarkStart w:id="188" w:name="_Toc412794111"/>
      <w:bookmarkStart w:id="189" w:name="_Toc419280140"/>
      <w:bookmarkStart w:id="190" w:name="_Toc437858771"/>
      <w:bookmarkStart w:id="191" w:name="_Toc440462445"/>
      <w:bookmarkStart w:id="192" w:name="_Toc440470842"/>
      <w:r>
        <w:t xml:space="preserve">Proposed </w:t>
      </w:r>
      <w:r w:rsidR="00C30BAC">
        <w:t>approach</w:t>
      </w:r>
    </w:p>
    <w:p w14:paraId="32E0B971" w14:textId="1F82E2EF" w:rsidR="00776154" w:rsidRPr="00886A73" w:rsidRDefault="00776154" w:rsidP="00776154">
      <w:r>
        <w:t xml:space="preserve">FSANZ proposes that the minimum protein amount for soy-based infant formula be 0.54 g/100 kJ. This is based on the use of 6.25 as the NCF. This is consistent with the regulations set under EU 2016/127 and with the </w:t>
      </w:r>
      <w:r w:rsidR="00B96544">
        <w:t>Codex Draft Standard for FUF</w:t>
      </w:r>
      <w:r>
        <w:t>.</w:t>
      </w:r>
    </w:p>
    <w:p w14:paraId="7236E3AA" w14:textId="711D4EC0" w:rsidR="00776154" w:rsidRPr="003556C1" w:rsidRDefault="00034F27" w:rsidP="00776154">
      <w:pPr>
        <w:pStyle w:val="Heading2"/>
      </w:pPr>
      <w:bookmarkStart w:id="193" w:name="_Toc412794112"/>
      <w:bookmarkStart w:id="194" w:name="_Toc419280141"/>
      <w:bookmarkStart w:id="195" w:name="_Toc437858772"/>
      <w:bookmarkStart w:id="196" w:name="_Toc440462446"/>
      <w:bookmarkStart w:id="197" w:name="_Toc440470843"/>
      <w:bookmarkStart w:id="198" w:name="_Toc73455618"/>
      <w:bookmarkStart w:id="199" w:name="_Toc73624891"/>
      <w:bookmarkStart w:id="200" w:name="_Toc76138275"/>
      <w:bookmarkEnd w:id="188"/>
      <w:bookmarkEnd w:id="189"/>
      <w:bookmarkEnd w:id="190"/>
      <w:bookmarkEnd w:id="191"/>
      <w:bookmarkEnd w:id="192"/>
      <w:r>
        <w:t>4</w:t>
      </w:r>
      <w:r w:rsidR="00776154">
        <w:t>.3</w:t>
      </w:r>
      <w:r w:rsidR="00776154">
        <w:tab/>
      </w:r>
      <w:r w:rsidR="00776154" w:rsidRPr="009A0707">
        <w:t>Protein source</w:t>
      </w:r>
      <w:bookmarkEnd w:id="193"/>
      <w:bookmarkEnd w:id="194"/>
      <w:bookmarkEnd w:id="195"/>
      <w:bookmarkEnd w:id="196"/>
      <w:bookmarkEnd w:id="197"/>
      <w:bookmarkEnd w:id="198"/>
      <w:bookmarkEnd w:id="199"/>
      <w:bookmarkEnd w:id="200"/>
    </w:p>
    <w:p w14:paraId="3EC8D2C4" w14:textId="77777777" w:rsidR="00776154" w:rsidRDefault="00776154" w:rsidP="00776154">
      <w:pPr>
        <w:pStyle w:val="Heading4"/>
      </w:pPr>
      <w:bookmarkStart w:id="201" w:name="_Toc439757559"/>
      <w:bookmarkStart w:id="202" w:name="_Toc439757783"/>
      <w:bookmarkStart w:id="203" w:name="_Toc439758161"/>
      <w:r>
        <w:t>C</w:t>
      </w:r>
      <w:r w:rsidRPr="00061A55">
        <w:t>urrent regulation</w:t>
      </w:r>
      <w:bookmarkEnd w:id="201"/>
      <w:bookmarkEnd w:id="202"/>
      <w:bookmarkEnd w:id="203"/>
      <w:r>
        <w:t>s</w:t>
      </w:r>
    </w:p>
    <w:p w14:paraId="394A7328" w14:textId="122D298B" w:rsidR="00776154" w:rsidRPr="009E7CC2" w:rsidRDefault="00776154" w:rsidP="00776154">
      <w:pPr>
        <w:tabs>
          <w:tab w:val="left" w:pos="540"/>
          <w:tab w:val="left" w:pos="980"/>
          <w:tab w:val="left" w:pos="1100"/>
          <w:tab w:val="left" w:pos="1140"/>
          <w:tab w:val="left" w:pos="1860"/>
          <w:tab w:val="left" w:pos="2580"/>
          <w:tab w:val="left" w:pos="3300"/>
          <w:tab w:val="left" w:pos="4020"/>
          <w:tab w:val="left" w:pos="4740"/>
          <w:tab w:val="left" w:pos="5460"/>
          <w:tab w:val="left" w:pos="6180"/>
          <w:tab w:val="left" w:pos="6900"/>
          <w:tab w:val="left" w:pos="7620"/>
          <w:tab w:val="left" w:pos="8340"/>
          <w:tab w:val="left" w:pos="9060"/>
        </w:tabs>
        <w:ind w:right="-306"/>
        <w:rPr>
          <w:rFonts w:cs="Arial"/>
          <w:szCs w:val="22"/>
          <w:lang w:val="en-NZ" w:eastAsia="en-GB" w:bidi="ar-SA"/>
        </w:rPr>
      </w:pPr>
      <w:r w:rsidRPr="009E7CC2">
        <w:rPr>
          <w:rFonts w:eastAsia="Arial Unicode MS"/>
          <w:lang w:val="en-AU"/>
        </w:rPr>
        <w:t>Standard 2.9.1 and Codex STAN 72-1981 are aligned in that neither standard specifies protein sources. The definition of infant formul</w:t>
      </w:r>
      <w:r w:rsidR="000562F6">
        <w:rPr>
          <w:rFonts w:eastAsia="Arial Unicode MS"/>
          <w:lang w:val="en-AU"/>
        </w:rPr>
        <w:t>a products under Standard 2.9.1</w:t>
      </w:r>
      <w:r w:rsidRPr="009E7CC2">
        <w:rPr>
          <w:rFonts w:eastAsia="Arial Unicode MS"/>
          <w:lang w:val="en-AU"/>
        </w:rPr>
        <w:t xml:space="preserve"> requires that the product must be based on “</w:t>
      </w:r>
      <w:r w:rsidRPr="009E7CC2">
        <w:rPr>
          <w:szCs w:val="22"/>
        </w:rPr>
        <w:t xml:space="preserve">milk or other edible food constituents of animal or plant origin”. Similarly, </w:t>
      </w:r>
      <w:r w:rsidRPr="009E7CC2">
        <w:rPr>
          <w:rFonts w:eastAsia="Arial Unicode MS"/>
          <w:lang w:val="en-AU"/>
        </w:rPr>
        <w:t>Codex STAN 72-1981 defines infant formula as a product based on</w:t>
      </w:r>
      <w:r w:rsidRPr="009E7CC2">
        <w:rPr>
          <w:rFonts w:eastAsia="Arial Unicode MS"/>
          <w:i/>
          <w:lang w:val="en-AU"/>
        </w:rPr>
        <w:t xml:space="preserve"> </w:t>
      </w:r>
      <w:r w:rsidRPr="009E7CC2">
        <w:rPr>
          <w:rFonts w:eastAsia="Arial Unicode MS"/>
          <w:lang w:val="en-AU"/>
        </w:rPr>
        <w:t xml:space="preserve">“milk of cows or other animals or mixture thereof and other ingredients proven to be suitable for infant feeding”. </w:t>
      </w:r>
    </w:p>
    <w:p w14:paraId="7830AA15" w14:textId="77777777" w:rsidR="00776154" w:rsidRDefault="00776154" w:rsidP="00776154">
      <w:pPr>
        <w:pStyle w:val="Heading4"/>
      </w:pPr>
      <w:r>
        <w:t xml:space="preserve">Previous consideration </w:t>
      </w:r>
    </w:p>
    <w:p w14:paraId="7DF9DEB0" w14:textId="0675B94F" w:rsidR="00776154" w:rsidRPr="006336E9" w:rsidRDefault="00776154" w:rsidP="00776154">
      <w:pPr>
        <w:autoSpaceDE w:val="0"/>
        <w:autoSpaceDN w:val="0"/>
      </w:pPr>
      <w:r w:rsidRPr="006336E9">
        <w:rPr>
          <w:rFonts w:eastAsia="Arial Unicode MS"/>
          <w:lang w:val="en-AU"/>
        </w:rPr>
        <w:t xml:space="preserve">Both </w:t>
      </w:r>
      <w:r>
        <w:rPr>
          <w:rFonts w:eastAsia="Arial Unicode MS"/>
          <w:lang w:val="en-AU"/>
        </w:rPr>
        <w:t>Standard 2.9.1 and Codex STAN 72-1981</w:t>
      </w:r>
      <w:r w:rsidRPr="006336E9">
        <w:rPr>
          <w:rFonts w:eastAsia="Arial Unicode MS"/>
          <w:lang w:val="en-AU"/>
        </w:rPr>
        <w:t xml:space="preserve"> set minimum requirements for protein content and essential amino acid amounts to align with the reference protein i.e. breast milk, regardless of protein source. Generally this has restricted the type of protein sources that can be used</w:t>
      </w:r>
      <w:r w:rsidRPr="008C6275">
        <w:rPr>
          <w:rFonts w:eastAsia="Arial Unicode MS"/>
          <w:lang w:val="en-AU"/>
        </w:rPr>
        <w:t xml:space="preserve">. </w:t>
      </w:r>
      <w:r>
        <w:rPr>
          <w:rFonts w:eastAsia="Arial Unicode MS"/>
          <w:lang w:val="en-AU"/>
        </w:rPr>
        <w:t xml:space="preserve">It has also been considered that </w:t>
      </w:r>
      <w:r>
        <w:t>pre-assessment requirements of novel foods and novel sources of ingredients would manage any potential risks of new ingredients (i.e. new sources of proteins) in infant formula (ANZFA 2002). On this basis, FSANZ’s preliminary view in 2016 was that the current sour</w:t>
      </w:r>
      <w:r w:rsidR="00A60BB7">
        <w:t>ces of protein are appropriate.</w:t>
      </w:r>
    </w:p>
    <w:p w14:paraId="75E0F7E7" w14:textId="6FD7750F" w:rsidR="00776154" w:rsidRDefault="00143572" w:rsidP="00776154">
      <w:pPr>
        <w:pStyle w:val="Heading4"/>
      </w:pPr>
      <w:r>
        <w:lastRenderedPageBreak/>
        <w:t>Stakeholder views</w:t>
      </w:r>
    </w:p>
    <w:p w14:paraId="46EFE624" w14:textId="235B2F05" w:rsidR="007C10BA" w:rsidRPr="007C10BA" w:rsidRDefault="00776154" w:rsidP="00776154">
      <w:r>
        <w:t>Six submitters (</w:t>
      </w:r>
      <w:r w:rsidR="00F73C66">
        <w:t>three</w:t>
      </w:r>
      <w:r>
        <w:t xml:space="preserve"> government, </w:t>
      </w:r>
      <w:r w:rsidR="00F73C66">
        <w:t>three</w:t>
      </w:r>
      <w:r>
        <w:t xml:space="preserve"> industry) commented on whether the protein source should be specified in Standard 2.9.1</w:t>
      </w:r>
      <w:r w:rsidR="007C10BA">
        <w:t xml:space="preserve">. </w:t>
      </w:r>
      <w:r>
        <w:t xml:space="preserve">Government submitters did not support FSANZ’s </w:t>
      </w:r>
      <w:r w:rsidRPr="008A1406">
        <w:t>preliminary view that protein source does not need to be regulated if the quantity and quality of protein is regulated</w:t>
      </w:r>
      <w:r>
        <w:t>.</w:t>
      </w:r>
      <w:r w:rsidRPr="008A1406">
        <w:t xml:space="preserve"> </w:t>
      </w:r>
      <w:r>
        <w:t>Industry, on the other hand, supported the v</w:t>
      </w:r>
      <w:r w:rsidRPr="008A1406">
        <w:t>iew that no change to protein requirements in relation to source was required.</w:t>
      </w:r>
    </w:p>
    <w:p w14:paraId="59F5AFF9" w14:textId="77777777" w:rsidR="007C10BA" w:rsidRDefault="007C10BA" w:rsidP="00776154">
      <w:pPr>
        <w:rPr>
          <w:b/>
          <w:sz w:val="18"/>
          <w:szCs w:val="18"/>
        </w:rPr>
      </w:pPr>
    </w:p>
    <w:p w14:paraId="2BB03D8A" w14:textId="1784A217" w:rsidR="00776154" w:rsidRDefault="007C10BA" w:rsidP="00776154">
      <w:pPr>
        <w:rPr>
          <w:b/>
          <w:sz w:val="18"/>
          <w:szCs w:val="18"/>
        </w:rPr>
      </w:pPr>
      <w:r>
        <w:t xml:space="preserve">Several submitters commented on the related question regarding macronutrients that are added for other nutritive purposes (this topic will be discussed in </w:t>
      </w:r>
      <w:r w:rsidR="005A4D64">
        <w:t xml:space="preserve">the next </w:t>
      </w:r>
      <w:r>
        <w:t>C</w:t>
      </w:r>
      <w:r w:rsidR="005A4D64">
        <w:t>onsultation paper</w:t>
      </w:r>
      <w:r>
        <w:t>).</w:t>
      </w:r>
    </w:p>
    <w:p w14:paraId="2335B013" w14:textId="690B8EC0" w:rsidR="00776154" w:rsidRDefault="00F73C66" w:rsidP="00776154">
      <w:pPr>
        <w:pStyle w:val="Heading4"/>
      </w:pPr>
      <w:r>
        <w:t>Nutrition r</w:t>
      </w:r>
      <w:r w:rsidR="00776154">
        <w:t xml:space="preserve">isk assessment </w:t>
      </w:r>
    </w:p>
    <w:p w14:paraId="5DB093AE" w14:textId="351B22B6" w:rsidR="00776154" w:rsidRDefault="00776154" w:rsidP="00776154">
      <w:pPr>
        <w:tabs>
          <w:tab w:val="left" w:pos="540"/>
          <w:tab w:val="left" w:pos="980"/>
          <w:tab w:val="left" w:pos="1100"/>
          <w:tab w:val="left" w:pos="1140"/>
          <w:tab w:val="left" w:pos="1860"/>
          <w:tab w:val="left" w:pos="2580"/>
          <w:tab w:val="left" w:pos="3300"/>
          <w:tab w:val="left" w:pos="4020"/>
          <w:tab w:val="left" w:pos="4740"/>
          <w:tab w:val="left" w:pos="5460"/>
          <w:tab w:val="left" w:pos="6180"/>
          <w:tab w:val="left" w:pos="6900"/>
          <w:tab w:val="left" w:pos="7620"/>
          <w:tab w:val="left" w:pos="8340"/>
          <w:tab w:val="left" w:pos="9060"/>
        </w:tabs>
        <w:ind w:right="-306"/>
        <w:rPr>
          <w:szCs w:val="22"/>
          <w:lang w:val="en-AU"/>
        </w:rPr>
      </w:pPr>
      <w:r>
        <w:rPr>
          <w:szCs w:val="22"/>
          <w:lang w:val="en-AU"/>
        </w:rPr>
        <w:t xml:space="preserve">No further </w:t>
      </w:r>
      <w:r w:rsidR="00F73C66">
        <w:rPr>
          <w:szCs w:val="22"/>
          <w:lang w:val="en-AU"/>
        </w:rPr>
        <w:t xml:space="preserve">nutrition </w:t>
      </w:r>
      <w:r>
        <w:rPr>
          <w:szCs w:val="22"/>
          <w:lang w:val="en-AU"/>
        </w:rPr>
        <w:t>risk assessment was considered on this issue.</w:t>
      </w:r>
    </w:p>
    <w:p w14:paraId="5A1E5EB0" w14:textId="77777777" w:rsidR="00776154" w:rsidRDefault="00776154" w:rsidP="00776154">
      <w:pPr>
        <w:pStyle w:val="Heading4"/>
      </w:pPr>
      <w:r>
        <w:t xml:space="preserve">Options and discussion </w:t>
      </w:r>
    </w:p>
    <w:p w14:paraId="5A237607" w14:textId="77777777" w:rsidR="00776154" w:rsidRDefault="00776154" w:rsidP="00776154">
      <w:pPr>
        <w:tabs>
          <w:tab w:val="left" w:pos="540"/>
          <w:tab w:val="left" w:pos="980"/>
          <w:tab w:val="left" w:pos="1100"/>
          <w:tab w:val="left" w:pos="1140"/>
          <w:tab w:val="left" w:pos="1860"/>
          <w:tab w:val="left" w:pos="2580"/>
          <w:tab w:val="left" w:pos="3300"/>
          <w:tab w:val="left" w:pos="4020"/>
          <w:tab w:val="left" w:pos="4740"/>
          <w:tab w:val="left" w:pos="5460"/>
          <w:tab w:val="left" w:pos="6180"/>
          <w:tab w:val="left" w:pos="6900"/>
          <w:tab w:val="left" w:pos="7620"/>
          <w:tab w:val="left" w:pos="8340"/>
          <w:tab w:val="left" w:pos="9060"/>
        </w:tabs>
        <w:ind w:right="-306"/>
        <w:rPr>
          <w:szCs w:val="22"/>
          <w:lang w:val="en-AU"/>
        </w:rPr>
      </w:pPr>
      <w:r w:rsidRPr="008A1406">
        <w:rPr>
          <w:szCs w:val="22"/>
          <w:lang w:val="en-AU"/>
        </w:rPr>
        <w:t xml:space="preserve">Government submitters did not </w:t>
      </w:r>
      <w:r>
        <w:rPr>
          <w:szCs w:val="22"/>
          <w:lang w:val="en-AU"/>
        </w:rPr>
        <w:t xml:space="preserve">support </w:t>
      </w:r>
      <w:r w:rsidRPr="008A1406">
        <w:rPr>
          <w:szCs w:val="22"/>
          <w:lang w:val="en-AU"/>
        </w:rPr>
        <w:t>the preliminary view on the basis that plant</w:t>
      </w:r>
      <w:r>
        <w:rPr>
          <w:szCs w:val="22"/>
          <w:lang w:val="en-AU"/>
        </w:rPr>
        <w:t>-</w:t>
      </w:r>
      <w:r w:rsidRPr="008A1406">
        <w:rPr>
          <w:szCs w:val="22"/>
          <w:lang w:val="en-AU"/>
        </w:rPr>
        <w:t>based sources of protein may contain anti-nutrient factors that can interfere with nutrient absorption</w:t>
      </w:r>
      <w:r>
        <w:rPr>
          <w:szCs w:val="22"/>
          <w:lang w:val="en-AU"/>
        </w:rPr>
        <w:t xml:space="preserve">. In addition they considered that to be consistent with the </w:t>
      </w:r>
      <w:r w:rsidRPr="000953DC">
        <w:rPr>
          <w:i/>
          <w:szCs w:val="22"/>
          <w:lang w:val="en-AU"/>
        </w:rPr>
        <w:t>Ministerial Policy Guideline on the Regulation of Infant Formula Products</w:t>
      </w:r>
      <w:r>
        <w:rPr>
          <w:szCs w:val="22"/>
          <w:lang w:val="en-AU"/>
        </w:rPr>
        <w:t xml:space="preserve">, the protein source needs to be clearly defined to remove ambiguity about what substances require pre-market assessment. </w:t>
      </w:r>
    </w:p>
    <w:p w14:paraId="1D73E08F" w14:textId="77777777" w:rsidR="00776154" w:rsidRDefault="00776154" w:rsidP="00776154">
      <w:pPr>
        <w:tabs>
          <w:tab w:val="left" w:pos="540"/>
          <w:tab w:val="left" w:pos="980"/>
          <w:tab w:val="left" w:pos="1100"/>
          <w:tab w:val="left" w:pos="1140"/>
          <w:tab w:val="left" w:pos="1860"/>
          <w:tab w:val="left" w:pos="2580"/>
          <w:tab w:val="left" w:pos="3300"/>
          <w:tab w:val="left" w:pos="4020"/>
          <w:tab w:val="left" w:pos="4740"/>
          <w:tab w:val="left" w:pos="5460"/>
          <w:tab w:val="left" w:pos="6180"/>
          <w:tab w:val="left" w:pos="6900"/>
          <w:tab w:val="left" w:pos="7620"/>
          <w:tab w:val="left" w:pos="8340"/>
          <w:tab w:val="left" w:pos="9060"/>
        </w:tabs>
        <w:ind w:right="-306"/>
        <w:rPr>
          <w:szCs w:val="22"/>
          <w:lang w:val="en-AU"/>
        </w:rPr>
      </w:pPr>
    </w:p>
    <w:p w14:paraId="017A84A7" w14:textId="4DD55B7C" w:rsidR="00776154" w:rsidRDefault="00776154" w:rsidP="00776154">
      <w:r>
        <w:t>New plant-based proteins to be used in foods have been of considerable intere</w:t>
      </w:r>
      <w:r w:rsidR="007C10BA">
        <w:t>st over the past several years</w:t>
      </w:r>
      <w:r>
        <w:t xml:space="preserve">. This interest has stemmed largely from sustainability arguments and extends across the food supply including infant formula products. Thus, the context around the issue of defining protein sources in Standard 2.9.1 has changed since the publication of the 2016 Consultation </w:t>
      </w:r>
      <w:r w:rsidR="00F73C66">
        <w:t>p</w:t>
      </w:r>
      <w:r>
        <w:t xml:space="preserve">aper. </w:t>
      </w:r>
    </w:p>
    <w:p w14:paraId="543F9EB5" w14:textId="77777777" w:rsidR="00776154" w:rsidRDefault="00776154" w:rsidP="00776154"/>
    <w:p w14:paraId="61E03079" w14:textId="15EECE8E" w:rsidR="007C10BA" w:rsidRDefault="00776154" w:rsidP="00776154">
      <w:r>
        <w:t xml:space="preserve">Definition of protein sources has been addressed in both EU 2016/127 and the Codex Draft Standard for FUF. </w:t>
      </w:r>
      <w:r w:rsidR="00C73A77">
        <w:t xml:space="preserve">EU 2016/127 </w:t>
      </w:r>
      <w:r>
        <w:t>specifies that i</w:t>
      </w:r>
      <w:r w:rsidRPr="00291AAD">
        <w:t xml:space="preserve">nfant formula </w:t>
      </w:r>
      <w:r>
        <w:t xml:space="preserve">must </w:t>
      </w:r>
      <w:r w:rsidRPr="00291AAD">
        <w:t>be manufactured from cow</w:t>
      </w:r>
      <w:r w:rsidR="00C73A77">
        <w:t>’</w:t>
      </w:r>
      <w:r w:rsidRPr="00291AAD">
        <w:t>s milk or goat</w:t>
      </w:r>
      <w:r w:rsidR="00C73A77">
        <w:t>’</w:t>
      </w:r>
      <w:r w:rsidRPr="00291AAD">
        <w:t>s milk proteins, soya protein isolates, alone or in a mixture with cow</w:t>
      </w:r>
      <w:r w:rsidR="00C73A77">
        <w:t>’</w:t>
      </w:r>
      <w:r w:rsidRPr="00291AAD">
        <w:t>s milk or goat</w:t>
      </w:r>
      <w:r w:rsidR="00C73A77">
        <w:t>’</w:t>
      </w:r>
      <w:r w:rsidRPr="00291AAD">
        <w:t>s milk proteins</w:t>
      </w:r>
      <w:r>
        <w:t xml:space="preserve">. The regulation was based on the recommendation of EFSA </w:t>
      </w:r>
      <w:r w:rsidR="00056097">
        <w:t>(</w:t>
      </w:r>
      <w:r>
        <w:t>2014</w:t>
      </w:r>
      <w:r w:rsidR="00056097">
        <w:t>b)</w:t>
      </w:r>
      <w:r>
        <w:t xml:space="preserve"> which also stated that th</w:t>
      </w:r>
      <w:r w:rsidRPr="00291AAD">
        <w:t>e use</w:t>
      </w:r>
      <w:r w:rsidR="00E92D17">
        <w:t xml:space="preserve"> of other protein sources in </w:t>
      </w:r>
      <w:r w:rsidR="00E92D17">
        <w:rPr>
          <w:lang w:val="en-AU" w:bidi="ar-SA"/>
        </w:rPr>
        <w:t xml:space="preserve">infant formula </w:t>
      </w:r>
      <w:r w:rsidRPr="00291AAD">
        <w:t xml:space="preserve">and FOF </w:t>
      </w:r>
      <w:r>
        <w:t xml:space="preserve">required </w:t>
      </w:r>
      <w:r w:rsidRPr="00291AAD">
        <w:t xml:space="preserve">clinical evaluation and their safety and suitability should be established in the target population </w:t>
      </w:r>
      <w:r w:rsidR="00E92D17">
        <w:t xml:space="preserve">prior to their general use in </w:t>
      </w:r>
      <w:r w:rsidR="00E92D17">
        <w:rPr>
          <w:lang w:val="en-AU" w:bidi="ar-SA"/>
        </w:rPr>
        <w:t>infant formula</w:t>
      </w:r>
      <w:r w:rsidRPr="00291AAD">
        <w:t xml:space="preserve"> and FOF</w:t>
      </w:r>
      <w:r>
        <w:t xml:space="preserve">. </w:t>
      </w:r>
      <w:r w:rsidR="00B96544">
        <w:t xml:space="preserve">The Codex Draft Standard for FUF </w:t>
      </w:r>
      <w:r>
        <w:t xml:space="preserve">(2020) states </w:t>
      </w:r>
      <w:r w:rsidRPr="00291AAD">
        <w:rPr>
          <w:i/>
        </w:rPr>
        <w:t>“Follow-up formula for older infants is a product based on milk of cows or other animals or a mixture thereof and/or other ingredients which have been proven to be safe and suitable for the feeding of older infants</w:t>
      </w:r>
      <w:r w:rsidR="007C10BA">
        <w:t>”.</w:t>
      </w:r>
    </w:p>
    <w:p w14:paraId="692A5929" w14:textId="69201506" w:rsidR="00776154" w:rsidRDefault="00776154" w:rsidP="00776154">
      <w:pPr>
        <w:pStyle w:val="Heading4"/>
      </w:pPr>
      <w:r>
        <w:t xml:space="preserve">Proposed </w:t>
      </w:r>
      <w:r w:rsidR="00C30BAC">
        <w:t>approach</w:t>
      </w:r>
    </w:p>
    <w:p w14:paraId="18AB718F" w14:textId="576A208B" w:rsidR="00776154" w:rsidRPr="00D322F4" w:rsidRDefault="00776154" w:rsidP="00776154">
      <w:r>
        <w:t xml:space="preserve">The recent focus on new proteins to be used in foods, and the potential safety issues associated with their use in infant formulas, has increased concerns about these sources if not approved through the pre-market assessment process. Therefore, FSANZ proposes that the protein source be specified to be </w:t>
      </w:r>
      <w:r w:rsidRPr="00291AAD">
        <w:t>cow’s milk protein, goat’s milk protein, protein hydrolysates of one or more proteins normally used in infant formula, and</w:t>
      </w:r>
      <w:r w:rsidR="00034F27">
        <w:t xml:space="preserve"> soy protein isolate.</w:t>
      </w:r>
    </w:p>
    <w:p w14:paraId="04303180" w14:textId="46B2655E" w:rsidR="00776154" w:rsidRPr="00FB100E" w:rsidRDefault="00034F27" w:rsidP="00776154">
      <w:pPr>
        <w:pStyle w:val="Heading2"/>
      </w:pPr>
      <w:bookmarkStart w:id="204" w:name="_Toc437858773"/>
      <w:bookmarkStart w:id="205" w:name="_Toc440462447"/>
      <w:bookmarkStart w:id="206" w:name="_Toc440470844"/>
      <w:bookmarkStart w:id="207" w:name="_Toc73455619"/>
      <w:bookmarkStart w:id="208" w:name="_Toc73624892"/>
      <w:bookmarkStart w:id="209" w:name="_Toc76138276"/>
      <w:r>
        <w:lastRenderedPageBreak/>
        <w:t>4</w:t>
      </w:r>
      <w:r w:rsidR="00776154">
        <w:t>.4</w:t>
      </w:r>
      <w:r w:rsidR="00776154" w:rsidRPr="00FB100E">
        <w:tab/>
        <w:t>Protein quality</w:t>
      </w:r>
      <w:bookmarkEnd w:id="204"/>
      <w:bookmarkEnd w:id="205"/>
      <w:bookmarkEnd w:id="206"/>
      <w:bookmarkEnd w:id="207"/>
      <w:bookmarkEnd w:id="208"/>
      <w:bookmarkEnd w:id="209"/>
      <w:r w:rsidR="00776154" w:rsidRPr="00FB100E">
        <w:t xml:space="preserve"> </w:t>
      </w:r>
    </w:p>
    <w:p w14:paraId="47E7B7F8" w14:textId="52C9D23A" w:rsidR="00776154" w:rsidRDefault="00776154" w:rsidP="00776154">
      <w:pPr>
        <w:pStyle w:val="Heading4"/>
      </w:pPr>
      <w:r>
        <w:t>Current regulation</w:t>
      </w:r>
      <w:r w:rsidR="007A6CD5">
        <w:t>s</w:t>
      </w:r>
    </w:p>
    <w:p w14:paraId="1F896EFA" w14:textId="1B95153C" w:rsidR="00776154" w:rsidRDefault="00776154" w:rsidP="00776154">
      <w:pPr>
        <w:autoSpaceDE w:val="0"/>
        <w:autoSpaceDN w:val="0"/>
        <w:rPr>
          <w:szCs w:val="22"/>
        </w:rPr>
      </w:pPr>
      <w:r w:rsidRPr="008D3185">
        <w:rPr>
          <w:szCs w:val="22"/>
        </w:rPr>
        <w:t xml:space="preserve">Both </w:t>
      </w:r>
      <w:r w:rsidRPr="008D3185">
        <w:rPr>
          <w:szCs w:val="22"/>
          <w:lang w:val="en-AU"/>
        </w:rPr>
        <w:t xml:space="preserve">Standard 2.9.1 and Codex STAN 72-1981 regulate the protein quality through mandating minimum amounts of the amino acids considered essential (and semi essential) for </w:t>
      </w:r>
      <w:r w:rsidRPr="00034F27">
        <w:rPr>
          <w:szCs w:val="22"/>
          <w:lang w:val="en-AU"/>
        </w:rPr>
        <w:t xml:space="preserve">infants (see section </w:t>
      </w:r>
      <w:r w:rsidR="00034F27" w:rsidRPr="00034F27">
        <w:rPr>
          <w:szCs w:val="22"/>
          <w:lang w:val="en-AU"/>
        </w:rPr>
        <w:t>4</w:t>
      </w:r>
      <w:r w:rsidR="00F73C66" w:rsidRPr="00034F27">
        <w:rPr>
          <w:szCs w:val="22"/>
          <w:lang w:val="en-AU"/>
        </w:rPr>
        <w:t>.5</w:t>
      </w:r>
      <w:r w:rsidRPr="00034F27">
        <w:rPr>
          <w:szCs w:val="22"/>
          <w:lang w:val="en-AU"/>
        </w:rPr>
        <w:t>).</w:t>
      </w:r>
    </w:p>
    <w:p w14:paraId="7673240A" w14:textId="77777777" w:rsidR="00776154" w:rsidRDefault="00776154" w:rsidP="00776154">
      <w:pPr>
        <w:pStyle w:val="Heading4"/>
      </w:pPr>
      <w:r>
        <w:t>Previous consideration</w:t>
      </w:r>
    </w:p>
    <w:p w14:paraId="3A3A8ED1" w14:textId="6CD85E06" w:rsidR="00776154" w:rsidRPr="004E7EDC" w:rsidRDefault="00003CEC" w:rsidP="00776154">
      <w:pPr>
        <w:autoSpaceDE w:val="0"/>
        <w:autoSpaceDN w:val="0"/>
        <w:rPr>
          <w:szCs w:val="22"/>
          <w:lang w:val="en-AU"/>
        </w:rPr>
      </w:pPr>
      <w:r>
        <w:rPr>
          <w:szCs w:val="22"/>
          <w:lang w:val="en-AU"/>
        </w:rPr>
        <w:t xml:space="preserve">FSANZ’s </w:t>
      </w:r>
      <w:r w:rsidR="00776154">
        <w:rPr>
          <w:szCs w:val="22"/>
          <w:lang w:val="en-AU"/>
        </w:rPr>
        <w:t xml:space="preserve">2016 nutrition assessment supported </w:t>
      </w:r>
      <w:r w:rsidR="00776154" w:rsidRPr="004E7EDC">
        <w:rPr>
          <w:szCs w:val="22"/>
          <w:lang w:val="en-AU"/>
        </w:rPr>
        <w:t xml:space="preserve">the continued use of minimum amino acid amounts to ensure protein quality. The assessment </w:t>
      </w:r>
      <w:r w:rsidR="00776154" w:rsidRPr="004E7EDC">
        <w:rPr>
          <w:szCs w:val="22"/>
        </w:rPr>
        <w:t>discusse</w:t>
      </w:r>
      <w:r w:rsidR="00776154">
        <w:rPr>
          <w:szCs w:val="22"/>
        </w:rPr>
        <w:t>d</w:t>
      </w:r>
      <w:r w:rsidR="00776154" w:rsidRPr="004E7EDC">
        <w:rPr>
          <w:szCs w:val="22"/>
          <w:lang w:val="en-AU"/>
        </w:rPr>
        <w:t xml:space="preserve"> the </w:t>
      </w:r>
      <w:r>
        <w:rPr>
          <w:szCs w:val="22"/>
          <w:lang w:val="en-AU"/>
        </w:rPr>
        <w:t>protein digestibility-corrected amino acid score (</w:t>
      </w:r>
      <w:r w:rsidR="00776154" w:rsidRPr="004E7EDC">
        <w:rPr>
          <w:szCs w:val="22"/>
          <w:lang w:val="en-AU"/>
        </w:rPr>
        <w:t>PDCAAS</w:t>
      </w:r>
      <w:r>
        <w:rPr>
          <w:szCs w:val="22"/>
          <w:lang w:val="en-AU"/>
        </w:rPr>
        <w:t>)</w:t>
      </w:r>
      <w:r w:rsidR="00776154" w:rsidRPr="004E7EDC">
        <w:rPr>
          <w:szCs w:val="22"/>
          <w:lang w:val="en-AU"/>
        </w:rPr>
        <w:t xml:space="preserve"> and </w:t>
      </w:r>
      <w:r>
        <w:rPr>
          <w:szCs w:val="22"/>
          <w:lang w:val="en-AU"/>
        </w:rPr>
        <w:t>digestible indispensable amino acid score (</w:t>
      </w:r>
      <w:r w:rsidR="00776154" w:rsidRPr="004E7EDC">
        <w:rPr>
          <w:szCs w:val="22"/>
          <w:lang w:val="en-AU"/>
        </w:rPr>
        <w:t>DIAAS</w:t>
      </w:r>
      <w:r>
        <w:rPr>
          <w:szCs w:val="22"/>
          <w:lang w:val="en-AU"/>
        </w:rPr>
        <w:t>)</w:t>
      </w:r>
      <w:r w:rsidR="00776154" w:rsidRPr="004E7EDC">
        <w:rPr>
          <w:szCs w:val="22"/>
          <w:lang w:val="en-AU"/>
        </w:rPr>
        <w:t xml:space="preserve"> protein scoring systems</w:t>
      </w:r>
      <w:r w:rsidR="00776154" w:rsidRPr="004E7EDC">
        <w:rPr>
          <w:szCs w:val="22"/>
        </w:rPr>
        <w:t xml:space="preserve">, noting that </w:t>
      </w:r>
      <w:r w:rsidR="00776154" w:rsidRPr="004E7EDC">
        <w:rPr>
          <w:szCs w:val="22"/>
          <w:lang w:val="en-AU"/>
        </w:rPr>
        <w:t xml:space="preserve">very limited data currently using the </w:t>
      </w:r>
      <w:r w:rsidR="00776154" w:rsidRPr="004E7EDC">
        <w:rPr>
          <w:szCs w:val="22"/>
        </w:rPr>
        <w:t>DIAAS</w:t>
      </w:r>
      <w:r w:rsidR="00776154" w:rsidRPr="004E7EDC">
        <w:rPr>
          <w:szCs w:val="22"/>
          <w:lang w:val="en-AU"/>
        </w:rPr>
        <w:t xml:space="preserve"> method </w:t>
      </w:r>
      <w:r w:rsidR="00776154">
        <w:rPr>
          <w:szCs w:val="22"/>
          <w:lang w:val="en-AU"/>
        </w:rPr>
        <w:t>exists. The assessment concluded</w:t>
      </w:r>
      <w:r w:rsidR="00776154" w:rsidRPr="004E7EDC">
        <w:rPr>
          <w:szCs w:val="22"/>
          <w:lang w:val="en-AU"/>
        </w:rPr>
        <w:t xml:space="preserve"> that when data become</w:t>
      </w:r>
      <w:r w:rsidR="00776154">
        <w:rPr>
          <w:szCs w:val="22"/>
          <w:lang w:val="en-AU"/>
        </w:rPr>
        <w:t>s</w:t>
      </w:r>
      <w:r w:rsidR="00776154" w:rsidRPr="004E7EDC">
        <w:rPr>
          <w:szCs w:val="22"/>
          <w:lang w:val="en-AU"/>
        </w:rPr>
        <w:t xml:space="preserve"> available, it is unlikely to dramatically alter the quality protein scores for infant formula as the main ingredients are already high</w:t>
      </w:r>
      <w:r>
        <w:rPr>
          <w:szCs w:val="22"/>
          <w:lang w:val="en-AU"/>
        </w:rPr>
        <w:t>-</w:t>
      </w:r>
      <w:r w:rsidR="00776154" w:rsidRPr="004E7EDC">
        <w:rPr>
          <w:szCs w:val="22"/>
          <w:lang w:val="en-AU"/>
        </w:rPr>
        <w:t xml:space="preserve">quality protein. </w:t>
      </w:r>
    </w:p>
    <w:p w14:paraId="7385B313" w14:textId="77777777" w:rsidR="00776154" w:rsidRPr="004E7EDC" w:rsidRDefault="00776154" w:rsidP="00776154">
      <w:pPr>
        <w:autoSpaceDE w:val="0"/>
        <w:autoSpaceDN w:val="0"/>
        <w:rPr>
          <w:szCs w:val="22"/>
          <w:lang w:val="en-AU"/>
        </w:rPr>
      </w:pPr>
    </w:p>
    <w:p w14:paraId="6B33E738" w14:textId="6EB9AEF2" w:rsidR="00776154" w:rsidRDefault="00776154" w:rsidP="00776154">
      <w:pPr>
        <w:autoSpaceDE w:val="0"/>
        <w:autoSpaceDN w:val="0"/>
        <w:rPr>
          <w:szCs w:val="22"/>
        </w:rPr>
      </w:pPr>
      <w:r w:rsidRPr="004E7EDC">
        <w:rPr>
          <w:szCs w:val="22"/>
          <w:lang w:val="en-AU"/>
        </w:rPr>
        <w:t xml:space="preserve">It </w:t>
      </w:r>
      <w:r>
        <w:rPr>
          <w:szCs w:val="22"/>
          <w:lang w:val="en-AU"/>
        </w:rPr>
        <w:t>was</w:t>
      </w:r>
      <w:r w:rsidRPr="004E7EDC">
        <w:rPr>
          <w:szCs w:val="22"/>
          <w:lang w:val="en-AU"/>
        </w:rPr>
        <w:t xml:space="preserve"> FSANZ’s preliminary view that the amino acid composition of breast milk should remain the reference for determining minimum amino acid requirements in infant formula. This approach aligns with Codex i.e. the minimum recommendations of Codex STAN 72-1981 are based on the average amount of amino acids present in breast milk, rather than a protein scoring system. </w:t>
      </w:r>
    </w:p>
    <w:p w14:paraId="413A5158" w14:textId="3A432F93" w:rsidR="00776154" w:rsidRDefault="00143572" w:rsidP="00776154">
      <w:pPr>
        <w:pStyle w:val="Heading4"/>
      </w:pPr>
      <w:r>
        <w:t>Stakeholder views</w:t>
      </w:r>
    </w:p>
    <w:p w14:paraId="754F7C80" w14:textId="159BDF04" w:rsidR="00776154" w:rsidRDefault="00776154" w:rsidP="00776154">
      <w:pPr>
        <w:autoSpaceDE w:val="0"/>
        <w:autoSpaceDN w:val="0"/>
        <w:rPr>
          <w:szCs w:val="22"/>
        </w:rPr>
      </w:pPr>
      <w:r>
        <w:rPr>
          <w:szCs w:val="22"/>
        </w:rPr>
        <w:t>Four submitters</w:t>
      </w:r>
      <w:r w:rsidR="00003CEC">
        <w:rPr>
          <w:szCs w:val="22"/>
        </w:rPr>
        <w:t xml:space="preserve"> (all industry)</w:t>
      </w:r>
      <w:r>
        <w:rPr>
          <w:szCs w:val="22"/>
        </w:rPr>
        <w:t xml:space="preserve"> commented on the issue of the protein scoring methods to assess protein quality. All supported FSANZ’s preliminary view but considered also that implementation of the DIAAS method to be appropriate once the supporting science was complete. </w:t>
      </w:r>
    </w:p>
    <w:p w14:paraId="05682B0C" w14:textId="015F75ED" w:rsidR="00776154" w:rsidRDefault="00003CEC" w:rsidP="00776154">
      <w:pPr>
        <w:pStyle w:val="Heading4"/>
      </w:pPr>
      <w:r>
        <w:t>Nutrition r</w:t>
      </w:r>
      <w:r w:rsidR="00776154">
        <w:t>isk assessment</w:t>
      </w:r>
    </w:p>
    <w:p w14:paraId="5EA1B61A" w14:textId="6303D9FE" w:rsidR="002F0F9C" w:rsidRPr="002F0F9C" w:rsidRDefault="00776154" w:rsidP="00E821D5">
      <w:pPr>
        <w:contextualSpacing/>
        <w:rPr>
          <w:rFonts w:eastAsia="Arial Unicode MS"/>
        </w:rPr>
      </w:pPr>
      <w:r>
        <w:rPr>
          <w:szCs w:val="22"/>
          <w:lang w:val="en-AU"/>
        </w:rPr>
        <w:t xml:space="preserve">Further </w:t>
      </w:r>
      <w:r w:rsidR="00003CEC">
        <w:rPr>
          <w:szCs w:val="22"/>
          <w:lang w:val="en-AU"/>
        </w:rPr>
        <w:t xml:space="preserve">nutrition </w:t>
      </w:r>
      <w:r>
        <w:rPr>
          <w:szCs w:val="22"/>
          <w:lang w:val="en-AU"/>
        </w:rPr>
        <w:t xml:space="preserve">risk assessment </w:t>
      </w:r>
      <w:r w:rsidR="00036EB5">
        <w:rPr>
          <w:szCs w:val="22"/>
          <w:lang w:val="en-AU"/>
        </w:rPr>
        <w:t>(</w:t>
      </w:r>
      <w:r w:rsidR="002170C5">
        <w:rPr>
          <w:szCs w:val="22"/>
          <w:lang w:val="en-AU"/>
        </w:rPr>
        <w:t xml:space="preserve">SD1) </w:t>
      </w:r>
      <w:r w:rsidRPr="00D322F4">
        <w:rPr>
          <w:szCs w:val="22"/>
          <w:lang w:val="en-AU"/>
        </w:rPr>
        <w:t>considered</w:t>
      </w:r>
      <w:r>
        <w:rPr>
          <w:szCs w:val="22"/>
          <w:lang w:val="en-AU"/>
        </w:rPr>
        <w:t xml:space="preserve"> </w:t>
      </w:r>
      <w:r w:rsidRPr="00DE7B14">
        <w:rPr>
          <w:szCs w:val="22"/>
        </w:rPr>
        <w:t xml:space="preserve">whether the current evidence base </w:t>
      </w:r>
      <w:r w:rsidR="00003CEC">
        <w:rPr>
          <w:szCs w:val="22"/>
        </w:rPr>
        <w:t>for</w:t>
      </w:r>
      <w:r w:rsidR="00003CEC" w:rsidRPr="00DE7B14">
        <w:rPr>
          <w:szCs w:val="22"/>
        </w:rPr>
        <w:t xml:space="preserve"> </w:t>
      </w:r>
      <w:r w:rsidRPr="00DE7B14">
        <w:rPr>
          <w:szCs w:val="22"/>
        </w:rPr>
        <w:t>the DIAAS and PDCAAS methods of protein scoring still supports the current approach for ensuring protein quality.</w:t>
      </w:r>
      <w:r>
        <w:rPr>
          <w:szCs w:val="22"/>
        </w:rPr>
        <w:t xml:space="preserve"> Based on the recommendation of</w:t>
      </w:r>
      <w:r>
        <w:rPr>
          <w:lang w:eastAsia="en-AU"/>
        </w:rPr>
        <w:t xml:space="preserve"> the 2018 </w:t>
      </w:r>
      <w:r w:rsidRPr="00EF3F62">
        <w:rPr>
          <w:lang w:eastAsia="en-AU"/>
        </w:rPr>
        <w:t>FAO Expert Working Group</w:t>
      </w:r>
      <w:r w:rsidR="00CA1C39">
        <w:rPr>
          <w:lang w:eastAsia="en-AU"/>
        </w:rPr>
        <w:t>,</w:t>
      </w:r>
      <w:r w:rsidRPr="00EF3F62">
        <w:rPr>
          <w:lang w:eastAsia="en-AU"/>
        </w:rPr>
        <w:t xml:space="preserve"> </w:t>
      </w:r>
      <w:r w:rsidR="002F0F9C">
        <w:rPr>
          <w:lang w:eastAsia="en-AU"/>
        </w:rPr>
        <w:t xml:space="preserve">the </w:t>
      </w:r>
      <w:r w:rsidR="002F0F9C" w:rsidRPr="00750A45">
        <w:t xml:space="preserve">DIAAS </w:t>
      </w:r>
      <w:r w:rsidR="002F0F9C">
        <w:t xml:space="preserve">and PDCAAS </w:t>
      </w:r>
      <w:r w:rsidR="002F0F9C" w:rsidRPr="00750A45">
        <w:t>method</w:t>
      </w:r>
      <w:r w:rsidR="002F0F9C">
        <w:t>s</w:t>
      </w:r>
      <w:r w:rsidR="002F0F9C" w:rsidRPr="00B818BE">
        <w:rPr>
          <w:lang w:eastAsia="en-AU"/>
        </w:rPr>
        <w:t xml:space="preserve"> for </w:t>
      </w:r>
      <w:r w:rsidR="002F0F9C">
        <w:rPr>
          <w:lang w:eastAsia="en-AU"/>
        </w:rPr>
        <w:t>protein quality assessment are</w:t>
      </w:r>
      <w:r w:rsidR="002F0F9C" w:rsidRPr="00B818BE">
        <w:rPr>
          <w:lang w:eastAsia="en-AU"/>
        </w:rPr>
        <w:t xml:space="preserve"> ideal me</w:t>
      </w:r>
      <w:r w:rsidR="002F0F9C">
        <w:rPr>
          <w:lang w:eastAsia="en-AU"/>
        </w:rPr>
        <w:t>thods</w:t>
      </w:r>
      <w:r w:rsidR="002F0F9C" w:rsidRPr="00EF3F62">
        <w:rPr>
          <w:lang w:eastAsia="en-AU"/>
        </w:rPr>
        <w:t>, however</w:t>
      </w:r>
      <w:r w:rsidR="002F0F9C">
        <w:rPr>
          <w:lang w:eastAsia="en-AU"/>
        </w:rPr>
        <w:t xml:space="preserve"> as</w:t>
      </w:r>
      <w:r w:rsidR="002F0F9C" w:rsidRPr="00B818BE">
        <w:rPr>
          <w:lang w:eastAsia="en-AU"/>
        </w:rPr>
        <w:t xml:space="preserve"> the evidence base relevant for human infants is incomplete, the DIAAS and PDCAAS methods are not currently suitable for regulatory purposes.</w:t>
      </w:r>
      <w:r w:rsidR="002F0F9C">
        <w:rPr>
          <w:lang w:eastAsia="en-AU"/>
        </w:rPr>
        <w:t xml:space="preserve"> </w:t>
      </w:r>
      <w:r w:rsidR="002F0F9C" w:rsidRPr="00EF3F62">
        <w:rPr>
          <w:lang w:eastAsia="en-AU"/>
        </w:rPr>
        <w:t xml:space="preserve">Therefore, </w:t>
      </w:r>
      <w:r w:rsidR="002F0F9C">
        <w:rPr>
          <w:lang w:eastAsia="en-AU"/>
        </w:rPr>
        <w:t>u</w:t>
      </w:r>
      <w:r w:rsidR="002F0F9C" w:rsidRPr="00750A45">
        <w:t>sing the a</w:t>
      </w:r>
      <w:r w:rsidR="002F0F9C" w:rsidRPr="00750A45">
        <w:rPr>
          <w:rFonts w:eastAsia="Arial Unicode MS"/>
        </w:rPr>
        <w:t xml:space="preserve">mino acid composition of </w:t>
      </w:r>
      <w:r w:rsidR="002F0F9C">
        <w:rPr>
          <w:rFonts w:eastAsia="Arial Unicode MS"/>
        </w:rPr>
        <w:t>human</w:t>
      </w:r>
      <w:r w:rsidR="002F0F9C" w:rsidRPr="00750A45">
        <w:rPr>
          <w:rFonts w:eastAsia="Arial Unicode MS"/>
        </w:rPr>
        <w:t xml:space="preserve"> milk </w:t>
      </w:r>
      <w:r w:rsidR="002F0F9C" w:rsidRPr="00750A45">
        <w:t xml:space="preserve">as the </w:t>
      </w:r>
      <w:r w:rsidR="002F0F9C" w:rsidRPr="00750A45">
        <w:rPr>
          <w:rFonts w:eastAsia="Arial Unicode MS"/>
        </w:rPr>
        <w:t>reference for determining minimum amino acid requirements in infant formula</w:t>
      </w:r>
      <w:r w:rsidR="002F0F9C">
        <w:rPr>
          <w:rFonts w:eastAsia="Arial Unicode MS"/>
        </w:rPr>
        <w:t xml:space="preserve"> is recommended.</w:t>
      </w:r>
    </w:p>
    <w:p w14:paraId="5CAE5A84" w14:textId="77777777" w:rsidR="00776154" w:rsidRDefault="00776154" w:rsidP="00776154">
      <w:pPr>
        <w:pStyle w:val="Heading4"/>
      </w:pPr>
      <w:r>
        <w:t>Options and discussion</w:t>
      </w:r>
    </w:p>
    <w:p w14:paraId="27D373F0" w14:textId="3E498FB2" w:rsidR="00776154" w:rsidRDefault="00776154" w:rsidP="00776154">
      <w:r>
        <w:t xml:space="preserve">Protein quality in infant formula is </w:t>
      </w:r>
      <w:r w:rsidR="00373D1A">
        <w:t xml:space="preserve">ensured </w:t>
      </w:r>
      <w:r>
        <w:t xml:space="preserve">by </w:t>
      </w:r>
      <w:r w:rsidR="00373D1A">
        <w:t xml:space="preserve">setting </w:t>
      </w:r>
      <w:r>
        <w:t xml:space="preserve">minimum amounts of essential amino acids. </w:t>
      </w:r>
      <w:r w:rsidR="00373D1A">
        <w:t>In contrast</w:t>
      </w:r>
      <w:r w:rsidR="00373D1A" w:rsidRPr="003E6531">
        <w:t xml:space="preserve">, </w:t>
      </w:r>
      <w:r w:rsidRPr="003E6531">
        <w:t>protein quality scori</w:t>
      </w:r>
      <w:r w:rsidR="00373D1A" w:rsidRPr="003E6531">
        <w:t>ng systems (</w:t>
      </w:r>
      <w:r w:rsidR="00003CEC" w:rsidRPr="003E6531">
        <w:t>protein efficiency rating (</w:t>
      </w:r>
      <w:r w:rsidRPr="003E6531">
        <w:t>PER</w:t>
      </w:r>
      <w:r w:rsidR="00003CEC" w:rsidRPr="003E6531">
        <w:t>)</w:t>
      </w:r>
      <w:r w:rsidR="003E6531">
        <w:t xml:space="preserve"> or PDCAAS) has been recommended in Codex for ensuring protein quality in </w:t>
      </w:r>
      <w:r w:rsidR="00373D1A">
        <w:t xml:space="preserve">FUF. </w:t>
      </w:r>
      <w:r>
        <w:t xml:space="preserve">In the </w:t>
      </w:r>
      <w:r w:rsidR="00373D1A">
        <w:t>recently reviewed</w:t>
      </w:r>
      <w:r>
        <w:t xml:space="preserve"> </w:t>
      </w:r>
      <w:r w:rsidR="00B96544">
        <w:t>Codex Draft Standard for FUF</w:t>
      </w:r>
      <w:r w:rsidR="00373D1A">
        <w:t xml:space="preserve"> (FAO/WHO 2018)</w:t>
      </w:r>
      <w:r>
        <w:t xml:space="preserve">, the </w:t>
      </w:r>
      <w:r w:rsidR="00CA1C39">
        <w:t>CCNFSDU</w:t>
      </w:r>
      <w:r>
        <w:t xml:space="preserve"> considered whethe</w:t>
      </w:r>
      <w:r w:rsidR="00BB6C7B">
        <w:t xml:space="preserve">r the new scoring system DIAAS </w:t>
      </w:r>
      <w:r>
        <w:t xml:space="preserve">should be used. </w:t>
      </w:r>
      <w:r w:rsidR="00B80F35">
        <w:t>The report from the 38</w:t>
      </w:r>
      <w:r w:rsidR="00B80F35" w:rsidRPr="00B80F35">
        <w:rPr>
          <w:vertAlign w:val="superscript"/>
        </w:rPr>
        <w:t>th</w:t>
      </w:r>
      <w:r w:rsidR="00B80F35">
        <w:t xml:space="preserve"> session of the CCNFSDU indicated that </w:t>
      </w:r>
      <w:r w:rsidR="000E2C8E">
        <w:t xml:space="preserve">the </w:t>
      </w:r>
      <w:r>
        <w:t xml:space="preserve">DIAAS method was not </w:t>
      </w:r>
      <w:r w:rsidR="000E2C8E">
        <w:t xml:space="preserve">considered to be </w:t>
      </w:r>
      <w:r>
        <w:t>ready</w:t>
      </w:r>
      <w:r w:rsidR="000E2C8E">
        <w:t xml:space="preserve"> for use</w:t>
      </w:r>
      <w:r>
        <w:t xml:space="preserve">. Therefore the Code Draft Standard for FUF (which does not use breast milk amino acid composition as the reference for protein quality) has adopted the PDCAAS as the preferred method to determine protein quality. </w:t>
      </w:r>
    </w:p>
    <w:p w14:paraId="76138CEF" w14:textId="5796B043" w:rsidR="00776154" w:rsidRDefault="00776154" w:rsidP="00776154">
      <w:pPr>
        <w:pStyle w:val="Heading4"/>
        <w:ind w:left="0" w:firstLine="0"/>
      </w:pPr>
      <w:r>
        <w:lastRenderedPageBreak/>
        <w:t xml:space="preserve">Proposed </w:t>
      </w:r>
      <w:r w:rsidR="00C30BAC">
        <w:t>approach</w:t>
      </w:r>
    </w:p>
    <w:p w14:paraId="6712A95A" w14:textId="086BC986" w:rsidR="00776154" w:rsidRDefault="003E6531" w:rsidP="00776154">
      <w:r>
        <w:t xml:space="preserve">Because current methods for measuring protein quality have yet to be established for regulatory purposes, </w:t>
      </w:r>
      <w:r w:rsidR="00776154">
        <w:t xml:space="preserve">FSANZ proposes to maintain the current requirements for protein quality by mandating minimum amino acid </w:t>
      </w:r>
      <w:r w:rsidR="00776154" w:rsidRPr="00BB6C7B">
        <w:t>amounts (see section</w:t>
      </w:r>
      <w:r w:rsidR="00BB6C7B" w:rsidRPr="00BB6C7B">
        <w:t xml:space="preserve"> 4</w:t>
      </w:r>
      <w:r w:rsidR="00E33010" w:rsidRPr="00BB6C7B">
        <w:t>.5</w:t>
      </w:r>
      <w:r w:rsidR="00776154" w:rsidRPr="00BB6C7B">
        <w:t>)</w:t>
      </w:r>
      <w:r>
        <w:t>.</w:t>
      </w:r>
    </w:p>
    <w:p w14:paraId="51F7DDB3" w14:textId="6A960113" w:rsidR="00776154" w:rsidRPr="003556C1" w:rsidRDefault="00BB6C7B" w:rsidP="00776154">
      <w:pPr>
        <w:pStyle w:val="Heading2"/>
      </w:pPr>
      <w:bookmarkStart w:id="210" w:name="_Toc437858774"/>
      <w:bookmarkStart w:id="211" w:name="_Toc440462448"/>
      <w:bookmarkStart w:id="212" w:name="_Toc440470845"/>
      <w:bookmarkStart w:id="213" w:name="_Toc73455620"/>
      <w:bookmarkStart w:id="214" w:name="_Toc73624893"/>
      <w:bookmarkStart w:id="215" w:name="_Toc76138277"/>
      <w:r>
        <w:t>4</w:t>
      </w:r>
      <w:r w:rsidR="00776154">
        <w:t>.5</w:t>
      </w:r>
      <w:r w:rsidR="00776154">
        <w:tab/>
        <w:t>A</w:t>
      </w:r>
      <w:r w:rsidR="00776154" w:rsidRPr="003556C1">
        <w:t>mino acid content</w:t>
      </w:r>
      <w:bookmarkEnd w:id="210"/>
      <w:bookmarkEnd w:id="211"/>
      <w:bookmarkEnd w:id="212"/>
      <w:bookmarkEnd w:id="213"/>
      <w:bookmarkEnd w:id="214"/>
      <w:bookmarkEnd w:id="215"/>
      <w:r w:rsidR="00776154" w:rsidRPr="003556C1">
        <w:t xml:space="preserve"> </w:t>
      </w:r>
    </w:p>
    <w:p w14:paraId="2D010D78" w14:textId="7F19B8C8" w:rsidR="00776154" w:rsidRDefault="00776154" w:rsidP="00776154">
      <w:pPr>
        <w:pStyle w:val="Heading4"/>
      </w:pPr>
      <w:r>
        <w:t>Current regulation</w:t>
      </w:r>
      <w:r w:rsidR="007A6CD5">
        <w:t>s</w:t>
      </w:r>
      <w:r>
        <w:t xml:space="preserve"> </w:t>
      </w:r>
    </w:p>
    <w:p w14:paraId="1C6E8E96" w14:textId="2BB81B7E" w:rsidR="00776154" w:rsidRDefault="00776154" w:rsidP="00776154">
      <w:pPr>
        <w:rPr>
          <w:color w:val="000000" w:themeColor="text1"/>
        </w:rPr>
      </w:pPr>
      <w:r w:rsidRPr="00D75275">
        <w:rPr>
          <w:color w:val="000000" w:themeColor="text1"/>
        </w:rPr>
        <w:t>Both Standard 2.9.1</w:t>
      </w:r>
      <w:r w:rsidR="00373D1A">
        <w:rPr>
          <w:color w:val="000000" w:themeColor="text1"/>
        </w:rPr>
        <w:t xml:space="preserve"> </w:t>
      </w:r>
      <w:r w:rsidRPr="00D75275">
        <w:rPr>
          <w:color w:val="000000" w:themeColor="text1"/>
        </w:rPr>
        <w:t xml:space="preserve">and </w:t>
      </w:r>
      <w:r w:rsidRPr="00D75275">
        <w:rPr>
          <w:color w:val="000000" w:themeColor="text1"/>
          <w:lang w:bidi="ar-SA"/>
        </w:rPr>
        <w:t xml:space="preserve">Codex STAN 72-1981 </w:t>
      </w:r>
      <w:r w:rsidRPr="00D75275">
        <w:rPr>
          <w:color w:val="000000" w:themeColor="text1"/>
        </w:rPr>
        <w:t>specify minimum amounts of 11 essential and semi-essential amino acids</w:t>
      </w:r>
      <w:r w:rsidR="00544BB2">
        <w:rPr>
          <w:color w:val="000000" w:themeColor="text1"/>
        </w:rPr>
        <w:t xml:space="preserve"> (Table 4.5)</w:t>
      </w:r>
      <w:r w:rsidRPr="00D75275">
        <w:rPr>
          <w:color w:val="000000" w:themeColor="text1"/>
        </w:rPr>
        <w:t xml:space="preserve">. Both standards specify that isolated amino acids should be added to infant formula only to improve its nutritional quality. </w:t>
      </w:r>
    </w:p>
    <w:p w14:paraId="2F3C5697" w14:textId="77777777" w:rsidR="00511073" w:rsidRDefault="00511073" w:rsidP="00776154">
      <w:pPr>
        <w:rPr>
          <w:color w:val="000000" w:themeColor="text1"/>
        </w:rPr>
      </w:pPr>
    </w:p>
    <w:p w14:paraId="142828CF" w14:textId="4C2C5AB6" w:rsidR="00776154" w:rsidRDefault="00776154" w:rsidP="00776154">
      <w:pPr>
        <w:rPr>
          <w:color w:val="000000" w:themeColor="text1"/>
          <w:lang w:val="en-AU"/>
        </w:rPr>
      </w:pPr>
      <w:r>
        <w:rPr>
          <w:color w:val="000000" w:themeColor="text1"/>
        </w:rPr>
        <w:t xml:space="preserve">Minimum amounts are </w:t>
      </w:r>
      <w:r w:rsidR="00E33010">
        <w:rPr>
          <w:color w:val="000000" w:themeColor="text1"/>
        </w:rPr>
        <w:t xml:space="preserve">largely </w:t>
      </w:r>
      <w:r>
        <w:rPr>
          <w:color w:val="000000" w:themeColor="text1"/>
        </w:rPr>
        <w:t xml:space="preserve">aligned for histidine, isoleucine, leucine, lysine, threonine, tryptophan and valine. However Codex has a </w:t>
      </w:r>
      <w:r w:rsidRPr="00DE7B14">
        <w:rPr>
          <w:color w:val="000000" w:themeColor="text1"/>
        </w:rPr>
        <w:t>differen</w:t>
      </w:r>
      <w:r>
        <w:rPr>
          <w:color w:val="000000" w:themeColor="text1"/>
        </w:rPr>
        <w:t xml:space="preserve">t approach to </w:t>
      </w:r>
      <w:r w:rsidRPr="00DE7B14">
        <w:rPr>
          <w:color w:val="000000" w:themeColor="text1"/>
        </w:rPr>
        <w:t>express</w:t>
      </w:r>
      <w:r>
        <w:rPr>
          <w:color w:val="000000" w:themeColor="text1"/>
        </w:rPr>
        <w:t xml:space="preserve"> </w:t>
      </w:r>
      <w:r w:rsidRPr="00DE7B14">
        <w:rPr>
          <w:color w:val="000000" w:themeColor="text1"/>
        </w:rPr>
        <w:t xml:space="preserve">amounts of the sulphur amino acids (SAA) methionine </w:t>
      </w:r>
      <w:r>
        <w:rPr>
          <w:color w:val="000000" w:themeColor="text1"/>
        </w:rPr>
        <w:t xml:space="preserve">and cysteine, </w:t>
      </w:r>
      <w:r w:rsidRPr="00DE7B14">
        <w:rPr>
          <w:color w:val="000000" w:themeColor="text1"/>
        </w:rPr>
        <w:t>and the aromatic amino acids (AAA) tyrosine and phe</w:t>
      </w:r>
      <w:r>
        <w:rPr>
          <w:color w:val="000000" w:themeColor="text1"/>
        </w:rPr>
        <w:t>n</w:t>
      </w:r>
      <w:r w:rsidRPr="00DE7B14">
        <w:rPr>
          <w:color w:val="000000" w:themeColor="text1"/>
        </w:rPr>
        <w:t xml:space="preserve">ylalanine. </w:t>
      </w:r>
      <w:r>
        <w:rPr>
          <w:color w:val="000000" w:themeColor="text1"/>
        </w:rPr>
        <w:t xml:space="preserve">In </w:t>
      </w:r>
      <w:r>
        <w:rPr>
          <w:color w:val="000000" w:themeColor="text1"/>
          <w:lang w:val="en-AU"/>
        </w:rPr>
        <w:t xml:space="preserve">Codex STAN 72-1981 </w:t>
      </w:r>
      <w:r w:rsidRPr="00DE7B14">
        <w:rPr>
          <w:color w:val="000000" w:themeColor="text1"/>
          <w:lang w:val="en-AU"/>
        </w:rPr>
        <w:t>methionine and cysteine each have a listed minimum value, with the following footnote: “The concentrations of methionine and cysteine may be added together if the ratio is less than 2:1; in the case that the ratio is between 2:1 and 3:1, the suitability of the formula has to be demonstrated by clinical testing”.</w:t>
      </w:r>
      <w:r>
        <w:rPr>
          <w:color w:val="000000" w:themeColor="text1"/>
          <w:lang w:val="en-AU"/>
        </w:rPr>
        <w:t xml:space="preserve"> </w:t>
      </w:r>
      <w:r w:rsidR="00D45881">
        <w:rPr>
          <w:color w:val="000000" w:themeColor="text1"/>
          <w:lang w:val="en-AU"/>
        </w:rPr>
        <w:t>Section S29—6 specifies</w:t>
      </w:r>
      <w:r w:rsidRPr="00EA2C02">
        <w:rPr>
          <w:color w:val="000000" w:themeColor="text1"/>
          <w:lang w:val="en-AU"/>
        </w:rPr>
        <w:t xml:space="preserve"> a minimum amount of cysteine</w:t>
      </w:r>
      <w:r w:rsidR="00F46DE8">
        <w:rPr>
          <w:color w:val="000000" w:themeColor="text1"/>
          <w:lang w:val="en-AU"/>
        </w:rPr>
        <w:t xml:space="preserve"> and cysteine total</w:t>
      </w:r>
      <w:r w:rsidRPr="00EA2C02">
        <w:rPr>
          <w:color w:val="000000" w:themeColor="text1"/>
          <w:lang w:val="en-AU"/>
        </w:rPr>
        <w:t xml:space="preserve"> (</w:t>
      </w:r>
      <w:r w:rsidR="00F46DE8">
        <w:rPr>
          <w:color w:val="000000" w:themeColor="text1"/>
          <w:lang w:val="en-AU"/>
        </w:rPr>
        <w:t>which would include the cystine form</w:t>
      </w:r>
      <w:r w:rsidRPr="00880EDF">
        <w:rPr>
          <w:color w:val="000000" w:themeColor="text1"/>
          <w:vertAlign w:val="superscript"/>
        </w:rPr>
        <w:footnoteReference w:id="6"/>
      </w:r>
      <w:r w:rsidRPr="00EA2C02">
        <w:rPr>
          <w:color w:val="000000" w:themeColor="text1"/>
          <w:lang w:val="en-AU"/>
        </w:rPr>
        <w:t>), as well as a minimum summed v</w:t>
      </w:r>
      <w:r w:rsidR="00F46DE8">
        <w:rPr>
          <w:color w:val="000000" w:themeColor="text1"/>
          <w:lang w:val="en-AU"/>
        </w:rPr>
        <w:t>alue of cysteine, cystine and methionine</w:t>
      </w:r>
      <w:r w:rsidRPr="00EA2C02">
        <w:rPr>
          <w:color w:val="000000" w:themeColor="text1"/>
          <w:lang w:val="en-AU"/>
        </w:rPr>
        <w:t xml:space="preserve">. Similarly, for the AAA, </w:t>
      </w:r>
      <w:r w:rsidR="00BA0E4A">
        <w:rPr>
          <w:color w:val="000000" w:themeColor="text1"/>
          <w:lang w:val="en-AU"/>
        </w:rPr>
        <w:t>s</w:t>
      </w:r>
      <w:r w:rsidR="00D45881">
        <w:rPr>
          <w:color w:val="000000" w:themeColor="text1"/>
          <w:lang w:val="en-AU"/>
        </w:rPr>
        <w:t>ection S29—6</w:t>
      </w:r>
      <w:r w:rsidRPr="00EA2C02">
        <w:rPr>
          <w:color w:val="000000" w:themeColor="text1"/>
          <w:lang w:val="en-AU"/>
        </w:rPr>
        <w:t xml:space="preserve"> specifies a minimum for phenylalanine and a minimum summed value for phenylalanine and tyrosine.</w:t>
      </w:r>
    </w:p>
    <w:p w14:paraId="63B25C2C" w14:textId="77777777" w:rsidR="00776154" w:rsidRDefault="00776154" w:rsidP="00776154">
      <w:pPr>
        <w:rPr>
          <w:color w:val="000000" w:themeColor="text1"/>
          <w:lang w:val="en-AU"/>
        </w:rPr>
      </w:pPr>
    </w:p>
    <w:p w14:paraId="4C86EF0E" w14:textId="75540212" w:rsidR="00776154" w:rsidRPr="009566CA" w:rsidRDefault="00E821D5" w:rsidP="00E9515E">
      <w:pPr>
        <w:pStyle w:val="FSTitle"/>
        <w:rPr>
          <w:lang w:val="en-AU"/>
        </w:rPr>
      </w:pPr>
      <w:bookmarkStart w:id="216" w:name="_Toc74061230"/>
      <w:r>
        <w:rPr>
          <w:lang w:val="en-AU"/>
        </w:rPr>
        <w:t xml:space="preserve">Table </w:t>
      </w:r>
      <w:r w:rsidR="00BB6C7B">
        <w:rPr>
          <w:lang w:val="en-AU"/>
        </w:rPr>
        <w:t>4</w:t>
      </w:r>
      <w:r w:rsidR="00E33010">
        <w:rPr>
          <w:lang w:val="en-AU"/>
        </w:rPr>
        <w:t>.5</w:t>
      </w:r>
      <w:r w:rsidR="00544BB2">
        <w:rPr>
          <w:lang w:val="en-AU"/>
        </w:rPr>
        <w:tab/>
        <w:t>Minimum a</w:t>
      </w:r>
      <w:r w:rsidR="00776154">
        <w:rPr>
          <w:lang w:val="en-AU"/>
        </w:rPr>
        <w:t>mounts of amino acid</w:t>
      </w:r>
      <w:r w:rsidR="00544BB2">
        <w:rPr>
          <w:lang w:val="en-AU"/>
        </w:rPr>
        <w:t>s</w:t>
      </w:r>
      <w:bookmarkEnd w:id="216"/>
      <w:r w:rsidR="00776154">
        <w:rPr>
          <w:lang w:val="en-AU"/>
        </w:rPr>
        <w:t xml:space="preserve"> </w:t>
      </w:r>
    </w:p>
    <w:tbl>
      <w:tblPr>
        <w:tblStyle w:val="MediumShading1-Accent3"/>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4.5.1 Amounts of amino acid "/>
        <w:tblDescription w:val="This table summarises the amounts of differing amino acids in Stadard 2.9.1 and Codex STAN 72-1981."/>
      </w:tblPr>
      <w:tblGrid>
        <w:gridCol w:w="3397"/>
        <w:gridCol w:w="3119"/>
        <w:gridCol w:w="2410"/>
      </w:tblGrid>
      <w:tr w:rsidR="00776154" w:rsidRPr="003F4B16" w14:paraId="33CA1594" w14:textId="77777777" w:rsidTr="00BC5468">
        <w:trPr>
          <w:cnfStyle w:val="100000000000" w:firstRow="1" w:lastRow="0" w:firstColumn="0" w:lastColumn="0" w:oddVBand="0" w:evenVBand="0" w:oddHBand="0"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1903" w:type="pct"/>
            <w:tcBorders>
              <w:top w:val="none" w:sz="0" w:space="0" w:color="auto"/>
              <w:left w:val="none" w:sz="0" w:space="0" w:color="auto"/>
              <w:bottom w:val="none" w:sz="0" w:space="0" w:color="auto"/>
              <w:right w:val="none" w:sz="0" w:space="0" w:color="auto"/>
            </w:tcBorders>
            <w:shd w:val="clear" w:color="auto" w:fill="E5DFEC" w:themeFill="accent4" w:themeFillTint="33"/>
            <w:vAlign w:val="center"/>
          </w:tcPr>
          <w:p w14:paraId="6F8DDB94" w14:textId="1B1C9DB7" w:rsidR="00776154" w:rsidRPr="00BC5468" w:rsidRDefault="00776154" w:rsidP="00544BB2">
            <w:pPr>
              <w:keepNext/>
              <w:jc w:val="center"/>
              <w:rPr>
                <w:rFonts w:cs="Arial"/>
                <w:color w:val="auto"/>
              </w:rPr>
            </w:pPr>
            <w:r w:rsidRPr="00BC5468">
              <w:rPr>
                <w:rFonts w:cs="Arial"/>
                <w:color w:val="auto"/>
              </w:rPr>
              <w:t>Amino acid</w:t>
            </w:r>
          </w:p>
        </w:tc>
        <w:tc>
          <w:tcPr>
            <w:tcW w:w="1747" w:type="pct"/>
            <w:tcBorders>
              <w:top w:val="none" w:sz="0" w:space="0" w:color="auto"/>
              <w:left w:val="none" w:sz="0" w:space="0" w:color="auto"/>
              <w:bottom w:val="none" w:sz="0" w:space="0" w:color="auto"/>
              <w:right w:val="none" w:sz="0" w:space="0" w:color="auto"/>
            </w:tcBorders>
            <w:shd w:val="clear" w:color="auto" w:fill="DBE5F1" w:themeFill="accent1" w:themeFillTint="33"/>
            <w:vAlign w:val="center"/>
          </w:tcPr>
          <w:p w14:paraId="302DA165" w14:textId="7D25F193" w:rsidR="00776154" w:rsidRPr="00BC5468" w:rsidRDefault="00776154" w:rsidP="00544BB2">
            <w:pPr>
              <w:keepNext/>
              <w:jc w:val="center"/>
              <w:cnfStyle w:val="100000000000" w:firstRow="1" w:lastRow="0" w:firstColumn="0" w:lastColumn="0" w:oddVBand="0" w:evenVBand="0" w:oddHBand="0" w:evenHBand="0" w:firstRowFirstColumn="0" w:firstRowLastColumn="0" w:lastRowFirstColumn="0" w:lastRowLastColumn="0"/>
              <w:rPr>
                <w:rFonts w:cs="Arial"/>
                <w:color w:val="auto"/>
              </w:rPr>
            </w:pPr>
            <w:r w:rsidRPr="00BC5468">
              <w:rPr>
                <w:rFonts w:cs="Arial"/>
                <w:color w:val="auto"/>
              </w:rPr>
              <w:t>Standard 2.9.1</w:t>
            </w:r>
            <w:r w:rsidR="004D4964">
              <w:rPr>
                <w:rFonts w:cs="Arial"/>
                <w:color w:val="auto"/>
              </w:rPr>
              <w:t xml:space="preserve"> (</w:t>
            </w:r>
            <w:r w:rsidR="004D4964">
              <w:rPr>
                <w:color w:val="000000" w:themeColor="text1"/>
                <w:lang w:val="en-AU"/>
              </w:rPr>
              <w:t>S29—6)</w:t>
            </w:r>
          </w:p>
          <w:p w14:paraId="6195776E" w14:textId="77777777" w:rsidR="00776154" w:rsidRPr="00BC5468" w:rsidRDefault="00776154" w:rsidP="00544BB2">
            <w:pPr>
              <w:keepNext/>
              <w:jc w:val="center"/>
              <w:cnfStyle w:val="100000000000" w:firstRow="1" w:lastRow="0" w:firstColumn="0" w:lastColumn="0" w:oddVBand="0" w:evenVBand="0" w:oddHBand="0" w:evenHBand="0" w:firstRowFirstColumn="0" w:firstRowLastColumn="0" w:lastRowFirstColumn="0" w:lastRowLastColumn="0"/>
              <w:rPr>
                <w:rFonts w:cs="Arial"/>
                <w:color w:val="auto"/>
              </w:rPr>
            </w:pPr>
            <w:r w:rsidRPr="00BC5468">
              <w:rPr>
                <w:rFonts w:cs="Arial"/>
                <w:color w:val="auto"/>
              </w:rPr>
              <w:t>(mg/100 kJ)</w:t>
            </w:r>
          </w:p>
        </w:tc>
        <w:tc>
          <w:tcPr>
            <w:tcW w:w="1350" w:type="pct"/>
            <w:tcBorders>
              <w:top w:val="none" w:sz="0" w:space="0" w:color="auto"/>
              <w:left w:val="none" w:sz="0" w:space="0" w:color="auto"/>
              <w:bottom w:val="none" w:sz="0" w:space="0" w:color="auto"/>
              <w:right w:val="none" w:sz="0" w:space="0" w:color="auto"/>
            </w:tcBorders>
            <w:shd w:val="clear" w:color="auto" w:fill="EAF1DD" w:themeFill="accent3" w:themeFillTint="33"/>
            <w:vAlign w:val="center"/>
          </w:tcPr>
          <w:p w14:paraId="3E13ABB3" w14:textId="77777777" w:rsidR="00776154" w:rsidRPr="00BC5468" w:rsidRDefault="00776154" w:rsidP="00544BB2">
            <w:pPr>
              <w:keepNext/>
              <w:jc w:val="center"/>
              <w:cnfStyle w:val="100000000000" w:firstRow="1" w:lastRow="0" w:firstColumn="0" w:lastColumn="0" w:oddVBand="0" w:evenVBand="0" w:oddHBand="0" w:evenHBand="0" w:firstRowFirstColumn="0" w:firstRowLastColumn="0" w:lastRowFirstColumn="0" w:lastRowLastColumn="0"/>
              <w:rPr>
                <w:rFonts w:cs="Arial"/>
                <w:color w:val="auto"/>
              </w:rPr>
            </w:pPr>
            <w:r w:rsidRPr="00BC5468">
              <w:rPr>
                <w:rFonts w:cs="Arial"/>
                <w:color w:val="auto"/>
              </w:rPr>
              <w:t>Codex STAN 72-1981</w:t>
            </w:r>
            <w:r w:rsidRPr="00BC5468">
              <w:rPr>
                <w:rFonts w:cs="Arial"/>
                <w:color w:val="auto"/>
                <w:vertAlign w:val="superscript"/>
              </w:rPr>
              <w:t>1</w:t>
            </w:r>
          </w:p>
          <w:p w14:paraId="13AECBB8" w14:textId="77777777" w:rsidR="00776154" w:rsidRPr="00BC5468" w:rsidRDefault="00776154" w:rsidP="00544BB2">
            <w:pPr>
              <w:keepNext/>
              <w:jc w:val="center"/>
              <w:cnfStyle w:val="100000000000" w:firstRow="1" w:lastRow="0" w:firstColumn="0" w:lastColumn="0" w:oddVBand="0" w:evenVBand="0" w:oddHBand="0" w:evenHBand="0" w:firstRowFirstColumn="0" w:firstRowLastColumn="0" w:lastRowFirstColumn="0" w:lastRowLastColumn="0"/>
              <w:rPr>
                <w:rFonts w:cs="Arial"/>
                <w:color w:val="auto"/>
              </w:rPr>
            </w:pPr>
            <w:r w:rsidRPr="00BC5468">
              <w:rPr>
                <w:rFonts w:cs="Arial"/>
                <w:color w:val="auto"/>
              </w:rPr>
              <w:t>(mg/100 kJ)</w:t>
            </w:r>
          </w:p>
        </w:tc>
      </w:tr>
      <w:tr w:rsidR="00776154" w:rsidRPr="003F4B16" w14:paraId="313E0688" w14:textId="77777777" w:rsidTr="008B1ED5">
        <w:trPr>
          <w:cnfStyle w:val="000000100000" w:firstRow="0" w:lastRow="0" w:firstColumn="0" w:lastColumn="0" w:oddVBand="0" w:evenVBand="0" w:oddHBand="1" w:evenHBand="0" w:firstRowFirstColumn="0" w:firstRowLastColumn="0" w:lastRowFirstColumn="0" w:lastRowLastColumn="0"/>
          <w:trHeight w:val="115"/>
        </w:trPr>
        <w:tc>
          <w:tcPr>
            <w:cnfStyle w:val="001000000000" w:firstRow="0" w:lastRow="0" w:firstColumn="1" w:lastColumn="0" w:oddVBand="0" w:evenVBand="0" w:oddHBand="0" w:evenHBand="0" w:firstRowFirstColumn="0" w:firstRowLastColumn="0" w:lastRowFirstColumn="0" w:lastRowLastColumn="0"/>
            <w:tcW w:w="5000" w:type="pct"/>
            <w:gridSpan w:val="3"/>
            <w:shd w:val="clear" w:color="auto" w:fill="auto"/>
            <w:vAlign w:val="center"/>
          </w:tcPr>
          <w:p w14:paraId="6AAAB065" w14:textId="77777777" w:rsidR="00776154" w:rsidRPr="00BC5468" w:rsidRDefault="00776154" w:rsidP="00E821D5">
            <w:pPr>
              <w:keepNext/>
              <w:keepLines/>
              <w:spacing w:before="40" w:after="40"/>
              <w:rPr>
                <w:rFonts w:cs="Arial"/>
                <w:i/>
                <w:szCs w:val="20"/>
              </w:rPr>
            </w:pPr>
            <w:r w:rsidRPr="00BC5468">
              <w:rPr>
                <w:rFonts w:cs="Arial"/>
                <w:bCs w:val="0"/>
                <w:i/>
                <w:szCs w:val="20"/>
              </w:rPr>
              <w:t>Sulphur amino acids</w:t>
            </w:r>
          </w:p>
        </w:tc>
      </w:tr>
      <w:tr w:rsidR="00776154" w:rsidRPr="003F4B16" w14:paraId="4F110EC5" w14:textId="77777777" w:rsidTr="00BC5468">
        <w:trPr>
          <w:cnfStyle w:val="000000010000" w:firstRow="0" w:lastRow="0" w:firstColumn="0" w:lastColumn="0" w:oddVBand="0" w:evenVBand="0" w:oddHBand="0" w:evenHBand="1"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1903" w:type="pct"/>
            <w:tcBorders>
              <w:right w:val="none" w:sz="0" w:space="0" w:color="auto"/>
            </w:tcBorders>
            <w:shd w:val="clear" w:color="auto" w:fill="auto"/>
            <w:vAlign w:val="center"/>
          </w:tcPr>
          <w:p w14:paraId="338D6234" w14:textId="77777777" w:rsidR="00776154" w:rsidRPr="003F4B16" w:rsidRDefault="00776154" w:rsidP="00E821D5">
            <w:pPr>
              <w:keepNext/>
              <w:keepLines/>
              <w:spacing w:before="40" w:after="40"/>
              <w:rPr>
                <w:rFonts w:cs="Arial"/>
                <w:b w:val="0"/>
                <w:bCs w:val="0"/>
                <w:szCs w:val="20"/>
              </w:rPr>
            </w:pPr>
            <w:r w:rsidRPr="003F4B16">
              <w:rPr>
                <w:rFonts w:cs="Arial"/>
                <w:b w:val="0"/>
                <w:bCs w:val="0"/>
                <w:szCs w:val="20"/>
              </w:rPr>
              <w:t>Cysteine</w:t>
            </w:r>
          </w:p>
        </w:tc>
        <w:tc>
          <w:tcPr>
            <w:tcW w:w="1747" w:type="pct"/>
            <w:tcBorders>
              <w:left w:val="none" w:sz="0" w:space="0" w:color="auto"/>
              <w:right w:val="none" w:sz="0" w:space="0" w:color="auto"/>
            </w:tcBorders>
            <w:shd w:val="clear" w:color="auto" w:fill="auto"/>
            <w:vAlign w:val="center"/>
          </w:tcPr>
          <w:p w14:paraId="51FD33B7" w14:textId="77777777" w:rsidR="00776154" w:rsidRPr="003F4B16" w:rsidRDefault="00776154" w:rsidP="00E821D5">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cs="Arial"/>
                <w:szCs w:val="20"/>
              </w:rPr>
            </w:pPr>
            <w:r w:rsidRPr="003F4B16">
              <w:rPr>
                <w:rFonts w:cs="Arial"/>
                <w:szCs w:val="20"/>
              </w:rPr>
              <w:t>-</w:t>
            </w:r>
          </w:p>
        </w:tc>
        <w:tc>
          <w:tcPr>
            <w:tcW w:w="1350" w:type="pct"/>
            <w:tcBorders>
              <w:left w:val="none" w:sz="0" w:space="0" w:color="auto"/>
            </w:tcBorders>
            <w:shd w:val="clear" w:color="auto" w:fill="auto"/>
            <w:vAlign w:val="center"/>
          </w:tcPr>
          <w:p w14:paraId="79B5D09D" w14:textId="77777777" w:rsidR="00776154" w:rsidRPr="003F4B16" w:rsidRDefault="00776154" w:rsidP="00E821D5">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cs="Arial"/>
                <w:szCs w:val="20"/>
              </w:rPr>
            </w:pPr>
            <w:r>
              <w:rPr>
                <w:rFonts w:cs="Arial"/>
                <w:szCs w:val="20"/>
              </w:rPr>
              <w:t>9</w:t>
            </w:r>
          </w:p>
        </w:tc>
      </w:tr>
      <w:tr w:rsidR="00776154" w:rsidRPr="003F4B16" w14:paraId="655B6235" w14:textId="77777777" w:rsidTr="00BC5468">
        <w:trPr>
          <w:cnfStyle w:val="000000100000" w:firstRow="0" w:lastRow="0" w:firstColumn="0" w:lastColumn="0" w:oddVBand="0" w:evenVBand="0" w:oddHBand="1" w:evenHBand="0"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1903" w:type="pct"/>
            <w:tcBorders>
              <w:right w:val="none" w:sz="0" w:space="0" w:color="auto"/>
            </w:tcBorders>
            <w:shd w:val="clear" w:color="auto" w:fill="auto"/>
            <w:vAlign w:val="center"/>
          </w:tcPr>
          <w:p w14:paraId="5C707F98" w14:textId="77777777" w:rsidR="00776154" w:rsidRPr="003F4B16" w:rsidRDefault="00776154" w:rsidP="00E821D5">
            <w:pPr>
              <w:keepNext/>
              <w:keepLines/>
              <w:spacing w:before="40" w:after="40"/>
              <w:rPr>
                <w:rFonts w:cs="Arial"/>
                <w:b w:val="0"/>
                <w:bCs w:val="0"/>
                <w:szCs w:val="20"/>
              </w:rPr>
            </w:pPr>
            <w:r w:rsidRPr="003F4B16">
              <w:rPr>
                <w:rFonts w:cs="Arial"/>
                <w:b w:val="0"/>
                <w:bCs w:val="0"/>
                <w:szCs w:val="20"/>
              </w:rPr>
              <w:t>Methionine</w:t>
            </w:r>
          </w:p>
        </w:tc>
        <w:tc>
          <w:tcPr>
            <w:tcW w:w="1747" w:type="pct"/>
            <w:tcBorders>
              <w:left w:val="none" w:sz="0" w:space="0" w:color="auto"/>
              <w:right w:val="none" w:sz="0" w:space="0" w:color="auto"/>
            </w:tcBorders>
            <w:shd w:val="clear" w:color="auto" w:fill="auto"/>
            <w:vAlign w:val="center"/>
          </w:tcPr>
          <w:p w14:paraId="62DBD6DD" w14:textId="0B559351" w:rsidR="00776154" w:rsidRPr="003F4B16" w:rsidRDefault="00776154" w:rsidP="00E821D5">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cs="Arial"/>
                <w:szCs w:val="20"/>
              </w:rPr>
            </w:pPr>
            <w:r>
              <w:rPr>
                <w:rFonts w:cs="Arial"/>
                <w:szCs w:val="20"/>
              </w:rPr>
              <w:t>13 (amount by difference)</w:t>
            </w:r>
            <w:r w:rsidR="00F46DE8" w:rsidRPr="00F46DE8">
              <w:rPr>
                <w:rFonts w:cs="Arial"/>
                <w:szCs w:val="20"/>
                <w:vertAlign w:val="superscript"/>
              </w:rPr>
              <w:t>2</w:t>
            </w:r>
          </w:p>
        </w:tc>
        <w:tc>
          <w:tcPr>
            <w:tcW w:w="1350" w:type="pct"/>
            <w:tcBorders>
              <w:left w:val="none" w:sz="0" w:space="0" w:color="auto"/>
            </w:tcBorders>
            <w:shd w:val="clear" w:color="auto" w:fill="auto"/>
            <w:vAlign w:val="center"/>
          </w:tcPr>
          <w:p w14:paraId="26CEC4AA" w14:textId="77777777" w:rsidR="00776154" w:rsidRPr="003F4B16" w:rsidRDefault="00776154" w:rsidP="00E821D5">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cs="Arial"/>
                <w:szCs w:val="20"/>
              </w:rPr>
            </w:pPr>
            <w:r>
              <w:rPr>
                <w:rFonts w:cs="Arial"/>
                <w:szCs w:val="20"/>
              </w:rPr>
              <w:t>6</w:t>
            </w:r>
          </w:p>
        </w:tc>
      </w:tr>
      <w:tr w:rsidR="00776154" w:rsidRPr="003F4B16" w14:paraId="5FBE8438" w14:textId="77777777" w:rsidTr="00BC5468">
        <w:trPr>
          <w:cnfStyle w:val="000000010000" w:firstRow="0" w:lastRow="0" w:firstColumn="0" w:lastColumn="0" w:oddVBand="0" w:evenVBand="0" w:oddHBand="0" w:evenHBand="1"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1903" w:type="pct"/>
            <w:tcBorders>
              <w:right w:val="none" w:sz="0" w:space="0" w:color="auto"/>
            </w:tcBorders>
            <w:shd w:val="clear" w:color="auto" w:fill="auto"/>
            <w:vAlign w:val="center"/>
          </w:tcPr>
          <w:p w14:paraId="7DD36AC9" w14:textId="5EBCA93B" w:rsidR="00776154" w:rsidRPr="003F4B16" w:rsidRDefault="00776154" w:rsidP="00F46DE8">
            <w:pPr>
              <w:keepNext/>
              <w:keepLines/>
              <w:spacing w:before="40" w:after="40"/>
              <w:rPr>
                <w:rFonts w:cs="Arial"/>
                <w:b w:val="0"/>
                <w:bCs w:val="0"/>
                <w:szCs w:val="20"/>
              </w:rPr>
            </w:pPr>
            <w:r w:rsidRPr="003F4B16">
              <w:rPr>
                <w:rFonts w:cs="Arial"/>
                <w:b w:val="0"/>
                <w:bCs w:val="0"/>
                <w:szCs w:val="20"/>
              </w:rPr>
              <w:t>Cysteine &amp; cyst</w:t>
            </w:r>
            <w:r w:rsidR="00F46DE8">
              <w:rPr>
                <w:rFonts w:cs="Arial"/>
                <w:b w:val="0"/>
                <w:bCs w:val="0"/>
                <w:szCs w:val="20"/>
              </w:rPr>
              <w:t>e</w:t>
            </w:r>
            <w:r w:rsidRPr="003F4B16">
              <w:rPr>
                <w:rFonts w:cs="Arial"/>
                <w:b w:val="0"/>
                <w:bCs w:val="0"/>
                <w:szCs w:val="20"/>
              </w:rPr>
              <w:t>ine total</w:t>
            </w:r>
          </w:p>
        </w:tc>
        <w:tc>
          <w:tcPr>
            <w:tcW w:w="1747" w:type="pct"/>
            <w:tcBorders>
              <w:left w:val="none" w:sz="0" w:space="0" w:color="auto"/>
              <w:right w:val="none" w:sz="0" w:space="0" w:color="auto"/>
            </w:tcBorders>
            <w:shd w:val="clear" w:color="auto" w:fill="auto"/>
            <w:vAlign w:val="center"/>
          </w:tcPr>
          <w:p w14:paraId="32B49190" w14:textId="77777777" w:rsidR="00776154" w:rsidRPr="003F4B16" w:rsidRDefault="00776154" w:rsidP="00E821D5">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cs="Arial"/>
                <w:szCs w:val="20"/>
              </w:rPr>
            </w:pPr>
            <w:r w:rsidRPr="003F4B16">
              <w:rPr>
                <w:rFonts w:cs="Arial"/>
                <w:szCs w:val="20"/>
              </w:rPr>
              <w:t>6</w:t>
            </w:r>
          </w:p>
        </w:tc>
        <w:tc>
          <w:tcPr>
            <w:tcW w:w="1350" w:type="pct"/>
            <w:tcBorders>
              <w:left w:val="none" w:sz="0" w:space="0" w:color="auto"/>
            </w:tcBorders>
            <w:shd w:val="clear" w:color="auto" w:fill="auto"/>
            <w:vAlign w:val="center"/>
          </w:tcPr>
          <w:p w14:paraId="5441148F" w14:textId="77777777" w:rsidR="00776154" w:rsidRPr="003F4B16" w:rsidRDefault="00776154" w:rsidP="00E821D5">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cs="Arial"/>
                <w:szCs w:val="20"/>
              </w:rPr>
            </w:pPr>
            <w:r>
              <w:rPr>
                <w:rFonts w:cs="Arial"/>
                <w:szCs w:val="20"/>
              </w:rPr>
              <w:t>-</w:t>
            </w:r>
          </w:p>
        </w:tc>
      </w:tr>
      <w:tr w:rsidR="00776154" w:rsidRPr="003F4B16" w14:paraId="25EDBC6C" w14:textId="77777777" w:rsidTr="00BC5468">
        <w:trPr>
          <w:cnfStyle w:val="000000100000" w:firstRow="0" w:lastRow="0" w:firstColumn="0" w:lastColumn="0" w:oddVBand="0" w:evenVBand="0" w:oddHBand="1" w:evenHBand="0"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1903" w:type="pct"/>
            <w:tcBorders>
              <w:right w:val="none" w:sz="0" w:space="0" w:color="auto"/>
            </w:tcBorders>
            <w:shd w:val="clear" w:color="auto" w:fill="auto"/>
            <w:vAlign w:val="center"/>
          </w:tcPr>
          <w:p w14:paraId="2AE3431E" w14:textId="77777777" w:rsidR="00776154" w:rsidRPr="003F4B16" w:rsidRDefault="00776154" w:rsidP="00E821D5">
            <w:pPr>
              <w:keepNext/>
              <w:keepLines/>
              <w:spacing w:before="40" w:after="40"/>
              <w:rPr>
                <w:rFonts w:cs="Arial"/>
                <w:b w:val="0"/>
                <w:bCs w:val="0"/>
                <w:szCs w:val="20"/>
              </w:rPr>
            </w:pPr>
            <w:r w:rsidRPr="003F4B16">
              <w:rPr>
                <w:rFonts w:cs="Arial"/>
                <w:b w:val="0"/>
                <w:bCs w:val="0"/>
                <w:szCs w:val="20"/>
              </w:rPr>
              <w:t>Cysteine, cystine &amp; methionine total</w:t>
            </w:r>
          </w:p>
        </w:tc>
        <w:tc>
          <w:tcPr>
            <w:tcW w:w="1747" w:type="pct"/>
            <w:tcBorders>
              <w:left w:val="none" w:sz="0" w:space="0" w:color="auto"/>
              <w:right w:val="none" w:sz="0" w:space="0" w:color="auto"/>
            </w:tcBorders>
            <w:shd w:val="clear" w:color="auto" w:fill="auto"/>
            <w:vAlign w:val="center"/>
          </w:tcPr>
          <w:p w14:paraId="6B92A984" w14:textId="77777777" w:rsidR="00776154" w:rsidRPr="003F4B16" w:rsidRDefault="00776154" w:rsidP="00E821D5">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cs="Arial"/>
                <w:szCs w:val="20"/>
              </w:rPr>
            </w:pPr>
            <w:r w:rsidRPr="003F4B16">
              <w:rPr>
                <w:rFonts w:cs="Arial"/>
                <w:szCs w:val="20"/>
              </w:rPr>
              <w:t>19</w:t>
            </w:r>
          </w:p>
        </w:tc>
        <w:tc>
          <w:tcPr>
            <w:tcW w:w="1350" w:type="pct"/>
            <w:tcBorders>
              <w:left w:val="none" w:sz="0" w:space="0" w:color="auto"/>
            </w:tcBorders>
            <w:shd w:val="clear" w:color="auto" w:fill="auto"/>
            <w:vAlign w:val="center"/>
          </w:tcPr>
          <w:p w14:paraId="747E2210" w14:textId="77777777" w:rsidR="00776154" w:rsidRPr="003F4B16" w:rsidRDefault="00776154" w:rsidP="00E821D5">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cs="Arial"/>
                <w:szCs w:val="20"/>
              </w:rPr>
            </w:pPr>
            <w:r>
              <w:rPr>
                <w:rFonts w:cs="Arial"/>
                <w:szCs w:val="20"/>
              </w:rPr>
              <w:t>-</w:t>
            </w:r>
          </w:p>
        </w:tc>
      </w:tr>
      <w:tr w:rsidR="00776154" w:rsidRPr="003F4B16" w14:paraId="4E0E4922" w14:textId="77777777" w:rsidTr="008B1ED5">
        <w:trPr>
          <w:cnfStyle w:val="000000010000" w:firstRow="0" w:lastRow="0" w:firstColumn="0" w:lastColumn="0" w:oddVBand="0" w:evenVBand="0" w:oddHBand="0" w:evenHBand="1"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5000" w:type="pct"/>
            <w:gridSpan w:val="3"/>
            <w:shd w:val="clear" w:color="auto" w:fill="auto"/>
            <w:vAlign w:val="center"/>
          </w:tcPr>
          <w:p w14:paraId="2C623169" w14:textId="77777777" w:rsidR="00776154" w:rsidRPr="00BC5468" w:rsidRDefault="00776154" w:rsidP="00E821D5">
            <w:pPr>
              <w:keepNext/>
              <w:keepLines/>
              <w:spacing w:before="40" w:after="40"/>
              <w:rPr>
                <w:rFonts w:cs="Arial"/>
                <w:i/>
                <w:szCs w:val="20"/>
              </w:rPr>
            </w:pPr>
            <w:r w:rsidRPr="00BC5468">
              <w:rPr>
                <w:rFonts w:cs="Arial"/>
                <w:bCs w:val="0"/>
                <w:i/>
                <w:szCs w:val="20"/>
              </w:rPr>
              <w:t>Aromatic amino acids</w:t>
            </w:r>
          </w:p>
        </w:tc>
      </w:tr>
      <w:tr w:rsidR="00776154" w:rsidRPr="003F4B16" w14:paraId="32A44421" w14:textId="77777777" w:rsidTr="00BC5468">
        <w:trPr>
          <w:cnfStyle w:val="000000100000" w:firstRow="0" w:lastRow="0" w:firstColumn="0" w:lastColumn="0" w:oddVBand="0" w:evenVBand="0" w:oddHBand="1" w:evenHBand="0"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1903" w:type="pct"/>
            <w:tcBorders>
              <w:right w:val="none" w:sz="0" w:space="0" w:color="auto"/>
            </w:tcBorders>
            <w:shd w:val="clear" w:color="auto" w:fill="auto"/>
            <w:vAlign w:val="center"/>
          </w:tcPr>
          <w:p w14:paraId="15187BD7" w14:textId="77777777" w:rsidR="00776154" w:rsidRPr="003F4B16" w:rsidRDefault="00776154" w:rsidP="00E821D5">
            <w:pPr>
              <w:keepNext/>
              <w:keepLines/>
              <w:spacing w:before="40" w:after="40"/>
              <w:rPr>
                <w:rFonts w:cs="Arial"/>
                <w:b w:val="0"/>
                <w:bCs w:val="0"/>
                <w:szCs w:val="20"/>
              </w:rPr>
            </w:pPr>
            <w:r>
              <w:rPr>
                <w:rFonts w:cs="Arial"/>
                <w:b w:val="0"/>
                <w:bCs w:val="0"/>
                <w:szCs w:val="20"/>
              </w:rPr>
              <w:t>Phenylalanine &amp; tyrosine total</w:t>
            </w:r>
          </w:p>
        </w:tc>
        <w:tc>
          <w:tcPr>
            <w:tcW w:w="1747" w:type="pct"/>
            <w:tcBorders>
              <w:left w:val="none" w:sz="0" w:space="0" w:color="auto"/>
              <w:right w:val="none" w:sz="0" w:space="0" w:color="auto"/>
            </w:tcBorders>
            <w:shd w:val="clear" w:color="auto" w:fill="auto"/>
            <w:vAlign w:val="center"/>
          </w:tcPr>
          <w:p w14:paraId="67539C74" w14:textId="77777777" w:rsidR="00776154" w:rsidRPr="003F4B16" w:rsidRDefault="00776154" w:rsidP="00E821D5">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cs="Arial"/>
                <w:szCs w:val="20"/>
              </w:rPr>
            </w:pPr>
            <w:r>
              <w:rPr>
                <w:rFonts w:cs="Arial"/>
                <w:szCs w:val="20"/>
              </w:rPr>
              <w:t>32</w:t>
            </w:r>
          </w:p>
        </w:tc>
        <w:tc>
          <w:tcPr>
            <w:tcW w:w="1350" w:type="pct"/>
            <w:tcBorders>
              <w:left w:val="none" w:sz="0" w:space="0" w:color="auto"/>
            </w:tcBorders>
            <w:shd w:val="clear" w:color="auto" w:fill="auto"/>
            <w:vAlign w:val="center"/>
          </w:tcPr>
          <w:p w14:paraId="0DA5F492" w14:textId="77777777" w:rsidR="00776154" w:rsidRPr="003F4B16" w:rsidRDefault="00776154" w:rsidP="00E821D5">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cs="Arial"/>
                <w:szCs w:val="20"/>
              </w:rPr>
            </w:pPr>
            <w:r>
              <w:rPr>
                <w:rFonts w:cs="Arial"/>
                <w:szCs w:val="20"/>
              </w:rPr>
              <w:t>-</w:t>
            </w:r>
          </w:p>
        </w:tc>
      </w:tr>
      <w:tr w:rsidR="00776154" w:rsidRPr="003F4B16" w14:paraId="4105F4A8" w14:textId="77777777" w:rsidTr="00BC5468">
        <w:trPr>
          <w:cnfStyle w:val="000000010000" w:firstRow="0" w:lastRow="0" w:firstColumn="0" w:lastColumn="0" w:oddVBand="0" w:evenVBand="0" w:oddHBand="0" w:evenHBand="1"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1903" w:type="pct"/>
            <w:tcBorders>
              <w:right w:val="none" w:sz="0" w:space="0" w:color="auto"/>
            </w:tcBorders>
            <w:shd w:val="clear" w:color="auto" w:fill="auto"/>
            <w:vAlign w:val="center"/>
          </w:tcPr>
          <w:p w14:paraId="62D67D94" w14:textId="77777777" w:rsidR="00776154" w:rsidRPr="003F4B16" w:rsidRDefault="00776154" w:rsidP="00E821D5">
            <w:pPr>
              <w:keepNext/>
              <w:keepLines/>
              <w:spacing w:before="40" w:after="40"/>
              <w:rPr>
                <w:rFonts w:cs="Arial"/>
                <w:b w:val="0"/>
                <w:bCs w:val="0"/>
                <w:szCs w:val="20"/>
              </w:rPr>
            </w:pPr>
            <w:r>
              <w:rPr>
                <w:rFonts w:cs="Arial"/>
                <w:b w:val="0"/>
                <w:bCs w:val="0"/>
                <w:szCs w:val="20"/>
              </w:rPr>
              <w:t>Phenylalanine</w:t>
            </w:r>
          </w:p>
        </w:tc>
        <w:tc>
          <w:tcPr>
            <w:tcW w:w="1747" w:type="pct"/>
            <w:tcBorders>
              <w:left w:val="none" w:sz="0" w:space="0" w:color="auto"/>
              <w:right w:val="none" w:sz="0" w:space="0" w:color="auto"/>
            </w:tcBorders>
            <w:shd w:val="clear" w:color="auto" w:fill="auto"/>
            <w:vAlign w:val="center"/>
          </w:tcPr>
          <w:p w14:paraId="599C7D91" w14:textId="77777777" w:rsidR="00776154" w:rsidRPr="003F4B16" w:rsidRDefault="00776154" w:rsidP="00E821D5">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cs="Arial"/>
                <w:szCs w:val="20"/>
              </w:rPr>
            </w:pPr>
            <w:r>
              <w:rPr>
                <w:rFonts w:cs="Arial"/>
                <w:szCs w:val="20"/>
              </w:rPr>
              <w:t>17</w:t>
            </w:r>
          </w:p>
        </w:tc>
        <w:tc>
          <w:tcPr>
            <w:tcW w:w="1350" w:type="pct"/>
            <w:tcBorders>
              <w:left w:val="none" w:sz="0" w:space="0" w:color="auto"/>
            </w:tcBorders>
            <w:shd w:val="clear" w:color="auto" w:fill="auto"/>
            <w:vAlign w:val="center"/>
          </w:tcPr>
          <w:p w14:paraId="638A059B" w14:textId="77777777" w:rsidR="00776154" w:rsidRPr="003F4B16" w:rsidRDefault="00776154" w:rsidP="00E821D5">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cs="Arial"/>
                <w:szCs w:val="20"/>
              </w:rPr>
            </w:pPr>
            <w:r>
              <w:rPr>
                <w:rFonts w:cs="Arial"/>
                <w:szCs w:val="20"/>
              </w:rPr>
              <w:t>19</w:t>
            </w:r>
          </w:p>
        </w:tc>
      </w:tr>
      <w:tr w:rsidR="00776154" w:rsidRPr="003F4B16" w14:paraId="3924D21B" w14:textId="77777777" w:rsidTr="00BC5468">
        <w:trPr>
          <w:cnfStyle w:val="000000100000" w:firstRow="0" w:lastRow="0" w:firstColumn="0" w:lastColumn="0" w:oddVBand="0" w:evenVBand="0" w:oddHBand="1" w:evenHBand="0"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1903" w:type="pct"/>
            <w:tcBorders>
              <w:right w:val="none" w:sz="0" w:space="0" w:color="auto"/>
            </w:tcBorders>
            <w:shd w:val="clear" w:color="auto" w:fill="auto"/>
            <w:vAlign w:val="center"/>
          </w:tcPr>
          <w:p w14:paraId="1C87B9B5" w14:textId="77777777" w:rsidR="00776154" w:rsidRPr="003F4B16" w:rsidRDefault="00776154" w:rsidP="00E821D5">
            <w:pPr>
              <w:keepNext/>
              <w:keepLines/>
              <w:spacing w:before="40" w:after="40"/>
              <w:rPr>
                <w:rFonts w:cs="Arial"/>
                <w:b w:val="0"/>
                <w:bCs w:val="0"/>
                <w:szCs w:val="20"/>
              </w:rPr>
            </w:pPr>
            <w:r>
              <w:rPr>
                <w:rFonts w:cs="Arial"/>
                <w:b w:val="0"/>
                <w:bCs w:val="0"/>
                <w:szCs w:val="20"/>
              </w:rPr>
              <w:t>Tyrosine</w:t>
            </w:r>
          </w:p>
        </w:tc>
        <w:tc>
          <w:tcPr>
            <w:tcW w:w="1747" w:type="pct"/>
            <w:tcBorders>
              <w:left w:val="none" w:sz="0" w:space="0" w:color="auto"/>
              <w:right w:val="none" w:sz="0" w:space="0" w:color="auto"/>
            </w:tcBorders>
            <w:shd w:val="clear" w:color="auto" w:fill="auto"/>
            <w:vAlign w:val="center"/>
          </w:tcPr>
          <w:p w14:paraId="1DEC2514" w14:textId="54AF77DD" w:rsidR="00776154" w:rsidRPr="003F4B16" w:rsidRDefault="00776154" w:rsidP="00E821D5">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cs="Arial"/>
                <w:szCs w:val="20"/>
              </w:rPr>
            </w:pPr>
            <w:r>
              <w:rPr>
                <w:rFonts w:cs="Arial"/>
                <w:szCs w:val="20"/>
              </w:rPr>
              <w:t>15 (present by difference)</w:t>
            </w:r>
            <w:r w:rsidR="00F46DE8" w:rsidRPr="00F46DE8">
              <w:rPr>
                <w:rFonts w:cs="Arial"/>
                <w:szCs w:val="20"/>
                <w:vertAlign w:val="superscript"/>
              </w:rPr>
              <w:t>3</w:t>
            </w:r>
          </w:p>
        </w:tc>
        <w:tc>
          <w:tcPr>
            <w:tcW w:w="1350" w:type="pct"/>
            <w:tcBorders>
              <w:left w:val="none" w:sz="0" w:space="0" w:color="auto"/>
            </w:tcBorders>
            <w:shd w:val="clear" w:color="auto" w:fill="auto"/>
            <w:vAlign w:val="center"/>
          </w:tcPr>
          <w:p w14:paraId="07573F52" w14:textId="77777777" w:rsidR="00776154" w:rsidRPr="003F4B16" w:rsidRDefault="00776154" w:rsidP="00E821D5">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cs="Arial"/>
                <w:szCs w:val="20"/>
              </w:rPr>
            </w:pPr>
            <w:r>
              <w:rPr>
                <w:rFonts w:cs="Arial"/>
                <w:szCs w:val="20"/>
              </w:rPr>
              <w:t>18</w:t>
            </w:r>
          </w:p>
        </w:tc>
      </w:tr>
    </w:tbl>
    <w:p w14:paraId="2A1AA8EE" w14:textId="35A5CFC9" w:rsidR="00776154" w:rsidRPr="004D4964" w:rsidRDefault="00776154" w:rsidP="004D4964">
      <w:pPr>
        <w:ind w:left="142" w:hanging="142"/>
        <w:rPr>
          <w:rFonts w:eastAsia="Arial Unicode MS"/>
          <w:i/>
          <w:sz w:val="16"/>
          <w:szCs w:val="16"/>
        </w:rPr>
      </w:pPr>
      <w:r w:rsidRPr="004D4964">
        <w:rPr>
          <w:rFonts w:eastAsia="Arial Unicode MS"/>
          <w:i/>
          <w:sz w:val="16"/>
          <w:szCs w:val="16"/>
          <w:vertAlign w:val="superscript"/>
        </w:rPr>
        <w:t xml:space="preserve">1 </w:t>
      </w:r>
      <w:r w:rsidRPr="004D4964">
        <w:rPr>
          <w:rFonts w:eastAsia="Arial Unicode MS"/>
          <w:i/>
          <w:sz w:val="16"/>
          <w:szCs w:val="16"/>
        </w:rPr>
        <w:t>Values in Annex I of Codex STAN 72-1981, converted to mg/100 kJ using 4.18 and rounding.</w:t>
      </w:r>
    </w:p>
    <w:p w14:paraId="35212FC1" w14:textId="325B9CD8" w:rsidR="00F46DE8" w:rsidRPr="004D4964" w:rsidRDefault="00F46DE8" w:rsidP="004D4964">
      <w:pPr>
        <w:ind w:left="142" w:hanging="142"/>
        <w:rPr>
          <w:rFonts w:eastAsia="Arial Unicode MS"/>
          <w:i/>
          <w:sz w:val="16"/>
          <w:szCs w:val="16"/>
        </w:rPr>
      </w:pPr>
      <w:r w:rsidRPr="004D4964">
        <w:rPr>
          <w:rFonts w:eastAsia="Arial Unicode MS"/>
          <w:i/>
          <w:sz w:val="16"/>
          <w:szCs w:val="16"/>
          <w:vertAlign w:val="superscript"/>
        </w:rPr>
        <w:t>2</w:t>
      </w:r>
      <w:r w:rsidRPr="004D4964">
        <w:rPr>
          <w:rFonts w:eastAsia="Arial Unicode MS"/>
          <w:i/>
          <w:sz w:val="16"/>
          <w:szCs w:val="16"/>
        </w:rPr>
        <w:t xml:space="preserve"> To enable comparison with the Codex level, this is the amount calculated by difference (cysteine, cystine &amp; methionine total minus cysteine &amp; cysteine total).</w:t>
      </w:r>
    </w:p>
    <w:p w14:paraId="7F9CEA4C" w14:textId="7284064F" w:rsidR="00F46DE8" w:rsidRPr="004D4964" w:rsidRDefault="00F46DE8" w:rsidP="004D4964">
      <w:pPr>
        <w:ind w:left="142" w:hanging="142"/>
        <w:rPr>
          <w:rFonts w:eastAsia="Arial Unicode MS"/>
          <w:i/>
          <w:sz w:val="16"/>
          <w:szCs w:val="16"/>
        </w:rPr>
      </w:pPr>
      <w:r w:rsidRPr="004D4964">
        <w:rPr>
          <w:rFonts w:eastAsia="Arial Unicode MS"/>
          <w:i/>
          <w:sz w:val="16"/>
          <w:szCs w:val="16"/>
          <w:vertAlign w:val="superscript"/>
        </w:rPr>
        <w:t xml:space="preserve">3 </w:t>
      </w:r>
      <w:r w:rsidRPr="004D4964">
        <w:rPr>
          <w:rFonts w:eastAsia="Arial Unicode MS"/>
          <w:i/>
          <w:sz w:val="16"/>
          <w:szCs w:val="16"/>
        </w:rPr>
        <w:t>To enable comparison with the Codex level, this is the amount calculated by difference (</w:t>
      </w:r>
      <w:r w:rsidR="002071B2" w:rsidRPr="004D4964">
        <w:rPr>
          <w:rFonts w:eastAsia="Arial Unicode MS"/>
          <w:i/>
          <w:sz w:val="16"/>
          <w:szCs w:val="16"/>
        </w:rPr>
        <w:t>p</w:t>
      </w:r>
      <w:r w:rsidRPr="004D4964">
        <w:rPr>
          <w:rFonts w:eastAsia="Arial Unicode MS"/>
          <w:i/>
          <w:sz w:val="16"/>
          <w:szCs w:val="16"/>
        </w:rPr>
        <w:t xml:space="preserve">henylalanine &amp; tyrosine total minus </w:t>
      </w:r>
      <w:r w:rsidR="002071B2" w:rsidRPr="004D4964">
        <w:rPr>
          <w:rFonts w:eastAsia="Arial Unicode MS"/>
          <w:i/>
          <w:sz w:val="16"/>
          <w:szCs w:val="16"/>
        </w:rPr>
        <w:t>tyrosine).</w:t>
      </w:r>
    </w:p>
    <w:p w14:paraId="5BCF869B" w14:textId="77777777" w:rsidR="00776154" w:rsidRDefault="00776154" w:rsidP="00776154">
      <w:pPr>
        <w:pStyle w:val="Heading4"/>
      </w:pPr>
      <w:r>
        <w:lastRenderedPageBreak/>
        <w:t>Previous consideration</w:t>
      </w:r>
    </w:p>
    <w:p w14:paraId="436BC179" w14:textId="36E866BC" w:rsidR="00776154" w:rsidRPr="00D75275" w:rsidRDefault="00776154" w:rsidP="00776154">
      <w:pPr>
        <w:rPr>
          <w:rFonts w:eastAsia="Arial Unicode MS"/>
          <w:color w:val="000000" w:themeColor="text1"/>
          <w:szCs w:val="22"/>
          <w:lang w:val="en-AU" w:bidi="ar-SA"/>
        </w:rPr>
      </w:pPr>
      <w:r w:rsidRPr="00D75275">
        <w:rPr>
          <w:color w:val="000000" w:themeColor="text1"/>
        </w:rPr>
        <w:t xml:space="preserve">The minimum amounts of amino acids in infant formula are mainly based on ‘typical’ amino acid profiles of breast milk. </w:t>
      </w:r>
      <w:r w:rsidRPr="00D75275">
        <w:rPr>
          <w:rFonts w:eastAsia="Arial Unicode MS"/>
          <w:color w:val="000000" w:themeColor="text1"/>
          <w:szCs w:val="22"/>
          <w:lang w:val="en-AU" w:bidi="ar-SA"/>
        </w:rPr>
        <w:t xml:space="preserve">As noted in the nutrition assessment, </w:t>
      </w:r>
      <w:r w:rsidRPr="00D75275">
        <w:rPr>
          <w:color w:val="000000" w:themeColor="text1"/>
        </w:rPr>
        <w:t>infants may be unable to synthesi</w:t>
      </w:r>
      <w:r w:rsidR="00E33010">
        <w:rPr>
          <w:color w:val="000000" w:themeColor="text1"/>
        </w:rPr>
        <w:t>s</w:t>
      </w:r>
      <w:r w:rsidRPr="00D75275">
        <w:rPr>
          <w:color w:val="000000" w:themeColor="text1"/>
        </w:rPr>
        <w:t xml:space="preserve">e cysteine (or cystine) and tyrosine from their amino acid precursors (methionine and phenylalanine, respectively), thus these amino acids are considered to be semi-essential amino acids for infants and minimum amounts are also set for them. </w:t>
      </w:r>
    </w:p>
    <w:p w14:paraId="17EA1EA5" w14:textId="77777777" w:rsidR="00776154" w:rsidRDefault="00776154" w:rsidP="00776154">
      <w:pPr>
        <w:rPr>
          <w:rFonts w:eastAsia="Arial Unicode MS"/>
          <w:color w:val="000000" w:themeColor="text1"/>
          <w:szCs w:val="22"/>
          <w:lang w:val="en-AU" w:bidi="ar-SA"/>
        </w:rPr>
      </w:pPr>
    </w:p>
    <w:p w14:paraId="321AA998" w14:textId="77777777" w:rsidR="004D4964" w:rsidRDefault="00776154" w:rsidP="00776154">
      <w:pPr>
        <w:rPr>
          <w:rFonts w:eastAsia="Arial Unicode MS"/>
          <w:color w:val="000000" w:themeColor="text1"/>
          <w:szCs w:val="22"/>
          <w:lang w:val="en-AU" w:bidi="ar-SA"/>
        </w:rPr>
      </w:pPr>
      <w:r w:rsidRPr="00D75275">
        <w:rPr>
          <w:rFonts w:eastAsia="Arial Unicode MS"/>
          <w:color w:val="000000" w:themeColor="text1"/>
          <w:szCs w:val="22"/>
          <w:lang w:val="en-AU" w:bidi="ar-SA"/>
        </w:rPr>
        <w:t xml:space="preserve">In 2016 we proposed to align the minimum amounts of isoleucine, leucine, lysine, threonine, tryptophan and valine with Codex STAN 72-1981 as it was considered unlikely </w:t>
      </w:r>
      <w:r>
        <w:rPr>
          <w:rFonts w:eastAsia="Arial Unicode MS"/>
          <w:color w:val="000000" w:themeColor="text1"/>
          <w:szCs w:val="22"/>
          <w:lang w:val="en-AU" w:bidi="ar-SA"/>
        </w:rPr>
        <w:t xml:space="preserve">to pose a risk to infant health. </w:t>
      </w:r>
    </w:p>
    <w:p w14:paraId="060DDEE0" w14:textId="77777777" w:rsidR="004D4964" w:rsidRDefault="004D4964" w:rsidP="00776154">
      <w:pPr>
        <w:rPr>
          <w:rFonts w:eastAsia="Arial Unicode MS"/>
          <w:color w:val="000000" w:themeColor="text1"/>
          <w:szCs w:val="22"/>
          <w:lang w:val="en-AU" w:bidi="ar-SA"/>
        </w:rPr>
      </w:pPr>
    </w:p>
    <w:p w14:paraId="6A73CDB6" w14:textId="3297D688" w:rsidR="007C10BA" w:rsidRPr="007C10BA" w:rsidRDefault="006E6FEB" w:rsidP="00776154">
      <w:pPr>
        <w:rPr>
          <w:sz w:val="32"/>
        </w:rPr>
      </w:pPr>
      <w:r>
        <w:rPr>
          <w:rFonts w:eastAsia="Arial Unicode MS"/>
          <w:color w:val="000000" w:themeColor="text1"/>
          <w:szCs w:val="22"/>
          <w:lang w:val="en-AU" w:bidi="ar-SA"/>
        </w:rPr>
        <w:t xml:space="preserve">The current </w:t>
      </w:r>
      <w:r w:rsidR="00776154" w:rsidRPr="00D75275">
        <w:rPr>
          <w:rFonts w:eastAsia="Arial Unicode MS"/>
          <w:color w:val="000000" w:themeColor="text1"/>
          <w:szCs w:val="22"/>
          <w:lang w:val="en-AU" w:bidi="ar-SA"/>
        </w:rPr>
        <w:t xml:space="preserve">expression for SAA and AAA in specifying the minimum for </w:t>
      </w:r>
      <w:r w:rsidR="00213CD7">
        <w:rPr>
          <w:rFonts w:eastAsia="Arial Unicode MS"/>
          <w:color w:val="000000" w:themeColor="text1"/>
          <w:szCs w:val="22"/>
          <w:lang w:val="en-AU" w:bidi="ar-SA"/>
        </w:rPr>
        <w:t>cyst</w:t>
      </w:r>
      <w:r>
        <w:rPr>
          <w:rFonts w:eastAsia="Arial Unicode MS"/>
          <w:color w:val="000000" w:themeColor="text1"/>
          <w:szCs w:val="22"/>
          <w:lang w:val="en-AU" w:bidi="ar-SA"/>
        </w:rPr>
        <w:t>e</w:t>
      </w:r>
      <w:r w:rsidR="00213CD7">
        <w:rPr>
          <w:rFonts w:eastAsia="Arial Unicode MS"/>
          <w:color w:val="000000" w:themeColor="text1"/>
          <w:szCs w:val="22"/>
          <w:lang w:val="en-AU" w:bidi="ar-SA"/>
        </w:rPr>
        <w:t>ine</w:t>
      </w:r>
      <w:r w:rsidR="004D4964">
        <w:rPr>
          <w:rFonts w:eastAsia="Arial Unicode MS"/>
          <w:color w:val="000000" w:themeColor="text1"/>
          <w:szCs w:val="22"/>
          <w:lang w:val="en-AU" w:bidi="ar-SA"/>
        </w:rPr>
        <w:t xml:space="preserve"> (including both forms cysteine and cystine)</w:t>
      </w:r>
      <w:r w:rsidR="00213CD7" w:rsidRPr="00D75275">
        <w:rPr>
          <w:rFonts w:eastAsia="Arial Unicode MS"/>
          <w:color w:val="000000" w:themeColor="text1"/>
          <w:szCs w:val="22"/>
          <w:lang w:val="en-AU" w:bidi="ar-SA"/>
        </w:rPr>
        <w:t xml:space="preserve"> </w:t>
      </w:r>
      <w:r w:rsidR="00776154" w:rsidRPr="00D75275">
        <w:rPr>
          <w:rFonts w:eastAsia="Arial Unicode MS"/>
          <w:color w:val="000000" w:themeColor="text1"/>
          <w:szCs w:val="22"/>
          <w:lang w:val="en-AU" w:bidi="ar-SA"/>
        </w:rPr>
        <w:t xml:space="preserve">and </w:t>
      </w:r>
      <w:r w:rsidR="00213CD7">
        <w:rPr>
          <w:rFonts w:eastAsia="Arial Unicode MS"/>
          <w:color w:val="000000" w:themeColor="text1"/>
          <w:szCs w:val="22"/>
          <w:lang w:val="en-AU" w:bidi="ar-SA"/>
        </w:rPr>
        <w:t>phenylalanine</w:t>
      </w:r>
      <w:r w:rsidR="00213CD7" w:rsidRPr="00D75275">
        <w:rPr>
          <w:rFonts w:eastAsia="Arial Unicode MS"/>
          <w:color w:val="000000" w:themeColor="text1"/>
          <w:szCs w:val="22"/>
          <w:lang w:val="en-AU" w:bidi="ar-SA"/>
        </w:rPr>
        <w:t xml:space="preserve"> </w:t>
      </w:r>
      <w:r w:rsidR="00776154" w:rsidRPr="00D75275">
        <w:rPr>
          <w:rFonts w:eastAsia="Arial Unicode MS"/>
          <w:color w:val="000000" w:themeColor="text1"/>
          <w:szCs w:val="22"/>
          <w:lang w:val="en-AU" w:bidi="ar-SA"/>
        </w:rPr>
        <w:t>and the summed values of SAA</w:t>
      </w:r>
      <w:r w:rsidR="00776154">
        <w:rPr>
          <w:rFonts w:eastAsia="Arial Unicode MS"/>
          <w:color w:val="000000" w:themeColor="text1"/>
          <w:szCs w:val="22"/>
          <w:lang w:val="en-AU" w:bidi="ar-SA"/>
        </w:rPr>
        <w:t xml:space="preserve"> and AAA</w:t>
      </w:r>
      <w:r>
        <w:rPr>
          <w:rFonts w:eastAsia="Arial Unicode MS"/>
          <w:color w:val="000000" w:themeColor="text1"/>
          <w:szCs w:val="22"/>
          <w:lang w:val="en-AU" w:bidi="ar-SA"/>
        </w:rPr>
        <w:t xml:space="preserve"> was proposed to be </w:t>
      </w:r>
      <w:r w:rsidR="004D4964">
        <w:rPr>
          <w:rFonts w:eastAsia="Arial Unicode MS"/>
          <w:color w:val="000000" w:themeColor="text1"/>
          <w:szCs w:val="22"/>
          <w:lang w:val="en-AU" w:bidi="ar-SA"/>
        </w:rPr>
        <w:t>re</w:t>
      </w:r>
      <w:r>
        <w:rPr>
          <w:rFonts w:eastAsia="Arial Unicode MS"/>
          <w:color w:val="000000" w:themeColor="text1"/>
          <w:szCs w:val="22"/>
          <w:lang w:val="en-AU" w:bidi="ar-SA"/>
        </w:rPr>
        <w:t xml:space="preserve">tained </w:t>
      </w:r>
      <w:r w:rsidR="00776154">
        <w:rPr>
          <w:rFonts w:eastAsia="Arial Unicode MS"/>
          <w:color w:val="000000" w:themeColor="text1"/>
          <w:szCs w:val="22"/>
          <w:lang w:val="en-AU" w:bidi="ar-SA"/>
        </w:rPr>
        <w:t xml:space="preserve">on the basis that the </w:t>
      </w:r>
      <w:r w:rsidR="00776154" w:rsidRPr="00D75275">
        <w:rPr>
          <w:rFonts w:eastAsia="Arial Unicode MS"/>
          <w:color w:val="000000" w:themeColor="text1"/>
          <w:szCs w:val="22"/>
          <w:lang w:val="en-AU" w:bidi="ar-SA"/>
        </w:rPr>
        <w:t xml:space="preserve">expression is clear and not subject to possible misinterpretation. </w:t>
      </w:r>
      <w:r w:rsidR="004D4964">
        <w:rPr>
          <w:rFonts w:eastAsia="Arial Unicode MS"/>
          <w:color w:val="000000" w:themeColor="text1"/>
          <w:szCs w:val="22"/>
          <w:lang w:val="en-AU" w:bidi="ar-SA"/>
        </w:rPr>
        <w:t xml:space="preserve">Accordingly, </w:t>
      </w:r>
      <w:r w:rsidR="00776154" w:rsidRPr="00D75275">
        <w:rPr>
          <w:rFonts w:eastAsia="Arial Unicode MS"/>
          <w:color w:val="000000" w:themeColor="text1"/>
          <w:szCs w:val="22"/>
          <w:lang w:val="en-AU" w:bidi="ar-SA"/>
        </w:rPr>
        <w:t xml:space="preserve">the current minimums for </w:t>
      </w:r>
      <w:r w:rsidR="004D4964">
        <w:rPr>
          <w:rFonts w:eastAsia="Arial Unicode MS"/>
          <w:color w:val="000000" w:themeColor="text1"/>
          <w:szCs w:val="22"/>
          <w:lang w:val="en-AU" w:bidi="ar-SA"/>
        </w:rPr>
        <w:t xml:space="preserve">total </w:t>
      </w:r>
      <w:r w:rsidR="00776154" w:rsidRPr="00D75275">
        <w:rPr>
          <w:rFonts w:eastAsia="Arial Unicode MS"/>
          <w:color w:val="000000" w:themeColor="text1"/>
          <w:szCs w:val="22"/>
          <w:lang w:val="en-AU" w:bidi="ar-SA"/>
        </w:rPr>
        <w:t>SAA and AAA</w:t>
      </w:r>
      <w:r w:rsidR="004D4964">
        <w:rPr>
          <w:rFonts w:eastAsia="Arial Unicode MS"/>
          <w:color w:val="000000" w:themeColor="text1"/>
          <w:szCs w:val="22"/>
          <w:lang w:val="en-AU" w:bidi="ar-SA"/>
        </w:rPr>
        <w:t xml:space="preserve"> was also rposed to be retained</w:t>
      </w:r>
      <w:r w:rsidR="00776154" w:rsidRPr="00D75275">
        <w:rPr>
          <w:rFonts w:eastAsia="Arial Unicode MS"/>
          <w:color w:val="000000" w:themeColor="text1"/>
          <w:szCs w:val="22"/>
          <w:lang w:val="en-AU" w:bidi="ar-SA"/>
        </w:rPr>
        <w:t xml:space="preserve">. </w:t>
      </w:r>
    </w:p>
    <w:p w14:paraId="0698E485" w14:textId="07B8C3F9" w:rsidR="00776154" w:rsidRDefault="00143572" w:rsidP="00776154">
      <w:pPr>
        <w:pStyle w:val="Heading4"/>
      </w:pPr>
      <w:r>
        <w:t>Stakeholder views</w:t>
      </w:r>
    </w:p>
    <w:p w14:paraId="32838767" w14:textId="6AA974CE" w:rsidR="00776154" w:rsidRDefault="00776154" w:rsidP="00776154">
      <w:pPr>
        <w:rPr>
          <w:lang w:val="en-AU"/>
        </w:rPr>
      </w:pPr>
      <w:r>
        <w:t>Nine submitters (</w:t>
      </w:r>
      <w:r w:rsidR="00213CD7">
        <w:t>one</w:t>
      </w:r>
      <w:r>
        <w:t xml:space="preserve"> government, </w:t>
      </w:r>
      <w:r w:rsidR="00213CD7">
        <w:t>eight</w:t>
      </w:r>
      <w:r>
        <w:t xml:space="preserve"> industry) commented on amino acid minimum amounts. All agreed with FSANZ’s preliminary view to align with Codex STAN 72-1981 for </w:t>
      </w:r>
      <w:r w:rsidRPr="00D75275">
        <w:rPr>
          <w:lang w:val="en-AU"/>
        </w:rPr>
        <w:t>isoleucine, leucine, lysine, threonine, tryptophan and valine</w:t>
      </w:r>
      <w:r>
        <w:rPr>
          <w:lang w:val="en-AU"/>
        </w:rPr>
        <w:t>. However, all disagreed with the preliminary view to retain the current requirements for SAA and AAA as set in Standard 2.9.1</w:t>
      </w:r>
      <w:r w:rsidR="004D4964">
        <w:rPr>
          <w:lang w:val="en-AU"/>
        </w:rPr>
        <w:t xml:space="preserve"> (</w:t>
      </w:r>
      <w:r w:rsidR="004D4964">
        <w:rPr>
          <w:color w:val="000000" w:themeColor="text1"/>
          <w:lang w:val="en-AU"/>
        </w:rPr>
        <w:t>S29—6)</w:t>
      </w:r>
      <w:r w:rsidR="004D4964">
        <w:rPr>
          <w:lang w:val="en-AU"/>
        </w:rPr>
        <w:t xml:space="preserve"> and instead</w:t>
      </w:r>
      <w:r>
        <w:rPr>
          <w:lang w:val="en-AU"/>
        </w:rPr>
        <w:t xml:space="preserve"> supported the alignment with Codex STAN 72-1981 for SAA and AAA.  </w:t>
      </w:r>
    </w:p>
    <w:p w14:paraId="7AEE4006" w14:textId="5EE758C6" w:rsidR="00776154" w:rsidRDefault="00213CD7" w:rsidP="00776154">
      <w:pPr>
        <w:pStyle w:val="Heading4"/>
      </w:pPr>
      <w:r>
        <w:t>Nutrition r</w:t>
      </w:r>
      <w:r w:rsidR="00776154">
        <w:t xml:space="preserve">isk assessment </w:t>
      </w:r>
    </w:p>
    <w:p w14:paraId="211B1C92" w14:textId="3E53CACE" w:rsidR="00776154" w:rsidRPr="00D75275" w:rsidRDefault="00776154" w:rsidP="00776154">
      <w:pPr>
        <w:rPr>
          <w:color w:val="000000" w:themeColor="text1"/>
        </w:rPr>
      </w:pPr>
      <w:r w:rsidRPr="00D75275">
        <w:rPr>
          <w:color w:val="000000" w:themeColor="text1"/>
        </w:rPr>
        <w:t xml:space="preserve">No further </w:t>
      </w:r>
      <w:r w:rsidR="00213CD7">
        <w:rPr>
          <w:color w:val="000000" w:themeColor="text1"/>
        </w:rPr>
        <w:t xml:space="preserve">nutrition </w:t>
      </w:r>
      <w:r w:rsidRPr="00D75275">
        <w:rPr>
          <w:color w:val="000000" w:themeColor="text1"/>
        </w:rPr>
        <w:t>risk assessment was considered for this issue.</w:t>
      </w:r>
    </w:p>
    <w:p w14:paraId="2823C038" w14:textId="77777777" w:rsidR="00776154" w:rsidRDefault="00776154" w:rsidP="00776154">
      <w:pPr>
        <w:pStyle w:val="Heading4"/>
      </w:pPr>
      <w:r>
        <w:t>Options and discussion</w:t>
      </w:r>
    </w:p>
    <w:p w14:paraId="7E91DA24" w14:textId="67B79714" w:rsidR="00776154" w:rsidRDefault="00776154" w:rsidP="00776154">
      <w:r w:rsidRPr="00A83E2B">
        <w:t xml:space="preserve">Summed amounts of SAA and AAA are specified in Standard 2.9.1 </w:t>
      </w:r>
      <w:r w:rsidR="004D4964">
        <w:t>(</w:t>
      </w:r>
      <w:r w:rsidR="004D4964">
        <w:rPr>
          <w:color w:val="000000" w:themeColor="text1"/>
          <w:lang w:val="en-AU"/>
        </w:rPr>
        <w:t xml:space="preserve">S29—6 ) </w:t>
      </w:r>
      <w:r w:rsidRPr="00A83E2B">
        <w:t>because at the t</w:t>
      </w:r>
      <w:r>
        <w:t xml:space="preserve">ime the standard was developed </w:t>
      </w:r>
      <w:r w:rsidRPr="00A83E2B">
        <w:t xml:space="preserve">concentrations of these in human milk had not been measured individually. </w:t>
      </w:r>
      <w:r>
        <w:t xml:space="preserve">Minimum amino acids amounts in Codex STAN 72-1981 were based on the findings of the SCF 2003 where </w:t>
      </w:r>
      <w:r w:rsidR="0070513E">
        <w:t xml:space="preserve">concentrations of </w:t>
      </w:r>
      <w:r>
        <w:t>methionine</w:t>
      </w:r>
      <w:r w:rsidR="0070513E">
        <w:t>,</w:t>
      </w:r>
      <w:r>
        <w:t xml:space="preserve"> cysteine</w:t>
      </w:r>
      <w:r w:rsidR="0070513E">
        <w:t>,</w:t>
      </w:r>
      <w:r w:rsidR="004F3872">
        <w:t xml:space="preserve"> </w:t>
      </w:r>
      <w:r>
        <w:t>tyrosine and phenylalanine</w:t>
      </w:r>
      <w:r w:rsidR="0070513E">
        <w:t xml:space="preserve"> in</w:t>
      </w:r>
      <w:r>
        <w:t xml:space="preserve"> human milk were determined individually</w:t>
      </w:r>
      <w:r w:rsidR="0070513E">
        <w:t xml:space="preserve"> rather than grouped as SAA and AAA</w:t>
      </w:r>
      <w:r>
        <w:t xml:space="preserve">. A recent systematic review reported amino acid concentrations in human milk that were consistent with the SCF 2003 findings </w:t>
      </w:r>
      <w:r>
        <w:rPr>
          <w:lang w:val="en-AU"/>
        </w:rPr>
        <w:t>(</w:t>
      </w:r>
      <w:r w:rsidR="0068482E">
        <w:rPr>
          <w:szCs w:val="22"/>
        </w:rPr>
        <w:t>Zhang et al.</w:t>
      </w:r>
      <w:r>
        <w:rPr>
          <w:szCs w:val="22"/>
        </w:rPr>
        <w:t xml:space="preserve"> 2013)</w:t>
      </w:r>
      <w:r>
        <w:rPr>
          <w:lang w:val="en-AU"/>
        </w:rPr>
        <w:t xml:space="preserve">. On the basis of this review, EFSA </w:t>
      </w:r>
      <w:r w:rsidR="00056097">
        <w:rPr>
          <w:lang w:val="en-AU"/>
        </w:rPr>
        <w:t>(</w:t>
      </w:r>
      <w:r>
        <w:rPr>
          <w:lang w:val="en-AU"/>
        </w:rPr>
        <w:t>2014</w:t>
      </w:r>
      <w:r w:rsidR="00056097">
        <w:rPr>
          <w:lang w:val="en-AU"/>
        </w:rPr>
        <w:t>b)</w:t>
      </w:r>
      <w:r>
        <w:rPr>
          <w:lang w:val="en-AU"/>
        </w:rPr>
        <w:t xml:space="preserve"> recommended amino acid concentration</w:t>
      </w:r>
      <w:r w:rsidR="002616F7">
        <w:rPr>
          <w:lang w:val="en-AU"/>
        </w:rPr>
        <w:t>s</w:t>
      </w:r>
      <w:r>
        <w:rPr>
          <w:lang w:val="en-AU"/>
        </w:rPr>
        <w:t xml:space="preserve"> that were closely correlated with Codex STAN 72-1981. These amounts were adopted into </w:t>
      </w:r>
      <w:r w:rsidR="002616F7">
        <w:t>EU 2016/127</w:t>
      </w:r>
      <w:r>
        <w:rPr>
          <w:lang w:val="en-AU"/>
        </w:rPr>
        <w:t xml:space="preserve">.   </w:t>
      </w:r>
    </w:p>
    <w:p w14:paraId="3C6A80F4" w14:textId="77777777" w:rsidR="00776154" w:rsidRDefault="00776154" w:rsidP="00776154"/>
    <w:p w14:paraId="5CE1DD71" w14:textId="7CF3B7B1" w:rsidR="00776154" w:rsidRDefault="00776154" w:rsidP="00776154">
      <w:r>
        <w:t>Summed amounts of SAA and AAA may still be used by manufacturers. Therefore, Codex and EU 2016</w:t>
      </w:r>
      <w:r w:rsidR="0070513E">
        <w:t>/127</w:t>
      </w:r>
      <w:r>
        <w:t xml:space="preserve"> also </w:t>
      </w:r>
      <w:r w:rsidR="004D4964">
        <w:t xml:space="preserve">require </w:t>
      </w:r>
      <w:r>
        <w:t>(as a footnote) that the ratio</w:t>
      </w:r>
      <w:r w:rsidR="0070513E">
        <w:t>s</w:t>
      </w:r>
      <w:r>
        <w:t xml:space="preserve"> of met</w:t>
      </w:r>
      <w:r w:rsidR="0070513E">
        <w:t xml:space="preserve">hionine to </w:t>
      </w:r>
      <w:r>
        <w:t>cys</w:t>
      </w:r>
      <w:r w:rsidR="0070513E">
        <w:t>teine</w:t>
      </w:r>
      <w:r>
        <w:t xml:space="preserve"> and </w:t>
      </w:r>
      <w:r w:rsidR="0070513E">
        <w:t>tyrosine to phenylalanine</w:t>
      </w:r>
      <w:r>
        <w:t xml:space="preserve"> must </w:t>
      </w:r>
      <w:r w:rsidR="0070513E">
        <w:t xml:space="preserve">both </w:t>
      </w:r>
      <w:r>
        <w:t xml:space="preserve">be less than 2:1. This is to ensure that the amino acid composition remains closely aligned with human milk composition. FSANZ notes that the wording of the footnote in </w:t>
      </w:r>
      <w:r w:rsidR="00C73A77">
        <w:t xml:space="preserve">EU 2016/127 </w:t>
      </w:r>
      <w:r>
        <w:t>has been clarified to read:</w:t>
      </w:r>
    </w:p>
    <w:p w14:paraId="5FF918DB" w14:textId="77777777" w:rsidR="00776154" w:rsidRDefault="00776154" w:rsidP="00776154"/>
    <w:p w14:paraId="723B7D78" w14:textId="53CD7573" w:rsidR="00776154" w:rsidRPr="00544BB2" w:rsidRDefault="00776154" w:rsidP="00544BB2">
      <w:pPr>
        <w:ind w:left="426"/>
        <w:rPr>
          <w:szCs w:val="22"/>
        </w:rPr>
      </w:pPr>
      <w:r w:rsidRPr="00544BB2">
        <w:rPr>
          <w:szCs w:val="22"/>
        </w:rPr>
        <w:t>“</w:t>
      </w:r>
      <w:r w:rsidRPr="00544BB2">
        <w:rPr>
          <w:i/>
          <w:szCs w:val="22"/>
        </w:rPr>
        <w:t>For an equal energy value, infant formula manufactured from cows' milk or goats' milk proteins must contain an available quantity of each indispensable and conditionally indispensable amino acid at least equal to that contained in the reference protein as set out in Section A of Annex III. Nevertheless</w:t>
      </w:r>
      <w:r w:rsidR="00544BB2">
        <w:rPr>
          <w:i/>
          <w:szCs w:val="22"/>
        </w:rPr>
        <w:t xml:space="preserve">, for calculation purposes, the </w:t>
      </w:r>
      <w:r w:rsidRPr="00544BB2">
        <w:rPr>
          <w:i/>
          <w:szCs w:val="22"/>
        </w:rPr>
        <w:t>concentration of methionine and cysteine may be added together if the methionine:cysteine ratio is not greater than 2, and the concentration of phenylalanine and tyrosine may be added together if the tyrosine:phenylalanine ratio is not greater than 2</w:t>
      </w:r>
      <w:r w:rsidRPr="00544BB2">
        <w:rPr>
          <w:szCs w:val="22"/>
        </w:rPr>
        <w:t>.”</w:t>
      </w:r>
    </w:p>
    <w:p w14:paraId="6F4964B8" w14:textId="77777777" w:rsidR="00776154" w:rsidRDefault="00776154" w:rsidP="00776154"/>
    <w:p w14:paraId="6DA9D80F" w14:textId="2A996D55" w:rsidR="00776154" w:rsidRDefault="0070513E" w:rsidP="00776154">
      <w:r>
        <w:t xml:space="preserve">EU 2016/127 </w:t>
      </w:r>
      <w:r w:rsidR="00776154">
        <w:t xml:space="preserve">strengthens the requirement the individual minimum amounts for each amino acid must be met. In addition, as pointed out by submitters, the Codex standard is aligned with the most recent research on human milk composition and that </w:t>
      </w:r>
      <w:r>
        <w:t xml:space="preserve">compliance with the </w:t>
      </w:r>
      <w:r w:rsidR="00702F16">
        <w:rPr>
          <w:color w:val="000000" w:themeColor="text1"/>
          <w:lang w:val="en-AU"/>
        </w:rPr>
        <w:t xml:space="preserve">S29—6 </w:t>
      </w:r>
      <w:r w:rsidR="00776154">
        <w:t xml:space="preserve">could lead to a ratio of </w:t>
      </w:r>
      <w:r>
        <w:t>methionine to cysteine</w:t>
      </w:r>
      <w:r w:rsidR="00776154">
        <w:t xml:space="preserve"> that exceeds 2.</w:t>
      </w:r>
      <w:r w:rsidR="00776154">
        <w:rPr>
          <w:rStyle w:val="FootnoteReference"/>
        </w:rPr>
        <w:footnoteReference w:id="7"/>
      </w:r>
      <w:r w:rsidR="00776154">
        <w:t xml:space="preserve"> </w:t>
      </w:r>
    </w:p>
    <w:p w14:paraId="27D2A2F9" w14:textId="191138A9" w:rsidR="00776154" w:rsidRDefault="00776154" w:rsidP="00776154">
      <w:pPr>
        <w:pStyle w:val="Heading4"/>
      </w:pPr>
      <w:r>
        <w:t xml:space="preserve">Proposed </w:t>
      </w:r>
      <w:r w:rsidR="00C30BAC">
        <w:t>approach</w:t>
      </w:r>
    </w:p>
    <w:p w14:paraId="56C2F71C" w14:textId="268FB39B" w:rsidR="00776154" w:rsidRDefault="00776154" w:rsidP="00776154">
      <w:r>
        <w:t xml:space="preserve">FSANZ proposes to align the minimum amounts of </w:t>
      </w:r>
      <w:r w:rsidR="00C36AB6">
        <w:t xml:space="preserve">all </w:t>
      </w:r>
      <w:r>
        <w:t>amino acids with Codex STA</w:t>
      </w:r>
      <w:r w:rsidR="00C36AB6">
        <w:t>N 72-1981. Regarding SAA and AAA, the added requirement</w:t>
      </w:r>
      <w:r w:rsidR="00702F16">
        <w:t xml:space="preserve">s to define </w:t>
      </w:r>
      <w:r>
        <w:t xml:space="preserve">ratios of </w:t>
      </w:r>
      <w:r w:rsidR="0070513E">
        <w:t>methionine to cysteine</w:t>
      </w:r>
      <w:r>
        <w:t xml:space="preserve"> and </w:t>
      </w:r>
      <w:r w:rsidR="0070513E">
        <w:t>tyrosine to phenylalanine</w:t>
      </w:r>
      <w:r>
        <w:t xml:space="preserve"> </w:t>
      </w:r>
      <w:r w:rsidR="00C36AB6">
        <w:t xml:space="preserve">is proposed to be </w:t>
      </w:r>
      <w:r>
        <w:t>included in Schedule 29 as a condition</w:t>
      </w:r>
      <w:r w:rsidR="00702F16">
        <w:t xml:space="preserve"> (for example, see EU 2016/127 above)</w:t>
      </w:r>
      <w:r>
        <w:t>.</w:t>
      </w:r>
    </w:p>
    <w:p w14:paraId="108EC00C" w14:textId="77777777" w:rsidR="00776154" w:rsidRDefault="00776154" w:rsidP="00776154"/>
    <w:p w14:paraId="4F6A3BCA" w14:textId="2CA94FE0" w:rsidR="00776154" w:rsidRPr="00DF52AD" w:rsidRDefault="00BB6C7B" w:rsidP="00776154">
      <w:pPr>
        <w:pStyle w:val="Heading1"/>
      </w:pPr>
      <w:bookmarkStart w:id="217" w:name="_Toc437858778"/>
      <w:bookmarkStart w:id="218" w:name="_Toc440462449"/>
      <w:bookmarkStart w:id="219" w:name="_Toc440470846"/>
      <w:bookmarkStart w:id="220" w:name="_Toc73455621"/>
      <w:bookmarkStart w:id="221" w:name="_Toc73624894"/>
      <w:bookmarkStart w:id="222" w:name="_Toc76138278"/>
      <w:bookmarkStart w:id="223" w:name="_Toc432434649"/>
      <w:r>
        <w:t>5</w:t>
      </w:r>
      <w:r w:rsidR="00776154" w:rsidRPr="00DF52AD">
        <w:tab/>
        <w:t>Fat</w:t>
      </w:r>
      <w:bookmarkEnd w:id="217"/>
      <w:bookmarkEnd w:id="218"/>
      <w:bookmarkEnd w:id="219"/>
      <w:bookmarkEnd w:id="220"/>
      <w:bookmarkEnd w:id="221"/>
      <w:bookmarkEnd w:id="222"/>
    </w:p>
    <w:p w14:paraId="39848D66" w14:textId="6237D6FE" w:rsidR="00776154" w:rsidRPr="00375BC9" w:rsidRDefault="00776154" w:rsidP="00776154">
      <w:pPr>
        <w:rPr>
          <w:szCs w:val="22"/>
        </w:rPr>
      </w:pPr>
      <w:r w:rsidRPr="00375BC9">
        <w:t>Fat (or lipids) are the main e</w:t>
      </w:r>
      <w:r>
        <w:t>nergy source in infant formula.</w:t>
      </w:r>
    </w:p>
    <w:bookmarkEnd w:id="223"/>
    <w:p w14:paraId="2D3153CE" w14:textId="77777777" w:rsidR="00776154" w:rsidRPr="00375BC9" w:rsidRDefault="00776154" w:rsidP="00776154">
      <w:pPr>
        <w:rPr>
          <w:szCs w:val="22"/>
        </w:rPr>
      </w:pPr>
    </w:p>
    <w:p w14:paraId="5868BFD4" w14:textId="3B486A8F" w:rsidR="00776154" w:rsidRPr="00375BC9" w:rsidRDefault="00776154" w:rsidP="00776154">
      <w:r>
        <w:t xml:space="preserve">Current compositional requirements of fat and fatty acids in infant formula and </w:t>
      </w:r>
      <w:r w:rsidR="0070513E">
        <w:t>FOF</w:t>
      </w:r>
      <w:r>
        <w:t xml:space="preserve"> are provided mainly in s</w:t>
      </w:r>
      <w:r w:rsidRPr="00375BC9">
        <w:t xml:space="preserve">ections 9 and 11 in Standard 2.9.1 </w:t>
      </w:r>
      <w:r>
        <w:t>and section S29–8 in Schedule 29 of the Code, which set the following</w:t>
      </w:r>
      <w:r w:rsidRPr="00375BC9">
        <w:t>:</w:t>
      </w:r>
    </w:p>
    <w:p w14:paraId="4594187C" w14:textId="1A13A59D" w:rsidR="00776154" w:rsidRPr="001F7FC9" w:rsidRDefault="00776154" w:rsidP="00776154">
      <w:pPr>
        <w:pStyle w:val="FSBullet"/>
        <w:ind w:left="567" w:hanging="567"/>
      </w:pPr>
      <w:r w:rsidRPr="00E56124">
        <w:t xml:space="preserve">mandatory minimum and maximum </w:t>
      </w:r>
      <w:r>
        <w:t xml:space="preserve">content </w:t>
      </w:r>
      <w:r w:rsidRPr="00E56124">
        <w:t>requirements for fat and the essential fatty acids</w:t>
      </w:r>
      <w:r>
        <w:t>;</w:t>
      </w:r>
      <w:r w:rsidRPr="00E56124">
        <w:t xml:space="preserve"> linoleic acid (LA) and α-linolenic acid (ALA) </w:t>
      </w:r>
    </w:p>
    <w:p w14:paraId="5D7C192C" w14:textId="77777777" w:rsidR="00776154" w:rsidRPr="001F7FC9" w:rsidRDefault="00776154" w:rsidP="00776154">
      <w:pPr>
        <w:pStyle w:val="FSBullet"/>
        <w:ind w:left="567" w:hanging="567"/>
      </w:pPr>
      <w:r w:rsidRPr="001F7FC9">
        <w:t>maximum limits and certain ratios for long chain polyunsaturated fatty acids (LC-PUFA)</w:t>
      </w:r>
    </w:p>
    <w:p w14:paraId="7CDE9BCD" w14:textId="6D96A091" w:rsidR="00776154" w:rsidRPr="001F7FC9" w:rsidRDefault="00776154" w:rsidP="00776154">
      <w:pPr>
        <w:pStyle w:val="FSBullet"/>
        <w:ind w:left="567" w:hanging="567"/>
      </w:pPr>
      <w:r w:rsidRPr="001F7FC9">
        <w:t>limit</w:t>
      </w:r>
      <w:r w:rsidR="0070513E">
        <w:t>s on</w:t>
      </w:r>
      <w:r w:rsidRPr="001F7FC9">
        <w:t xml:space="preserve"> the presence of various other fatty acids.</w:t>
      </w:r>
    </w:p>
    <w:p w14:paraId="030BFA1E" w14:textId="77777777" w:rsidR="00776154" w:rsidRPr="00E56124" w:rsidRDefault="00776154" w:rsidP="00776154">
      <w:pPr>
        <w:rPr>
          <w:color w:val="0070C0"/>
          <w:lang w:eastAsia="en-AU"/>
        </w:rPr>
      </w:pPr>
    </w:p>
    <w:p w14:paraId="7D870113" w14:textId="2F25D55D" w:rsidR="00776154" w:rsidRDefault="00776154" w:rsidP="00776154">
      <w:pPr>
        <w:rPr>
          <w:lang w:eastAsia="en-AU"/>
        </w:rPr>
      </w:pPr>
      <w:r>
        <w:rPr>
          <w:lang w:eastAsia="en-AU"/>
        </w:rPr>
        <w:t xml:space="preserve">Both </w:t>
      </w:r>
      <w:r w:rsidRPr="00B00966">
        <w:rPr>
          <w:lang w:eastAsia="en-AU"/>
        </w:rPr>
        <w:t xml:space="preserve">Codex STAN 72-1981 and EU 2016/127 specify </w:t>
      </w:r>
      <w:r w:rsidRPr="00B00966">
        <w:t>mandatory requirements for fat and the essential fatty acids, includ</w:t>
      </w:r>
      <w:r>
        <w:t>ing</w:t>
      </w:r>
      <w:r w:rsidRPr="00B00966">
        <w:t xml:space="preserve"> </w:t>
      </w:r>
      <w:r w:rsidRPr="00B00966">
        <w:rPr>
          <w:lang w:eastAsia="en-AU"/>
        </w:rPr>
        <w:t xml:space="preserve">specific requirements for certain fatty acids, </w:t>
      </w:r>
      <w:r w:rsidRPr="00B00966">
        <w:t>limits on the presence of</w:t>
      </w:r>
      <w:r w:rsidRPr="00B00966">
        <w:rPr>
          <w:lang w:eastAsia="en-AU"/>
        </w:rPr>
        <w:t xml:space="preserve"> saturated fats and phospholipids.</w:t>
      </w:r>
      <w:r>
        <w:rPr>
          <w:lang w:eastAsia="en-AU"/>
        </w:rPr>
        <w:t xml:space="preserve"> These requirements are, in general, similar to those currently provided in the Code. </w:t>
      </w:r>
    </w:p>
    <w:p w14:paraId="3F412E3D" w14:textId="77777777" w:rsidR="00776154" w:rsidRDefault="00776154" w:rsidP="00776154">
      <w:pPr>
        <w:rPr>
          <w:lang w:eastAsia="en-AU"/>
        </w:rPr>
      </w:pPr>
    </w:p>
    <w:p w14:paraId="4297C023" w14:textId="48DD0E79" w:rsidR="00776154" w:rsidRDefault="00776154" w:rsidP="00776154">
      <w:pPr>
        <w:rPr>
          <w:lang w:eastAsia="en-AU"/>
        </w:rPr>
      </w:pPr>
      <w:r>
        <w:rPr>
          <w:lang w:eastAsia="en-AU"/>
        </w:rPr>
        <w:t>The issues related to each aspect of the regulation of lipids and fatty acid are discussed in the following sections. This includes what was proposed in the 2016 C</w:t>
      </w:r>
      <w:r w:rsidR="0070513E">
        <w:rPr>
          <w:lang w:eastAsia="en-AU"/>
        </w:rPr>
        <w:t>onsultation paper</w:t>
      </w:r>
      <w:r>
        <w:rPr>
          <w:lang w:eastAsia="en-AU"/>
        </w:rPr>
        <w:t xml:space="preserve">, conclusions of the nutrition </w:t>
      </w:r>
      <w:r w:rsidR="0070513E">
        <w:rPr>
          <w:lang w:eastAsia="en-AU"/>
        </w:rPr>
        <w:t xml:space="preserve">risk </w:t>
      </w:r>
      <w:r>
        <w:rPr>
          <w:lang w:eastAsia="en-AU"/>
        </w:rPr>
        <w:t>assessment and issues raised in submissions to the 2016 C</w:t>
      </w:r>
      <w:r w:rsidR="0070513E">
        <w:rPr>
          <w:lang w:eastAsia="en-AU"/>
        </w:rPr>
        <w:t>onsultation paper</w:t>
      </w:r>
      <w:r>
        <w:rPr>
          <w:lang w:eastAsia="en-AU"/>
        </w:rPr>
        <w:t xml:space="preserve">.  </w:t>
      </w:r>
    </w:p>
    <w:p w14:paraId="3363E32A" w14:textId="1DB05BB0" w:rsidR="00776154" w:rsidRDefault="006678F3" w:rsidP="00776154">
      <w:pPr>
        <w:pStyle w:val="Heading2"/>
      </w:pPr>
      <w:bookmarkStart w:id="224" w:name="_Toc73455622"/>
      <w:bookmarkStart w:id="225" w:name="_Toc73624895"/>
      <w:bookmarkStart w:id="226" w:name="_Toc76138279"/>
      <w:r>
        <w:t>5</w:t>
      </w:r>
      <w:r w:rsidR="00776154">
        <w:t>.1</w:t>
      </w:r>
      <w:r w:rsidR="00776154">
        <w:tab/>
        <w:t>Fat content</w:t>
      </w:r>
      <w:bookmarkEnd w:id="224"/>
      <w:bookmarkEnd w:id="225"/>
      <w:bookmarkEnd w:id="226"/>
    </w:p>
    <w:p w14:paraId="1A0E8073" w14:textId="07E7E1C8" w:rsidR="00776154" w:rsidRDefault="00776154" w:rsidP="00776154">
      <w:pPr>
        <w:pStyle w:val="Heading4"/>
      </w:pPr>
      <w:r>
        <w:t>Current regulation</w:t>
      </w:r>
      <w:r w:rsidR="007A6CD5">
        <w:t>s</w:t>
      </w:r>
      <w:r>
        <w:t xml:space="preserve"> </w:t>
      </w:r>
    </w:p>
    <w:p w14:paraId="39628C7A" w14:textId="4F47EF82" w:rsidR="00776154" w:rsidRDefault="00544BB2" w:rsidP="00776154">
      <w:pPr>
        <w:rPr>
          <w:lang w:eastAsia="en-AU"/>
        </w:rPr>
      </w:pPr>
      <w:r>
        <w:rPr>
          <w:lang w:eastAsia="en-AU"/>
        </w:rPr>
        <w:t>Table 5.1 lists currents regulations for the minimum and maximum fat content under Standard 2.9.1, Codex STAN 72-198</w:t>
      </w:r>
      <w:r w:rsidR="00092FC2">
        <w:rPr>
          <w:lang w:eastAsia="en-AU"/>
        </w:rPr>
        <w:t xml:space="preserve">1, and </w:t>
      </w:r>
      <w:r w:rsidR="00092FC2" w:rsidRPr="00BC5468">
        <w:rPr>
          <w:rFonts w:cs="Arial"/>
        </w:rPr>
        <w:t>EU 2016/127</w:t>
      </w:r>
      <w:r w:rsidR="00092FC2">
        <w:rPr>
          <w:rFonts w:cs="Arial"/>
        </w:rPr>
        <w:t>.</w:t>
      </w:r>
      <w:r w:rsidR="00776154" w:rsidRPr="00977BF3">
        <w:rPr>
          <w:lang w:eastAsia="en-AU"/>
        </w:rPr>
        <w:t xml:space="preserve"> </w:t>
      </w:r>
    </w:p>
    <w:p w14:paraId="7A300A52" w14:textId="03FBB7F9" w:rsidR="00E821D5" w:rsidRDefault="00E821D5" w:rsidP="00776154">
      <w:pPr>
        <w:rPr>
          <w:lang w:eastAsia="en-AU"/>
        </w:rPr>
      </w:pPr>
    </w:p>
    <w:p w14:paraId="14B3EFDA" w14:textId="1D6D2972" w:rsidR="00776154" w:rsidRDefault="00E821D5" w:rsidP="00E9515E">
      <w:pPr>
        <w:pStyle w:val="FSTitle"/>
        <w:rPr>
          <w:lang w:eastAsia="en-AU"/>
        </w:rPr>
      </w:pPr>
      <w:bookmarkStart w:id="227" w:name="_Toc74061231"/>
      <w:r>
        <w:rPr>
          <w:lang w:eastAsia="en-AU"/>
        </w:rPr>
        <w:t xml:space="preserve">Table </w:t>
      </w:r>
      <w:r w:rsidR="006678F3">
        <w:rPr>
          <w:lang w:eastAsia="en-AU"/>
        </w:rPr>
        <w:t>5</w:t>
      </w:r>
      <w:r w:rsidR="0070513E">
        <w:rPr>
          <w:lang w:eastAsia="en-AU"/>
        </w:rPr>
        <w:t>.1</w:t>
      </w:r>
      <w:r w:rsidR="00544BB2">
        <w:rPr>
          <w:lang w:eastAsia="en-AU"/>
        </w:rPr>
        <w:tab/>
      </w:r>
      <w:r w:rsidRPr="008468E6">
        <w:t xml:space="preserve">Permitted range for </w:t>
      </w:r>
      <w:r>
        <w:t>total fat (g/100 kJ)</w:t>
      </w:r>
      <w:bookmarkEnd w:id="227"/>
    </w:p>
    <w:tbl>
      <w:tblPr>
        <w:tblStyle w:val="MediumShading1-Accent3"/>
        <w:tblW w:w="90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5.1.1 Permitted range for total fat (g/100 kJ)"/>
        <w:tblDescription w:val="This table summarises the permitted range for total fat in Standard 2.9.1, Codex STAN 72-1981 and EU 2016/127"/>
      </w:tblPr>
      <w:tblGrid>
        <w:gridCol w:w="1501"/>
        <w:gridCol w:w="1260"/>
        <w:gridCol w:w="1262"/>
        <w:gridCol w:w="1260"/>
        <w:gridCol w:w="1262"/>
        <w:gridCol w:w="1260"/>
        <w:gridCol w:w="1262"/>
      </w:tblGrid>
      <w:tr w:rsidR="00542980" w:rsidRPr="00C90454" w14:paraId="52B9CCBF" w14:textId="77777777" w:rsidTr="00544BB2">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827" w:type="pct"/>
            <w:vMerge w:val="restart"/>
            <w:tcBorders>
              <w:top w:val="none" w:sz="0" w:space="0" w:color="auto"/>
              <w:left w:val="none" w:sz="0" w:space="0" w:color="auto"/>
              <w:bottom w:val="none" w:sz="0" w:space="0" w:color="auto"/>
              <w:right w:val="none" w:sz="0" w:space="0" w:color="auto"/>
            </w:tcBorders>
            <w:shd w:val="clear" w:color="auto" w:fill="E5DFEC" w:themeFill="accent4" w:themeFillTint="33"/>
            <w:vAlign w:val="center"/>
          </w:tcPr>
          <w:p w14:paraId="56053544" w14:textId="77777777" w:rsidR="00542980" w:rsidRPr="00BC5468" w:rsidRDefault="00542980" w:rsidP="00776154">
            <w:pPr>
              <w:keepNext/>
              <w:jc w:val="center"/>
              <w:rPr>
                <w:rFonts w:cs="Arial"/>
                <w:color w:val="auto"/>
              </w:rPr>
            </w:pPr>
            <w:r w:rsidRPr="00BC5468">
              <w:rPr>
                <w:rFonts w:cs="Arial"/>
                <w:color w:val="auto"/>
              </w:rPr>
              <w:t>Micronutrient</w:t>
            </w:r>
          </w:p>
        </w:tc>
        <w:tc>
          <w:tcPr>
            <w:tcW w:w="1391" w:type="pct"/>
            <w:gridSpan w:val="2"/>
            <w:tcBorders>
              <w:top w:val="none" w:sz="0" w:space="0" w:color="auto"/>
              <w:left w:val="none" w:sz="0" w:space="0" w:color="auto"/>
              <w:bottom w:val="none" w:sz="0" w:space="0" w:color="auto"/>
              <w:right w:val="none" w:sz="0" w:space="0" w:color="auto"/>
            </w:tcBorders>
            <w:shd w:val="clear" w:color="auto" w:fill="C6D9F1" w:themeFill="text2" w:themeFillTint="33"/>
            <w:vAlign w:val="center"/>
          </w:tcPr>
          <w:p w14:paraId="4E1C63AC" w14:textId="77777777" w:rsidR="00542980" w:rsidRPr="00BC5468" w:rsidRDefault="00542980" w:rsidP="00776154">
            <w:pPr>
              <w:keepNext/>
              <w:jc w:val="center"/>
              <w:cnfStyle w:val="100000000000" w:firstRow="1" w:lastRow="0" w:firstColumn="0" w:lastColumn="0" w:oddVBand="0" w:evenVBand="0" w:oddHBand="0" w:evenHBand="0" w:firstRowFirstColumn="0" w:firstRowLastColumn="0" w:lastRowFirstColumn="0" w:lastRowLastColumn="0"/>
              <w:rPr>
                <w:rFonts w:cs="Arial"/>
                <w:color w:val="auto"/>
              </w:rPr>
            </w:pPr>
            <w:r w:rsidRPr="00BC5468">
              <w:rPr>
                <w:rFonts w:cs="Arial"/>
                <w:color w:val="auto"/>
              </w:rPr>
              <w:t>Standard 2.9.1</w:t>
            </w:r>
          </w:p>
        </w:tc>
        <w:tc>
          <w:tcPr>
            <w:tcW w:w="1391" w:type="pct"/>
            <w:gridSpan w:val="2"/>
            <w:tcBorders>
              <w:top w:val="none" w:sz="0" w:space="0" w:color="auto"/>
              <w:left w:val="none" w:sz="0" w:space="0" w:color="auto"/>
              <w:bottom w:val="none" w:sz="0" w:space="0" w:color="auto"/>
              <w:right w:val="none" w:sz="0" w:space="0" w:color="auto"/>
            </w:tcBorders>
            <w:shd w:val="clear" w:color="auto" w:fill="EAF1DD" w:themeFill="accent3" w:themeFillTint="33"/>
            <w:vAlign w:val="center"/>
          </w:tcPr>
          <w:p w14:paraId="32289DB2" w14:textId="77777777" w:rsidR="00542980" w:rsidRPr="00BC5468" w:rsidRDefault="00542980" w:rsidP="00776154">
            <w:pPr>
              <w:keepNext/>
              <w:jc w:val="center"/>
              <w:cnfStyle w:val="100000000000" w:firstRow="1" w:lastRow="0" w:firstColumn="0" w:lastColumn="0" w:oddVBand="0" w:evenVBand="0" w:oddHBand="0" w:evenHBand="0" w:firstRowFirstColumn="0" w:firstRowLastColumn="0" w:lastRowFirstColumn="0" w:lastRowLastColumn="0"/>
              <w:rPr>
                <w:rFonts w:cs="Arial"/>
                <w:color w:val="auto"/>
              </w:rPr>
            </w:pPr>
            <w:r w:rsidRPr="00BC5468">
              <w:rPr>
                <w:rFonts w:cs="Arial"/>
                <w:color w:val="auto"/>
              </w:rPr>
              <w:t>Codex STAN 72-1981</w:t>
            </w:r>
          </w:p>
        </w:tc>
        <w:tc>
          <w:tcPr>
            <w:tcW w:w="1391" w:type="pct"/>
            <w:gridSpan w:val="2"/>
            <w:tcBorders>
              <w:top w:val="none" w:sz="0" w:space="0" w:color="auto"/>
              <w:left w:val="none" w:sz="0" w:space="0" w:color="auto"/>
              <w:bottom w:val="none" w:sz="0" w:space="0" w:color="auto"/>
              <w:right w:val="none" w:sz="0" w:space="0" w:color="auto"/>
            </w:tcBorders>
            <w:shd w:val="clear" w:color="auto" w:fill="DAEEF3" w:themeFill="accent5" w:themeFillTint="33"/>
            <w:vAlign w:val="center"/>
          </w:tcPr>
          <w:p w14:paraId="5B3671D5" w14:textId="027D0D4B" w:rsidR="00542980" w:rsidRPr="00BC5468" w:rsidRDefault="00542980" w:rsidP="007C10BA">
            <w:pPr>
              <w:keepNext/>
              <w:jc w:val="center"/>
              <w:cnfStyle w:val="100000000000" w:firstRow="1" w:lastRow="0" w:firstColumn="0" w:lastColumn="0" w:oddVBand="0" w:evenVBand="0" w:oddHBand="0" w:evenHBand="0" w:firstRowFirstColumn="0" w:firstRowLastColumn="0" w:lastRowFirstColumn="0" w:lastRowLastColumn="0"/>
              <w:rPr>
                <w:rFonts w:cs="Arial"/>
                <w:color w:val="auto"/>
              </w:rPr>
            </w:pPr>
            <w:r w:rsidRPr="00BC5468">
              <w:rPr>
                <w:rFonts w:cs="Arial"/>
                <w:color w:val="auto"/>
              </w:rPr>
              <w:t>EU 2016/127</w:t>
            </w:r>
          </w:p>
        </w:tc>
      </w:tr>
      <w:tr w:rsidR="00542980" w:rsidRPr="00C90454" w14:paraId="20CC2E39" w14:textId="77777777" w:rsidTr="00544BB2">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827" w:type="pct"/>
            <w:vMerge/>
            <w:tcBorders>
              <w:right w:val="none" w:sz="0" w:space="0" w:color="auto"/>
            </w:tcBorders>
            <w:shd w:val="clear" w:color="auto" w:fill="E5DFEC" w:themeFill="accent4" w:themeFillTint="33"/>
            <w:vAlign w:val="center"/>
          </w:tcPr>
          <w:p w14:paraId="3CF0A975" w14:textId="77777777" w:rsidR="00542980" w:rsidRPr="00BC5468" w:rsidRDefault="00542980" w:rsidP="00776154">
            <w:pPr>
              <w:keepNext/>
              <w:keepLines/>
              <w:jc w:val="center"/>
              <w:rPr>
                <w:rFonts w:cs="Arial"/>
                <w:szCs w:val="20"/>
              </w:rPr>
            </w:pPr>
          </w:p>
        </w:tc>
        <w:tc>
          <w:tcPr>
            <w:tcW w:w="695" w:type="pct"/>
            <w:tcBorders>
              <w:left w:val="none" w:sz="0" w:space="0" w:color="auto"/>
              <w:right w:val="none" w:sz="0" w:space="0" w:color="auto"/>
            </w:tcBorders>
            <w:shd w:val="clear" w:color="auto" w:fill="C6D9F1" w:themeFill="text2" w:themeFillTint="33"/>
            <w:vAlign w:val="center"/>
          </w:tcPr>
          <w:p w14:paraId="136F37E5" w14:textId="77777777" w:rsidR="00542980" w:rsidRPr="00BC5468" w:rsidRDefault="00542980" w:rsidP="00776154">
            <w:pPr>
              <w:keepNext/>
              <w:keepLines/>
              <w:jc w:val="center"/>
              <w:cnfStyle w:val="000000100000" w:firstRow="0" w:lastRow="0" w:firstColumn="0" w:lastColumn="0" w:oddVBand="0" w:evenVBand="0" w:oddHBand="1" w:evenHBand="0" w:firstRowFirstColumn="0" w:firstRowLastColumn="0" w:lastRowFirstColumn="0" w:lastRowLastColumn="0"/>
              <w:rPr>
                <w:rFonts w:cs="Arial"/>
                <w:b/>
                <w:szCs w:val="20"/>
              </w:rPr>
            </w:pPr>
            <w:r w:rsidRPr="00BC5468">
              <w:rPr>
                <w:rFonts w:cs="Arial"/>
                <w:b/>
                <w:szCs w:val="20"/>
              </w:rPr>
              <w:t>Min</w:t>
            </w:r>
          </w:p>
        </w:tc>
        <w:tc>
          <w:tcPr>
            <w:tcW w:w="695" w:type="pct"/>
            <w:tcBorders>
              <w:left w:val="none" w:sz="0" w:space="0" w:color="auto"/>
              <w:right w:val="none" w:sz="0" w:space="0" w:color="auto"/>
            </w:tcBorders>
            <w:shd w:val="clear" w:color="auto" w:fill="C6D9F1" w:themeFill="text2" w:themeFillTint="33"/>
            <w:vAlign w:val="center"/>
          </w:tcPr>
          <w:p w14:paraId="2CC00C8E" w14:textId="77777777" w:rsidR="00542980" w:rsidRPr="00BC5468" w:rsidRDefault="00542980" w:rsidP="00776154">
            <w:pPr>
              <w:keepNext/>
              <w:keepLines/>
              <w:jc w:val="center"/>
              <w:cnfStyle w:val="000000100000" w:firstRow="0" w:lastRow="0" w:firstColumn="0" w:lastColumn="0" w:oddVBand="0" w:evenVBand="0" w:oddHBand="1" w:evenHBand="0" w:firstRowFirstColumn="0" w:firstRowLastColumn="0" w:lastRowFirstColumn="0" w:lastRowLastColumn="0"/>
              <w:rPr>
                <w:rFonts w:cs="Arial"/>
                <w:b/>
                <w:szCs w:val="20"/>
              </w:rPr>
            </w:pPr>
            <w:r w:rsidRPr="00BC5468">
              <w:rPr>
                <w:rFonts w:cs="Arial"/>
                <w:b/>
                <w:szCs w:val="20"/>
              </w:rPr>
              <w:t>Max</w:t>
            </w:r>
          </w:p>
        </w:tc>
        <w:tc>
          <w:tcPr>
            <w:tcW w:w="695" w:type="pct"/>
            <w:tcBorders>
              <w:left w:val="none" w:sz="0" w:space="0" w:color="auto"/>
              <w:right w:val="none" w:sz="0" w:space="0" w:color="auto"/>
            </w:tcBorders>
            <w:shd w:val="clear" w:color="auto" w:fill="EAF1DD" w:themeFill="accent3" w:themeFillTint="33"/>
            <w:vAlign w:val="center"/>
          </w:tcPr>
          <w:p w14:paraId="5EAE7E8C" w14:textId="77777777" w:rsidR="00542980" w:rsidRPr="00BC5468" w:rsidRDefault="00542980" w:rsidP="00776154">
            <w:pPr>
              <w:keepNext/>
              <w:keepLines/>
              <w:jc w:val="center"/>
              <w:cnfStyle w:val="000000100000" w:firstRow="0" w:lastRow="0" w:firstColumn="0" w:lastColumn="0" w:oddVBand="0" w:evenVBand="0" w:oddHBand="1" w:evenHBand="0" w:firstRowFirstColumn="0" w:firstRowLastColumn="0" w:lastRowFirstColumn="0" w:lastRowLastColumn="0"/>
              <w:rPr>
                <w:rFonts w:cs="Arial"/>
                <w:b/>
                <w:szCs w:val="20"/>
              </w:rPr>
            </w:pPr>
            <w:r w:rsidRPr="00BC5468">
              <w:rPr>
                <w:rFonts w:cs="Arial"/>
                <w:b/>
                <w:szCs w:val="20"/>
              </w:rPr>
              <w:t>Min</w:t>
            </w:r>
          </w:p>
        </w:tc>
        <w:tc>
          <w:tcPr>
            <w:tcW w:w="695" w:type="pct"/>
            <w:tcBorders>
              <w:left w:val="none" w:sz="0" w:space="0" w:color="auto"/>
              <w:right w:val="none" w:sz="0" w:space="0" w:color="auto"/>
            </w:tcBorders>
            <w:shd w:val="clear" w:color="auto" w:fill="EAF1DD" w:themeFill="accent3" w:themeFillTint="33"/>
            <w:vAlign w:val="center"/>
          </w:tcPr>
          <w:p w14:paraId="6739AE54" w14:textId="77777777" w:rsidR="00542980" w:rsidRPr="00BC5468" w:rsidRDefault="00542980" w:rsidP="00776154">
            <w:pPr>
              <w:keepNext/>
              <w:keepLines/>
              <w:jc w:val="center"/>
              <w:cnfStyle w:val="000000100000" w:firstRow="0" w:lastRow="0" w:firstColumn="0" w:lastColumn="0" w:oddVBand="0" w:evenVBand="0" w:oddHBand="1" w:evenHBand="0" w:firstRowFirstColumn="0" w:firstRowLastColumn="0" w:lastRowFirstColumn="0" w:lastRowLastColumn="0"/>
              <w:rPr>
                <w:rFonts w:cs="Arial"/>
                <w:b/>
                <w:szCs w:val="20"/>
              </w:rPr>
            </w:pPr>
            <w:r w:rsidRPr="00BC5468">
              <w:rPr>
                <w:rFonts w:cs="Arial"/>
                <w:b/>
                <w:szCs w:val="20"/>
              </w:rPr>
              <w:t>Max</w:t>
            </w:r>
          </w:p>
        </w:tc>
        <w:tc>
          <w:tcPr>
            <w:tcW w:w="695" w:type="pct"/>
            <w:tcBorders>
              <w:left w:val="none" w:sz="0" w:space="0" w:color="auto"/>
              <w:right w:val="none" w:sz="0" w:space="0" w:color="auto"/>
            </w:tcBorders>
            <w:shd w:val="clear" w:color="auto" w:fill="DAEEF3" w:themeFill="accent5" w:themeFillTint="33"/>
            <w:vAlign w:val="center"/>
          </w:tcPr>
          <w:p w14:paraId="2AE1B4D1" w14:textId="77777777" w:rsidR="00542980" w:rsidRPr="00BC5468" w:rsidRDefault="00542980" w:rsidP="00776154">
            <w:pPr>
              <w:keepNext/>
              <w:keepLines/>
              <w:jc w:val="center"/>
              <w:cnfStyle w:val="000000100000" w:firstRow="0" w:lastRow="0" w:firstColumn="0" w:lastColumn="0" w:oddVBand="0" w:evenVBand="0" w:oddHBand="1" w:evenHBand="0" w:firstRowFirstColumn="0" w:firstRowLastColumn="0" w:lastRowFirstColumn="0" w:lastRowLastColumn="0"/>
              <w:rPr>
                <w:rFonts w:cs="Arial"/>
                <w:b/>
                <w:szCs w:val="20"/>
              </w:rPr>
            </w:pPr>
            <w:r w:rsidRPr="00BC5468">
              <w:rPr>
                <w:rFonts w:cs="Arial"/>
                <w:b/>
                <w:szCs w:val="20"/>
              </w:rPr>
              <w:t>Min</w:t>
            </w:r>
          </w:p>
        </w:tc>
        <w:tc>
          <w:tcPr>
            <w:tcW w:w="696" w:type="pct"/>
            <w:tcBorders>
              <w:left w:val="none" w:sz="0" w:space="0" w:color="auto"/>
            </w:tcBorders>
            <w:shd w:val="clear" w:color="auto" w:fill="DAEEF3" w:themeFill="accent5" w:themeFillTint="33"/>
            <w:vAlign w:val="center"/>
          </w:tcPr>
          <w:p w14:paraId="2FE289C6" w14:textId="77777777" w:rsidR="00542980" w:rsidRPr="00BC5468" w:rsidRDefault="00542980" w:rsidP="00776154">
            <w:pPr>
              <w:keepNext/>
              <w:keepLines/>
              <w:jc w:val="center"/>
              <w:cnfStyle w:val="000000100000" w:firstRow="0" w:lastRow="0" w:firstColumn="0" w:lastColumn="0" w:oddVBand="0" w:evenVBand="0" w:oddHBand="1" w:evenHBand="0" w:firstRowFirstColumn="0" w:firstRowLastColumn="0" w:lastRowFirstColumn="0" w:lastRowLastColumn="0"/>
              <w:rPr>
                <w:rFonts w:cs="Arial"/>
                <w:b/>
                <w:szCs w:val="20"/>
              </w:rPr>
            </w:pPr>
            <w:r w:rsidRPr="00BC5468">
              <w:rPr>
                <w:rFonts w:cs="Arial"/>
                <w:b/>
                <w:szCs w:val="20"/>
              </w:rPr>
              <w:t>Max</w:t>
            </w:r>
          </w:p>
        </w:tc>
      </w:tr>
      <w:tr w:rsidR="00542980" w:rsidRPr="00C90454" w14:paraId="166020CB" w14:textId="77777777" w:rsidTr="00544BB2">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827" w:type="pct"/>
            <w:tcBorders>
              <w:right w:val="none" w:sz="0" w:space="0" w:color="auto"/>
            </w:tcBorders>
            <w:shd w:val="clear" w:color="auto" w:fill="FFFFFF" w:themeFill="background1"/>
          </w:tcPr>
          <w:p w14:paraId="55320258" w14:textId="77777777" w:rsidR="00542980" w:rsidRDefault="00542980" w:rsidP="00776154">
            <w:pPr>
              <w:keepNext/>
              <w:keepLines/>
              <w:spacing w:before="40" w:after="40"/>
              <w:jc w:val="center"/>
              <w:rPr>
                <w:rFonts w:cs="Arial"/>
                <w:szCs w:val="20"/>
              </w:rPr>
            </w:pPr>
            <w:r>
              <w:rPr>
                <w:rFonts w:cs="Arial"/>
                <w:szCs w:val="20"/>
              </w:rPr>
              <w:t>Total Fat*</w:t>
            </w:r>
          </w:p>
          <w:p w14:paraId="54160A83" w14:textId="7C7D134A" w:rsidR="00542980" w:rsidRPr="00C90454" w:rsidRDefault="00542980" w:rsidP="00776154">
            <w:pPr>
              <w:keepNext/>
              <w:keepLines/>
              <w:spacing w:before="40" w:after="40"/>
              <w:jc w:val="center"/>
              <w:rPr>
                <w:rFonts w:cs="Arial"/>
                <w:szCs w:val="20"/>
              </w:rPr>
            </w:pPr>
            <w:r>
              <w:rPr>
                <w:rFonts w:cs="Arial"/>
                <w:szCs w:val="20"/>
              </w:rPr>
              <w:t>(</w:t>
            </w:r>
            <w:r w:rsidRPr="00C90454">
              <w:rPr>
                <w:rFonts w:cs="Arial"/>
                <w:szCs w:val="20"/>
              </w:rPr>
              <w:t>g/100 kJ</w:t>
            </w:r>
            <w:r>
              <w:rPr>
                <w:rFonts w:cs="Arial"/>
                <w:szCs w:val="20"/>
              </w:rPr>
              <w:t>)</w:t>
            </w:r>
          </w:p>
        </w:tc>
        <w:tc>
          <w:tcPr>
            <w:tcW w:w="695" w:type="pct"/>
            <w:tcBorders>
              <w:left w:val="none" w:sz="0" w:space="0" w:color="auto"/>
              <w:right w:val="none" w:sz="0" w:space="0" w:color="auto"/>
            </w:tcBorders>
            <w:shd w:val="clear" w:color="auto" w:fill="FFFFFF" w:themeFill="background1"/>
            <w:vAlign w:val="center"/>
          </w:tcPr>
          <w:p w14:paraId="08603C33" w14:textId="77777777" w:rsidR="00542980" w:rsidRPr="00C90454" w:rsidRDefault="00542980" w:rsidP="00542980">
            <w:pPr>
              <w:keepNext/>
              <w:keepLines/>
              <w:jc w:val="center"/>
              <w:cnfStyle w:val="000000010000" w:firstRow="0" w:lastRow="0" w:firstColumn="0" w:lastColumn="0" w:oddVBand="0" w:evenVBand="0" w:oddHBand="0" w:evenHBand="1" w:firstRowFirstColumn="0" w:firstRowLastColumn="0" w:lastRowFirstColumn="0" w:lastRowLastColumn="0"/>
              <w:rPr>
                <w:rFonts w:cs="Arial"/>
                <w:szCs w:val="20"/>
              </w:rPr>
            </w:pPr>
            <w:r>
              <w:rPr>
                <w:rFonts w:cs="Arial"/>
                <w:szCs w:val="20"/>
              </w:rPr>
              <w:t>1.05</w:t>
            </w:r>
          </w:p>
        </w:tc>
        <w:tc>
          <w:tcPr>
            <w:tcW w:w="695" w:type="pct"/>
            <w:tcBorders>
              <w:left w:val="none" w:sz="0" w:space="0" w:color="auto"/>
              <w:right w:val="none" w:sz="0" w:space="0" w:color="auto"/>
            </w:tcBorders>
            <w:shd w:val="clear" w:color="auto" w:fill="FFFFFF" w:themeFill="background1"/>
            <w:vAlign w:val="center"/>
          </w:tcPr>
          <w:p w14:paraId="6EF21504" w14:textId="77777777" w:rsidR="00542980" w:rsidRPr="00C90454" w:rsidRDefault="00542980" w:rsidP="00542980">
            <w:pPr>
              <w:keepNext/>
              <w:keepLines/>
              <w:jc w:val="center"/>
              <w:cnfStyle w:val="000000010000" w:firstRow="0" w:lastRow="0" w:firstColumn="0" w:lastColumn="0" w:oddVBand="0" w:evenVBand="0" w:oddHBand="0" w:evenHBand="1" w:firstRowFirstColumn="0" w:firstRowLastColumn="0" w:lastRowFirstColumn="0" w:lastRowLastColumn="0"/>
              <w:rPr>
                <w:rFonts w:cs="Arial"/>
                <w:szCs w:val="20"/>
              </w:rPr>
            </w:pPr>
            <w:r>
              <w:rPr>
                <w:rFonts w:cs="Arial"/>
                <w:szCs w:val="20"/>
              </w:rPr>
              <w:t>1.5</w:t>
            </w:r>
          </w:p>
        </w:tc>
        <w:tc>
          <w:tcPr>
            <w:tcW w:w="695" w:type="pct"/>
            <w:tcBorders>
              <w:left w:val="none" w:sz="0" w:space="0" w:color="auto"/>
              <w:right w:val="none" w:sz="0" w:space="0" w:color="auto"/>
            </w:tcBorders>
            <w:shd w:val="clear" w:color="auto" w:fill="FFFFFF" w:themeFill="background1"/>
            <w:vAlign w:val="center"/>
          </w:tcPr>
          <w:p w14:paraId="581D25E6" w14:textId="77777777" w:rsidR="00542980" w:rsidRPr="00C90454" w:rsidRDefault="00542980" w:rsidP="00542980">
            <w:pPr>
              <w:keepNext/>
              <w:keepLines/>
              <w:jc w:val="center"/>
              <w:cnfStyle w:val="000000010000" w:firstRow="0" w:lastRow="0" w:firstColumn="0" w:lastColumn="0" w:oddVBand="0" w:evenVBand="0" w:oddHBand="0" w:evenHBand="1" w:firstRowFirstColumn="0" w:firstRowLastColumn="0" w:lastRowFirstColumn="0" w:lastRowLastColumn="0"/>
              <w:rPr>
                <w:rFonts w:cs="Arial"/>
                <w:szCs w:val="20"/>
              </w:rPr>
            </w:pPr>
            <w:r>
              <w:rPr>
                <w:rFonts w:cs="Arial"/>
                <w:szCs w:val="20"/>
              </w:rPr>
              <w:t>1.05</w:t>
            </w:r>
          </w:p>
        </w:tc>
        <w:tc>
          <w:tcPr>
            <w:tcW w:w="695" w:type="pct"/>
            <w:tcBorders>
              <w:left w:val="none" w:sz="0" w:space="0" w:color="auto"/>
              <w:right w:val="none" w:sz="0" w:space="0" w:color="auto"/>
            </w:tcBorders>
            <w:shd w:val="clear" w:color="auto" w:fill="FFFFFF" w:themeFill="background1"/>
            <w:vAlign w:val="center"/>
          </w:tcPr>
          <w:p w14:paraId="7143D4AC" w14:textId="77777777" w:rsidR="00542980" w:rsidRPr="00C90454" w:rsidRDefault="00542980" w:rsidP="00542980">
            <w:pPr>
              <w:keepNext/>
              <w:keepLines/>
              <w:jc w:val="center"/>
              <w:cnfStyle w:val="000000010000" w:firstRow="0" w:lastRow="0" w:firstColumn="0" w:lastColumn="0" w:oddVBand="0" w:evenVBand="0" w:oddHBand="0" w:evenHBand="1" w:firstRowFirstColumn="0" w:firstRowLastColumn="0" w:lastRowFirstColumn="0" w:lastRowLastColumn="0"/>
              <w:rPr>
                <w:rFonts w:cs="Arial"/>
                <w:szCs w:val="20"/>
              </w:rPr>
            </w:pPr>
            <w:r>
              <w:rPr>
                <w:rFonts w:cs="Arial"/>
                <w:szCs w:val="20"/>
              </w:rPr>
              <w:t>1.4</w:t>
            </w:r>
          </w:p>
        </w:tc>
        <w:tc>
          <w:tcPr>
            <w:tcW w:w="695" w:type="pct"/>
            <w:tcBorders>
              <w:left w:val="none" w:sz="0" w:space="0" w:color="auto"/>
              <w:right w:val="none" w:sz="0" w:space="0" w:color="auto"/>
            </w:tcBorders>
            <w:shd w:val="clear" w:color="auto" w:fill="FFFFFF" w:themeFill="background1"/>
            <w:vAlign w:val="center"/>
          </w:tcPr>
          <w:p w14:paraId="5242CECF" w14:textId="77777777" w:rsidR="00542980" w:rsidRPr="00542980" w:rsidRDefault="00542980" w:rsidP="00542980">
            <w:pPr>
              <w:keepNext/>
              <w:keepLines/>
              <w:jc w:val="center"/>
              <w:cnfStyle w:val="000000010000" w:firstRow="0" w:lastRow="0" w:firstColumn="0" w:lastColumn="0" w:oddVBand="0" w:evenVBand="0" w:oddHBand="0" w:evenHBand="1" w:firstRowFirstColumn="0" w:firstRowLastColumn="0" w:lastRowFirstColumn="0" w:lastRowLastColumn="0"/>
              <w:rPr>
                <w:rFonts w:cs="Arial"/>
                <w:szCs w:val="20"/>
              </w:rPr>
            </w:pPr>
            <w:r w:rsidRPr="00542980">
              <w:rPr>
                <w:rFonts w:cs="Arial"/>
                <w:szCs w:val="20"/>
              </w:rPr>
              <w:t>1.1</w:t>
            </w:r>
          </w:p>
        </w:tc>
        <w:tc>
          <w:tcPr>
            <w:tcW w:w="696" w:type="pct"/>
            <w:tcBorders>
              <w:left w:val="none" w:sz="0" w:space="0" w:color="auto"/>
            </w:tcBorders>
            <w:shd w:val="clear" w:color="auto" w:fill="FFFFFF" w:themeFill="background1"/>
            <w:vAlign w:val="center"/>
          </w:tcPr>
          <w:p w14:paraId="6804ACA5" w14:textId="77777777" w:rsidR="00542980" w:rsidRPr="00542980" w:rsidRDefault="00542980" w:rsidP="00542980">
            <w:pPr>
              <w:keepNext/>
              <w:keepLines/>
              <w:jc w:val="center"/>
              <w:cnfStyle w:val="000000010000" w:firstRow="0" w:lastRow="0" w:firstColumn="0" w:lastColumn="0" w:oddVBand="0" w:evenVBand="0" w:oddHBand="0" w:evenHBand="1" w:firstRowFirstColumn="0" w:firstRowLastColumn="0" w:lastRowFirstColumn="0" w:lastRowLastColumn="0"/>
              <w:rPr>
                <w:rFonts w:cs="Arial"/>
                <w:szCs w:val="20"/>
              </w:rPr>
            </w:pPr>
            <w:r w:rsidRPr="00542980">
              <w:rPr>
                <w:rFonts w:cs="Arial"/>
                <w:szCs w:val="20"/>
              </w:rPr>
              <w:t>1.4</w:t>
            </w:r>
          </w:p>
        </w:tc>
      </w:tr>
    </w:tbl>
    <w:p w14:paraId="00D6BFFA" w14:textId="3214A732" w:rsidR="00776154" w:rsidRPr="00BC5468" w:rsidRDefault="002061D8" w:rsidP="00776154">
      <w:pPr>
        <w:rPr>
          <w:i/>
          <w:sz w:val="18"/>
          <w:lang w:eastAsia="en-AU"/>
        </w:rPr>
      </w:pPr>
      <w:r w:rsidRPr="00BC5468">
        <w:rPr>
          <w:i/>
          <w:sz w:val="18"/>
          <w:lang w:eastAsia="en-AU"/>
        </w:rPr>
        <w:t>*Referred to</w:t>
      </w:r>
      <w:r w:rsidR="00776154" w:rsidRPr="00BC5468">
        <w:rPr>
          <w:i/>
          <w:sz w:val="18"/>
          <w:lang w:eastAsia="en-AU"/>
        </w:rPr>
        <w:t xml:space="preserve"> as Lipids in </w:t>
      </w:r>
      <w:r w:rsidR="0070513E" w:rsidRPr="00BC5468">
        <w:rPr>
          <w:i/>
          <w:sz w:val="18"/>
          <w:lang w:eastAsia="en-AU"/>
        </w:rPr>
        <w:t>EU 2016/127</w:t>
      </w:r>
    </w:p>
    <w:p w14:paraId="498F7E16" w14:textId="77777777" w:rsidR="00776154" w:rsidRDefault="00776154" w:rsidP="00776154">
      <w:pPr>
        <w:pStyle w:val="Heading4"/>
      </w:pPr>
      <w:r>
        <w:lastRenderedPageBreak/>
        <w:t xml:space="preserve">Previous consideration </w:t>
      </w:r>
    </w:p>
    <w:p w14:paraId="20E4E88A" w14:textId="07E3CDC7" w:rsidR="00776154" w:rsidRDefault="00776154" w:rsidP="00776154">
      <w:pPr>
        <w:rPr>
          <w:lang w:eastAsia="en-AU"/>
        </w:rPr>
      </w:pPr>
      <w:r>
        <w:rPr>
          <w:lang w:eastAsia="en-AU"/>
        </w:rPr>
        <w:t>In 2016 FSANZ considered it appropriate to retain the current minimum of 1.05 g/100</w:t>
      </w:r>
      <w:r w:rsidR="0070513E">
        <w:rPr>
          <w:lang w:eastAsia="en-AU"/>
        </w:rPr>
        <w:t> </w:t>
      </w:r>
      <w:r>
        <w:rPr>
          <w:lang w:eastAsia="en-AU"/>
        </w:rPr>
        <w:t>kJ and lower the maximum level from 1.5 g/100</w:t>
      </w:r>
      <w:r w:rsidR="0070513E">
        <w:rPr>
          <w:lang w:eastAsia="en-AU"/>
        </w:rPr>
        <w:t> </w:t>
      </w:r>
      <w:r>
        <w:rPr>
          <w:lang w:eastAsia="en-AU"/>
        </w:rPr>
        <w:t xml:space="preserve">kJ to align with </w:t>
      </w:r>
      <w:r w:rsidRPr="00631AA5">
        <w:rPr>
          <w:lang w:eastAsia="en-AU"/>
        </w:rPr>
        <w:t>Codex STAN 72-1981</w:t>
      </w:r>
      <w:r>
        <w:rPr>
          <w:lang w:eastAsia="en-AU"/>
        </w:rPr>
        <w:t xml:space="preserve">. This approach was supported by the conclusion of the nutritional safety assessment, which concluded that the amounts proposed were consistent with average fat content in human milk; and </w:t>
      </w:r>
      <w:r w:rsidR="00737E5E">
        <w:rPr>
          <w:lang w:eastAsia="en-AU"/>
        </w:rPr>
        <w:t xml:space="preserve">the </w:t>
      </w:r>
      <w:r>
        <w:rPr>
          <w:lang w:eastAsia="en-AU"/>
        </w:rPr>
        <w:t xml:space="preserve">estimated intakes of fat would be unlikely to pose a risk to infant health. It was also noted that the proposed levels were consistent with the EFSA </w:t>
      </w:r>
      <w:r w:rsidR="00056097">
        <w:rPr>
          <w:lang w:eastAsia="en-AU"/>
        </w:rPr>
        <w:t>(</w:t>
      </w:r>
      <w:r>
        <w:rPr>
          <w:lang w:eastAsia="en-AU"/>
        </w:rPr>
        <w:t>2014</w:t>
      </w:r>
      <w:r w:rsidR="00056097">
        <w:rPr>
          <w:lang w:eastAsia="en-AU"/>
        </w:rPr>
        <w:t>b)</w:t>
      </w:r>
      <w:r>
        <w:rPr>
          <w:lang w:eastAsia="en-AU"/>
        </w:rPr>
        <w:t xml:space="preserve"> recommendations.   </w:t>
      </w:r>
    </w:p>
    <w:p w14:paraId="08B9AD35" w14:textId="0C2B4912" w:rsidR="00776154" w:rsidRDefault="00143572" w:rsidP="00776154">
      <w:pPr>
        <w:pStyle w:val="Heading4"/>
        <w:rPr>
          <w:lang w:eastAsia="en-AU"/>
        </w:rPr>
      </w:pPr>
      <w:r>
        <w:t>Stakeholder views</w:t>
      </w:r>
    </w:p>
    <w:p w14:paraId="56369123" w14:textId="5F4C65E6" w:rsidR="00776154" w:rsidRDefault="007C10BA" w:rsidP="00776154">
      <w:pPr>
        <w:rPr>
          <w:lang w:eastAsia="en-AU"/>
        </w:rPr>
      </w:pPr>
      <w:r>
        <w:rPr>
          <w:lang w:eastAsia="en-AU"/>
        </w:rPr>
        <w:t>Six submitters (</w:t>
      </w:r>
      <w:r w:rsidR="00737E5E">
        <w:rPr>
          <w:lang w:eastAsia="en-AU"/>
        </w:rPr>
        <w:t>two</w:t>
      </w:r>
      <w:r>
        <w:rPr>
          <w:lang w:eastAsia="en-AU"/>
        </w:rPr>
        <w:t xml:space="preserve"> government, </w:t>
      </w:r>
      <w:r w:rsidR="00737E5E">
        <w:rPr>
          <w:lang w:eastAsia="en-AU"/>
        </w:rPr>
        <w:t>four</w:t>
      </w:r>
      <w:r>
        <w:rPr>
          <w:lang w:eastAsia="en-AU"/>
        </w:rPr>
        <w:t xml:space="preserve"> i</w:t>
      </w:r>
      <w:r w:rsidR="00776154">
        <w:rPr>
          <w:lang w:eastAsia="en-AU"/>
        </w:rPr>
        <w:t>ndustry) comment</w:t>
      </w:r>
      <w:r w:rsidR="00737E5E">
        <w:rPr>
          <w:lang w:eastAsia="en-AU"/>
        </w:rPr>
        <w:t>ed</w:t>
      </w:r>
      <w:r w:rsidR="00776154">
        <w:rPr>
          <w:lang w:eastAsia="en-AU"/>
        </w:rPr>
        <w:t xml:space="preserve"> on the permitted range for total fat. All submitters supported the proposal to retain the minimum fat content at 1.05 g/100 kJ and to slightly reduce the maximum from 1.5 to 1.4 g/100 kJ. One submitter commented that fat in infant formula should be aligned with levels found in human milk and established adequate intakes. </w:t>
      </w:r>
    </w:p>
    <w:p w14:paraId="066ABF1D" w14:textId="5F5F8D81" w:rsidR="00776154" w:rsidRDefault="00737E5E" w:rsidP="00776154">
      <w:pPr>
        <w:pStyle w:val="Heading4"/>
      </w:pPr>
      <w:r>
        <w:t>Nutrition r</w:t>
      </w:r>
      <w:r w:rsidR="00776154">
        <w:t xml:space="preserve">isk assessment </w:t>
      </w:r>
    </w:p>
    <w:p w14:paraId="48327561" w14:textId="376BA889" w:rsidR="00776154" w:rsidRDefault="00776154" w:rsidP="00776154">
      <w:pPr>
        <w:rPr>
          <w:lang w:eastAsia="en-AU"/>
        </w:rPr>
      </w:pPr>
      <w:r>
        <w:rPr>
          <w:lang w:eastAsia="en-AU"/>
        </w:rPr>
        <w:t xml:space="preserve">No further </w:t>
      </w:r>
      <w:r w:rsidR="00737E5E">
        <w:rPr>
          <w:lang w:eastAsia="en-AU"/>
        </w:rPr>
        <w:t xml:space="preserve">nutrition </w:t>
      </w:r>
      <w:r>
        <w:rPr>
          <w:lang w:eastAsia="en-AU"/>
        </w:rPr>
        <w:t>risk assessment was considered on this issue.</w:t>
      </w:r>
    </w:p>
    <w:p w14:paraId="52CDECC5" w14:textId="77777777" w:rsidR="00776154" w:rsidRDefault="00776154" w:rsidP="00776154">
      <w:pPr>
        <w:pStyle w:val="Heading4"/>
      </w:pPr>
      <w:r>
        <w:t>Options and discussion</w:t>
      </w:r>
    </w:p>
    <w:p w14:paraId="410115F0" w14:textId="52F1E0A0" w:rsidR="00776154" w:rsidRDefault="00776154" w:rsidP="00776154">
      <w:pPr>
        <w:rPr>
          <w:lang w:val="en-AU" w:bidi="ar-SA"/>
        </w:rPr>
      </w:pPr>
      <w:r>
        <w:rPr>
          <w:lang w:val="en-AU" w:bidi="ar-SA"/>
        </w:rPr>
        <w:t xml:space="preserve">The 2016 nutrition </w:t>
      </w:r>
      <w:r w:rsidR="00737E5E">
        <w:rPr>
          <w:lang w:val="en-AU" w:bidi="ar-SA"/>
        </w:rPr>
        <w:t xml:space="preserve">risk </w:t>
      </w:r>
      <w:r>
        <w:rPr>
          <w:lang w:val="en-AU" w:bidi="ar-SA"/>
        </w:rPr>
        <w:t xml:space="preserve">assessment considered the permitted range for fat specified in Codex STAN 72-1981 compared to the fat content of human milk and whether the minimum fat amount would meet the ANZ </w:t>
      </w:r>
      <w:r w:rsidR="00737E5E">
        <w:rPr>
          <w:lang w:val="en-AU" w:bidi="ar-SA"/>
        </w:rPr>
        <w:t>adequate intake (</w:t>
      </w:r>
      <w:r>
        <w:rPr>
          <w:lang w:val="en-AU" w:bidi="ar-SA"/>
        </w:rPr>
        <w:t>AI</w:t>
      </w:r>
      <w:r w:rsidR="00737E5E">
        <w:rPr>
          <w:lang w:val="en-AU" w:bidi="ar-SA"/>
        </w:rPr>
        <w:t>)</w:t>
      </w:r>
      <w:r>
        <w:rPr>
          <w:lang w:val="en-AU" w:bidi="ar-SA"/>
        </w:rPr>
        <w:t xml:space="preserve">. The fat content in both Standard 2.9.1 and Codex STAN 72-1981 is </w:t>
      </w:r>
      <w:r>
        <w:rPr>
          <w:szCs w:val="22"/>
        </w:rPr>
        <w:t>consistent with the amount of total fat reported in human milk. Based on the energy midpoint (2725 kJ/L) and the mean intake volume of 0.8 L/day for infants 0–&lt;6 months, the estimated minimum intake is 23 g/day which is less than the ANZ AI (31 g/day). FSANZ did not consider that the difference would pose a health risk because the ANZ AI is calculated from reported concentration at the upper range of breast milk concentrations (40 g/L) rather than the average fat content of breast milk (NHMRC and MoH 2006). The estimated intake for infants</w:t>
      </w:r>
      <w:r w:rsidRPr="00956C51">
        <w:rPr>
          <w:szCs w:val="22"/>
        </w:rPr>
        <w:t xml:space="preserve"> </w:t>
      </w:r>
      <w:r>
        <w:rPr>
          <w:szCs w:val="22"/>
        </w:rPr>
        <w:t>6–&lt;12 months was found</w:t>
      </w:r>
      <w:r w:rsidR="004F3872">
        <w:rPr>
          <w:szCs w:val="22"/>
        </w:rPr>
        <w:t xml:space="preserve"> to</w:t>
      </w:r>
      <w:r>
        <w:rPr>
          <w:szCs w:val="22"/>
        </w:rPr>
        <w:t xml:space="preserve"> meet 50% of the AI (16 g/day) where it was assumed that these infants would receive 50% of nutrient intake from infant formula and 50% of from complementary foods. </w:t>
      </w:r>
    </w:p>
    <w:p w14:paraId="61B35FE4" w14:textId="4EF2C40F" w:rsidR="00776154" w:rsidRPr="00583AB4" w:rsidRDefault="00776154" w:rsidP="00776154">
      <w:pPr>
        <w:pStyle w:val="Heading4"/>
      </w:pPr>
      <w:r>
        <w:t xml:space="preserve">Proposed </w:t>
      </w:r>
      <w:r w:rsidR="00C30BAC">
        <w:t>approach</w:t>
      </w:r>
    </w:p>
    <w:p w14:paraId="3972A783" w14:textId="7A8CF87E" w:rsidR="00776154" w:rsidRDefault="00776154" w:rsidP="00776154">
      <w:pPr>
        <w:rPr>
          <w:lang w:eastAsia="en-AU"/>
        </w:rPr>
      </w:pPr>
      <w:r>
        <w:rPr>
          <w:lang w:eastAsia="en-AU"/>
        </w:rPr>
        <w:t xml:space="preserve">Based on the conclusions of the 2016 nutrition </w:t>
      </w:r>
      <w:r w:rsidR="00737E5E">
        <w:rPr>
          <w:lang w:eastAsia="en-AU"/>
        </w:rPr>
        <w:t xml:space="preserve">risk </w:t>
      </w:r>
      <w:r>
        <w:rPr>
          <w:lang w:eastAsia="en-AU"/>
        </w:rPr>
        <w:t>assessment, alignment with Codex STAN 72-1981, EU 2016/127 and fat content levels found in human milk</w:t>
      </w:r>
      <w:r w:rsidR="004F3872">
        <w:rPr>
          <w:lang w:eastAsia="en-AU"/>
        </w:rPr>
        <w:t>,</w:t>
      </w:r>
      <w:r>
        <w:rPr>
          <w:lang w:eastAsia="en-AU"/>
        </w:rPr>
        <w:t xml:space="preserve"> FSANZ proposes to retain the current minimum level and lower the maximum to 1.4g/100</w:t>
      </w:r>
      <w:r w:rsidR="00737E5E">
        <w:rPr>
          <w:lang w:eastAsia="en-AU"/>
        </w:rPr>
        <w:t xml:space="preserve"> </w:t>
      </w:r>
      <w:r>
        <w:rPr>
          <w:lang w:eastAsia="en-AU"/>
        </w:rPr>
        <w:t>kJ.</w:t>
      </w:r>
    </w:p>
    <w:p w14:paraId="7E9125D3" w14:textId="24C377E6" w:rsidR="00776154" w:rsidRPr="00A84096" w:rsidRDefault="00883DEC" w:rsidP="00776154">
      <w:pPr>
        <w:pStyle w:val="Heading2"/>
        <w:rPr>
          <w:rFonts w:eastAsia="Arial Unicode MS"/>
        </w:rPr>
      </w:pPr>
      <w:bookmarkStart w:id="228" w:name="_Toc73455623"/>
      <w:bookmarkStart w:id="229" w:name="_Toc73624896"/>
      <w:bookmarkStart w:id="230" w:name="_Toc76138280"/>
      <w:r>
        <w:t>5</w:t>
      </w:r>
      <w:r w:rsidR="00776154">
        <w:t>.2</w:t>
      </w:r>
      <w:r w:rsidR="00776154">
        <w:tab/>
      </w:r>
      <w:r w:rsidR="00776154" w:rsidRPr="0064282F">
        <w:rPr>
          <w:rFonts w:eastAsia="Arial Unicode MS"/>
        </w:rPr>
        <w:t>Units of expression</w:t>
      </w:r>
      <w:bookmarkEnd w:id="228"/>
      <w:bookmarkEnd w:id="229"/>
      <w:bookmarkEnd w:id="230"/>
      <w:r w:rsidR="00776154">
        <w:rPr>
          <w:rFonts w:eastAsia="Arial Unicode MS"/>
        </w:rPr>
        <w:t xml:space="preserve"> </w:t>
      </w:r>
    </w:p>
    <w:p w14:paraId="21651CAB" w14:textId="285C7CC2" w:rsidR="00776154" w:rsidRDefault="00776154" w:rsidP="00776154">
      <w:pPr>
        <w:pStyle w:val="Heading4"/>
      </w:pPr>
      <w:r>
        <w:t>Current regulation</w:t>
      </w:r>
      <w:r w:rsidR="007A6CD5">
        <w:t>s</w:t>
      </w:r>
    </w:p>
    <w:p w14:paraId="3F09A044" w14:textId="562C1374" w:rsidR="00776154" w:rsidRDefault="00776154" w:rsidP="00776154">
      <w:pPr>
        <w:rPr>
          <w:lang w:eastAsia="en-AU"/>
        </w:rPr>
      </w:pPr>
      <w:r>
        <w:rPr>
          <w:lang w:eastAsia="en-AU"/>
        </w:rPr>
        <w:t xml:space="preserve">Currently Standard 2.9.1 specifies fat content per 100 kJ and Schedule 29 sets the fatty acid limits as a percentage of total fatty acid content. This approach </w:t>
      </w:r>
      <w:r>
        <w:rPr>
          <w:bCs/>
          <w:iCs/>
          <w:color w:val="000000"/>
        </w:rPr>
        <w:t xml:space="preserve">recognises the inter-related fats and </w:t>
      </w:r>
      <w:r>
        <w:rPr>
          <w:color w:val="000000"/>
        </w:rPr>
        <w:t xml:space="preserve">the </w:t>
      </w:r>
      <w:r>
        <w:rPr>
          <w:bCs/>
          <w:iCs/>
          <w:color w:val="000000"/>
        </w:rPr>
        <w:t xml:space="preserve">complexity of essential fatty acid metabolism (ANZFA 2002). The approach also recognises the challenges of setting a specific value per unit of energy where a range of fat content is permitted. </w:t>
      </w:r>
    </w:p>
    <w:p w14:paraId="6F5629DD" w14:textId="77777777" w:rsidR="00776154" w:rsidRDefault="00776154" w:rsidP="00776154">
      <w:pPr>
        <w:pStyle w:val="Heading4"/>
      </w:pPr>
      <w:r>
        <w:lastRenderedPageBreak/>
        <w:t xml:space="preserve">Previous consideration </w:t>
      </w:r>
    </w:p>
    <w:p w14:paraId="57910955" w14:textId="66A91122" w:rsidR="00776154" w:rsidRDefault="00776154" w:rsidP="00776154">
      <w:pPr>
        <w:rPr>
          <w:lang w:eastAsia="en-AU"/>
        </w:rPr>
      </w:pPr>
      <w:r>
        <w:rPr>
          <w:lang w:eastAsia="en-AU"/>
        </w:rPr>
        <w:t xml:space="preserve">FSANZ’s preliminary view was </w:t>
      </w:r>
      <w:r w:rsidR="00737E5E">
        <w:rPr>
          <w:lang w:eastAsia="en-AU"/>
        </w:rPr>
        <w:t xml:space="preserve">to </w:t>
      </w:r>
      <w:r>
        <w:rPr>
          <w:lang w:eastAsia="en-AU"/>
        </w:rPr>
        <w:t xml:space="preserve">retain the requirement that </w:t>
      </w:r>
      <w:r w:rsidRPr="00042B5C">
        <w:rPr>
          <w:lang w:eastAsia="en-AU"/>
        </w:rPr>
        <w:t>amount</w:t>
      </w:r>
      <w:r>
        <w:rPr>
          <w:lang w:eastAsia="en-AU"/>
        </w:rPr>
        <w:t xml:space="preserve">s of particular fatty acids are </w:t>
      </w:r>
      <w:r w:rsidRPr="00042B5C">
        <w:rPr>
          <w:lang w:eastAsia="en-AU"/>
        </w:rPr>
        <w:t>expressed as a percentage of total fatty acids, as this expression refers to the overall fatty acid profile that is independent of the energy content of the formula.</w:t>
      </w:r>
      <w:r>
        <w:rPr>
          <w:lang w:eastAsia="en-AU"/>
        </w:rPr>
        <w:t xml:space="preserve"> FSANZ used a calculation in the 2016 Consultation </w:t>
      </w:r>
      <w:r w:rsidR="00737E5E">
        <w:rPr>
          <w:lang w:eastAsia="en-AU"/>
        </w:rPr>
        <w:t>p</w:t>
      </w:r>
      <w:r>
        <w:rPr>
          <w:lang w:eastAsia="en-AU"/>
        </w:rPr>
        <w:t xml:space="preserve">aper to compare Codex requirements for fat and fatty acids with Standard 2.9.1. The calculation converted the minimum fatty acid requirement in Standard 2.9.1 (e.g. LA = 9% of fatty acids) to units of mg/100 kJ using the prescribed range of fat content (minimum and maximum) and the assumption that the fats and oils are 95% fatty acids (Greenfield and Southgate 2003). This calculation was used for illustrative purposes only, i.e. to make the comparison between the two standards. </w:t>
      </w:r>
    </w:p>
    <w:p w14:paraId="721FDA11" w14:textId="20F3A5ED" w:rsidR="00776154" w:rsidRDefault="00143572" w:rsidP="00776154">
      <w:pPr>
        <w:pStyle w:val="Heading4"/>
      </w:pPr>
      <w:r>
        <w:t>Stakeholder views</w:t>
      </w:r>
    </w:p>
    <w:p w14:paraId="4AFDB65C" w14:textId="229A6885" w:rsidR="00776154" w:rsidRDefault="00776154" w:rsidP="00776154">
      <w:pPr>
        <w:rPr>
          <w:lang w:eastAsia="en-AU"/>
        </w:rPr>
      </w:pPr>
      <w:r>
        <w:rPr>
          <w:lang w:eastAsia="en-AU"/>
        </w:rPr>
        <w:t>Three s</w:t>
      </w:r>
      <w:r w:rsidRPr="00980975">
        <w:rPr>
          <w:lang w:eastAsia="en-AU"/>
        </w:rPr>
        <w:t>ubmi</w:t>
      </w:r>
      <w:r>
        <w:rPr>
          <w:lang w:eastAsia="en-AU"/>
        </w:rPr>
        <w:t xml:space="preserve">tters </w:t>
      </w:r>
      <w:r w:rsidR="00737E5E">
        <w:rPr>
          <w:lang w:eastAsia="en-AU"/>
        </w:rPr>
        <w:t xml:space="preserve">(all </w:t>
      </w:r>
      <w:r>
        <w:rPr>
          <w:lang w:eastAsia="en-AU"/>
        </w:rPr>
        <w:t>from industry</w:t>
      </w:r>
      <w:r w:rsidR="00737E5E">
        <w:rPr>
          <w:lang w:eastAsia="en-AU"/>
        </w:rPr>
        <w:t>)</w:t>
      </w:r>
      <w:r>
        <w:rPr>
          <w:lang w:eastAsia="en-AU"/>
        </w:rPr>
        <w:t xml:space="preserve"> commented on this issue and agreed with the view from 2016 Consultation paper that the primary unit of expression </w:t>
      </w:r>
      <w:r w:rsidRPr="009C63E1">
        <w:rPr>
          <w:lang w:eastAsia="en-AU"/>
        </w:rPr>
        <w:t>for essential fatty acids should be mg/100 kJ to align with other nutrie</w:t>
      </w:r>
      <w:r>
        <w:rPr>
          <w:lang w:eastAsia="en-AU"/>
        </w:rPr>
        <w:t xml:space="preserve">nts and with Codex STAN 72-1981. They also considered that a </w:t>
      </w:r>
      <w:r w:rsidRPr="001458E1">
        <w:t xml:space="preserve">calculation </w:t>
      </w:r>
      <w:r>
        <w:t xml:space="preserve">and appropriate assumptions should be included in Standard 2.9.1 </w:t>
      </w:r>
      <w:r w:rsidRPr="001458E1">
        <w:t>so that fa</w:t>
      </w:r>
      <w:r>
        <w:t>tty acids acid</w:t>
      </w:r>
      <w:r w:rsidRPr="001458E1">
        <w:t xml:space="preserve"> be expressed as a percentage of total fatty </w:t>
      </w:r>
      <w:r>
        <w:t>acids. It was noted that expression on a fatty acid basis is useful</w:t>
      </w:r>
      <w:r>
        <w:rPr>
          <w:b/>
        </w:rPr>
        <w:t xml:space="preserve"> </w:t>
      </w:r>
      <w:r>
        <w:t xml:space="preserve">in raw material specifications but having both units in the </w:t>
      </w:r>
      <w:r w:rsidR="00737E5E">
        <w:t>s</w:t>
      </w:r>
      <w:r>
        <w:t>tandard is unnecessary.</w:t>
      </w:r>
    </w:p>
    <w:p w14:paraId="0249CEC1" w14:textId="2F83E574" w:rsidR="00776154" w:rsidRDefault="00737E5E" w:rsidP="00776154">
      <w:pPr>
        <w:pStyle w:val="Heading4"/>
      </w:pPr>
      <w:r>
        <w:t>Nutrition r</w:t>
      </w:r>
      <w:r w:rsidR="00776154">
        <w:t xml:space="preserve">isk assessment </w:t>
      </w:r>
    </w:p>
    <w:p w14:paraId="648D61BB" w14:textId="46504ECF" w:rsidR="00776154" w:rsidRDefault="00776154" w:rsidP="00776154">
      <w:pPr>
        <w:rPr>
          <w:lang w:eastAsia="en-AU"/>
        </w:rPr>
      </w:pPr>
      <w:r>
        <w:rPr>
          <w:lang w:eastAsia="en-AU"/>
        </w:rPr>
        <w:t xml:space="preserve">No further </w:t>
      </w:r>
      <w:r w:rsidR="003F046F">
        <w:rPr>
          <w:lang w:eastAsia="en-AU"/>
        </w:rPr>
        <w:t xml:space="preserve">nutrition </w:t>
      </w:r>
      <w:r>
        <w:rPr>
          <w:lang w:eastAsia="en-AU"/>
        </w:rPr>
        <w:t>risk assessment was considered on this issue.</w:t>
      </w:r>
    </w:p>
    <w:p w14:paraId="1EEB35CE" w14:textId="77777777" w:rsidR="00776154" w:rsidRDefault="00776154" w:rsidP="00776154">
      <w:pPr>
        <w:pStyle w:val="Heading4"/>
      </w:pPr>
      <w:r>
        <w:t xml:space="preserve">Options and discussion  </w:t>
      </w:r>
    </w:p>
    <w:p w14:paraId="407BD569" w14:textId="2D8BEEEB" w:rsidR="00776154" w:rsidRDefault="00776154" w:rsidP="00776154">
      <w:pPr>
        <w:rPr>
          <w:szCs w:val="20"/>
          <w:lang w:eastAsia="en-AU"/>
        </w:rPr>
      </w:pPr>
      <w:r w:rsidRPr="001458E1">
        <w:rPr>
          <w:szCs w:val="20"/>
        </w:rPr>
        <w:t>F</w:t>
      </w:r>
      <w:r>
        <w:rPr>
          <w:szCs w:val="20"/>
        </w:rPr>
        <w:t>SANZ notes that Codex STAN</w:t>
      </w:r>
      <w:r w:rsidRPr="001458E1">
        <w:rPr>
          <w:szCs w:val="20"/>
        </w:rPr>
        <w:t xml:space="preserve"> 72-1981 uses a mixed approach for units of expression of fatty acids. </w:t>
      </w:r>
      <w:r w:rsidR="006678F3">
        <w:rPr>
          <w:szCs w:val="20"/>
          <w:lang w:eastAsia="en-AU"/>
        </w:rPr>
        <w:t xml:space="preserve">Total fat, </w:t>
      </w:r>
      <w:r w:rsidR="00A81C38">
        <w:rPr>
          <w:szCs w:val="20"/>
          <w:lang w:eastAsia="en-AU"/>
        </w:rPr>
        <w:t xml:space="preserve">LA </w:t>
      </w:r>
      <w:r w:rsidR="006678F3">
        <w:rPr>
          <w:szCs w:val="20"/>
          <w:lang w:eastAsia="en-AU"/>
        </w:rPr>
        <w:t xml:space="preserve">and </w:t>
      </w:r>
      <w:r w:rsidR="00A81C38">
        <w:rPr>
          <w:szCs w:val="20"/>
          <w:lang w:eastAsia="en-AU"/>
        </w:rPr>
        <w:t>ALA</w:t>
      </w:r>
      <w:r w:rsidRPr="001458E1">
        <w:rPr>
          <w:szCs w:val="20"/>
          <w:lang w:eastAsia="en-AU"/>
        </w:rPr>
        <w:t xml:space="preserve"> requirements are specified per 100 kJ (and 100 kcal), while limit</w:t>
      </w:r>
      <w:r>
        <w:rPr>
          <w:szCs w:val="20"/>
          <w:lang w:eastAsia="en-AU"/>
        </w:rPr>
        <w:t>s on specific fatty acids (</w:t>
      </w:r>
      <w:r w:rsidR="001F644E">
        <w:rPr>
          <w:szCs w:val="20"/>
          <w:lang w:eastAsia="en-AU"/>
        </w:rPr>
        <w:t>docosahexaenoic acid (</w:t>
      </w:r>
      <w:r w:rsidRPr="001458E1">
        <w:rPr>
          <w:szCs w:val="20"/>
          <w:lang w:eastAsia="en-AU"/>
        </w:rPr>
        <w:t>DHA</w:t>
      </w:r>
      <w:r w:rsidR="001F644E">
        <w:rPr>
          <w:szCs w:val="20"/>
          <w:lang w:eastAsia="en-AU"/>
        </w:rPr>
        <w:t>)</w:t>
      </w:r>
      <w:r>
        <w:rPr>
          <w:szCs w:val="20"/>
          <w:lang w:eastAsia="en-AU"/>
        </w:rPr>
        <w:t>, lauric acid, myristic acid, and erucic acid</w:t>
      </w:r>
      <w:r w:rsidRPr="001458E1">
        <w:rPr>
          <w:szCs w:val="20"/>
          <w:lang w:eastAsia="en-AU"/>
        </w:rPr>
        <w:t>) are set as a percentage of total fatty acid</w:t>
      </w:r>
      <w:r>
        <w:rPr>
          <w:szCs w:val="20"/>
          <w:lang w:eastAsia="en-AU"/>
        </w:rPr>
        <w:t>s (i.e. aligned with Standard 2.9.1)</w:t>
      </w:r>
      <w:r w:rsidRPr="001458E1">
        <w:rPr>
          <w:szCs w:val="20"/>
          <w:lang w:eastAsia="en-AU"/>
        </w:rPr>
        <w:t>.</w:t>
      </w:r>
      <w:r>
        <w:rPr>
          <w:szCs w:val="20"/>
          <w:lang w:eastAsia="en-AU"/>
        </w:rPr>
        <w:t xml:space="preserve"> However, the </w:t>
      </w:r>
      <w:r w:rsidR="00B96544">
        <w:t>Codex Draft Standard for FUF</w:t>
      </w:r>
      <w:r w:rsidR="00B96544">
        <w:rPr>
          <w:szCs w:val="20"/>
          <w:lang w:eastAsia="en-AU"/>
        </w:rPr>
        <w:t xml:space="preserve"> </w:t>
      </w:r>
      <w:r>
        <w:rPr>
          <w:szCs w:val="20"/>
          <w:lang w:eastAsia="en-AU"/>
        </w:rPr>
        <w:t xml:space="preserve">(2020) now sets DHA amounts in mg/100 kJ but still uses the percentage of fatty acids to set limits on </w:t>
      </w:r>
      <w:r w:rsidRPr="0077230C">
        <w:rPr>
          <w:szCs w:val="20"/>
          <w:lang w:eastAsia="en-AU"/>
        </w:rPr>
        <w:t>lauric acid, myristic acid, and erucic acid</w:t>
      </w:r>
      <w:r>
        <w:rPr>
          <w:szCs w:val="20"/>
          <w:lang w:eastAsia="en-AU"/>
        </w:rPr>
        <w:t>. EU 2016</w:t>
      </w:r>
      <w:r w:rsidR="001F644E">
        <w:rPr>
          <w:szCs w:val="20"/>
          <w:lang w:eastAsia="en-AU"/>
        </w:rPr>
        <w:t>/127</w:t>
      </w:r>
      <w:r>
        <w:rPr>
          <w:szCs w:val="20"/>
          <w:lang w:eastAsia="en-AU"/>
        </w:rPr>
        <w:t xml:space="preserve"> does not use percentage of fatty acids as a unit of expression. </w:t>
      </w:r>
    </w:p>
    <w:p w14:paraId="69B6F21C" w14:textId="77777777" w:rsidR="00776154" w:rsidRDefault="00776154" w:rsidP="00776154">
      <w:pPr>
        <w:rPr>
          <w:szCs w:val="20"/>
          <w:lang w:eastAsia="en-AU"/>
        </w:rPr>
      </w:pPr>
    </w:p>
    <w:p w14:paraId="2A731BA0" w14:textId="39C530F9" w:rsidR="00776154" w:rsidRDefault="00776154" w:rsidP="00776154">
      <w:pPr>
        <w:rPr>
          <w:szCs w:val="20"/>
          <w:lang w:eastAsia="en-AU"/>
        </w:rPr>
      </w:pPr>
      <w:r>
        <w:rPr>
          <w:szCs w:val="20"/>
          <w:lang w:eastAsia="en-AU"/>
        </w:rPr>
        <w:t xml:space="preserve">Conversion of the percentage of fatty acids (e.g. 9 - 26% of fatty acids for </w:t>
      </w:r>
      <w:r w:rsidR="00A81C38">
        <w:rPr>
          <w:szCs w:val="20"/>
          <w:lang w:eastAsia="en-AU"/>
        </w:rPr>
        <w:t>LA</w:t>
      </w:r>
      <w:r>
        <w:rPr>
          <w:szCs w:val="20"/>
          <w:lang w:eastAsia="en-AU"/>
        </w:rPr>
        <w:t>) to units of mg/100 kJ is calculated using the prescribed total fat content. Because this is set as a minimum and maximum amount, the calculation can be done in two ways:</w:t>
      </w:r>
    </w:p>
    <w:p w14:paraId="1CF7A1D8" w14:textId="77777777" w:rsidR="00776154" w:rsidRDefault="00776154" w:rsidP="00087219">
      <w:pPr>
        <w:pStyle w:val="ListParagraph"/>
        <w:numPr>
          <w:ilvl w:val="0"/>
          <w:numId w:val="14"/>
        </w:numPr>
        <w:ind w:left="567" w:hanging="567"/>
        <w:rPr>
          <w:szCs w:val="20"/>
          <w:lang w:eastAsia="en-AU"/>
        </w:rPr>
      </w:pPr>
      <w:r w:rsidRPr="00F43FF2">
        <w:rPr>
          <w:szCs w:val="20"/>
          <w:lang w:eastAsia="en-AU"/>
        </w:rPr>
        <w:t>using the minimum fat content and the minimum fatty acid amount and the maximum fat content and the maximum fatty acid amount (gives the widest range of fatty acid content)</w:t>
      </w:r>
      <w:r>
        <w:rPr>
          <w:szCs w:val="20"/>
          <w:lang w:eastAsia="en-AU"/>
        </w:rPr>
        <w:t>; or</w:t>
      </w:r>
    </w:p>
    <w:p w14:paraId="63089157" w14:textId="77777777" w:rsidR="00776154" w:rsidRPr="00F43FF2" w:rsidRDefault="00776154" w:rsidP="00087219">
      <w:pPr>
        <w:pStyle w:val="ListParagraph"/>
        <w:numPr>
          <w:ilvl w:val="0"/>
          <w:numId w:val="14"/>
        </w:numPr>
        <w:ind w:left="567" w:hanging="567"/>
        <w:rPr>
          <w:szCs w:val="20"/>
          <w:lang w:eastAsia="en-AU"/>
        </w:rPr>
      </w:pPr>
      <w:r w:rsidRPr="00F43FF2">
        <w:rPr>
          <w:szCs w:val="20"/>
          <w:lang w:eastAsia="en-AU"/>
        </w:rPr>
        <w:t xml:space="preserve">using the midpoint of the fat content range </w:t>
      </w:r>
      <w:r>
        <w:rPr>
          <w:szCs w:val="20"/>
          <w:lang w:eastAsia="en-AU"/>
        </w:rPr>
        <w:t xml:space="preserve">with the </w:t>
      </w:r>
      <w:r w:rsidRPr="00F43FF2">
        <w:rPr>
          <w:szCs w:val="20"/>
          <w:lang w:eastAsia="en-AU"/>
        </w:rPr>
        <w:t>minimum and</w:t>
      </w:r>
      <w:r>
        <w:rPr>
          <w:szCs w:val="20"/>
          <w:lang w:eastAsia="en-AU"/>
        </w:rPr>
        <w:t xml:space="preserve"> maximum fatty acid amount.</w:t>
      </w:r>
    </w:p>
    <w:p w14:paraId="5ABCA772" w14:textId="77777777" w:rsidR="00776154" w:rsidRDefault="00776154" w:rsidP="00776154">
      <w:pPr>
        <w:rPr>
          <w:szCs w:val="20"/>
          <w:lang w:eastAsia="en-AU"/>
        </w:rPr>
      </w:pPr>
    </w:p>
    <w:p w14:paraId="1270AF63" w14:textId="728B3653" w:rsidR="00776154" w:rsidRDefault="00776154" w:rsidP="00776154">
      <w:pPr>
        <w:rPr>
          <w:szCs w:val="20"/>
          <w:lang w:eastAsia="en-AU"/>
        </w:rPr>
      </w:pPr>
      <w:r>
        <w:rPr>
          <w:szCs w:val="20"/>
          <w:lang w:eastAsia="en-AU"/>
        </w:rPr>
        <w:t xml:space="preserve">Table </w:t>
      </w:r>
      <w:r w:rsidR="006678F3">
        <w:rPr>
          <w:szCs w:val="20"/>
          <w:lang w:eastAsia="en-AU"/>
        </w:rPr>
        <w:t>5</w:t>
      </w:r>
      <w:r w:rsidR="00092FC2">
        <w:rPr>
          <w:szCs w:val="20"/>
          <w:lang w:eastAsia="en-AU"/>
        </w:rPr>
        <w:t xml:space="preserve">.2 </w:t>
      </w:r>
      <w:r>
        <w:rPr>
          <w:szCs w:val="20"/>
          <w:lang w:eastAsia="en-AU"/>
        </w:rPr>
        <w:t xml:space="preserve">shows this calculation for </w:t>
      </w:r>
      <w:r w:rsidR="00A81C38">
        <w:rPr>
          <w:szCs w:val="20"/>
          <w:lang w:eastAsia="en-AU"/>
        </w:rPr>
        <w:t>LA</w:t>
      </w:r>
      <w:r>
        <w:rPr>
          <w:szCs w:val="20"/>
          <w:lang w:eastAsia="en-AU"/>
        </w:rPr>
        <w:t xml:space="preserve"> acid. The calculation using the minimum and maximum total fat amount (i.e. not the midpoint) best aligns with the Codex range for </w:t>
      </w:r>
      <w:r w:rsidR="00A81C38">
        <w:rPr>
          <w:szCs w:val="20"/>
          <w:lang w:eastAsia="en-AU"/>
        </w:rPr>
        <w:t>LA</w:t>
      </w:r>
      <w:r>
        <w:rPr>
          <w:szCs w:val="20"/>
          <w:lang w:eastAsia="en-AU"/>
        </w:rPr>
        <w:t xml:space="preserve"> acid (70 - 330 mg/100 kJ). </w:t>
      </w:r>
    </w:p>
    <w:p w14:paraId="08051CD2" w14:textId="68C912F6" w:rsidR="00087219" w:rsidRDefault="00776154" w:rsidP="00776154">
      <w:pPr>
        <w:rPr>
          <w:szCs w:val="20"/>
          <w:lang w:eastAsia="en-AU"/>
        </w:rPr>
      </w:pPr>
      <w:r>
        <w:rPr>
          <w:szCs w:val="20"/>
          <w:lang w:eastAsia="en-AU"/>
        </w:rPr>
        <w:t xml:space="preserve"> </w:t>
      </w:r>
    </w:p>
    <w:p w14:paraId="04E95A03" w14:textId="77777777" w:rsidR="00087219" w:rsidRDefault="00087219">
      <w:pPr>
        <w:rPr>
          <w:szCs w:val="20"/>
          <w:lang w:eastAsia="en-AU"/>
        </w:rPr>
      </w:pPr>
      <w:r>
        <w:rPr>
          <w:szCs w:val="20"/>
          <w:lang w:eastAsia="en-AU"/>
        </w:rPr>
        <w:br w:type="page"/>
      </w:r>
    </w:p>
    <w:p w14:paraId="7C86600C" w14:textId="7890C736" w:rsidR="00776154" w:rsidRPr="006309DB" w:rsidRDefault="00776154" w:rsidP="00E9515E">
      <w:pPr>
        <w:pStyle w:val="FSTitle"/>
        <w:rPr>
          <w:lang w:eastAsia="en-AU"/>
        </w:rPr>
      </w:pPr>
      <w:bookmarkStart w:id="231" w:name="_Toc74061232"/>
      <w:r>
        <w:rPr>
          <w:lang w:eastAsia="en-AU"/>
        </w:rPr>
        <w:lastRenderedPageBreak/>
        <w:t xml:space="preserve">Table </w:t>
      </w:r>
      <w:r w:rsidR="006678F3">
        <w:rPr>
          <w:lang w:eastAsia="en-AU"/>
        </w:rPr>
        <w:t>5</w:t>
      </w:r>
      <w:r w:rsidR="00092FC2">
        <w:rPr>
          <w:lang w:eastAsia="en-AU"/>
        </w:rPr>
        <w:t>.2</w:t>
      </w:r>
      <w:r w:rsidR="00092FC2">
        <w:rPr>
          <w:lang w:eastAsia="en-AU"/>
        </w:rPr>
        <w:tab/>
      </w:r>
      <w:r>
        <w:rPr>
          <w:lang w:eastAsia="en-AU"/>
        </w:rPr>
        <w:t xml:space="preserve">Calculation of </w:t>
      </w:r>
      <w:r w:rsidR="00A81C38">
        <w:rPr>
          <w:lang w:eastAsia="en-AU"/>
        </w:rPr>
        <w:t xml:space="preserve">LA </w:t>
      </w:r>
      <w:r w:rsidR="006309DB">
        <w:rPr>
          <w:lang w:eastAsia="en-AU"/>
        </w:rPr>
        <w:t>range in mg/100 kJ</w:t>
      </w:r>
      <w:bookmarkEnd w:id="231"/>
    </w:p>
    <w:tbl>
      <w:tblPr>
        <w:tblStyle w:val="MediumShading1-Accent3"/>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5.2.1 Calculation of linoleic acid range in mg/100 kJ"/>
        <w:tblDescription w:val="This table summarises the Calculation of linoleic acid range in mg/100 kJ."/>
      </w:tblPr>
      <w:tblGrid>
        <w:gridCol w:w="2825"/>
        <w:gridCol w:w="1777"/>
        <w:gridCol w:w="1767"/>
        <w:gridCol w:w="2693"/>
      </w:tblGrid>
      <w:tr w:rsidR="00776154" w:rsidRPr="00781E39" w14:paraId="6D350592" w14:textId="77777777" w:rsidTr="00BC54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25" w:type="dxa"/>
            <w:tcBorders>
              <w:top w:val="none" w:sz="0" w:space="0" w:color="auto"/>
              <w:left w:val="none" w:sz="0" w:space="0" w:color="auto"/>
              <w:bottom w:val="none" w:sz="0" w:space="0" w:color="auto"/>
              <w:right w:val="none" w:sz="0" w:space="0" w:color="auto"/>
            </w:tcBorders>
            <w:shd w:val="clear" w:color="auto" w:fill="E5DFEC" w:themeFill="accent4" w:themeFillTint="33"/>
            <w:vAlign w:val="center"/>
          </w:tcPr>
          <w:p w14:paraId="4A1FA2D2" w14:textId="56ACEAE4" w:rsidR="00776154" w:rsidRPr="00BC5468" w:rsidRDefault="00776154" w:rsidP="00776154">
            <w:pPr>
              <w:jc w:val="center"/>
              <w:rPr>
                <w:rFonts w:cs="Arial"/>
                <w:color w:val="auto"/>
                <w:szCs w:val="20"/>
                <w:lang w:eastAsia="en-AU"/>
              </w:rPr>
            </w:pPr>
            <w:r w:rsidRPr="00BC5468">
              <w:rPr>
                <w:rFonts w:cs="Arial"/>
                <w:color w:val="auto"/>
                <w:szCs w:val="20"/>
                <w:lang w:eastAsia="en-AU"/>
              </w:rPr>
              <w:t>Standard 2.9.1</w:t>
            </w:r>
            <w:r w:rsidR="00702F16">
              <w:rPr>
                <w:rFonts w:cs="Arial"/>
                <w:color w:val="auto"/>
                <w:szCs w:val="20"/>
                <w:lang w:eastAsia="en-AU"/>
              </w:rPr>
              <w:t xml:space="preserve"> (</w:t>
            </w:r>
            <w:r w:rsidR="00702F16" w:rsidRPr="00702F16">
              <w:rPr>
                <w:rFonts w:cs="Arial"/>
                <w:color w:val="auto"/>
                <w:szCs w:val="20"/>
                <w:lang w:eastAsia="en-AU"/>
              </w:rPr>
              <w:t>S29—8)</w:t>
            </w:r>
          </w:p>
          <w:p w14:paraId="3AB632DF" w14:textId="0BE5DC10" w:rsidR="00776154" w:rsidRPr="00BC5468" w:rsidRDefault="00A81C38" w:rsidP="00776154">
            <w:pPr>
              <w:jc w:val="center"/>
              <w:rPr>
                <w:rFonts w:cs="Arial"/>
                <w:color w:val="auto"/>
                <w:szCs w:val="20"/>
                <w:lang w:eastAsia="en-AU"/>
              </w:rPr>
            </w:pPr>
            <w:r>
              <w:rPr>
                <w:rFonts w:cs="Arial"/>
                <w:color w:val="auto"/>
                <w:szCs w:val="20"/>
                <w:lang w:eastAsia="en-AU"/>
              </w:rPr>
              <w:t>LA</w:t>
            </w:r>
            <w:r w:rsidR="00776154" w:rsidRPr="00BC5468">
              <w:rPr>
                <w:rFonts w:cs="Arial"/>
                <w:color w:val="auto"/>
                <w:szCs w:val="20"/>
                <w:lang w:eastAsia="en-AU"/>
              </w:rPr>
              <w:t xml:space="preserve"> amount</w:t>
            </w:r>
          </w:p>
          <w:p w14:paraId="7ACA7404" w14:textId="77777777" w:rsidR="00776154" w:rsidRPr="00BC5468" w:rsidRDefault="00776154" w:rsidP="00776154">
            <w:pPr>
              <w:jc w:val="center"/>
              <w:rPr>
                <w:rFonts w:cs="Arial"/>
                <w:color w:val="auto"/>
                <w:szCs w:val="20"/>
                <w:lang w:eastAsia="en-AU"/>
              </w:rPr>
            </w:pPr>
            <w:r w:rsidRPr="00BC5468">
              <w:rPr>
                <w:rFonts w:cs="Arial"/>
                <w:color w:val="auto"/>
                <w:szCs w:val="20"/>
                <w:lang w:eastAsia="en-AU"/>
              </w:rPr>
              <w:t>(% of total fatty acids)</w:t>
            </w:r>
          </w:p>
        </w:tc>
        <w:tc>
          <w:tcPr>
            <w:tcW w:w="3544" w:type="dxa"/>
            <w:gridSpan w:val="2"/>
            <w:tcBorders>
              <w:top w:val="none" w:sz="0" w:space="0" w:color="auto"/>
              <w:left w:val="none" w:sz="0" w:space="0" w:color="auto"/>
              <w:bottom w:val="none" w:sz="0" w:space="0" w:color="auto"/>
              <w:right w:val="none" w:sz="0" w:space="0" w:color="auto"/>
            </w:tcBorders>
            <w:shd w:val="clear" w:color="auto" w:fill="DBE5F1" w:themeFill="accent1" w:themeFillTint="33"/>
            <w:vAlign w:val="center"/>
          </w:tcPr>
          <w:p w14:paraId="43D1C9F2" w14:textId="77777777" w:rsidR="00776154" w:rsidRPr="00BC5468" w:rsidRDefault="00776154" w:rsidP="00776154">
            <w:pPr>
              <w:jc w:val="center"/>
              <w:cnfStyle w:val="100000000000" w:firstRow="1" w:lastRow="0" w:firstColumn="0" w:lastColumn="0" w:oddVBand="0" w:evenVBand="0" w:oddHBand="0" w:evenHBand="0" w:firstRowFirstColumn="0" w:firstRowLastColumn="0" w:lastRowFirstColumn="0" w:lastRowLastColumn="0"/>
              <w:rPr>
                <w:rFonts w:cs="Arial"/>
                <w:color w:val="auto"/>
                <w:szCs w:val="20"/>
                <w:lang w:eastAsia="en-AU"/>
              </w:rPr>
            </w:pPr>
            <w:r w:rsidRPr="00BC5468">
              <w:rPr>
                <w:rFonts w:cs="Arial"/>
                <w:color w:val="auto"/>
                <w:szCs w:val="20"/>
                <w:lang w:eastAsia="en-AU"/>
              </w:rPr>
              <w:t>Total fat</w:t>
            </w:r>
          </w:p>
          <w:p w14:paraId="623D1291" w14:textId="77777777" w:rsidR="00776154" w:rsidRPr="00BC5468" w:rsidRDefault="00776154" w:rsidP="00776154">
            <w:pPr>
              <w:jc w:val="center"/>
              <w:cnfStyle w:val="100000000000" w:firstRow="1" w:lastRow="0" w:firstColumn="0" w:lastColumn="0" w:oddVBand="0" w:evenVBand="0" w:oddHBand="0" w:evenHBand="0" w:firstRowFirstColumn="0" w:firstRowLastColumn="0" w:lastRowFirstColumn="0" w:lastRowLastColumn="0"/>
              <w:rPr>
                <w:rFonts w:cs="Arial"/>
                <w:color w:val="auto"/>
                <w:szCs w:val="20"/>
                <w:lang w:eastAsia="en-AU"/>
              </w:rPr>
            </w:pPr>
            <w:r w:rsidRPr="00BC5468">
              <w:rPr>
                <w:rFonts w:cs="Arial"/>
                <w:color w:val="auto"/>
                <w:szCs w:val="20"/>
                <w:lang w:eastAsia="en-AU"/>
              </w:rPr>
              <w:t>(g/100 kJ)</w:t>
            </w:r>
          </w:p>
        </w:tc>
        <w:tc>
          <w:tcPr>
            <w:tcW w:w="2693" w:type="dxa"/>
            <w:tcBorders>
              <w:top w:val="none" w:sz="0" w:space="0" w:color="auto"/>
              <w:left w:val="none" w:sz="0" w:space="0" w:color="auto"/>
              <w:bottom w:val="none" w:sz="0" w:space="0" w:color="auto"/>
              <w:right w:val="none" w:sz="0" w:space="0" w:color="auto"/>
            </w:tcBorders>
            <w:shd w:val="clear" w:color="auto" w:fill="EAF1DD" w:themeFill="accent3" w:themeFillTint="33"/>
            <w:vAlign w:val="center"/>
          </w:tcPr>
          <w:p w14:paraId="5BFE33B8" w14:textId="2FC28D7F" w:rsidR="00776154" w:rsidRPr="00BC5468" w:rsidRDefault="00A81C38" w:rsidP="00776154">
            <w:pPr>
              <w:jc w:val="center"/>
              <w:cnfStyle w:val="100000000000" w:firstRow="1" w:lastRow="0" w:firstColumn="0" w:lastColumn="0" w:oddVBand="0" w:evenVBand="0" w:oddHBand="0" w:evenHBand="0" w:firstRowFirstColumn="0" w:firstRowLastColumn="0" w:lastRowFirstColumn="0" w:lastRowLastColumn="0"/>
              <w:rPr>
                <w:rFonts w:cs="Arial"/>
                <w:color w:val="auto"/>
                <w:szCs w:val="20"/>
                <w:lang w:eastAsia="en-AU"/>
              </w:rPr>
            </w:pPr>
            <w:r>
              <w:rPr>
                <w:rFonts w:cs="Arial"/>
                <w:color w:val="auto"/>
                <w:szCs w:val="20"/>
                <w:lang w:eastAsia="en-AU"/>
              </w:rPr>
              <w:t>LA</w:t>
            </w:r>
            <w:r w:rsidR="00776154" w:rsidRPr="00BC5468">
              <w:rPr>
                <w:rFonts w:cs="Arial"/>
                <w:color w:val="auto"/>
                <w:szCs w:val="20"/>
                <w:lang w:eastAsia="en-AU"/>
              </w:rPr>
              <w:t xml:space="preserve"> amount</w:t>
            </w:r>
            <w:r w:rsidR="00776154" w:rsidRPr="00BC5468">
              <w:rPr>
                <w:rFonts w:cs="Arial"/>
                <w:color w:val="auto"/>
                <w:szCs w:val="20"/>
                <w:vertAlign w:val="superscript"/>
                <w:lang w:eastAsia="en-AU"/>
              </w:rPr>
              <w:t>1</w:t>
            </w:r>
          </w:p>
          <w:p w14:paraId="4212FB07" w14:textId="77777777" w:rsidR="00776154" w:rsidRPr="00BC5468" w:rsidRDefault="00776154" w:rsidP="00776154">
            <w:pPr>
              <w:jc w:val="center"/>
              <w:cnfStyle w:val="100000000000" w:firstRow="1" w:lastRow="0" w:firstColumn="0" w:lastColumn="0" w:oddVBand="0" w:evenVBand="0" w:oddHBand="0" w:evenHBand="0" w:firstRowFirstColumn="0" w:firstRowLastColumn="0" w:lastRowFirstColumn="0" w:lastRowLastColumn="0"/>
              <w:rPr>
                <w:rFonts w:cs="Arial"/>
                <w:color w:val="auto"/>
                <w:szCs w:val="20"/>
                <w:lang w:eastAsia="en-AU"/>
              </w:rPr>
            </w:pPr>
            <w:r w:rsidRPr="00BC5468">
              <w:rPr>
                <w:rFonts w:cs="Arial"/>
                <w:color w:val="auto"/>
                <w:szCs w:val="20"/>
                <w:lang w:eastAsia="en-AU"/>
              </w:rPr>
              <w:t>(mg/100 kJ)</w:t>
            </w:r>
          </w:p>
        </w:tc>
      </w:tr>
      <w:tr w:rsidR="00776154" w:rsidRPr="00781E39" w14:paraId="34D3E3C0" w14:textId="77777777" w:rsidTr="00BC546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825" w:type="dxa"/>
            <w:tcBorders>
              <w:right w:val="none" w:sz="0" w:space="0" w:color="auto"/>
            </w:tcBorders>
            <w:shd w:val="clear" w:color="auto" w:fill="F2F2F2" w:themeFill="background1" w:themeFillShade="F2"/>
            <w:vAlign w:val="center"/>
          </w:tcPr>
          <w:p w14:paraId="26239D90" w14:textId="77777777" w:rsidR="00776154" w:rsidRPr="00E10F86" w:rsidRDefault="00776154" w:rsidP="00776154">
            <w:pPr>
              <w:jc w:val="center"/>
              <w:rPr>
                <w:rFonts w:cs="Arial"/>
                <w:szCs w:val="20"/>
                <w:lang w:eastAsia="en-AU"/>
              </w:rPr>
            </w:pPr>
            <w:r w:rsidRPr="00E10F86">
              <w:rPr>
                <w:rFonts w:cs="Arial"/>
                <w:szCs w:val="20"/>
                <w:lang w:eastAsia="en-AU"/>
              </w:rPr>
              <w:t>9</w:t>
            </w:r>
          </w:p>
        </w:tc>
        <w:tc>
          <w:tcPr>
            <w:tcW w:w="1777" w:type="dxa"/>
            <w:tcBorders>
              <w:left w:val="none" w:sz="0" w:space="0" w:color="auto"/>
              <w:right w:val="none" w:sz="0" w:space="0" w:color="auto"/>
            </w:tcBorders>
            <w:shd w:val="clear" w:color="auto" w:fill="F2F2F2" w:themeFill="background1" w:themeFillShade="F2"/>
            <w:vAlign w:val="center"/>
          </w:tcPr>
          <w:p w14:paraId="3F6069F7" w14:textId="77777777" w:rsidR="00776154" w:rsidRPr="00E10F86" w:rsidRDefault="00776154" w:rsidP="00776154">
            <w:pPr>
              <w:jc w:val="center"/>
              <w:cnfStyle w:val="000000100000" w:firstRow="0" w:lastRow="0" w:firstColumn="0" w:lastColumn="0" w:oddVBand="0" w:evenVBand="0" w:oddHBand="1" w:evenHBand="0" w:firstRowFirstColumn="0" w:firstRowLastColumn="0" w:lastRowFirstColumn="0" w:lastRowLastColumn="0"/>
              <w:rPr>
                <w:rFonts w:cs="Arial"/>
                <w:b/>
                <w:szCs w:val="20"/>
                <w:lang w:eastAsia="en-AU"/>
              </w:rPr>
            </w:pPr>
            <w:r w:rsidRPr="00E10F86">
              <w:rPr>
                <w:rFonts w:cs="Arial"/>
                <w:b/>
                <w:szCs w:val="20"/>
                <w:lang w:eastAsia="en-AU"/>
              </w:rPr>
              <w:t>1.05</w:t>
            </w:r>
          </w:p>
        </w:tc>
        <w:tc>
          <w:tcPr>
            <w:tcW w:w="1767" w:type="dxa"/>
            <w:tcBorders>
              <w:left w:val="none" w:sz="0" w:space="0" w:color="auto"/>
              <w:right w:val="none" w:sz="0" w:space="0" w:color="auto"/>
            </w:tcBorders>
            <w:shd w:val="clear" w:color="auto" w:fill="F2F2F2" w:themeFill="background1" w:themeFillShade="F2"/>
            <w:vAlign w:val="center"/>
          </w:tcPr>
          <w:p w14:paraId="70CDFB99" w14:textId="77777777" w:rsidR="00776154" w:rsidRPr="00E10F86" w:rsidRDefault="00776154" w:rsidP="00776154">
            <w:pPr>
              <w:jc w:val="center"/>
              <w:cnfStyle w:val="000000100000" w:firstRow="0" w:lastRow="0" w:firstColumn="0" w:lastColumn="0" w:oddVBand="0" w:evenVBand="0" w:oddHBand="1" w:evenHBand="0" w:firstRowFirstColumn="0" w:firstRowLastColumn="0" w:lastRowFirstColumn="0" w:lastRowLastColumn="0"/>
              <w:rPr>
                <w:rFonts w:cs="Arial"/>
                <w:b/>
                <w:szCs w:val="20"/>
                <w:lang w:eastAsia="en-AU"/>
              </w:rPr>
            </w:pPr>
            <w:r w:rsidRPr="00E10F86">
              <w:rPr>
                <w:rFonts w:cs="Arial"/>
                <w:b/>
                <w:szCs w:val="20"/>
                <w:lang w:eastAsia="en-AU"/>
              </w:rPr>
              <w:t>(minimum)</w:t>
            </w:r>
          </w:p>
        </w:tc>
        <w:tc>
          <w:tcPr>
            <w:tcW w:w="2693" w:type="dxa"/>
            <w:tcBorders>
              <w:left w:val="none" w:sz="0" w:space="0" w:color="auto"/>
            </w:tcBorders>
            <w:shd w:val="clear" w:color="auto" w:fill="F2F2F2" w:themeFill="background1" w:themeFillShade="F2"/>
            <w:vAlign w:val="center"/>
          </w:tcPr>
          <w:p w14:paraId="293A18BD" w14:textId="77777777" w:rsidR="00776154" w:rsidRPr="00E10F86" w:rsidRDefault="00776154" w:rsidP="00776154">
            <w:pPr>
              <w:jc w:val="center"/>
              <w:cnfStyle w:val="000000100000" w:firstRow="0" w:lastRow="0" w:firstColumn="0" w:lastColumn="0" w:oddVBand="0" w:evenVBand="0" w:oddHBand="1" w:evenHBand="0" w:firstRowFirstColumn="0" w:firstRowLastColumn="0" w:lastRowFirstColumn="0" w:lastRowLastColumn="0"/>
              <w:rPr>
                <w:rFonts w:cs="Arial"/>
                <w:b/>
                <w:szCs w:val="20"/>
                <w:lang w:eastAsia="en-AU"/>
              </w:rPr>
            </w:pPr>
            <w:r w:rsidRPr="00E10F86">
              <w:rPr>
                <w:rFonts w:cs="Arial"/>
                <w:b/>
                <w:szCs w:val="20"/>
                <w:lang w:eastAsia="en-AU"/>
              </w:rPr>
              <w:t>90</w:t>
            </w:r>
          </w:p>
        </w:tc>
      </w:tr>
      <w:tr w:rsidR="00776154" w:rsidRPr="00781E39" w14:paraId="5C5BA22E" w14:textId="77777777" w:rsidTr="00BC5468">
        <w:trPr>
          <w:cnfStyle w:val="000000010000" w:firstRow="0" w:lastRow="0" w:firstColumn="0" w:lastColumn="0" w:oddVBand="0" w:evenVBand="0" w:oddHBand="0" w:evenHBand="1"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825" w:type="dxa"/>
            <w:tcBorders>
              <w:right w:val="none" w:sz="0" w:space="0" w:color="auto"/>
            </w:tcBorders>
            <w:vAlign w:val="center"/>
          </w:tcPr>
          <w:p w14:paraId="3FD51577" w14:textId="77777777" w:rsidR="00776154" w:rsidRPr="00E10F86" w:rsidRDefault="00776154" w:rsidP="00776154">
            <w:pPr>
              <w:jc w:val="center"/>
              <w:rPr>
                <w:rFonts w:cs="Arial"/>
                <w:b w:val="0"/>
                <w:szCs w:val="20"/>
                <w:lang w:eastAsia="en-AU"/>
              </w:rPr>
            </w:pPr>
            <w:r w:rsidRPr="00E10F86">
              <w:rPr>
                <w:rFonts w:cs="Arial"/>
                <w:b w:val="0"/>
                <w:szCs w:val="20"/>
                <w:lang w:eastAsia="en-AU"/>
              </w:rPr>
              <w:t>9</w:t>
            </w:r>
          </w:p>
        </w:tc>
        <w:tc>
          <w:tcPr>
            <w:tcW w:w="1777" w:type="dxa"/>
            <w:tcBorders>
              <w:left w:val="none" w:sz="0" w:space="0" w:color="auto"/>
              <w:right w:val="none" w:sz="0" w:space="0" w:color="auto"/>
            </w:tcBorders>
            <w:vAlign w:val="center"/>
          </w:tcPr>
          <w:p w14:paraId="6CA55277" w14:textId="77777777" w:rsidR="00776154" w:rsidRPr="00781E39" w:rsidRDefault="00776154" w:rsidP="00776154">
            <w:pPr>
              <w:jc w:val="center"/>
              <w:cnfStyle w:val="000000010000" w:firstRow="0" w:lastRow="0" w:firstColumn="0" w:lastColumn="0" w:oddVBand="0" w:evenVBand="0" w:oddHBand="0" w:evenHBand="1" w:firstRowFirstColumn="0" w:firstRowLastColumn="0" w:lastRowFirstColumn="0" w:lastRowLastColumn="0"/>
              <w:rPr>
                <w:rFonts w:cs="Arial"/>
                <w:szCs w:val="20"/>
                <w:lang w:eastAsia="en-AU"/>
              </w:rPr>
            </w:pPr>
            <w:r w:rsidRPr="00781E39">
              <w:rPr>
                <w:rFonts w:cs="Arial"/>
                <w:szCs w:val="20"/>
                <w:lang w:eastAsia="en-AU"/>
              </w:rPr>
              <w:t>1.4</w:t>
            </w:r>
          </w:p>
        </w:tc>
        <w:tc>
          <w:tcPr>
            <w:tcW w:w="1767" w:type="dxa"/>
            <w:tcBorders>
              <w:left w:val="none" w:sz="0" w:space="0" w:color="auto"/>
              <w:right w:val="none" w:sz="0" w:space="0" w:color="auto"/>
            </w:tcBorders>
            <w:vAlign w:val="center"/>
          </w:tcPr>
          <w:p w14:paraId="1D599013" w14:textId="77777777" w:rsidR="00776154" w:rsidRPr="00781E39" w:rsidRDefault="00776154" w:rsidP="00776154">
            <w:pPr>
              <w:jc w:val="center"/>
              <w:cnfStyle w:val="000000010000" w:firstRow="0" w:lastRow="0" w:firstColumn="0" w:lastColumn="0" w:oddVBand="0" w:evenVBand="0" w:oddHBand="0" w:evenHBand="1" w:firstRowFirstColumn="0" w:firstRowLastColumn="0" w:lastRowFirstColumn="0" w:lastRowLastColumn="0"/>
              <w:rPr>
                <w:rFonts w:cs="Arial"/>
                <w:szCs w:val="20"/>
                <w:lang w:eastAsia="en-AU"/>
              </w:rPr>
            </w:pPr>
            <w:r w:rsidRPr="00781E39">
              <w:rPr>
                <w:rFonts w:cs="Arial"/>
                <w:szCs w:val="20"/>
                <w:lang w:eastAsia="en-AU"/>
              </w:rPr>
              <w:t>(maximum)</w:t>
            </w:r>
          </w:p>
        </w:tc>
        <w:tc>
          <w:tcPr>
            <w:tcW w:w="2693" w:type="dxa"/>
            <w:tcBorders>
              <w:left w:val="none" w:sz="0" w:space="0" w:color="auto"/>
            </w:tcBorders>
            <w:vAlign w:val="center"/>
          </w:tcPr>
          <w:p w14:paraId="0FF8F1A9" w14:textId="77777777" w:rsidR="00776154" w:rsidRPr="00781E39" w:rsidRDefault="00776154" w:rsidP="00776154">
            <w:pPr>
              <w:jc w:val="center"/>
              <w:cnfStyle w:val="000000010000" w:firstRow="0" w:lastRow="0" w:firstColumn="0" w:lastColumn="0" w:oddVBand="0" w:evenVBand="0" w:oddHBand="0" w:evenHBand="1" w:firstRowFirstColumn="0" w:firstRowLastColumn="0" w:lastRowFirstColumn="0" w:lastRowLastColumn="0"/>
              <w:rPr>
                <w:rFonts w:cs="Arial"/>
                <w:szCs w:val="20"/>
                <w:lang w:eastAsia="en-AU"/>
              </w:rPr>
            </w:pPr>
            <w:r w:rsidRPr="00781E39">
              <w:rPr>
                <w:rFonts w:cs="Arial"/>
                <w:szCs w:val="20"/>
                <w:lang w:eastAsia="en-AU"/>
              </w:rPr>
              <w:t>120</w:t>
            </w:r>
          </w:p>
        </w:tc>
      </w:tr>
      <w:tr w:rsidR="00776154" w:rsidRPr="00781E39" w14:paraId="439C6988" w14:textId="77777777" w:rsidTr="00BC546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825" w:type="dxa"/>
            <w:tcBorders>
              <w:right w:val="none" w:sz="0" w:space="0" w:color="auto"/>
            </w:tcBorders>
            <w:shd w:val="clear" w:color="auto" w:fill="F2F2F2" w:themeFill="background1" w:themeFillShade="F2"/>
            <w:vAlign w:val="center"/>
          </w:tcPr>
          <w:p w14:paraId="4269AAFC" w14:textId="77777777" w:rsidR="00776154" w:rsidRPr="00E10F86" w:rsidRDefault="00776154" w:rsidP="00776154">
            <w:pPr>
              <w:jc w:val="center"/>
              <w:rPr>
                <w:rFonts w:cs="Arial"/>
                <w:b w:val="0"/>
                <w:szCs w:val="20"/>
                <w:lang w:eastAsia="en-AU"/>
              </w:rPr>
            </w:pPr>
            <w:r w:rsidRPr="00E10F86">
              <w:rPr>
                <w:rFonts w:cs="Arial"/>
                <w:b w:val="0"/>
                <w:szCs w:val="20"/>
                <w:lang w:eastAsia="en-AU"/>
              </w:rPr>
              <w:t>9</w:t>
            </w:r>
          </w:p>
        </w:tc>
        <w:tc>
          <w:tcPr>
            <w:tcW w:w="1777" w:type="dxa"/>
            <w:tcBorders>
              <w:left w:val="none" w:sz="0" w:space="0" w:color="auto"/>
              <w:right w:val="none" w:sz="0" w:space="0" w:color="auto"/>
            </w:tcBorders>
            <w:shd w:val="clear" w:color="auto" w:fill="F2F2F2" w:themeFill="background1" w:themeFillShade="F2"/>
            <w:vAlign w:val="center"/>
          </w:tcPr>
          <w:p w14:paraId="6AD14B14" w14:textId="77777777" w:rsidR="00776154" w:rsidRPr="00781E39" w:rsidRDefault="00776154" w:rsidP="00776154">
            <w:pPr>
              <w:jc w:val="center"/>
              <w:cnfStyle w:val="000000100000" w:firstRow="0" w:lastRow="0" w:firstColumn="0" w:lastColumn="0" w:oddVBand="0" w:evenVBand="0" w:oddHBand="1" w:evenHBand="0" w:firstRowFirstColumn="0" w:firstRowLastColumn="0" w:lastRowFirstColumn="0" w:lastRowLastColumn="0"/>
              <w:rPr>
                <w:rFonts w:cs="Arial"/>
                <w:szCs w:val="20"/>
                <w:lang w:eastAsia="en-AU"/>
              </w:rPr>
            </w:pPr>
            <w:r>
              <w:rPr>
                <w:rFonts w:cs="Arial"/>
                <w:szCs w:val="20"/>
                <w:lang w:eastAsia="en-AU"/>
              </w:rPr>
              <w:t>1.23</w:t>
            </w:r>
          </w:p>
        </w:tc>
        <w:tc>
          <w:tcPr>
            <w:tcW w:w="1767" w:type="dxa"/>
            <w:tcBorders>
              <w:left w:val="none" w:sz="0" w:space="0" w:color="auto"/>
              <w:right w:val="none" w:sz="0" w:space="0" w:color="auto"/>
            </w:tcBorders>
            <w:shd w:val="clear" w:color="auto" w:fill="F2F2F2" w:themeFill="background1" w:themeFillShade="F2"/>
            <w:vAlign w:val="center"/>
          </w:tcPr>
          <w:p w14:paraId="7A3A2DAE" w14:textId="77777777" w:rsidR="00776154" w:rsidRPr="00781E39" w:rsidRDefault="00776154" w:rsidP="00776154">
            <w:pPr>
              <w:jc w:val="center"/>
              <w:cnfStyle w:val="000000100000" w:firstRow="0" w:lastRow="0" w:firstColumn="0" w:lastColumn="0" w:oddVBand="0" w:evenVBand="0" w:oddHBand="1" w:evenHBand="0" w:firstRowFirstColumn="0" w:firstRowLastColumn="0" w:lastRowFirstColumn="0" w:lastRowLastColumn="0"/>
              <w:rPr>
                <w:rFonts w:cs="Arial"/>
                <w:szCs w:val="20"/>
                <w:lang w:eastAsia="en-AU"/>
              </w:rPr>
            </w:pPr>
            <w:r w:rsidRPr="00781E39">
              <w:rPr>
                <w:rFonts w:cs="Arial"/>
                <w:szCs w:val="20"/>
                <w:lang w:eastAsia="en-AU"/>
              </w:rPr>
              <w:t>(midpoint)</w:t>
            </w:r>
          </w:p>
        </w:tc>
        <w:tc>
          <w:tcPr>
            <w:tcW w:w="2693" w:type="dxa"/>
            <w:tcBorders>
              <w:left w:val="none" w:sz="0" w:space="0" w:color="auto"/>
            </w:tcBorders>
            <w:shd w:val="clear" w:color="auto" w:fill="F2F2F2" w:themeFill="background1" w:themeFillShade="F2"/>
            <w:vAlign w:val="center"/>
          </w:tcPr>
          <w:p w14:paraId="24F77050" w14:textId="77777777" w:rsidR="00776154" w:rsidRPr="00781E39" w:rsidRDefault="00776154" w:rsidP="00776154">
            <w:pPr>
              <w:jc w:val="center"/>
              <w:cnfStyle w:val="000000100000" w:firstRow="0" w:lastRow="0" w:firstColumn="0" w:lastColumn="0" w:oddVBand="0" w:evenVBand="0" w:oddHBand="1" w:evenHBand="0" w:firstRowFirstColumn="0" w:firstRowLastColumn="0" w:lastRowFirstColumn="0" w:lastRowLastColumn="0"/>
              <w:rPr>
                <w:rFonts w:cs="Arial"/>
                <w:szCs w:val="20"/>
                <w:lang w:eastAsia="en-AU"/>
              </w:rPr>
            </w:pPr>
            <w:r w:rsidRPr="00781E39">
              <w:rPr>
                <w:rFonts w:cs="Arial"/>
                <w:szCs w:val="20"/>
                <w:lang w:eastAsia="en-AU"/>
              </w:rPr>
              <w:t>105</w:t>
            </w:r>
          </w:p>
        </w:tc>
      </w:tr>
      <w:tr w:rsidR="00776154" w:rsidRPr="00781E39" w14:paraId="63C20989" w14:textId="77777777" w:rsidTr="00BC5468">
        <w:trPr>
          <w:cnfStyle w:val="000000010000" w:firstRow="0" w:lastRow="0" w:firstColumn="0" w:lastColumn="0" w:oddVBand="0" w:evenVBand="0" w:oddHBand="0" w:evenHBand="1"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825" w:type="dxa"/>
            <w:tcBorders>
              <w:right w:val="none" w:sz="0" w:space="0" w:color="auto"/>
            </w:tcBorders>
            <w:vAlign w:val="center"/>
          </w:tcPr>
          <w:p w14:paraId="62895049" w14:textId="77777777" w:rsidR="00776154" w:rsidRPr="00E10F86" w:rsidRDefault="00776154" w:rsidP="00776154">
            <w:pPr>
              <w:jc w:val="center"/>
              <w:rPr>
                <w:rFonts w:cs="Arial"/>
                <w:b w:val="0"/>
                <w:szCs w:val="20"/>
                <w:lang w:eastAsia="en-AU"/>
              </w:rPr>
            </w:pPr>
            <w:r w:rsidRPr="00E10F86">
              <w:rPr>
                <w:rFonts w:cs="Arial"/>
                <w:b w:val="0"/>
                <w:szCs w:val="20"/>
                <w:lang w:eastAsia="en-AU"/>
              </w:rPr>
              <w:t>26</w:t>
            </w:r>
          </w:p>
        </w:tc>
        <w:tc>
          <w:tcPr>
            <w:tcW w:w="1777" w:type="dxa"/>
            <w:tcBorders>
              <w:left w:val="none" w:sz="0" w:space="0" w:color="auto"/>
              <w:right w:val="none" w:sz="0" w:space="0" w:color="auto"/>
            </w:tcBorders>
            <w:vAlign w:val="center"/>
          </w:tcPr>
          <w:p w14:paraId="48D9DE1B" w14:textId="77777777" w:rsidR="00776154" w:rsidRPr="00781E39" w:rsidRDefault="00776154" w:rsidP="00776154">
            <w:pPr>
              <w:jc w:val="center"/>
              <w:cnfStyle w:val="000000010000" w:firstRow="0" w:lastRow="0" w:firstColumn="0" w:lastColumn="0" w:oddVBand="0" w:evenVBand="0" w:oddHBand="0" w:evenHBand="1" w:firstRowFirstColumn="0" w:firstRowLastColumn="0" w:lastRowFirstColumn="0" w:lastRowLastColumn="0"/>
              <w:rPr>
                <w:rFonts w:cs="Arial"/>
                <w:szCs w:val="20"/>
                <w:lang w:eastAsia="en-AU"/>
              </w:rPr>
            </w:pPr>
            <w:r w:rsidRPr="00781E39">
              <w:rPr>
                <w:rFonts w:cs="Arial"/>
                <w:szCs w:val="20"/>
                <w:lang w:eastAsia="en-AU"/>
              </w:rPr>
              <w:t>1.05</w:t>
            </w:r>
          </w:p>
        </w:tc>
        <w:tc>
          <w:tcPr>
            <w:tcW w:w="1767" w:type="dxa"/>
            <w:tcBorders>
              <w:left w:val="none" w:sz="0" w:space="0" w:color="auto"/>
              <w:right w:val="none" w:sz="0" w:space="0" w:color="auto"/>
            </w:tcBorders>
            <w:vAlign w:val="center"/>
          </w:tcPr>
          <w:p w14:paraId="692A86A0" w14:textId="77777777" w:rsidR="00776154" w:rsidRPr="00781E39" w:rsidRDefault="00776154" w:rsidP="00776154">
            <w:pPr>
              <w:jc w:val="center"/>
              <w:cnfStyle w:val="000000010000" w:firstRow="0" w:lastRow="0" w:firstColumn="0" w:lastColumn="0" w:oddVBand="0" w:evenVBand="0" w:oddHBand="0" w:evenHBand="1" w:firstRowFirstColumn="0" w:firstRowLastColumn="0" w:lastRowFirstColumn="0" w:lastRowLastColumn="0"/>
              <w:rPr>
                <w:rFonts w:cs="Arial"/>
                <w:szCs w:val="20"/>
                <w:lang w:eastAsia="en-AU"/>
              </w:rPr>
            </w:pPr>
            <w:r w:rsidRPr="00781E39">
              <w:rPr>
                <w:rFonts w:cs="Arial"/>
                <w:szCs w:val="20"/>
                <w:lang w:eastAsia="en-AU"/>
              </w:rPr>
              <w:t>(minimum)</w:t>
            </w:r>
          </w:p>
        </w:tc>
        <w:tc>
          <w:tcPr>
            <w:tcW w:w="2693" w:type="dxa"/>
            <w:tcBorders>
              <w:left w:val="none" w:sz="0" w:space="0" w:color="auto"/>
            </w:tcBorders>
            <w:vAlign w:val="center"/>
          </w:tcPr>
          <w:p w14:paraId="1F7B99A5" w14:textId="77777777" w:rsidR="00776154" w:rsidRPr="00781E39" w:rsidRDefault="00776154" w:rsidP="00776154">
            <w:pPr>
              <w:jc w:val="center"/>
              <w:cnfStyle w:val="000000010000" w:firstRow="0" w:lastRow="0" w:firstColumn="0" w:lastColumn="0" w:oddVBand="0" w:evenVBand="0" w:oddHBand="0" w:evenHBand="1" w:firstRowFirstColumn="0" w:firstRowLastColumn="0" w:lastRowFirstColumn="0" w:lastRowLastColumn="0"/>
              <w:rPr>
                <w:rFonts w:cs="Arial"/>
                <w:szCs w:val="20"/>
                <w:lang w:eastAsia="en-AU"/>
              </w:rPr>
            </w:pPr>
            <w:r w:rsidRPr="00781E39">
              <w:rPr>
                <w:rFonts w:cs="Arial"/>
                <w:szCs w:val="20"/>
                <w:lang w:eastAsia="en-AU"/>
              </w:rPr>
              <w:t>260</w:t>
            </w:r>
          </w:p>
        </w:tc>
      </w:tr>
      <w:tr w:rsidR="00776154" w:rsidRPr="00781E39" w14:paraId="5F6B9A2C" w14:textId="77777777" w:rsidTr="00BC546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825" w:type="dxa"/>
            <w:tcBorders>
              <w:right w:val="none" w:sz="0" w:space="0" w:color="auto"/>
            </w:tcBorders>
            <w:shd w:val="clear" w:color="auto" w:fill="F2F2F2" w:themeFill="background1" w:themeFillShade="F2"/>
            <w:vAlign w:val="center"/>
          </w:tcPr>
          <w:p w14:paraId="25F4A842" w14:textId="77777777" w:rsidR="00776154" w:rsidRPr="00E10F86" w:rsidRDefault="00776154" w:rsidP="00776154">
            <w:pPr>
              <w:jc w:val="center"/>
              <w:rPr>
                <w:rFonts w:cs="Arial"/>
                <w:szCs w:val="20"/>
                <w:lang w:eastAsia="en-AU"/>
              </w:rPr>
            </w:pPr>
            <w:r w:rsidRPr="00E10F86">
              <w:rPr>
                <w:rFonts w:cs="Arial"/>
                <w:szCs w:val="20"/>
                <w:lang w:eastAsia="en-AU"/>
              </w:rPr>
              <w:t>26</w:t>
            </w:r>
          </w:p>
        </w:tc>
        <w:tc>
          <w:tcPr>
            <w:tcW w:w="1777" w:type="dxa"/>
            <w:tcBorders>
              <w:left w:val="none" w:sz="0" w:space="0" w:color="auto"/>
              <w:right w:val="none" w:sz="0" w:space="0" w:color="auto"/>
            </w:tcBorders>
            <w:shd w:val="clear" w:color="auto" w:fill="F2F2F2" w:themeFill="background1" w:themeFillShade="F2"/>
            <w:vAlign w:val="center"/>
          </w:tcPr>
          <w:p w14:paraId="35E7BD80" w14:textId="77777777" w:rsidR="00776154" w:rsidRPr="00E10F86" w:rsidRDefault="00776154" w:rsidP="00776154">
            <w:pPr>
              <w:jc w:val="center"/>
              <w:cnfStyle w:val="000000100000" w:firstRow="0" w:lastRow="0" w:firstColumn="0" w:lastColumn="0" w:oddVBand="0" w:evenVBand="0" w:oddHBand="1" w:evenHBand="0" w:firstRowFirstColumn="0" w:firstRowLastColumn="0" w:lastRowFirstColumn="0" w:lastRowLastColumn="0"/>
              <w:rPr>
                <w:rFonts w:cs="Arial"/>
                <w:b/>
                <w:szCs w:val="20"/>
                <w:lang w:eastAsia="en-AU"/>
              </w:rPr>
            </w:pPr>
            <w:r w:rsidRPr="00E10F86">
              <w:rPr>
                <w:rFonts w:cs="Arial"/>
                <w:b/>
                <w:szCs w:val="20"/>
                <w:lang w:eastAsia="en-AU"/>
              </w:rPr>
              <w:t>1.4</w:t>
            </w:r>
          </w:p>
        </w:tc>
        <w:tc>
          <w:tcPr>
            <w:tcW w:w="1767" w:type="dxa"/>
            <w:tcBorders>
              <w:left w:val="none" w:sz="0" w:space="0" w:color="auto"/>
              <w:right w:val="none" w:sz="0" w:space="0" w:color="auto"/>
            </w:tcBorders>
            <w:shd w:val="clear" w:color="auto" w:fill="F2F2F2" w:themeFill="background1" w:themeFillShade="F2"/>
            <w:vAlign w:val="center"/>
          </w:tcPr>
          <w:p w14:paraId="165DA2F5" w14:textId="77777777" w:rsidR="00776154" w:rsidRPr="00E10F86" w:rsidRDefault="00776154" w:rsidP="00776154">
            <w:pPr>
              <w:jc w:val="center"/>
              <w:cnfStyle w:val="000000100000" w:firstRow="0" w:lastRow="0" w:firstColumn="0" w:lastColumn="0" w:oddVBand="0" w:evenVBand="0" w:oddHBand="1" w:evenHBand="0" w:firstRowFirstColumn="0" w:firstRowLastColumn="0" w:lastRowFirstColumn="0" w:lastRowLastColumn="0"/>
              <w:rPr>
                <w:rFonts w:cs="Arial"/>
                <w:b/>
                <w:szCs w:val="20"/>
                <w:lang w:eastAsia="en-AU"/>
              </w:rPr>
            </w:pPr>
            <w:r w:rsidRPr="00E10F86">
              <w:rPr>
                <w:rFonts w:cs="Arial"/>
                <w:b/>
                <w:szCs w:val="20"/>
                <w:lang w:eastAsia="en-AU"/>
              </w:rPr>
              <w:t>(maximum)</w:t>
            </w:r>
          </w:p>
        </w:tc>
        <w:tc>
          <w:tcPr>
            <w:tcW w:w="2693" w:type="dxa"/>
            <w:tcBorders>
              <w:left w:val="none" w:sz="0" w:space="0" w:color="auto"/>
            </w:tcBorders>
            <w:shd w:val="clear" w:color="auto" w:fill="F2F2F2" w:themeFill="background1" w:themeFillShade="F2"/>
            <w:vAlign w:val="center"/>
          </w:tcPr>
          <w:p w14:paraId="2141411C" w14:textId="77777777" w:rsidR="00776154" w:rsidRPr="00E10F86" w:rsidRDefault="00776154" w:rsidP="00776154">
            <w:pPr>
              <w:jc w:val="center"/>
              <w:cnfStyle w:val="000000100000" w:firstRow="0" w:lastRow="0" w:firstColumn="0" w:lastColumn="0" w:oddVBand="0" w:evenVBand="0" w:oddHBand="1" w:evenHBand="0" w:firstRowFirstColumn="0" w:firstRowLastColumn="0" w:lastRowFirstColumn="0" w:lastRowLastColumn="0"/>
              <w:rPr>
                <w:rFonts w:cs="Arial"/>
                <w:b/>
                <w:szCs w:val="20"/>
                <w:lang w:eastAsia="en-AU"/>
              </w:rPr>
            </w:pPr>
            <w:r w:rsidRPr="00E10F86">
              <w:rPr>
                <w:rFonts w:cs="Arial"/>
                <w:b/>
                <w:szCs w:val="20"/>
                <w:lang w:eastAsia="en-AU"/>
              </w:rPr>
              <w:t>350</w:t>
            </w:r>
          </w:p>
        </w:tc>
      </w:tr>
      <w:tr w:rsidR="00776154" w:rsidRPr="00781E39" w14:paraId="6817E14E" w14:textId="77777777" w:rsidTr="00BC5468">
        <w:trPr>
          <w:cnfStyle w:val="000000010000" w:firstRow="0" w:lastRow="0" w:firstColumn="0" w:lastColumn="0" w:oddVBand="0" w:evenVBand="0" w:oddHBand="0" w:evenHBand="1"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825" w:type="dxa"/>
            <w:tcBorders>
              <w:right w:val="none" w:sz="0" w:space="0" w:color="auto"/>
            </w:tcBorders>
            <w:vAlign w:val="center"/>
          </w:tcPr>
          <w:p w14:paraId="3E06835E" w14:textId="77777777" w:rsidR="00776154" w:rsidRPr="00E10F86" w:rsidRDefault="00776154" w:rsidP="00776154">
            <w:pPr>
              <w:jc w:val="center"/>
              <w:rPr>
                <w:rFonts w:cs="Arial"/>
                <w:b w:val="0"/>
                <w:szCs w:val="20"/>
                <w:lang w:eastAsia="en-AU"/>
              </w:rPr>
            </w:pPr>
            <w:r w:rsidRPr="00E10F86">
              <w:rPr>
                <w:rFonts w:cs="Arial"/>
                <w:b w:val="0"/>
                <w:szCs w:val="20"/>
                <w:lang w:eastAsia="en-AU"/>
              </w:rPr>
              <w:t>26</w:t>
            </w:r>
          </w:p>
        </w:tc>
        <w:tc>
          <w:tcPr>
            <w:tcW w:w="1777" w:type="dxa"/>
            <w:tcBorders>
              <w:left w:val="none" w:sz="0" w:space="0" w:color="auto"/>
              <w:right w:val="none" w:sz="0" w:space="0" w:color="auto"/>
            </w:tcBorders>
            <w:vAlign w:val="center"/>
          </w:tcPr>
          <w:p w14:paraId="1AEA90E1" w14:textId="77777777" w:rsidR="00776154" w:rsidRPr="00781E39" w:rsidRDefault="00776154" w:rsidP="00776154">
            <w:pPr>
              <w:jc w:val="center"/>
              <w:cnfStyle w:val="000000010000" w:firstRow="0" w:lastRow="0" w:firstColumn="0" w:lastColumn="0" w:oddVBand="0" w:evenVBand="0" w:oddHBand="0" w:evenHBand="1" w:firstRowFirstColumn="0" w:firstRowLastColumn="0" w:lastRowFirstColumn="0" w:lastRowLastColumn="0"/>
              <w:rPr>
                <w:rFonts w:cs="Arial"/>
                <w:szCs w:val="20"/>
                <w:lang w:eastAsia="en-AU"/>
              </w:rPr>
            </w:pPr>
            <w:r>
              <w:rPr>
                <w:rFonts w:cs="Arial"/>
                <w:szCs w:val="20"/>
                <w:lang w:eastAsia="en-AU"/>
              </w:rPr>
              <w:t>1.23</w:t>
            </w:r>
          </w:p>
        </w:tc>
        <w:tc>
          <w:tcPr>
            <w:tcW w:w="1767" w:type="dxa"/>
            <w:tcBorders>
              <w:left w:val="none" w:sz="0" w:space="0" w:color="auto"/>
              <w:right w:val="none" w:sz="0" w:space="0" w:color="auto"/>
            </w:tcBorders>
            <w:vAlign w:val="center"/>
          </w:tcPr>
          <w:p w14:paraId="33C4D883" w14:textId="77777777" w:rsidR="00776154" w:rsidRPr="00781E39" w:rsidRDefault="00776154" w:rsidP="00776154">
            <w:pPr>
              <w:jc w:val="center"/>
              <w:cnfStyle w:val="000000010000" w:firstRow="0" w:lastRow="0" w:firstColumn="0" w:lastColumn="0" w:oddVBand="0" w:evenVBand="0" w:oddHBand="0" w:evenHBand="1" w:firstRowFirstColumn="0" w:firstRowLastColumn="0" w:lastRowFirstColumn="0" w:lastRowLastColumn="0"/>
              <w:rPr>
                <w:rFonts w:cs="Arial"/>
                <w:szCs w:val="20"/>
                <w:lang w:eastAsia="en-AU"/>
              </w:rPr>
            </w:pPr>
            <w:r w:rsidRPr="00781E39">
              <w:rPr>
                <w:rFonts w:cs="Arial"/>
                <w:szCs w:val="20"/>
                <w:lang w:eastAsia="en-AU"/>
              </w:rPr>
              <w:t>(midpoint)</w:t>
            </w:r>
          </w:p>
        </w:tc>
        <w:tc>
          <w:tcPr>
            <w:tcW w:w="2693" w:type="dxa"/>
            <w:tcBorders>
              <w:left w:val="none" w:sz="0" w:space="0" w:color="auto"/>
            </w:tcBorders>
            <w:vAlign w:val="center"/>
          </w:tcPr>
          <w:p w14:paraId="21B2EC17" w14:textId="77777777" w:rsidR="00776154" w:rsidRPr="00781E39" w:rsidRDefault="00776154" w:rsidP="00776154">
            <w:pPr>
              <w:jc w:val="center"/>
              <w:cnfStyle w:val="000000010000" w:firstRow="0" w:lastRow="0" w:firstColumn="0" w:lastColumn="0" w:oddVBand="0" w:evenVBand="0" w:oddHBand="0" w:evenHBand="1" w:firstRowFirstColumn="0" w:firstRowLastColumn="0" w:lastRowFirstColumn="0" w:lastRowLastColumn="0"/>
              <w:rPr>
                <w:rFonts w:cs="Arial"/>
                <w:szCs w:val="20"/>
                <w:lang w:eastAsia="en-AU"/>
              </w:rPr>
            </w:pPr>
            <w:r w:rsidRPr="00781E39">
              <w:rPr>
                <w:rFonts w:cs="Arial"/>
                <w:szCs w:val="20"/>
                <w:lang w:eastAsia="en-AU"/>
              </w:rPr>
              <w:t>304</w:t>
            </w:r>
          </w:p>
        </w:tc>
      </w:tr>
    </w:tbl>
    <w:p w14:paraId="1554EB34" w14:textId="51011708" w:rsidR="001F644E" w:rsidRPr="006678F3" w:rsidRDefault="00776154" w:rsidP="00702F16">
      <w:pPr>
        <w:ind w:left="142" w:hanging="142"/>
        <w:rPr>
          <w:i/>
          <w:sz w:val="18"/>
          <w:szCs w:val="20"/>
          <w:vertAlign w:val="superscript"/>
          <w:lang w:eastAsia="en-AU"/>
        </w:rPr>
      </w:pPr>
      <w:r w:rsidRPr="006309DB">
        <w:rPr>
          <w:i/>
          <w:sz w:val="18"/>
          <w:szCs w:val="20"/>
          <w:vertAlign w:val="superscript"/>
          <w:lang w:eastAsia="en-AU"/>
        </w:rPr>
        <w:t>1</w:t>
      </w:r>
      <w:r w:rsidRPr="006309DB">
        <w:rPr>
          <w:i/>
          <w:sz w:val="18"/>
          <w:szCs w:val="20"/>
          <w:lang w:eastAsia="en-AU"/>
        </w:rPr>
        <w:t xml:space="preserve"> assumes 95% of fat is fatty acids (Greenfield and Southgate (2003)</w:t>
      </w:r>
      <w:r w:rsidR="00702F16">
        <w:rPr>
          <w:i/>
          <w:sz w:val="18"/>
          <w:szCs w:val="20"/>
          <w:lang w:eastAsia="en-AU"/>
        </w:rPr>
        <w:t xml:space="preserve">. </w:t>
      </w:r>
      <w:r w:rsidR="001F644E">
        <w:rPr>
          <w:i/>
          <w:sz w:val="18"/>
          <w:szCs w:val="20"/>
          <w:lang w:eastAsia="en-AU"/>
        </w:rPr>
        <w:t xml:space="preserve">Note: </w:t>
      </w:r>
      <w:r w:rsidR="001F644E" w:rsidRPr="006678F3">
        <w:rPr>
          <w:i/>
          <w:sz w:val="18"/>
          <w:szCs w:val="20"/>
          <w:lang w:eastAsia="en-AU"/>
        </w:rPr>
        <w:t>Best alignment with Codex STAN 7</w:t>
      </w:r>
      <w:r w:rsidR="001F644E" w:rsidRPr="001F644E">
        <w:rPr>
          <w:i/>
          <w:sz w:val="18"/>
          <w:szCs w:val="20"/>
          <w:lang w:eastAsia="en-AU"/>
        </w:rPr>
        <w:t>2-1981 shown in bold</w:t>
      </w:r>
      <w:r w:rsidR="001F644E">
        <w:rPr>
          <w:i/>
          <w:sz w:val="18"/>
          <w:szCs w:val="20"/>
          <w:lang w:eastAsia="en-AU"/>
        </w:rPr>
        <w:t>.</w:t>
      </w:r>
    </w:p>
    <w:p w14:paraId="554D38E0" w14:textId="3E430216" w:rsidR="00776154" w:rsidRPr="00A56334" w:rsidRDefault="00776154" w:rsidP="00776154">
      <w:pPr>
        <w:rPr>
          <w:szCs w:val="20"/>
          <w:lang w:eastAsia="en-AU"/>
        </w:rPr>
      </w:pPr>
    </w:p>
    <w:p w14:paraId="0E8BDB7E" w14:textId="27B755BD" w:rsidR="00776154" w:rsidRDefault="00776154" w:rsidP="00776154">
      <w:pPr>
        <w:rPr>
          <w:lang w:eastAsia="en-AU"/>
        </w:rPr>
      </w:pPr>
      <w:r w:rsidRPr="00977BF3">
        <w:rPr>
          <w:lang w:eastAsia="en-AU"/>
        </w:rPr>
        <w:t xml:space="preserve">During </w:t>
      </w:r>
      <w:r>
        <w:rPr>
          <w:lang w:eastAsia="en-AU"/>
        </w:rPr>
        <w:t xml:space="preserve">the development of Standard 2.9.1 </w:t>
      </w:r>
      <w:r w:rsidR="009262F2">
        <w:rPr>
          <w:lang w:eastAsia="en-AU"/>
        </w:rPr>
        <w:t xml:space="preserve">in </w:t>
      </w:r>
      <w:r w:rsidR="00125BF5">
        <w:rPr>
          <w:lang w:eastAsia="en-AU" w:bidi="ar-SA"/>
        </w:rPr>
        <w:t>Proposal P93</w:t>
      </w:r>
      <w:r w:rsidR="009262F2">
        <w:rPr>
          <w:lang w:eastAsia="en-AU" w:bidi="ar-SA"/>
        </w:rPr>
        <w:t xml:space="preserve"> (</w:t>
      </w:r>
      <w:r w:rsidR="00125BF5" w:rsidRPr="00125BF5">
        <w:rPr>
          <w:lang w:eastAsia="en-AU"/>
        </w:rPr>
        <w:t>ANZFA 1999</w:t>
      </w:r>
      <w:r w:rsidR="002674A3">
        <w:rPr>
          <w:lang w:eastAsia="en-AU"/>
        </w:rPr>
        <w:t>a</w:t>
      </w:r>
      <w:r>
        <w:rPr>
          <w:lang w:eastAsia="en-AU"/>
        </w:rPr>
        <w:t>),</w:t>
      </w:r>
      <w:r w:rsidRPr="00977BF3">
        <w:rPr>
          <w:lang w:eastAsia="en-AU"/>
        </w:rPr>
        <w:t xml:space="preserve"> ANZFA considered whether the amount of fatty acids should be expressed as absolute values per 100 kJ of energy, or as a proportion of the total fatty acids. It was noted that most </w:t>
      </w:r>
      <w:r w:rsidR="001F644E">
        <w:rPr>
          <w:lang w:eastAsia="en-AU"/>
        </w:rPr>
        <w:t xml:space="preserve">of the </w:t>
      </w:r>
      <w:r w:rsidRPr="00977BF3">
        <w:rPr>
          <w:lang w:eastAsia="en-AU"/>
        </w:rPr>
        <w:t>relevant scientific reports about infant fatty acid requirements at that time expressed them as a percentage of total fatty acids, rather than as absolute values or per 100 kJ. ANZFA considered it appropriate to use a proportional unit of expression for inter-related fats, in recognition of the complexity of essential fatty acid metabolism (ANZFA 2002). Additionally, setting a specific value per unit of energy was problematic where a range of fat content (1.05–1.5 g/100 kJ) in formula was established; this was further confounded by the interplay of protein and carbohydrate levels (ANZFA 2002).</w:t>
      </w:r>
    </w:p>
    <w:p w14:paraId="26703CC1" w14:textId="77777777" w:rsidR="00776154" w:rsidRDefault="00776154" w:rsidP="00776154">
      <w:pPr>
        <w:rPr>
          <w:lang w:eastAsia="en-AU"/>
        </w:rPr>
      </w:pPr>
    </w:p>
    <w:p w14:paraId="3AD772A2" w14:textId="0CBE2B8A" w:rsidR="00776154" w:rsidRDefault="00776154" w:rsidP="00776154">
      <w:pPr>
        <w:rPr>
          <w:lang w:eastAsia="en-AU"/>
        </w:rPr>
      </w:pPr>
      <w:r>
        <w:rPr>
          <w:lang w:eastAsia="en-AU"/>
        </w:rPr>
        <w:t xml:space="preserve">However, given that international regulations have moved on from this position and that there appears to be support for the adoption of consistent units of expression for fatty acids, FSANZ considers that it is appropriate to align with Codex for this issue. Defining a calculation for converting fatty acid amounts from </w:t>
      </w:r>
      <w:r w:rsidR="001F644E">
        <w:rPr>
          <w:lang w:eastAsia="en-AU"/>
        </w:rPr>
        <w:t>percentage of total</w:t>
      </w:r>
      <w:r>
        <w:rPr>
          <w:lang w:eastAsia="en-AU"/>
        </w:rPr>
        <w:t xml:space="preserve"> fatty acids to mg/100</w:t>
      </w:r>
      <w:r w:rsidR="001F644E">
        <w:rPr>
          <w:lang w:eastAsia="en-AU"/>
        </w:rPr>
        <w:t> </w:t>
      </w:r>
      <w:r>
        <w:rPr>
          <w:lang w:eastAsia="en-AU"/>
        </w:rPr>
        <w:t xml:space="preserve">kJ is not needed as no safety issue has been identified and this approach would be inconsistent with the general view of </w:t>
      </w:r>
      <w:r w:rsidRPr="00ED3AB6">
        <w:rPr>
          <w:lang w:eastAsia="en-AU"/>
        </w:rPr>
        <w:t>manufacturers on minimum effective regulation.</w:t>
      </w:r>
    </w:p>
    <w:p w14:paraId="7655855E" w14:textId="61011101" w:rsidR="00776154" w:rsidRDefault="00776154" w:rsidP="00776154">
      <w:pPr>
        <w:pStyle w:val="Heading4"/>
      </w:pPr>
      <w:r>
        <w:t xml:space="preserve">Proposed </w:t>
      </w:r>
      <w:r w:rsidR="00C30BAC">
        <w:t>approach</w:t>
      </w:r>
      <w:r>
        <w:t xml:space="preserve"> </w:t>
      </w:r>
    </w:p>
    <w:p w14:paraId="49EA6328" w14:textId="742F55CF" w:rsidR="00776154" w:rsidRPr="00FE426D" w:rsidRDefault="00776154" w:rsidP="00776154">
      <w:pPr>
        <w:rPr>
          <w:lang w:eastAsia="en-AU"/>
        </w:rPr>
      </w:pPr>
      <w:r>
        <w:rPr>
          <w:lang w:eastAsia="en-AU"/>
        </w:rPr>
        <w:t xml:space="preserve">Based on alignment with </w:t>
      </w:r>
      <w:r w:rsidR="00702F16">
        <w:rPr>
          <w:lang w:eastAsia="en-AU"/>
        </w:rPr>
        <w:t xml:space="preserve">Codex </w:t>
      </w:r>
      <w:r>
        <w:rPr>
          <w:lang w:eastAsia="en-AU"/>
        </w:rPr>
        <w:t xml:space="preserve">STAN 72-1981 and the </w:t>
      </w:r>
      <w:r w:rsidR="00B96544">
        <w:t>Codex Draft Standard for FUF</w:t>
      </w:r>
      <w:r w:rsidR="003C7F63">
        <w:t>,</w:t>
      </w:r>
      <w:r w:rsidR="00B96544">
        <w:rPr>
          <w:lang w:eastAsia="en-AU"/>
        </w:rPr>
        <w:t xml:space="preserve"> </w:t>
      </w:r>
      <w:r>
        <w:rPr>
          <w:lang w:eastAsia="en-AU"/>
        </w:rPr>
        <w:t xml:space="preserve">FSANZ proposes to express the amounts of fatty acids in terms of mg/100 kJ. </w:t>
      </w:r>
      <w:r w:rsidR="006678F3">
        <w:rPr>
          <w:lang w:eastAsia="en-AU"/>
        </w:rPr>
        <w:t xml:space="preserve">This applies to </w:t>
      </w:r>
      <w:r w:rsidR="00A81C38">
        <w:rPr>
          <w:lang w:eastAsia="en-AU"/>
        </w:rPr>
        <w:t>LA, ALA</w:t>
      </w:r>
      <w:r>
        <w:rPr>
          <w:lang w:eastAsia="en-AU"/>
        </w:rPr>
        <w:t xml:space="preserve"> and DHA. L</w:t>
      </w:r>
      <w:r w:rsidRPr="00F43FF2">
        <w:rPr>
          <w:lang w:eastAsia="en-AU"/>
        </w:rPr>
        <w:t>imits on lauric acid, myristic acid, and erucic acid</w:t>
      </w:r>
      <w:r>
        <w:rPr>
          <w:lang w:eastAsia="en-AU"/>
        </w:rPr>
        <w:t xml:space="preserve"> will still be prescribed as a percentage of fatty acids. </w:t>
      </w:r>
    </w:p>
    <w:p w14:paraId="3FEAC0AF" w14:textId="344B6BEE" w:rsidR="00776154" w:rsidRPr="004216A7" w:rsidRDefault="006678F3" w:rsidP="00776154">
      <w:pPr>
        <w:pStyle w:val="Heading2"/>
      </w:pPr>
      <w:bookmarkStart w:id="232" w:name="_Toc432434652"/>
      <w:bookmarkStart w:id="233" w:name="_Toc437858780"/>
      <w:bookmarkStart w:id="234" w:name="_Toc440462451"/>
      <w:bookmarkStart w:id="235" w:name="_Toc440470848"/>
      <w:bookmarkStart w:id="236" w:name="_Toc73455624"/>
      <w:bookmarkStart w:id="237" w:name="_Toc73624897"/>
      <w:bookmarkStart w:id="238" w:name="_Toc76138281"/>
      <w:r>
        <w:t>5</w:t>
      </w:r>
      <w:r w:rsidR="00776154">
        <w:t>.3</w:t>
      </w:r>
      <w:r w:rsidR="00776154">
        <w:tab/>
        <w:t>Essential f</w:t>
      </w:r>
      <w:r w:rsidR="00776154" w:rsidRPr="002B773C">
        <w:t>atty acid composition</w:t>
      </w:r>
      <w:bookmarkEnd w:id="232"/>
      <w:bookmarkEnd w:id="233"/>
      <w:bookmarkEnd w:id="234"/>
      <w:bookmarkEnd w:id="235"/>
      <w:r w:rsidR="00776154">
        <w:t>: LA and ALA</w:t>
      </w:r>
      <w:bookmarkEnd w:id="236"/>
      <w:bookmarkEnd w:id="237"/>
      <w:bookmarkEnd w:id="238"/>
    </w:p>
    <w:p w14:paraId="2BEEDA88" w14:textId="7706D4FC" w:rsidR="00776154" w:rsidRDefault="00776154" w:rsidP="005005A6">
      <w:pPr>
        <w:ind w:right="-188"/>
        <w:rPr>
          <w:color w:val="0070C0"/>
        </w:rPr>
      </w:pPr>
      <w:r>
        <w:t>LA</w:t>
      </w:r>
      <w:r w:rsidR="006678F3">
        <w:t xml:space="preserve"> and </w:t>
      </w:r>
      <w:r>
        <w:t>ALA</w:t>
      </w:r>
      <w:r w:rsidRPr="004A5903">
        <w:t xml:space="preserve"> are essential fatty acids because they cannot be synthesised endogenously. They are precursors of</w:t>
      </w:r>
      <w:r>
        <w:t xml:space="preserve"> several</w:t>
      </w:r>
      <w:r w:rsidRPr="004A5903">
        <w:t xml:space="preserve"> </w:t>
      </w:r>
      <w:r>
        <w:t xml:space="preserve">n-6 and n-3 </w:t>
      </w:r>
      <w:r w:rsidRPr="004A5903">
        <w:t>LC-PUFA</w:t>
      </w:r>
      <w:r>
        <w:t xml:space="preserve"> such as arachidonic acid (AA), </w:t>
      </w:r>
      <w:r w:rsidRPr="00F422E4">
        <w:t>eicosapentaenoic acid</w:t>
      </w:r>
      <w:r>
        <w:t xml:space="preserve"> (EPA) and DHA.</w:t>
      </w:r>
    </w:p>
    <w:p w14:paraId="05426EE6" w14:textId="6D75127B" w:rsidR="00776154" w:rsidRDefault="00776154" w:rsidP="00776154">
      <w:pPr>
        <w:pStyle w:val="Heading4"/>
      </w:pPr>
      <w:r w:rsidRPr="00D6329D">
        <w:t>Current regulation</w:t>
      </w:r>
      <w:r w:rsidR="007A6CD5">
        <w:t>s</w:t>
      </w:r>
    </w:p>
    <w:p w14:paraId="60A518B6" w14:textId="08E58218" w:rsidR="00776154" w:rsidRPr="00956CDD" w:rsidRDefault="00776154" w:rsidP="00776154">
      <w:pPr>
        <w:rPr>
          <w:lang w:val="en-AU" w:bidi="ar-SA"/>
        </w:rPr>
      </w:pPr>
      <w:r w:rsidRPr="00956CDD">
        <w:rPr>
          <w:lang w:val="en-AU" w:bidi="ar-SA"/>
        </w:rPr>
        <w:t xml:space="preserve">There are requirements for the essential omega 6 and omega 3 fatty acids, </w:t>
      </w:r>
      <w:r w:rsidR="00A81C38">
        <w:rPr>
          <w:lang w:val="en-AU" w:bidi="ar-SA"/>
        </w:rPr>
        <w:t>LA</w:t>
      </w:r>
      <w:r w:rsidR="006678F3">
        <w:rPr>
          <w:lang w:val="en-AU" w:bidi="ar-SA"/>
        </w:rPr>
        <w:t xml:space="preserve"> (18:2, n-6) and </w:t>
      </w:r>
      <w:r w:rsidRPr="00956CDD">
        <w:rPr>
          <w:lang w:val="en-AU" w:bidi="ar-SA"/>
        </w:rPr>
        <w:t>ALA</w:t>
      </w:r>
      <w:r w:rsidR="00A81C38">
        <w:rPr>
          <w:lang w:val="en-AU" w:bidi="ar-SA"/>
        </w:rPr>
        <w:t xml:space="preserve"> (</w:t>
      </w:r>
      <w:r w:rsidRPr="00956CDD">
        <w:rPr>
          <w:lang w:val="en-AU" w:bidi="ar-SA"/>
        </w:rPr>
        <w:t>18:3, n-3) in both standards, although there are some differences</w:t>
      </w:r>
      <w:r w:rsidR="009623E8">
        <w:rPr>
          <w:lang w:val="en-AU" w:bidi="ar-SA"/>
        </w:rPr>
        <w:t xml:space="preserve"> (Table </w:t>
      </w:r>
      <w:r w:rsidR="006678F3">
        <w:rPr>
          <w:lang w:val="en-AU" w:bidi="ar-SA"/>
        </w:rPr>
        <w:t>5</w:t>
      </w:r>
      <w:r w:rsidR="00092FC2">
        <w:rPr>
          <w:lang w:val="en-AU" w:bidi="ar-SA"/>
        </w:rPr>
        <w:t>.3</w:t>
      </w:r>
      <w:r w:rsidR="009623E8">
        <w:rPr>
          <w:lang w:val="en-AU" w:bidi="ar-SA"/>
        </w:rPr>
        <w:t>)</w:t>
      </w:r>
      <w:r w:rsidRPr="00956CDD">
        <w:rPr>
          <w:lang w:val="en-AU" w:bidi="ar-SA"/>
        </w:rPr>
        <w:t>.</w:t>
      </w:r>
      <w:r w:rsidR="002D6DFA">
        <w:rPr>
          <w:lang w:val="en-AU" w:bidi="ar-SA"/>
        </w:rPr>
        <w:t xml:space="preserve"> Standard 2.9.1</w:t>
      </w:r>
      <w:r w:rsidR="00286EBB">
        <w:t>—11(1)(b)</w:t>
      </w:r>
      <w:r w:rsidR="002D6DFA">
        <w:rPr>
          <w:lang w:val="en-AU" w:bidi="ar-SA"/>
        </w:rPr>
        <w:t xml:space="preserve"> and Codex STAN 72-1981</w:t>
      </w:r>
      <w:r w:rsidR="00286EBB">
        <w:rPr>
          <w:lang w:val="en-AU" w:bidi="ar-SA"/>
        </w:rPr>
        <w:t xml:space="preserve"> are aligned</w:t>
      </w:r>
      <w:r w:rsidR="002D6DFA">
        <w:rPr>
          <w:lang w:val="en-AU" w:bidi="ar-SA"/>
        </w:rPr>
        <w:t xml:space="preserve"> for the LA:ALA ratio.</w:t>
      </w:r>
      <w:r w:rsidR="00286EBB">
        <w:rPr>
          <w:lang w:val="en-AU" w:bidi="ar-SA"/>
        </w:rPr>
        <w:t xml:space="preserve"> To compare fatty acid composition to Codex, Standard 2.9.1 (</w:t>
      </w:r>
      <w:r w:rsidR="00286EBB" w:rsidRPr="00702F16">
        <w:rPr>
          <w:szCs w:val="20"/>
        </w:rPr>
        <w:t>S29—8</w:t>
      </w:r>
      <w:r w:rsidR="00286EBB">
        <w:rPr>
          <w:szCs w:val="20"/>
        </w:rPr>
        <w:t xml:space="preserve">) amounts converted to amounts in units of mg/100 kJ. </w:t>
      </w:r>
    </w:p>
    <w:p w14:paraId="38B1EFEF" w14:textId="77777777" w:rsidR="00776154" w:rsidRDefault="00776154" w:rsidP="00776154">
      <w:pPr>
        <w:rPr>
          <w:lang w:val="en-AU" w:bidi="ar-SA"/>
        </w:rPr>
      </w:pPr>
    </w:p>
    <w:p w14:paraId="4DA91255" w14:textId="6BAE1862" w:rsidR="0083134A" w:rsidRPr="006309DB" w:rsidRDefault="00776154" w:rsidP="00E9515E">
      <w:pPr>
        <w:pStyle w:val="FSTitle"/>
        <w:rPr>
          <w:lang w:eastAsia="en-AU"/>
        </w:rPr>
      </w:pPr>
      <w:bookmarkStart w:id="239" w:name="_Toc74061233"/>
      <w:r w:rsidRPr="000B7A14">
        <w:rPr>
          <w:lang w:eastAsia="en-AU"/>
        </w:rPr>
        <w:t xml:space="preserve">Table </w:t>
      </w:r>
      <w:r w:rsidR="006678F3">
        <w:rPr>
          <w:lang w:eastAsia="en-AU"/>
        </w:rPr>
        <w:t>5</w:t>
      </w:r>
      <w:r w:rsidR="00A8112E">
        <w:rPr>
          <w:lang w:eastAsia="en-AU"/>
        </w:rPr>
        <w:t>.3</w:t>
      </w:r>
      <w:r w:rsidR="00092FC2">
        <w:rPr>
          <w:lang w:eastAsia="en-AU"/>
        </w:rPr>
        <w:tab/>
        <w:t>P</w:t>
      </w:r>
      <w:r w:rsidR="006309DB" w:rsidRPr="008468E6">
        <w:t>ermitted range</w:t>
      </w:r>
      <w:r w:rsidR="00A8112E">
        <w:t>s</w:t>
      </w:r>
      <w:r w:rsidR="006309DB" w:rsidRPr="008468E6">
        <w:t xml:space="preserve"> for</w:t>
      </w:r>
      <w:r w:rsidR="006309DB">
        <w:t xml:space="preserve"> </w:t>
      </w:r>
      <w:r w:rsidR="00A81C38">
        <w:rPr>
          <w:lang w:eastAsia="en-AU"/>
        </w:rPr>
        <w:t>LA</w:t>
      </w:r>
      <w:r w:rsidR="00BC5468">
        <w:rPr>
          <w:lang w:eastAsia="en-AU"/>
        </w:rPr>
        <w:t xml:space="preserve"> and </w:t>
      </w:r>
      <w:r w:rsidR="00A81C38">
        <w:rPr>
          <w:lang w:eastAsia="en-AU"/>
        </w:rPr>
        <w:t>ALA</w:t>
      </w:r>
      <w:bookmarkEnd w:id="239"/>
    </w:p>
    <w:tbl>
      <w:tblPr>
        <w:tblStyle w:val="MediumShading1-Accent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5.3.1 Permitted ranges for linoleic acid and α-linolenic acid"/>
        <w:tblDescription w:val="This table summarises the permitted range for linoleic acid and α-linolenic acid in Standard 2.9.1, Codex STAN 72-1981 and EU 2016/127."/>
      </w:tblPr>
      <w:tblGrid>
        <w:gridCol w:w="1281"/>
        <w:gridCol w:w="1898"/>
        <w:gridCol w:w="1778"/>
        <w:gridCol w:w="2018"/>
        <w:gridCol w:w="1909"/>
      </w:tblGrid>
      <w:tr w:rsidR="00A8112E" w:rsidRPr="00A8112E" w14:paraId="5A32434F" w14:textId="77777777" w:rsidTr="00702F16">
        <w:trPr>
          <w:cnfStyle w:val="100000000000" w:firstRow="1" w:lastRow="0" w:firstColumn="0" w:lastColumn="0" w:oddVBand="0" w:evenVBand="0" w:oddHBand="0"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1281" w:type="dxa"/>
            <w:vMerge w:val="restart"/>
            <w:tcBorders>
              <w:top w:val="none" w:sz="0" w:space="0" w:color="auto"/>
              <w:left w:val="none" w:sz="0" w:space="0" w:color="auto"/>
              <w:bottom w:val="none" w:sz="0" w:space="0" w:color="auto"/>
              <w:right w:val="none" w:sz="0" w:space="0" w:color="auto"/>
            </w:tcBorders>
            <w:shd w:val="clear" w:color="auto" w:fill="E5DFEC" w:themeFill="accent4" w:themeFillTint="33"/>
            <w:vAlign w:val="center"/>
          </w:tcPr>
          <w:p w14:paraId="2E5D02BF" w14:textId="77777777" w:rsidR="00A8112E" w:rsidRPr="00BC5468" w:rsidRDefault="00A8112E" w:rsidP="006678F3">
            <w:pPr>
              <w:spacing w:before="40" w:after="40"/>
              <w:jc w:val="center"/>
              <w:rPr>
                <w:rFonts w:cs="Arial"/>
                <w:b w:val="0"/>
                <w:bCs w:val="0"/>
                <w:color w:val="auto"/>
                <w:szCs w:val="20"/>
              </w:rPr>
            </w:pPr>
          </w:p>
          <w:p w14:paraId="6445716C" w14:textId="413F1FF8" w:rsidR="00A8112E" w:rsidRPr="00BC5468" w:rsidRDefault="00A8112E" w:rsidP="006678F3">
            <w:pPr>
              <w:spacing w:before="40" w:after="40"/>
              <w:jc w:val="center"/>
              <w:rPr>
                <w:rFonts w:cs="Arial"/>
                <w:color w:val="auto"/>
                <w:szCs w:val="20"/>
              </w:rPr>
            </w:pPr>
            <w:r w:rsidRPr="00BC5468">
              <w:rPr>
                <w:rFonts w:cs="Arial"/>
                <w:color w:val="auto"/>
                <w:szCs w:val="20"/>
              </w:rPr>
              <w:t>Fatty acid</w:t>
            </w:r>
          </w:p>
        </w:tc>
        <w:tc>
          <w:tcPr>
            <w:tcW w:w="3676" w:type="dxa"/>
            <w:gridSpan w:val="2"/>
            <w:tcBorders>
              <w:top w:val="none" w:sz="0" w:space="0" w:color="auto"/>
              <w:left w:val="none" w:sz="0" w:space="0" w:color="auto"/>
              <w:bottom w:val="none" w:sz="0" w:space="0" w:color="auto"/>
              <w:right w:val="none" w:sz="0" w:space="0" w:color="auto"/>
            </w:tcBorders>
            <w:shd w:val="clear" w:color="auto" w:fill="DBE5F1" w:themeFill="accent1" w:themeFillTint="33"/>
            <w:vAlign w:val="center"/>
          </w:tcPr>
          <w:p w14:paraId="146B6B7B" w14:textId="295D951A" w:rsidR="00A8112E" w:rsidRPr="00BC5468" w:rsidRDefault="00A8112E" w:rsidP="006678F3">
            <w:pPr>
              <w:spacing w:before="40" w:after="40"/>
              <w:jc w:val="center"/>
              <w:cnfStyle w:val="100000000000" w:firstRow="1" w:lastRow="0" w:firstColumn="0" w:lastColumn="0" w:oddVBand="0" w:evenVBand="0" w:oddHBand="0" w:evenHBand="0" w:firstRowFirstColumn="0" w:firstRowLastColumn="0" w:lastRowFirstColumn="0" w:lastRowLastColumn="0"/>
              <w:rPr>
                <w:color w:val="auto"/>
                <w:szCs w:val="20"/>
              </w:rPr>
            </w:pPr>
            <w:r w:rsidRPr="00BC5468">
              <w:rPr>
                <w:color w:val="auto"/>
                <w:szCs w:val="20"/>
              </w:rPr>
              <w:t>Standard 2.9.1</w:t>
            </w:r>
            <w:r w:rsidR="00702F16">
              <w:rPr>
                <w:color w:val="auto"/>
                <w:szCs w:val="20"/>
              </w:rPr>
              <w:t xml:space="preserve"> </w:t>
            </w:r>
            <w:r w:rsidR="00286EBB">
              <w:rPr>
                <w:color w:val="auto"/>
                <w:szCs w:val="20"/>
              </w:rPr>
              <w:t xml:space="preserve"> and </w:t>
            </w:r>
            <w:r w:rsidR="00702F16" w:rsidRPr="00702F16">
              <w:rPr>
                <w:color w:val="auto"/>
                <w:szCs w:val="20"/>
              </w:rPr>
              <w:t>S29—8</w:t>
            </w:r>
          </w:p>
        </w:tc>
        <w:tc>
          <w:tcPr>
            <w:tcW w:w="2018" w:type="dxa"/>
            <w:vMerge w:val="restart"/>
            <w:tcBorders>
              <w:top w:val="none" w:sz="0" w:space="0" w:color="auto"/>
              <w:left w:val="none" w:sz="0" w:space="0" w:color="auto"/>
              <w:bottom w:val="none" w:sz="0" w:space="0" w:color="auto"/>
              <w:right w:val="none" w:sz="0" w:space="0" w:color="auto"/>
            </w:tcBorders>
            <w:shd w:val="clear" w:color="auto" w:fill="EAF1DD" w:themeFill="accent3" w:themeFillTint="33"/>
            <w:vAlign w:val="center"/>
          </w:tcPr>
          <w:p w14:paraId="0988E81B" w14:textId="77777777" w:rsidR="00A8112E" w:rsidRPr="00BC5468" w:rsidRDefault="00A8112E" w:rsidP="006678F3">
            <w:pPr>
              <w:spacing w:before="40" w:after="40"/>
              <w:jc w:val="center"/>
              <w:cnfStyle w:val="100000000000" w:firstRow="1" w:lastRow="0" w:firstColumn="0" w:lastColumn="0" w:oddVBand="0" w:evenVBand="0" w:oddHBand="0" w:evenHBand="0" w:firstRowFirstColumn="0" w:firstRowLastColumn="0" w:lastRowFirstColumn="0" w:lastRowLastColumn="0"/>
              <w:rPr>
                <w:color w:val="auto"/>
                <w:szCs w:val="20"/>
              </w:rPr>
            </w:pPr>
            <w:r w:rsidRPr="00BC5468">
              <w:rPr>
                <w:color w:val="auto"/>
                <w:szCs w:val="20"/>
              </w:rPr>
              <w:t>Codex STAN 72-1981</w:t>
            </w:r>
          </w:p>
          <w:p w14:paraId="0E6D8674" w14:textId="4A353306" w:rsidR="00A8112E" w:rsidRPr="00BC5468" w:rsidRDefault="00A8112E" w:rsidP="006678F3">
            <w:pPr>
              <w:spacing w:before="40" w:after="40"/>
              <w:jc w:val="center"/>
              <w:cnfStyle w:val="100000000000" w:firstRow="1" w:lastRow="0" w:firstColumn="0" w:lastColumn="0" w:oddVBand="0" w:evenVBand="0" w:oddHBand="0" w:evenHBand="0" w:firstRowFirstColumn="0" w:firstRowLastColumn="0" w:lastRowFirstColumn="0" w:lastRowLastColumn="0"/>
              <w:rPr>
                <w:color w:val="auto"/>
                <w:szCs w:val="20"/>
              </w:rPr>
            </w:pPr>
            <w:r w:rsidRPr="00BC5468">
              <w:rPr>
                <w:color w:val="auto"/>
                <w:szCs w:val="20"/>
              </w:rPr>
              <w:t>Min–Max</w:t>
            </w:r>
          </w:p>
          <w:p w14:paraId="7806FA30" w14:textId="13A63BE1" w:rsidR="00A26D46" w:rsidRPr="00BC5468" w:rsidRDefault="00A26D46" w:rsidP="006678F3">
            <w:pPr>
              <w:spacing w:before="40" w:after="40"/>
              <w:jc w:val="center"/>
              <w:cnfStyle w:val="100000000000" w:firstRow="1" w:lastRow="0" w:firstColumn="0" w:lastColumn="0" w:oddVBand="0" w:evenVBand="0" w:oddHBand="0" w:evenHBand="0" w:firstRowFirstColumn="0" w:firstRowLastColumn="0" w:lastRowFirstColumn="0" w:lastRowLastColumn="0"/>
              <w:rPr>
                <w:rFonts w:cs="Arial"/>
                <w:color w:val="auto"/>
                <w:szCs w:val="20"/>
              </w:rPr>
            </w:pPr>
            <w:r w:rsidRPr="00BC5468">
              <w:rPr>
                <w:color w:val="auto"/>
                <w:szCs w:val="20"/>
              </w:rPr>
              <w:t>mg/100 kJ</w:t>
            </w:r>
          </w:p>
        </w:tc>
        <w:tc>
          <w:tcPr>
            <w:tcW w:w="1909" w:type="dxa"/>
            <w:vMerge w:val="restart"/>
            <w:tcBorders>
              <w:top w:val="none" w:sz="0" w:space="0" w:color="auto"/>
              <w:left w:val="none" w:sz="0" w:space="0" w:color="auto"/>
              <w:bottom w:val="none" w:sz="0" w:space="0" w:color="auto"/>
              <w:right w:val="none" w:sz="0" w:space="0" w:color="auto"/>
            </w:tcBorders>
            <w:shd w:val="clear" w:color="auto" w:fill="DAEEF3" w:themeFill="accent5" w:themeFillTint="33"/>
            <w:vAlign w:val="center"/>
          </w:tcPr>
          <w:p w14:paraId="6D4A9589" w14:textId="4D52CAF7" w:rsidR="00A8112E" w:rsidRPr="00BC5468" w:rsidRDefault="00A8112E" w:rsidP="006678F3">
            <w:pPr>
              <w:spacing w:before="40" w:after="40"/>
              <w:jc w:val="center"/>
              <w:cnfStyle w:val="100000000000" w:firstRow="1" w:lastRow="0" w:firstColumn="0" w:lastColumn="0" w:oddVBand="0" w:evenVBand="0" w:oddHBand="0" w:evenHBand="0" w:firstRowFirstColumn="0" w:firstRowLastColumn="0" w:lastRowFirstColumn="0" w:lastRowLastColumn="0"/>
              <w:rPr>
                <w:color w:val="auto"/>
                <w:szCs w:val="20"/>
              </w:rPr>
            </w:pPr>
            <w:r w:rsidRPr="00BC5468">
              <w:rPr>
                <w:color w:val="auto"/>
                <w:szCs w:val="20"/>
              </w:rPr>
              <w:t>EU 2016/127</w:t>
            </w:r>
          </w:p>
          <w:p w14:paraId="0CE2790C" w14:textId="77777777" w:rsidR="00A8112E" w:rsidRPr="00BC5468" w:rsidRDefault="00A8112E" w:rsidP="006678F3">
            <w:pPr>
              <w:spacing w:before="40" w:after="40"/>
              <w:jc w:val="center"/>
              <w:cnfStyle w:val="100000000000" w:firstRow="1" w:lastRow="0" w:firstColumn="0" w:lastColumn="0" w:oddVBand="0" w:evenVBand="0" w:oddHBand="0" w:evenHBand="0" w:firstRowFirstColumn="0" w:firstRowLastColumn="0" w:lastRowFirstColumn="0" w:lastRowLastColumn="0"/>
              <w:rPr>
                <w:color w:val="auto"/>
                <w:szCs w:val="20"/>
              </w:rPr>
            </w:pPr>
            <w:r w:rsidRPr="00BC5468">
              <w:rPr>
                <w:color w:val="auto"/>
                <w:szCs w:val="20"/>
              </w:rPr>
              <w:t>Min–Max</w:t>
            </w:r>
          </w:p>
          <w:p w14:paraId="3EB8FF98" w14:textId="0EFBD968" w:rsidR="00A26D46" w:rsidRPr="00BC5468" w:rsidRDefault="00A26D46" w:rsidP="006678F3">
            <w:pPr>
              <w:spacing w:before="40" w:after="40"/>
              <w:jc w:val="center"/>
              <w:cnfStyle w:val="100000000000" w:firstRow="1" w:lastRow="0" w:firstColumn="0" w:lastColumn="0" w:oddVBand="0" w:evenVBand="0" w:oddHBand="0" w:evenHBand="0" w:firstRowFirstColumn="0" w:firstRowLastColumn="0" w:lastRowFirstColumn="0" w:lastRowLastColumn="0"/>
              <w:rPr>
                <w:rFonts w:cs="Arial"/>
                <w:color w:val="auto"/>
                <w:szCs w:val="20"/>
              </w:rPr>
            </w:pPr>
            <w:r w:rsidRPr="00BC5468">
              <w:rPr>
                <w:color w:val="auto"/>
                <w:szCs w:val="20"/>
              </w:rPr>
              <w:t>mg/100 kJ</w:t>
            </w:r>
          </w:p>
        </w:tc>
      </w:tr>
      <w:tr w:rsidR="00A8112E" w:rsidRPr="007F146E" w14:paraId="344C10AA" w14:textId="4B76B499" w:rsidTr="00702F16">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1281" w:type="dxa"/>
            <w:vMerge/>
            <w:tcBorders>
              <w:right w:val="none" w:sz="0" w:space="0" w:color="auto"/>
            </w:tcBorders>
            <w:shd w:val="clear" w:color="auto" w:fill="E5DFEC" w:themeFill="accent4" w:themeFillTint="33"/>
            <w:vAlign w:val="center"/>
          </w:tcPr>
          <w:p w14:paraId="4DA36610" w14:textId="1DF0EF9C" w:rsidR="00A8112E" w:rsidRPr="007F146E" w:rsidRDefault="00A8112E" w:rsidP="0083134A">
            <w:pPr>
              <w:spacing w:before="40" w:after="40"/>
              <w:jc w:val="center"/>
              <w:rPr>
                <w:rFonts w:cs="Arial"/>
                <w:b w:val="0"/>
                <w:szCs w:val="20"/>
              </w:rPr>
            </w:pPr>
          </w:p>
        </w:tc>
        <w:tc>
          <w:tcPr>
            <w:tcW w:w="1898" w:type="dxa"/>
            <w:tcBorders>
              <w:left w:val="none" w:sz="0" w:space="0" w:color="auto"/>
              <w:right w:val="none" w:sz="0" w:space="0" w:color="auto"/>
            </w:tcBorders>
            <w:shd w:val="clear" w:color="auto" w:fill="DBE5F1" w:themeFill="accent1" w:themeFillTint="33"/>
            <w:vAlign w:val="center"/>
          </w:tcPr>
          <w:p w14:paraId="763E6CDA" w14:textId="13DD2BA6" w:rsidR="00A26D46" w:rsidRPr="00BC5468" w:rsidRDefault="00A26D46" w:rsidP="0083134A">
            <w:pPr>
              <w:spacing w:before="40" w:after="40"/>
              <w:jc w:val="center"/>
              <w:cnfStyle w:val="000000100000" w:firstRow="0" w:lastRow="0" w:firstColumn="0" w:lastColumn="0" w:oddVBand="0" w:evenVBand="0" w:oddHBand="1" w:evenHBand="0" w:firstRowFirstColumn="0" w:firstRowLastColumn="0" w:lastRowFirstColumn="0" w:lastRowLastColumn="0"/>
              <w:rPr>
                <w:b/>
                <w:bCs/>
                <w:szCs w:val="20"/>
              </w:rPr>
            </w:pPr>
            <w:r w:rsidRPr="00BC5468">
              <w:rPr>
                <w:b/>
                <w:bCs/>
                <w:szCs w:val="20"/>
              </w:rPr>
              <w:t>Min–Max</w:t>
            </w:r>
          </w:p>
          <w:p w14:paraId="65F32235" w14:textId="7C04B34E" w:rsidR="00A8112E" w:rsidRPr="00BC5468" w:rsidRDefault="00A8112E" w:rsidP="00A26D46">
            <w:pPr>
              <w:spacing w:before="40" w:after="40"/>
              <w:jc w:val="center"/>
              <w:cnfStyle w:val="000000100000" w:firstRow="0" w:lastRow="0" w:firstColumn="0" w:lastColumn="0" w:oddVBand="0" w:evenVBand="0" w:oddHBand="1" w:evenHBand="0" w:firstRowFirstColumn="0" w:firstRowLastColumn="0" w:lastRowFirstColumn="0" w:lastRowLastColumn="0"/>
              <w:rPr>
                <w:b/>
                <w:bCs/>
                <w:szCs w:val="20"/>
              </w:rPr>
            </w:pPr>
            <w:r w:rsidRPr="00BC5468">
              <w:rPr>
                <w:b/>
                <w:bCs/>
                <w:szCs w:val="20"/>
              </w:rPr>
              <w:t>% total fatty acids</w:t>
            </w:r>
          </w:p>
        </w:tc>
        <w:tc>
          <w:tcPr>
            <w:tcW w:w="1778" w:type="dxa"/>
            <w:tcBorders>
              <w:left w:val="none" w:sz="0" w:space="0" w:color="auto"/>
              <w:right w:val="none" w:sz="0" w:space="0" w:color="auto"/>
            </w:tcBorders>
            <w:shd w:val="clear" w:color="auto" w:fill="DBE5F1" w:themeFill="accent1" w:themeFillTint="33"/>
            <w:vAlign w:val="center"/>
          </w:tcPr>
          <w:p w14:paraId="4195C1E8" w14:textId="77777777" w:rsidR="00A26D46" w:rsidRPr="00BC5468" w:rsidRDefault="00A26D46" w:rsidP="0083134A">
            <w:pPr>
              <w:spacing w:before="40" w:after="40"/>
              <w:jc w:val="center"/>
              <w:cnfStyle w:val="000000100000" w:firstRow="0" w:lastRow="0" w:firstColumn="0" w:lastColumn="0" w:oddVBand="0" w:evenVBand="0" w:oddHBand="1" w:evenHBand="0" w:firstRowFirstColumn="0" w:firstRowLastColumn="0" w:lastRowFirstColumn="0" w:lastRowLastColumn="0"/>
              <w:rPr>
                <w:b/>
                <w:bCs/>
                <w:szCs w:val="20"/>
              </w:rPr>
            </w:pPr>
            <w:r w:rsidRPr="00BC5468">
              <w:rPr>
                <w:b/>
                <w:bCs/>
                <w:szCs w:val="20"/>
              </w:rPr>
              <w:t>Min–Max</w:t>
            </w:r>
          </w:p>
          <w:p w14:paraId="3B743534" w14:textId="6DFC4B55" w:rsidR="00A8112E" w:rsidRPr="00BC5468" w:rsidRDefault="00A8112E" w:rsidP="00A26D46">
            <w:pPr>
              <w:spacing w:before="40" w:after="40"/>
              <w:jc w:val="center"/>
              <w:cnfStyle w:val="000000100000" w:firstRow="0" w:lastRow="0" w:firstColumn="0" w:lastColumn="0" w:oddVBand="0" w:evenVBand="0" w:oddHBand="1" w:evenHBand="0" w:firstRowFirstColumn="0" w:firstRowLastColumn="0" w:lastRowFirstColumn="0" w:lastRowLastColumn="0"/>
              <w:rPr>
                <w:b/>
                <w:bCs/>
                <w:szCs w:val="20"/>
              </w:rPr>
            </w:pPr>
            <w:r w:rsidRPr="00BC5468">
              <w:rPr>
                <w:b/>
                <w:bCs/>
                <w:szCs w:val="20"/>
              </w:rPr>
              <w:t>mg/100 kJ</w:t>
            </w:r>
            <w:r w:rsidR="00286EBB" w:rsidRPr="00286EBB">
              <w:rPr>
                <w:b/>
                <w:bCs/>
                <w:szCs w:val="20"/>
                <w:vertAlign w:val="superscript"/>
              </w:rPr>
              <w:t>1</w:t>
            </w:r>
          </w:p>
        </w:tc>
        <w:tc>
          <w:tcPr>
            <w:tcW w:w="2018" w:type="dxa"/>
            <w:vMerge/>
            <w:tcBorders>
              <w:left w:val="none" w:sz="0" w:space="0" w:color="auto"/>
              <w:right w:val="none" w:sz="0" w:space="0" w:color="auto"/>
            </w:tcBorders>
            <w:shd w:val="clear" w:color="auto" w:fill="EAF1DD" w:themeFill="accent3" w:themeFillTint="33"/>
            <w:vAlign w:val="center"/>
          </w:tcPr>
          <w:p w14:paraId="05735337" w14:textId="59C3234B" w:rsidR="00A8112E" w:rsidRPr="00152EDE" w:rsidRDefault="00A8112E" w:rsidP="0083134A">
            <w:pPr>
              <w:spacing w:before="40" w:after="40"/>
              <w:jc w:val="center"/>
              <w:cnfStyle w:val="000000100000" w:firstRow="0" w:lastRow="0" w:firstColumn="0" w:lastColumn="0" w:oddVBand="0" w:evenVBand="0" w:oddHBand="1" w:evenHBand="0" w:firstRowFirstColumn="0" w:firstRowLastColumn="0" w:lastRowFirstColumn="0" w:lastRowLastColumn="0"/>
              <w:rPr>
                <w:szCs w:val="20"/>
              </w:rPr>
            </w:pPr>
          </w:p>
        </w:tc>
        <w:tc>
          <w:tcPr>
            <w:tcW w:w="1909" w:type="dxa"/>
            <w:vMerge/>
            <w:tcBorders>
              <w:left w:val="none" w:sz="0" w:space="0" w:color="auto"/>
            </w:tcBorders>
            <w:shd w:val="clear" w:color="auto" w:fill="DAEEF3" w:themeFill="accent5" w:themeFillTint="33"/>
            <w:vAlign w:val="center"/>
          </w:tcPr>
          <w:p w14:paraId="23FB2488" w14:textId="691EF55A" w:rsidR="00A8112E" w:rsidRPr="00152EDE" w:rsidRDefault="00A8112E" w:rsidP="00A8112E">
            <w:pPr>
              <w:spacing w:before="40" w:after="40"/>
              <w:jc w:val="center"/>
              <w:cnfStyle w:val="000000100000" w:firstRow="0" w:lastRow="0" w:firstColumn="0" w:lastColumn="0" w:oddVBand="0" w:evenVBand="0" w:oddHBand="1" w:evenHBand="0" w:firstRowFirstColumn="0" w:firstRowLastColumn="0" w:lastRowFirstColumn="0" w:lastRowLastColumn="0"/>
              <w:rPr>
                <w:szCs w:val="20"/>
              </w:rPr>
            </w:pPr>
          </w:p>
        </w:tc>
      </w:tr>
      <w:tr w:rsidR="00152EDE" w:rsidRPr="007F146E" w14:paraId="14BF570E" w14:textId="74B52BCD" w:rsidTr="00702F16">
        <w:trPr>
          <w:cnfStyle w:val="000000010000" w:firstRow="0" w:lastRow="0" w:firstColumn="0" w:lastColumn="0" w:oddVBand="0" w:evenVBand="0" w:oddHBand="0" w:evenHBand="1"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1281" w:type="dxa"/>
            <w:tcBorders>
              <w:right w:val="none" w:sz="0" w:space="0" w:color="auto"/>
            </w:tcBorders>
            <w:shd w:val="clear" w:color="auto" w:fill="auto"/>
          </w:tcPr>
          <w:p w14:paraId="65281FA0" w14:textId="77777777" w:rsidR="00152EDE" w:rsidRPr="007F146E" w:rsidRDefault="00152EDE" w:rsidP="00416F19">
            <w:pPr>
              <w:spacing w:before="40" w:after="40"/>
              <w:rPr>
                <w:szCs w:val="20"/>
                <w:highlight w:val="yellow"/>
              </w:rPr>
            </w:pPr>
            <w:r w:rsidRPr="007F146E">
              <w:rPr>
                <w:rFonts w:cs="Arial"/>
                <w:szCs w:val="20"/>
              </w:rPr>
              <w:t xml:space="preserve">LA </w:t>
            </w:r>
          </w:p>
        </w:tc>
        <w:tc>
          <w:tcPr>
            <w:tcW w:w="1898" w:type="dxa"/>
            <w:tcBorders>
              <w:left w:val="none" w:sz="0" w:space="0" w:color="auto"/>
              <w:right w:val="none" w:sz="0" w:space="0" w:color="auto"/>
            </w:tcBorders>
            <w:shd w:val="clear" w:color="auto" w:fill="auto"/>
            <w:vAlign w:val="center"/>
          </w:tcPr>
          <w:p w14:paraId="4F521D1C" w14:textId="0DB0C029" w:rsidR="00152EDE" w:rsidRPr="007F146E" w:rsidRDefault="00152EDE" w:rsidP="00A26D46">
            <w:pPr>
              <w:spacing w:before="40" w:after="40"/>
              <w:jc w:val="center"/>
              <w:cnfStyle w:val="000000010000" w:firstRow="0" w:lastRow="0" w:firstColumn="0" w:lastColumn="0" w:oddVBand="0" w:evenVBand="0" w:oddHBand="0" w:evenHBand="1" w:firstRowFirstColumn="0" w:firstRowLastColumn="0" w:lastRowFirstColumn="0" w:lastRowLastColumn="0"/>
              <w:rPr>
                <w:szCs w:val="20"/>
              </w:rPr>
            </w:pPr>
            <w:r w:rsidRPr="007F146E">
              <w:rPr>
                <w:rFonts w:cs="Arial"/>
                <w:szCs w:val="20"/>
              </w:rPr>
              <w:t>9</w:t>
            </w:r>
            <w:r>
              <w:rPr>
                <w:rFonts w:cs="Arial"/>
                <w:szCs w:val="20"/>
              </w:rPr>
              <w:t>–</w:t>
            </w:r>
            <w:r w:rsidRPr="007F146E">
              <w:rPr>
                <w:rFonts w:cs="Arial"/>
                <w:szCs w:val="20"/>
              </w:rPr>
              <w:t>26</w:t>
            </w:r>
          </w:p>
        </w:tc>
        <w:tc>
          <w:tcPr>
            <w:tcW w:w="1778" w:type="dxa"/>
            <w:tcBorders>
              <w:left w:val="none" w:sz="0" w:space="0" w:color="auto"/>
              <w:right w:val="none" w:sz="0" w:space="0" w:color="auto"/>
            </w:tcBorders>
            <w:shd w:val="clear" w:color="auto" w:fill="auto"/>
            <w:vAlign w:val="center"/>
          </w:tcPr>
          <w:p w14:paraId="1C3388CD" w14:textId="56570A14" w:rsidR="00152EDE" w:rsidRPr="007F146E" w:rsidRDefault="00152EDE" w:rsidP="00A26D46">
            <w:pPr>
              <w:spacing w:before="40" w:after="40"/>
              <w:jc w:val="center"/>
              <w:cnfStyle w:val="000000010000" w:firstRow="0" w:lastRow="0" w:firstColumn="0" w:lastColumn="0" w:oddVBand="0" w:evenVBand="0" w:oddHBand="0" w:evenHBand="1" w:firstRowFirstColumn="0" w:firstRowLastColumn="0" w:lastRowFirstColumn="0" w:lastRowLastColumn="0"/>
              <w:rPr>
                <w:szCs w:val="20"/>
              </w:rPr>
            </w:pPr>
            <w:r>
              <w:rPr>
                <w:szCs w:val="20"/>
              </w:rPr>
              <w:t>90–371</w:t>
            </w:r>
          </w:p>
        </w:tc>
        <w:tc>
          <w:tcPr>
            <w:tcW w:w="2018" w:type="dxa"/>
            <w:tcBorders>
              <w:left w:val="none" w:sz="0" w:space="0" w:color="auto"/>
              <w:right w:val="none" w:sz="0" w:space="0" w:color="auto"/>
            </w:tcBorders>
            <w:shd w:val="clear" w:color="auto" w:fill="auto"/>
            <w:vAlign w:val="center"/>
          </w:tcPr>
          <w:p w14:paraId="0013DAD9" w14:textId="497F90B9" w:rsidR="00152EDE" w:rsidRPr="007F146E" w:rsidRDefault="00152EDE" w:rsidP="00A26D46">
            <w:pPr>
              <w:spacing w:before="40" w:after="40"/>
              <w:jc w:val="center"/>
              <w:cnfStyle w:val="000000010000" w:firstRow="0" w:lastRow="0" w:firstColumn="0" w:lastColumn="0" w:oddVBand="0" w:evenVBand="0" w:oddHBand="0" w:evenHBand="1" w:firstRowFirstColumn="0" w:firstRowLastColumn="0" w:lastRowFirstColumn="0" w:lastRowLastColumn="0"/>
              <w:rPr>
                <w:rFonts w:cs="Arial"/>
                <w:szCs w:val="20"/>
              </w:rPr>
            </w:pPr>
            <w:r w:rsidRPr="007F146E">
              <w:rPr>
                <w:szCs w:val="20"/>
              </w:rPr>
              <w:t>70</w:t>
            </w:r>
            <w:r w:rsidRPr="007F146E">
              <w:rPr>
                <w:szCs w:val="20"/>
              </w:rPr>
              <w:sym w:font="Symbol" w:char="F02D"/>
            </w:r>
            <w:r w:rsidRPr="007F146E">
              <w:rPr>
                <w:szCs w:val="20"/>
              </w:rPr>
              <w:t>330 (GUL)</w:t>
            </w:r>
          </w:p>
        </w:tc>
        <w:tc>
          <w:tcPr>
            <w:tcW w:w="1909" w:type="dxa"/>
            <w:tcBorders>
              <w:left w:val="none" w:sz="0" w:space="0" w:color="auto"/>
            </w:tcBorders>
            <w:shd w:val="clear" w:color="auto" w:fill="auto"/>
            <w:vAlign w:val="center"/>
          </w:tcPr>
          <w:p w14:paraId="655E52BA" w14:textId="4F173359" w:rsidR="00152EDE" w:rsidRPr="007F146E" w:rsidRDefault="00152EDE" w:rsidP="00A26D46">
            <w:pPr>
              <w:spacing w:before="40" w:after="40"/>
              <w:jc w:val="center"/>
              <w:cnfStyle w:val="000000010000" w:firstRow="0" w:lastRow="0" w:firstColumn="0" w:lastColumn="0" w:oddVBand="0" w:evenVBand="0" w:oddHBand="0" w:evenHBand="1" w:firstRowFirstColumn="0" w:firstRowLastColumn="0" w:lastRowFirstColumn="0" w:lastRowLastColumn="0"/>
              <w:rPr>
                <w:szCs w:val="20"/>
              </w:rPr>
            </w:pPr>
            <w:r>
              <w:rPr>
                <w:szCs w:val="20"/>
              </w:rPr>
              <w:t>120–300</w:t>
            </w:r>
          </w:p>
        </w:tc>
      </w:tr>
      <w:tr w:rsidR="00152EDE" w:rsidRPr="007F146E" w14:paraId="3FC0521F" w14:textId="6E98A221" w:rsidTr="00702F16">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1281" w:type="dxa"/>
            <w:tcBorders>
              <w:right w:val="none" w:sz="0" w:space="0" w:color="auto"/>
            </w:tcBorders>
            <w:shd w:val="clear" w:color="auto" w:fill="auto"/>
          </w:tcPr>
          <w:p w14:paraId="0B7B6B9D" w14:textId="77777777" w:rsidR="00152EDE" w:rsidRPr="007F146E" w:rsidRDefault="00152EDE" w:rsidP="00416F19">
            <w:pPr>
              <w:spacing w:before="40" w:after="40"/>
              <w:rPr>
                <w:szCs w:val="20"/>
                <w:highlight w:val="yellow"/>
              </w:rPr>
            </w:pPr>
            <w:r w:rsidRPr="007F146E">
              <w:rPr>
                <w:rFonts w:cs="Arial"/>
                <w:szCs w:val="20"/>
              </w:rPr>
              <w:t xml:space="preserve">ALA </w:t>
            </w:r>
          </w:p>
        </w:tc>
        <w:tc>
          <w:tcPr>
            <w:tcW w:w="1898" w:type="dxa"/>
            <w:tcBorders>
              <w:left w:val="none" w:sz="0" w:space="0" w:color="auto"/>
              <w:right w:val="none" w:sz="0" w:space="0" w:color="auto"/>
            </w:tcBorders>
            <w:shd w:val="clear" w:color="auto" w:fill="auto"/>
            <w:vAlign w:val="center"/>
          </w:tcPr>
          <w:p w14:paraId="18DC17A9" w14:textId="57E3A8F6" w:rsidR="00152EDE" w:rsidRPr="007F146E" w:rsidRDefault="00152EDE" w:rsidP="00A26D46">
            <w:pPr>
              <w:spacing w:before="40" w:after="40"/>
              <w:jc w:val="center"/>
              <w:cnfStyle w:val="000000100000" w:firstRow="0" w:lastRow="0" w:firstColumn="0" w:lastColumn="0" w:oddVBand="0" w:evenVBand="0" w:oddHBand="1" w:evenHBand="0" w:firstRowFirstColumn="0" w:firstRowLastColumn="0" w:lastRowFirstColumn="0" w:lastRowLastColumn="0"/>
              <w:rPr>
                <w:szCs w:val="20"/>
              </w:rPr>
            </w:pPr>
            <w:r w:rsidRPr="007F146E">
              <w:rPr>
                <w:szCs w:val="20"/>
              </w:rPr>
              <w:t>1.1</w:t>
            </w:r>
            <w:r>
              <w:rPr>
                <w:szCs w:val="20"/>
              </w:rPr>
              <w:t>–</w:t>
            </w:r>
            <w:r w:rsidRPr="007F146E">
              <w:rPr>
                <w:szCs w:val="20"/>
              </w:rPr>
              <w:t>4</w:t>
            </w:r>
          </w:p>
        </w:tc>
        <w:tc>
          <w:tcPr>
            <w:tcW w:w="1778" w:type="dxa"/>
            <w:tcBorders>
              <w:left w:val="none" w:sz="0" w:space="0" w:color="auto"/>
              <w:right w:val="none" w:sz="0" w:space="0" w:color="auto"/>
            </w:tcBorders>
            <w:shd w:val="clear" w:color="auto" w:fill="auto"/>
            <w:vAlign w:val="center"/>
          </w:tcPr>
          <w:p w14:paraId="4E846376" w14:textId="05AD221C" w:rsidR="00152EDE" w:rsidRPr="007F146E" w:rsidRDefault="00152EDE" w:rsidP="00EE5EBB">
            <w:pPr>
              <w:spacing w:before="40" w:after="40"/>
              <w:jc w:val="center"/>
              <w:cnfStyle w:val="000000100000" w:firstRow="0" w:lastRow="0" w:firstColumn="0" w:lastColumn="0" w:oddVBand="0" w:evenVBand="0" w:oddHBand="1" w:evenHBand="0" w:firstRowFirstColumn="0" w:firstRowLastColumn="0" w:lastRowFirstColumn="0" w:lastRowLastColumn="0"/>
              <w:rPr>
                <w:rFonts w:cs="Arial"/>
                <w:szCs w:val="20"/>
              </w:rPr>
            </w:pPr>
            <w:r>
              <w:rPr>
                <w:rFonts w:cs="Arial"/>
                <w:szCs w:val="20"/>
              </w:rPr>
              <w:t>11–57</w:t>
            </w:r>
          </w:p>
        </w:tc>
        <w:tc>
          <w:tcPr>
            <w:tcW w:w="2018" w:type="dxa"/>
            <w:tcBorders>
              <w:left w:val="none" w:sz="0" w:space="0" w:color="auto"/>
              <w:right w:val="none" w:sz="0" w:space="0" w:color="auto"/>
            </w:tcBorders>
            <w:shd w:val="clear" w:color="auto" w:fill="auto"/>
            <w:vAlign w:val="center"/>
          </w:tcPr>
          <w:p w14:paraId="47E88EEF" w14:textId="1D21D8B3" w:rsidR="00152EDE" w:rsidRPr="007F146E" w:rsidRDefault="00152EDE" w:rsidP="00A26D46">
            <w:pPr>
              <w:spacing w:before="40" w:after="40"/>
              <w:jc w:val="center"/>
              <w:cnfStyle w:val="000000100000" w:firstRow="0" w:lastRow="0" w:firstColumn="0" w:lastColumn="0" w:oddVBand="0" w:evenVBand="0" w:oddHBand="1" w:evenHBand="0" w:firstRowFirstColumn="0" w:firstRowLastColumn="0" w:lastRowFirstColumn="0" w:lastRowLastColumn="0"/>
              <w:rPr>
                <w:rFonts w:cs="Arial"/>
                <w:szCs w:val="20"/>
              </w:rPr>
            </w:pPr>
            <w:r w:rsidRPr="007F146E">
              <w:rPr>
                <w:rFonts w:cs="Arial"/>
                <w:szCs w:val="20"/>
              </w:rPr>
              <w:t>12</w:t>
            </w:r>
            <w:r w:rsidRPr="007F146E">
              <w:rPr>
                <w:rFonts w:cs="Arial"/>
                <w:szCs w:val="20"/>
              </w:rPr>
              <w:sym w:font="Symbol" w:char="F02D"/>
            </w:r>
            <w:r w:rsidRPr="007F146E">
              <w:rPr>
                <w:rFonts w:cs="Arial"/>
                <w:szCs w:val="20"/>
              </w:rPr>
              <w:t>NS</w:t>
            </w:r>
          </w:p>
        </w:tc>
        <w:tc>
          <w:tcPr>
            <w:tcW w:w="1909" w:type="dxa"/>
            <w:tcBorders>
              <w:left w:val="none" w:sz="0" w:space="0" w:color="auto"/>
            </w:tcBorders>
            <w:shd w:val="clear" w:color="auto" w:fill="auto"/>
            <w:vAlign w:val="center"/>
          </w:tcPr>
          <w:p w14:paraId="7090AFCA" w14:textId="407A0488" w:rsidR="00152EDE" w:rsidRPr="007F146E" w:rsidRDefault="00152EDE" w:rsidP="00A26D46">
            <w:pPr>
              <w:spacing w:before="40" w:after="40"/>
              <w:jc w:val="center"/>
              <w:cnfStyle w:val="000000100000" w:firstRow="0" w:lastRow="0" w:firstColumn="0" w:lastColumn="0" w:oddVBand="0" w:evenVBand="0" w:oddHBand="1" w:evenHBand="0" w:firstRowFirstColumn="0" w:firstRowLastColumn="0" w:lastRowFirstColumn="0" w:lastRowLastColumn="0"/>
              <w:rPr>
                <w:rFonts w:cs="Arial"/>
                <w:szCs w:val="20"/>
              </w:rPr>
            </w:pPr>
            <w:r>
              <w:rPr>
                <w:rFonts w:cs="Arial"/>
                <w:szCs w:val="20"/>
              </w:rPr>
              <w:t>12–24</w:t>
            </w:r>
          </w:p>
        </w:tc>
      </w:tr>
      <w:tr w:rsidR="00152EDE" w:rsidRPr="007F146E" w14:paraId="14738F97" w14:textId="79B4D67C" w:rsidTr="00702F16">
        <w:trPr>
          <w:cnfStyle w:val="000000010000" w:firstRow="0" w:lastRow="0" w:firstColumn="0" w:lastColumn="0" w:oddVBand="0" w:evenVBand="0" w:oddHBand="0" w:evenHBand="1"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1281" w:type="dxa"/>
            <w:tcBorders>
              <w:right w:val="none" w:sz="0" w:space="0" w:color="auto"/>
            </w:tcBorders>
            <w:shd w:val="clear" w:color="auto" w:fill="auto"/>
          </w:tcPr>
          <w:p w14:paraId="501B4D4C" w14:textId="77777777" w:rsidR="00152EDE" w:rsidRPr="007F146E" w:rsidRDefault="00152EDE" w:rsidP="00416F19">
            <w:pPr>
              <w:spacing w:before="40" w:after="40"/>
              <w:rPr>
                <w:rFonts w:cs="Arial"/>
                <w:szCs w:val="20"/>
              </w:rPr>
            </w:pPr>
            <w:r w:rsidRPr="007F146E">
              <w:rPr>
                <w:rFonts w:cs="Arial"/>
                <w:szCs w:val="20"/>
              </w:rPr>
              <w:t>LA:ALA</w:t>
            </w:r>
            <w:r>
              <w:rPr>
                <w:rFonts w:cs="Arial"/>
                <w:szCs w:val="20"/>
              </w:rPr>
              <w:t xml:space="preserve"> ratio</w:t>
            </w:r>
          </w:p>
        </w:tc>
        <w:tc>
          <w:tcPr>
            <w:tcW w:w="1898" w:type="dxa"/>
            <w:tcBorders>
              <w:left w:val="none" w:sz="0" w:space="0" w:color="auto"/>
              <w:right w:val="none" w:sz="0" w:space="0" w:color="auto"/>
            </w:tcBorders>
            <w:shd w:val="clear" w:color="auto" w:fill="auto"/>
            <w:vAlign w:val="center"/>
          </w:tcPr>
          <w:p w14:paraId="427134E0" w14:textId="60098E64" w:rsidR="00152EDE" w:rsidRPr="007F146E" w:rsidRDefault="00152EDE" w:rsidP="00EE5EBB">
            <w:pPr>
              <w:spacing w:before="40" w:after="40"/>
              <w:jc w:val="center"/>
              <w:cnfStyle w:val="000000010000" w:firstRow="0" w:lastRow="0" w:firstColumn="0" w:lastColumn="0" w:oddVBand="0" w:evenVBand="0" w:oddHBand="0" w:evenHBand="1" w:firstRowFirstColumn="0" w:firstRowLastColumn="0" w:lastRowFirstColumn="0" w:lastRowLastColumn="0"/>
              <w:rPr>
                <w:rFonts w:cs="Arial"/>
                <w:szCs w:val="20"/>
              </w:rPr>
            </w:pPr>
            <w:r w:rsidRPr="007F146E">
              <w:rPr>
                <w:rFonts w:cs="Arial"/>
                <w:szCs w:val="20"/>
              </w:rPr>
              <w:t>5</w:t>
            </w:r>
            <w:r w:rsidR="00EE5EBB">
              <w:rPr>
                <w:rFonts w:cs="Arial"/>
                <w:szCs w:val="20"/>
              </w:rPr>
              <w:t>:1</w:t>
            </w:r>
            <w:r>
              <w:rPr>
                <w:rFonts w:cs="Arial"/>
                <w:szCs w:val="20"/>
              </w:rPr>
              <w:t>–</w:t>
            </w:r>
            <w:r w:rsidRPr="007F146E">
              <w:rPr>
                <w:rFonts w:cs="Arial"/>
                <w:szCs w:val="20"/>
              </w:rPr>
              <w:t>15:1</w:t>
            </w:r>
          </w:p>
        </w:tc>
        <w:tc>
          <w:tcPr>
            <w:tcW w:w="1778" w:type="dxa"/>
            <w:tcBorders>
              <w:left w:val="none" w:sz="0" w:space="0" w:color="auto"/>
              <w:right w:val="none" w:sz="0" w:space="0" w:color="auto"/>
            </w:tcBorders>
            <w:shd w:val="clear" w:color="auto" w:fill="auto"/>
            <w:vAlign w:val="center"/>
          </w:tcPr>
          <w:p w14:paraId="0C064E2B" w14:textId="77777777" w:rsidR="00152EDE" w:rsidRPr="007F146E" w:rsidRDefault="00152EDE" w:rsidP="002D6DFA">
            <w:pPr>
              <w:spacing w:before="40" w:after="40"/>
              <w:jc w:val="center"/>
              <w:cnfStyle w:val="000000010000" w:firstRow="0" w:lastRow="0" w:firstColumn="0" w:lastColumn="0" w:oddVBand="0" w:evenVBand="0" w:oddHBand="0" w:evenHBand="1" w:firstRowFirstColumn="0" w:firstRowLastColumn="0" w:lastRowFirstColumn="0" w:lastRowLastColumn="0"/>
              <w:rPr>
                <w:rFonts w:cs="Arial"/>
                <w:szCs w:val="20"/>
              </w:rPr>
            </w:pPr>
            <w:r>
              <w:rPr>
                <w:rFonts w:cs="Arial"/>
                <w:szCs w:val="20"/>
              </w:rPr>
              <w:t>–</w:t>
            </w:r>
          </w:p>
        </w:tc>
        <w:tc>
          <w:tcPr>
            <w:tcW w:w="2018" w:type="dxa"/>
            <w:tcBorders>
              <w:left w:val="none" w:sz="0" w:space="0" w:color="auto"/>
              <w:right w:val="none" w:sz="0" w:space="0" w:color="auto"/>
            </w:tcBorders>
            <w:shd w:val="clear" w:color="auto" w:fill="auto"/>
            <w:vAlign w:val="center"/>
          </w:tcPr>
          <w:p w14:paraId="68F18476" w14:textId="34002AAA" w:rsidR="00152EDE" w:rsidRPr="007F146E" w:rsidRDefault="00152EDE" w:rsidP="00A26D46">
            <w:pPr>
              <w:spacing w:before="40" w:after="40"/>
              <w:jc w:val="center"/>
              <w:cnfStyle w:val="000000010000" w:firstRow="0" w:lastRow="0" w:firstColumn="0" w:lastColumn="0" w:oddVBand="0" w:evenVBand="0" w:oddHBand="0" w:evenHBand="1" w:firstRowFirstColumn="0" w:firstRowLastColumn="0" w:lastRowFirstColumn="0" w:lastRowLastColumn="0"/>
              <w:rPr>
                <w:rFonts w:cs="Arial"/>
                <w:szCs w:val="20"/>
              </w:rPr>
            </w:pPr>
            <w:r w:rsidRPr="007F146E">
              <w:rPr>
                <w:rFonts w:cs="Arial"/>
                <w:szCs w:val="20"/>
              </w:rPr>
              <w:t>5:1</w:t>
            </w:r>
            <w:r>
              <w:rPr>
                <w:rFonts w:cs="Arial"/>
                <w:szCs w:val="20"/>
              </w:rPr>
              <w:t>–1</w:t>
            </w:r>
            <w:r w:rsidRPr="007F146E">
              <w:rPr>
                <w:rFonts w:cs="Arial"/>
                <w:szCs w:val="20"/>
              </w:rPr>
              <w:t>5:1</w:t>
            </w:r>
          </w:p>
        </w:tc>
        <w:tc>
          <w:tcPr>
            <w:tcW w:w="1909" w:type="dxa"/>
            <w:tcBorders>
              <w:left w:val="none" w:sz="0" w:space="0" w:color="auto"/>
            </w:tcBorders>
            <w:shd w:val="clear" w:color="auto" w:fill="auto"/>
            <w:vAlign w:val="center"/>
          </w:tcPr>
          <w:p w14:paraId="299547DD" w14:textId="019494BE" w:rsidR="00152EDE" w:rsidRPr="007F146E" w:rsidRDefault="00152EDE" w:rsidP="002D6DFA">
            <w:pPr>
              <w:spacing w:before="40" w:after="40"/>
              <w:jc w:val="center"/>
              <w:cnfStyle w:val="000000010000" w:firstRow="0" w:lastRow="0" w:firstColumn="0" w:lastColumn="0" w:oddVBand="0" w:evenVBand="0" w:oddHBand="0" w:evenHBand="1" w:firstRowFirstColumn="0" w:firstRowLastColumn="0" w:lastRowFirstColumn="0" w:lastRowLastColumn="0"/>
              <w:rPr>
                <w:rFonts w:cs="Arial"/>
                <w:szCs w:val="20"/>
              </w:rPr>
            </w:pPr>
            <w:r>
              <w:rPr>
                <w:rFonts w:cs="Arial"/>
                <w:szCs w:val="20"/>
              </w:rPr>
              <w:t>–</w:t>
            </w:r>
          </w:p>
        </w:tc>
      </w:tr>
    </w:tbl>
    <w:p w14:paraId="0FF0ECDC" w14:textId="6802C864" w:rsidR="0083134A" w:rsidRDefault="00152EDE" w:rsidP="00152EDE">
      <w:pPr>
        <w:rPr>
          <w:i/>
          <w:sz w:val="18"/>
        </w:rPr>
      </w:pPr>
      <w:r w:rsidRPr="00152EDE">
        <w:rPr>
          <w:i/>
          <w:sz w:val="18"/>
        </w:rPr>
        <w:t xml:space="preserve">NS: </w:t>
      </w:r>
      <w:r w:rsidR="00286EBB">
        <w:rPr>
          <w:i/>
          <w:sz w:val="18"/>
        </w:rPr>
        <w:t xml:space="preserve">not specified; </w:t>
      </w:r>
      <w:r w:rsidR="00954AD1">
        <w:rPr>
          <w:i/>
          <w:sz w:val="18"/>
        </w:rPr>
        <w:t>GUL: Guidance upper levels</w:t>
      </w:r>
    </w:p>
    <w:p w14:paraId="4DCE8FED" w14:textId="085A6D82" w:rsidR="00286EBB" w:rsidRPr="00152EDE" w:rsidRDefault="00286EBB" w:rsidP="00152EDE">
      <w:pPr>
        <w:rPr>
          <w:i/>
          <w:sz w:val="18"/>
        </w:rPr>
      </w:pPr>
      <w:r w:rsidRPr="00286EBB">
        <w:rPr>
          <w:i/>
          <w:sz w:val="18"/>
          <w:vertAlign w:val="superscript"/>
        </w:rPr>
        <w:t xml:space="preserve">1 </w:t>
      </w:r>
      <w:r>
        <w:rPr>
          <w:i/>
          <w:sz w:val="18"/>
        </w:rPr>
        <w:t xml:space="preserve">Calculated in mg/100 kJ to compare with Codex amounts (see previous section). </w:t>
      </w:r>
    </w:p>
    <w:p w14:paraId="0FC22038" w14:textId="77777777" w:rsidR="00776154" w:rsidRPr="00D6329D" w:rsidRDefault="00776154" w:rsidP="00776154">
      <w:pPr>
        <w:pStyle w:val="Heading4"/>
      </w:pPr>
      <w:r w:rsidRPr="00D6329D">
        <w:t xml:space="preserve">Previous consideration </w:t>
      </w:r>
    </w:p>
    <w:p w14:paraId="255AC5AF" w14:textId="3AFB6AAE" w:rsidR="00776154" w:rsidRDefault="00776154" w:rsidP="00776154">
      <w:r>
        <w:t>In 2016 FSANZ noted that t</w:t>
      </w:r>
      <w:r w:rsidRPr="00116166">
        <w:t xml:space="preserve">here is no international consensus on the recommended amount of LA in infant formula. </w:t>
      </w:r>
      <w:r>
        <w:t>The nutrition assessment concluded that the evidence did</w:t>
      </w:r>
      <w:r w:rsidRPr="00116166">
        <w:t xml:space="preserve"> not supp</w:t>
      </w:r>
      <w:r>
        <w:t>ort the lower Codex minimum but wa</w:t>
      </w:r>
      <w:r w:rsidRPr="00116166">
        <w:t xml:space="preserve">s more consistent </w:t>
      </w:r>
      <w:r>
        <w:t>with the current Standard 2.9.1</w:t>
      </w:r>
      <w:r w:rsidR="00286EBB">
        <w:t xml:space="preserve"> (S29—8 )</w:t>
      </w:r>
      <w:r>
        <w:t>. Therefore, FSANZ proposed retaining</w:t>
      </w:r>
      <w:r w:rsidRPr="00FA7092">
        <w:t xml:space="preserve"> the current minimum requirement for LA (9% total </w:t>
      </w:r>
      <w:r>
        <w:t>fatty acids) in infant formula and sought comments on this approach.</w:t>
      </w:r>
    </w:p>
    <w:p w14:paraId="265E8D0A" w14:textId="77777777" w:rsidR="00776154" w:rsidRDefault="00776154" w:rsidP="00776154"/>
    <w:p w14:paraId="14557088" w14:textId="04D08B3C" w:rsidR="00776154" w:rsidRDefault="002D6DFA" w:rsidP="00776154">
      <w:pPr>
        <w:rPr>
          <w:rFonts w:eastAsia="Arial Unicode MS"/>
          <w:szCs w:val="22"/>
          <w:lang w:val="en-AU" w:bidi="ar-SA"/>
        </w:rPr>
      </w:pPr>
      <w:r>
        <w:t>FSANZ also considered that</w:t>
      </w:r>
      <w:r w:rsidR="00776154" w:rsidRPr="00116166">
        <w:t xml:space="preserve"> use of ALA </w:t>
      </w:r>
      <w:r w:rsidR="00776154">
        <w:t>at the current levels</w:t>
      </w:r>
      <w:r w:rsidR="00776154" w:rsidRPr="00116166">
        <w:t xml:space="preserve"> </w:t>
      </w:r>
      <w:r>
        <w:t>within Standard 2.9.1</w:t>
      </w:r>
      <w:r w:rsidR="00286EBB">
        <w:t xml:space="preserve"> (S29—8)</w:t>
      </w:r>
      <w:r>
        <w:t xml:space="preserve"> or at the levels prescribed by Codex STAN 72-1981 are</w:t>
      </w:r>
      <w:r w:rsidR="00776154" w:rsidRPr="00116166">
        <w:t xml:space="preserve"> unlikely to pose a risk to infant health.</w:t>
      </w:r>
      <w:r w:rsidR="00776154" w:rsidRPr="00C65C22">
        <w:t xml:space="preserve"> The maximum </w:t>
      </w:r>
      <w:r w:rsidR="00776154" w:rsidRPr="00050BAF">
        <w:t>amount</w:t>
      </w:r>
      <w:r w:rsidR="00776154" w:rsidRPr="00C65C22">
        <w:t xml:space="preserve"> of ALA is controlled by the max</w:t>
      </w:r>
      <w:r w:rsidR="00776154">
        <w:t>imum ratio of LA to ALA of 15:1</w:t>
      </w:r>
      <w:r w:rsidR="00754BEF">
        <w:t>, which is same across the Code and C</w:t>
      </w:r>
      <w:r>
        <w:t>odex. The 2016 nutrition</w:t>
      </w:r>
      <w:r w:rsidR="00954AD1">
        <w:t xml:space="preserve"> risk</w:t>
      </w:r>
      <w:r>
        <w:t xml:space="preserve"> assessment suggested that adopting the Codex STAN 72-1981 </w:t>
      </w:r>
      <w:r w:rsidR="00045A98">
        <w:t xml:space="preserve">guidance upper level </w:t>
      </w:r>
      <w:r>
        <w:t>(GUL)</w:t>
      </w:r>
      <w:r w:rsidR="00045A98">
        <w:t xml:space="preserve"> as a maximum</w:t>
      </w:r>
      <w:r>
        <w:t xml:space="preserve"> for ALA</w:t>
      </w:r>
      <w:r w:rsidR="00776154">
        <w:t xml:space="preserve"> </w:t>
      </w:r>
      <w:r>
        <w:t>was</w:t>
      </w:r>
      <w:r w:rsidR="00776154" w:rsidRPr="00727B60">
        <w:t xml:space="preserve"> </w:t>
      </w:r>
      <w:r>
        <w:t xml:space="preserve">also </w:t>
      </w:r>
      <w:r w:rsidR="00776154" w:rsidRPr="00727B60">
        <w:t>unlikely to pose a risk to infant health.</w:t>
      </w:r>
      <w:r w:rsidR="00776154" w:rsidRPr="002E1EDF">
        <w:rPr>
          <w:rFonts w:eastAsia="Arial Unicode MS"/>
          <w:szCs w:val="22"/>
          <w:lang w:val="en-AU" w:bidi="ar-SA"/>
        </w:rPr>
        <w:t xml:space="preserve"> </w:t>
      </w:r>
      <w:r w:rsidR="004623F4" w:rsidRPr="008633F1">
        <w:rPr>
          <w:color w:val="0D0D0D" w:themeColor="text1" w:themeTint="F2"/>
        </w:rPr>
        <w:t>Further assessment of the maximum LA</w:t>
      </w:r>
      <w:r w:rsidR="004623F4">
        <w:rPr>
          <w:color w:val="0D0D0D" w:themeColor="text1" w:themeTint="F2"/>
        </w:rPr>
        <w:t xml:space="preserve">, ALA range and LA:ALA ratio </w:t>
      </w:r>
      <w:r w:rsidR="004623F4" w:rsidRPr="008633F1">
        <w:rPr>
          <w:color w:val="0D0D0D" w:themeColor="text1" w:themeTint="F2"/>
        </w:rPr>
        <w:t>is therefore not required.</w:t>
      </w:r>
    </w:p>
    <w:p w14:paraId="2CCAD837" w14:textId="7219019F" w:rsidR="00776154" w:rsidRDefault="00143572" w:rsidP="00776154">
      <w:pPr>
        <w:pStyle w:val="Heading4"/>
      </w:pPr>
      <w:r>
        <w:t>Stakeholder views</w:t>
      </w:r>
    </w:p>
    <w:p w14:paraId="51227867" w14:textId="764BCF94" w:rsidR="00776154" w:rsidRDefault="00776154" w:rsidP="00776154">
      <w:r>
        <w:t>Eight submitters (</w:t>
      </w:r>
      <w:r w:rsidR="00045A98">
        <w:t>four</w:t>
      </w:r>
      <w:r>
        <w:t xml:space="preserve"> government, </w:t>
      </w:r>
      <w:r w:rsidR="00045A98">
        <w:t>three</w:t>
      </w:r>
      <w:r>
        <w:t xml:space="preserve"> industry, </w:t>
      </w:r>
      <w:r w:rsidR="00045A98">
        <w:t>one</w:t>
      </w:r>
      <w:r>
        <w:t xml:space="preserve"> health professional) commented on </w:t>
      </w:r>
      <w:r w:rsidR="00045A98">
        <w:t xml:space="preserve">the </w:t>
      </w:r>
      <w:r>
        <w:t xml:space="preserve">permitted range and ratio for </w:t>
      </w:r>
      <w:r w:rsidR="009A5854">
        <w:t>LA and ALA in infant formula. All</w:t>
      </w:r>
      <w:r>
        <w:t xml:space="preserve"> eight </w:t>
      </w:r>
      <w:r w:rsidR="009A5854">
        <w:t>submitters</w:t>
      </w:r>
      <w:r w:rsidR="00754BEF">
        <w:t xml:space="preserve"> commented</w:t>
      </w:r>
      <w:r>
        <w:t xml:space="preserve"> on the minimum amount of LA without clear agreement of a preferred approach. Three industry submissions and one health professional considered that the minimum LA amount was too high and should be lowered to the Codex level (70 mg/100</w:t>
      </w:r>
      <w:r w:rsidR="00045A98">
        <w:t xml:space="preserve"> </w:t>
      </w:r>
      <w:r>
        <w:t xml:space="preserve">kJ), </w:t>
      </w:r>
      <w:r w:rsidRPr="00447DFC">
        <w:t>with appropriate consideration of the LA:ALA ratio</w:t>
      </w:r>
      <w:r>
        <w:t>.</w:t>
      </w:r>
      <w:r w:rsidR="00843305">
        <w:t xml:space="preserve"> </w:t>
      </w:r>
      <w:r>
        <w:t>Four government submitters supported aligning the min</w:t>
      </w:r>
      <w:r w:rsidR="005005A6">
        <w:t xml:space="preserve">imum requirement with EU 2016/127  </w:t>
      </w:r>
      <w:r>
        <w:t xml:space="preserve">and </w:t>
      </w:r>
      <w:r w:rsidR="005005A6">
        <w:t xml:space="preserve">2014 </w:t>
      </w:r>
      <w:r>
        <w:t>EFSA Scientific opinion</w:t>
      </w:r>
      <w:r w:rsidR="00092FC2">
        <w:t xml:space="preserve"> (Table 5.4)</w:t>
      </w:r>
      <w:r>
        <w:t>.</w:t>
      </w:r>
    </w:p>
    <w:p w14:paraId="3271E647" w14:textId="77777777" w:rsidR="00776154" w:rsidRDefault="00776154" w:rsidP="00776154"/>
    <w:p w14:paraId="569C09FC" w14:textId="09D46D87" w:rsidR="00776154" w:rsidRDefault="00776154" w:rsidP="00E9515E">
      <w:pPr>
        <w:pStyle w:val="FSTitle"/>
      </w:pPr>
      <w:bookmarkStart w:id="240" w:name="_Toc74061234"/>
      <w:r>
        <w:t xml:space="preserve">Table </w:t>
      </w:r>
      <w:r w:rsidR="006678F3">
        <w:t>5</w:t>
      </w:r>
      <w:r w:rsidR="00045A98">
        <w:t>.</w:t>
      </w:r>
      <w:r w:rsidR="00092FC2">
        <w:t>4</w:t>
      </w:r>
      <w:r w:rsidR="00843305">
        <w:tab/>
      </w:r>
      <w:r>
        <w:t>Submi</w:t>
      </w:r>
      <w:r w:rsidR="00843305">
        <w:t xml:space="preserve">tter comments </w:t>
      </w:r>
      <w:r>
        <w:t>and FSANZ responses regarding fatty acids</w:t>
      </w:r>
      <w:bookmarkEnd w:id="240"/>
    </w:p>
    <w:tbl>
      <w:tblPr>
        <w:tblStyle w:val="MediumShading1-Accent3"/>
        <w:tblW w:w="0" w:type="auto"/>
        <w:tblLook w:val="04A0" w:firstRow="1" w:lastRow="0" w:firstColumn="1" w:lastColumn="0" w:noHBand="0" w:noVBand="1"/>
        <w:tblCaption w:val="Table 5.3.2 Submissions and FSANZ responses regarding fatty acids"/>
        <w:tblDescription w:val="This table summarises the number of submissions regarding fatty acids to the previous Consultation papers for Proposal P1028"/>
      </w:tblPr>
      <w:tblGrid>
        <w:gridCol w:w="2263"/>
        <w:gridCol w:w="1276"/>
        <w:gridCol w:w="5359"/>
      </w:tblGrid>
      <w:tr w:rsidR="00776154" w14:paraId="01D579D8" w14:textId="77777777" w:rsidTr="00843305">
        <w:trPr>
          <w:cnfStyle w:val="100000000000" w:firstRow="1" w:lastRow="0" w:firstColumn="0" w:lastColumn="0" w:oddVBand="0" w:evenVBand="0" w:oddHBand="0"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3B37DA5F" w14:textId="1865FA7A" w:rsidR="00776154" w:rsidRPr="001C24DD" w:rsidRDefault="00843305" w:rsidP="00843305">
            <w:pPr>
              <w:jc w:val="center"/>
              <w:rPr>
                <w:color w:val="auto"/>
              </w:rPr>
            </w:pPr>
            <w:r>
              <w:rPr>
                <w:color w:val="auto"/>
              </w:rPr>
              <w:t>Comment</w:t>
            </w:r>
          </w:p>
        </w:tc>
        <w:tc>
          <w:tcPr>
            <w:tcW w:w="1276" w:type="dxa"/>
            <w:vAlign w:val="center"/>
          </w:tcPr>
          <w:p w14:paraId="68C12F79" w14:textId="77777777" w:rsidR="00776154" w:rsidRPr="001C24DD" w:rsidRDefault="00776154" w:rsidP="00843305">
            <w:pPr>
              <w:jc w:val="center"/>
              <w:cnfStyle w:val="100000000000" w:firstRow="1" w:lastRow="0" w:firstColumn="0" w:lastColumn="0" w:oddVBand="0" w:evenVBand="0" w:oddHBand="0" w:evenHBand="0" w:firstRowFirstColumn="0" w:firstRowLastColumn="0" w:lastRowFirstColumn="0" w:lastRowLastColumn="0"/>
              <w:rPr>
                <w:color w:val="auto"/>
              </w:rPr>
            </w:pPr>
            <w:r w:rsidRPr="001C24DD">
              <w:rPr>
                <w:color w:val="auto"/>
              </w:rPr>
              <w:t>Raised by</w:t>
            </w:r>
          </w:p>
        </w:tc>
        <w:tc>
          <w:tcPr>
            <w:tcW w:w="5359" w:type="dxa"/>
            <w:vAlign w:val="center"/>
          </w:tcPr>
          <w:p w14:paraId="5647214D" w14:textId="77777777" w:rsidR="00776154" w:rsidRPr="001C24DD" w:rsidRDefault="00776154" w:rsidP="00843305">
            <w:pPr>
              <w:jc w:val="center"/>
              <w:cnfStyle w:val="100000000000" w:firstRow="1" w:lastRow="0" w:firstColumn="0" w:lastColumn="0" w:oddVBand="0" w:evenVBand="0" w:oddHBand="0" w:evenHBand="0" w:firstRowFirstColumn="0" w:firstRowLastColumn="0" w:lastRowFirstColumn="0" w:lastRowLastColumn="0"/>
              <w:rPr>
                <w:color w:val="auto"/>
              </w:rPr>
            </w:pPr>
            <w:r w:rsidRPr="001C24DD">
              <w:rPr>
                <w:color w:val="auto"/>
              </w:rPr>
              <w:t>FSANZ response</w:t>
            </w:r>
          </w:p>
        </w:tc>
      </w:tr>
      <w:tr w:rsidR="00776154" w:rsidRPr="008E6E95" w14:paraId="6439EB28" w14:textId="77777777" w:rsidTr="005429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75AFF209" w14:textId="1BCBD6DB" w:rsidR="00776154" w:rsidRPr="004D11A4" w:rsidRDefault="00776154" w:rsidP="00045A98">
            <w:pPr>
              <w:rPr>
                <w:b w:val="0"/>
                <w:bCs w:val="0"/>
              </w:rPr>
            </w:pPr>
            <w:r>
              <w:rPr>
                <w:b w:val="0"/>
                <w:bCs w:val="0"/>
              </w:rPr>
              <w:t xml:space="preserve">The minimum </w:t>
            </w:r>
            <w:r w:rsidRPr="008E6E95">
              <w:rPr>
                <w:b w:val="0"/>
                <w:bCs w:val="0"/>
              </w:rPr>
              <w:t xml:space="preserve">requirement for LA (9% </w:t>
            </w:r>
            <w:r w:rsidRPr="00EE2217">
              <w:rPr>
                <w:b w:val="0"/>
                <w:bCs w:val="0"/>
              </w:rPr>
              <w:t xml:space="preserve">total fatty acids) in infant formula is high. The minimum level to </w:t>
            </w:r>
            <w:r w:rsidRPr="008E6E95">
              <w:rPr>
                <w:b w:val="0"/>
                <w:bCs w:val="0"/>
              </w:rPr>
              <w:t>prevent LA deficiency is &lt;1% total fatty acids.</w:t>
            </w:r>
          </w:p>
        </w:tc>
        <w:tc>
          <w:tcPr>
            <w:tcW w:w="1276" w:type="dxa"/>
          </w:tcPr>
          <w:p w14:paraId="79E547AB" w14:textId="77777777" w:rsidR="00776154" w:rsidRDefault="00776154" w:rsidP="00776154">
            <w:pPr>
              <w:ind w:left="28" w:firstLine="8"/>
              <w:cnfStyle w:val="000000100000" w:firstRow="0" w:lastRow="0" w:firstColumn="0" w:lastColumn="0" w:oddVBand="0" w:evenVBand="0" w:oddHBand="1" w:evenHBand="0" w:firstRowFirstColumn="0" w:firstRowLastColumn="0" w:lastRowFirstColumn="0" w:lastRowLastColumn="0"/>
            </w:pPr>
            <w:r>
              <w:t xml:space="preserve">Health professional </w:t>
            </w:r>
          </w:p>
          <w:p w14:paraId="6BFB5A63" w14:textId="77777777" w:rsidR="00776154" w:rsidRDefault="00776154" w:rsidP="00776154">
            <w:pPr>
              <w:ind w:left="28" w:firstLine="8"/>
              <w:cnfStyle w:val="000000100000" w:firstRow="0" w:lastRow="0" w:firstColumn="0" w:lastColumn="0" w:oddVBand="0" w:evenVBand="0" w:oddHBand="1" w:evenHBand="0" w:firstRowFirstColumn="0" w:firstRowLastColumn="0" w:lastRowFirstColumn="0" w:lastRowLastColumn="0"/>
            </w:pPr>
            <w:r>
              <w:t>(1)</w:t>
            </w:r>
          </w:p>
        </w:tc>
        <w:tc>
          <w:tcPr>
            <w:tcW w:w="5359" w:type="dxa"/>
          </w:tcPr>
          <w:p w14:paraId="24C77E21" w14:textId="6AE58557" w:rsidR="00776154" w:rsidRPr="008E6E95" w:rsidRDefault="00A81C38" w:rsidP="00776154">
            <w:pPr>
              <w:ind w:left="47"/>
              <w:cnfStyle w:val="000000100000" w:firstRow="0" w:lastRow="0" w:firstColumn="0" w:lastColumn="0" w:oddVBand="0" w:evenVBand="0" w:oddHBand="1" w:evenHBand="0" w:firstRowFirstColumn="0" w:firstRowLastColumn="0" w:lastRowFirstColumn="0" w:lastRowLastColumn="0"/>
            </w:pPr>
            <w:r>
              <w:t>Converting amounts in order to compare between standards, t</w:t>
            </w:r>
            <w:r w:rsidR="00776154" w:rsidRPr="008E6E95">
              <w:t xml:space="preserve">he minimum amount of LA set in </w:t>
            </w:r>
            <w:r>
              <w:t xml:space="preserve">the Code </w:t>
            </w:r>
            <w:r w:rsidR="00776154" w:rsidRPr="008E6E95">
              <w:t xml:space="preserve">(90 mg/100 kJ) is in between the minimum amount of LA in Codex STAN 72-1981 (70 mg/100 kJ) and EU 2016/127 (120 mg/100 kJ). These values are consistent with LA concentrations in breast milk </w:t>
            </w:r>
            <w:r w:rsidR="00776154">
              <w:t>that</w:t>
            </w:r>
            <w:r w:rsidR="00776154" w:rsidRPr="008E6E95">
              <w:t xml:space="preserve"> range from 8</w:t>
            </w:r>
            <w:r w:rsidR="00045A98">
              <w:t xml:space="preserve"> to </w:t>
            </w:r>
            <w:r w:rsidR="00776154" w:rsidRPr="008E6E95">
              <w:t xml:space="preserve">17% of total fatty acids (LSRO 1998). </w:t>
            </w:r>
            <w:r w:rsidR="00776154" w:rsidRPr="00EE2217">
              <w:t>However, an infant consuming infant formula containing the minimum LA amount according to Codex STAN 72-1981 would not meet the EFSA recommendation for the young infants but would be comparable to the recommended intake for the older infants.</w:t>
            </w:r>
          </w:p>
          <w:p w14:paraId="143E7CB3" w14:textId="77777777" w:rsidR="00776154" w:rsidRPr="008E6E95" w:rsidRDefault="00776154" w:rsidP="00776154">
            <w:pPr>
              <w:ind w:left="47"/>
              <w:cnfStyle w:val="000000100000" w:firstRow="0" w:lastRow="0" w:firstColumn="0" w:lastColumn="0" w:oddVBand="0" w:evenVBand="0" w:oddHBand="1" w:evenHBand="0" w:firstRowFirstColumn="0" w:firstRowLastColumn="0" w:lastRowFirstColumn="0" w:lastRowLastColumn="0"/>
            </w:pPr>
          </w:p>
          <w:p w14:paraId="3C42A828" w14:textId="02F77707" w:rsidR="00776154" w:rsidRPr="008E6E95" w:rsidRDefault="00776154" w:rsidP="00045A98">
            <w:pPr>
              <w:ind w:left="47"/>
              <w:cnfStyle w:val="000000100000" w:firstRow="0" w:lastRow="0" w:firstColumn="0" w:lastColumn="0" w:oddVBand="0" w:evenVBand="0" w:oddHBand="1" w:evenHBand="0" w:firstRowFirstColumn="0" w:firstRowLastColumn="0" w:lastRowFirstColumn="0" w:lastRowLastColumn="0"/>
            </w:pPr>
            <w:r w:rsidRPr="008E6E95">
              <w:lastRenderedPageBreak/>
              <w:t>While giving regard to the ALA:LA ratio, the approach followed by FSANZ, as well as EFSA, considered providi</w:t>
            </w:r>
            <w:r w:rsidR="00E92D17">
              <w:t xml:space="preserve">ng the AI of n-6 PUFA through </w:t>
            </w:r>
            <w:r w:rsidR="00E92D17" w:rsidRPr="004D11A4">
              <w:t>infant formula</w:t>
            </w:r>
            <w:r w:rsidRPr="008E6E95">
              <w:t xml:space="preserve"> </w:t>
            </w:r>
            <w:r w:rsidRPr="00EE2217">
              <w:t>products. Standard 2.9.1 does not specify a minimum amount for n-6 LC-PUFA.</w:t>
            </w:r>
            <w:r w:rsidRPr="008E6E95">
              <w:t xml:space="preserve"> Therefore, providing sufficient amounts of LA within the required ratio with ALA will ensure sufficient bioconversion into n-6 LC-PUFA.</w:t>
            </w:r>
          </w:p>
        </w:tc>
      </w:tr>
      <w:tr w:rsidR="00776154" w:rsidRPr="008E6E95" w14:paraId="0209569A" w14:textId="77777777" w:rsidTr="0054298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1CFF5B90" w14:textId="0C0B6B13" w:rsidR="00776154" w:rsidRPr="008E6E95" w:rsidRDefault="00776154" w:rsidP="00AD6F69">
            <w:pPr>
              <w:rPr>
                <w:b w:val="0"/>
                <w:bCs w:val="0"/>
              </w:rPr>
            </w:pPr>
            <w:r>
              <w:rPr>
                <w:b w:val="0"/>
                <w:bCs w:val="0"/>
              </w:rPr>
              <w:lastRenderedPageBreak/>
              <w:t>LA levels in i</w:t>
            </w:r>
            <w:r w:rsidRPr="00C80CF2">
              <w:rPr>
                <w:b w:val="0"/>
                <w:bCs w:val="0"/>
              </w:rPr>
              <w:t xml:space="preserve">nfant </w:t>
            </w:r>
            <w:r w:rsidRPr="0072594C">
              <w:rPr>
                <w:b w:val="0"/>
                <w:bCs w:val="0"/>
              </w:rPr>
              <w:t>formula should be aligned with that in breast</w:t>
            </w:r>
            <w:r w:rsidR="004F3872">
              <w:rPr>
                <w:b w:val="0"/>
                <w:bCs w:val="0"/>
              </w:rPr>
              <w:t xml:space="preserve"> </w:t>
            </w:r>
            <w:r w:rsidRPr="0072594C">
              <w:rPr>
                <w:b w:val="0"/>
                <w:bCs w:val="0"/>
              </w:rPr>
              <w:t xml:space="preserve">milk, established </w:t>
            </w:r>
            <w:r w:rsidR="00AD6F69">
              <w:rPr>
                <w:b w:val="0"/>
                <w:bCs w:val="0"/>
              </w:rPr>
              <w:t>AIs</w:t>
            </w:r>
            <w:r w:rsidRPr="0072594C">
              <w:rPr>
                <w:b w:val="0"/>
                <w:bCs w:val="0"/>
              </w:rPr>
              <w:t xml:space="preserve"> and with the scientific opinion provided by the EFSA NDA panel and </w:t>
            </w:r>
            <w:r w:rsidR="00AD6F69">
              <w:rPr>
                <w:b w:val="0"/>
                <w:bCs w:val="0"/>
              </w:rPr>
              <w:t>those</w:t>
            </w:r>
            <w:r w:rsidRPr="0072594C">
              <w:rPr>
                <w:b w:val="0"/>
                <w:bCs w:val="0"/>
              </w:rPr>
              <w:t xml:space="preserve"> set in EU 2016/127</w:t>
            </w:r>
            <w:r>
              <w:rPr>
                <w:b w:val="0"/>
                <w:bCs w:val="0"/>
              </w:rPr>
              <w:t>.</w:t>
            </w:r>
            <w:r w:rsidRPr="0072594C">
              <w:rPr>
                <w:b w:val="0"/>
                <w:bCs w:val="0"/>
              </w:rPr>
              <w:t xml:space="preserve"> </w:t>
            </w:r>
          </w:p>
        </w:tc>
        <w:tc>
          <w:tcPr>
            <w:tcW w:w="1276" w:type="dxa"/>
          </w:tcPr>
          <w:p w14:paraId="0B686AB9" w14:textId="77777777" w:rsidR="00776154" w:rsidRPr="008E6E95" w:rsidRDefault="00776154" w:rsidP="00776154">
            <w:pPr>
              <w:ind w:left="20" w:hanging="20"/>
              <w:cnfStyle w:val="000000010000" w:firstRow="0" w:lastRow="0" w:firstColumn="0" w:lastColumn="0" w:oddVBand="0" w:evenVBand="0" w:oddHBand="0" w:evenHBand="1" w:firstRowFirstColumn="0" w:firstRowLastColumn="0" w:lastRowFirstColumn="0" w:lastRowLastColumn="0"/>
            </w:pPr>
            <w:r>
              <w:t>Government (3)</w:t>
            </w:r>
          </w:p>
        </w:tc>
        <w:tc>
          <w:tcPr>
            <w:tcW w:w="5359" w:type="dxa"/>
          </w:tcPr>
          <w:p w14:paraId="3FD2F2A8" w14:textId="56C0C851" w:rsidR="00776154" w:rsidRDefault="00776154" w:rsidP="00776154">
            <w:pPr>
              <w:ind w:left="33"/>
              <w:cnfStyle w:val="000000010000" w:firstRow="0" w:lastRow="0" w:firstColumn="0" w:lastColumn="0" w:oddVBand="0" w:evenVBand="0" w:oddHBand="0" w:evenHBand="1" w:firstRowFirstColumn="0" w:firstRowLastColumn="0" w:lastRowFirstColumn="0" w:lastRowLastColumn="0"/>
            </w:pPr>
            <w:r>
              <w:t xml:space="preserve">As noted in the 2016 Consultation </w:t>
            </w:r>
            <w:r w:rsidR="00AD6F69">
              <w:t>p</w:t>
            </w:r>
            <w:r>
              <w:t>aper there is no international consensus on the appropriate amounts of LA and ALA</w:t>
            </w:r>
            <w:r w:rsidR="00AD6F69">
              <w:t xml:space="preserve"> for </w:t>
            </w:r>
            <w:r w:rsidR="006678F3">
              <w:t>infant formula</w:t>
            </w:r>
            <w:r>
              <w:t xml:space="preserve">. </w:t>
            </w:r>
            <w:r w:rsidRPr="00795C40">
              <w:t xml:space="preserve">The current minimum value for LA in </w:t>
            </w:r>
            <w:r w:rsidR="00A81C38" w:rsidRPr="00702F16">
              <w:rPr>
                <w:szCs w:val="20"/>
              </w:rPr>
              <w:t>S29—8</w:t>
            </w:r>
            <w:r w:rsidR="00A81C38">
              <w:rPr>
                <w:szCs w:val="20"/>
              </w:rPr>
              <w:t xml:space="preserve"> </w:t>
            </w:r>
            <w:r w:rsidRPr="00795C40">
              <w:t xml:space="preserve">is consistent with that in breast milk concentrations </w:t>
            </w:r>
            <w:r w:rsidR="00AD6F69">
              <w:t>(</w:t>
            </w:r>
            <w:r w:rsidRPr="00795C40">
              <w:t>8</w:t>
            </w:r>
            <w:r w:rsidR="00AD6F69">
              <w:t>–</w:t>
            </w:r>
            <w:r w:rsidRPr="00795C40">
              <w:t>17% of total fatty acids (LSRO 1998)</w:t>
            </w:r>
            <w:r w:rsidR="00AD6F69">
              <w:t>)</w:t>
            </w:r>
            <w:r w:rsidRPr="00795C40">
              <w:t xml:space="preserve">. </w:t>
            </w:r>
          </w:p>
          <w:p w14:paraId="1AB3DA65" w14:textId="77777777" w:rsidR="00776154" w:rsidRDefault="00776154" w:rsidP="00776154">
            <w:pPr>
              <w:ind w:left="33"/>
              <w:cnfStyle w:val="000000010000" w:firstRow="0" w:lastRow="0" w:firstColumn="0" w:lastColumn="0" w:oddVBand="0" w:evenVBand="0" w:oddHBand="0" w:evenHBand="1" w:firstRowFirstColumn="0" w:firstRowLastColumn="0" w:lastRowFirstColumn="0" w:lastRowLastColumn="0"/>
            </w:pPr>
          </w:p>
          <w:p w14:paraId="00CE137C" w14:textId="5E3946A1" w:rsidR="00776154" w:rsidRDefault="00776154" w:rsidP="00776154">
            <w:pPr>
              <w:ind w:left="33"/>
              <w:cnfStyle w:val="000000010000" w:firstRow="0" w:lastRow="0" w:firstColumn="0" w:lastColumn="0" w:oddVBand="0" w:evenVBand="0" w:oddHBand="0" w:evenHBand="1" w:firstRowFirstColumn="0" w:firstRowLastColumn="0" w:lastRowFirstColumn="0" w:lastRowLastColumn="0"/>
            </w:pPr>
            <w:r w:rsidRPr="002422FC">
              <w:t xml:space="preserve">An infant consuming infant formula containing the minimum LA amount according to Codex STAN 72-1981 would not meet the EFSA recommendation for young infants but </w:t>
            </w:r>
            <w:r w:rsidR="0036499F">
              <w:t xml:space="preserve">the amount consumed </w:t>
            </w:r>
            <w:r w:rsidRPr="002422FC">
              <w:t>would be comparable to the recommended intake for older infants.</w:t>
            </w:r>
          </w:p>
          <w:p w14:paraId="7CCE37C3" w14:textId="77777777" w:rsidR="00776154" w:rsidRDefault="00776154" w:rsidP="00776154">
            <w:pPr>
              <w:ind w:left="33"/>
              <w:cnfStyle w:val="000000010000" w:firstRow="0" w:lastRow="0" w:firstColumn="0" w:lastColumn="0" w:oddVBand="0" w:evenVBand="0" w:oddHBand="0" w:evenHBand="1" w:firstRowFirstColumn="0" w:firstRowLastColumn="0" w:lastRowFirstColumn="0" w:lastRowLastColumn="0"/>
            </w:pPr>
          </w:p>
          <w:p w14:paraId="0E3E2B21" w14:textId="72272549" w:rsidR="00776154" w:rsidRPr="008E6E95" w:rsidRDefault="00776154" w:rsidP="0036499F">
            <w:pPr>
              <w:ind w:left="33"/>
              <w:cnfStyle w:val="000000010000" w:firstRow="0" w:lastRow="0" w:firstColumn="0" w:lastColumn="0" w:oddVBand="0" w:evenVBand="0" w:oddHBand="0" w:evenHBand="1" w:firstRowFirstColumn="0" w:firstRowLastColumn="0" w:lastRowFirstColumn="0" w:lastRowLastColumn="0"/>
            </w:pPr>
            <w:r w:rsidRPr="00795C40">
              <w:t>FSANZ assessment has also given regard to the AI for n-6 PUFA.</w:t>
            </w:r>
            <w:r>
              <w:t xml:space="preserve"> </w:t>
            </w:r>
            <w:r w:rsidRPr="00795C40">
              <w:t>EFSA (2014</w:t>
            </w:r>
            <w:r w:rsidR="005F7906">
              <w:t>b</w:t>
            </w:r>
            <w:r w:rsidRPr="00795C40">
              <w:t>) used AI derived for LA and ALA</w:t>
            </w:r>
            <w:r>
              <w:t xml:space="preserve"> that was based on breast milk concentration reported in 1992 </w:t>
            </w:r>
            <w:r w:rsidRPr="00795C40">
              <w:t>(EFSA, 2013) to recommend the minimum amounts of LA in infant formula to be 120 mg/100 kJ, reiterating the 2003 EC SCF recommendations. EFSA (2014</w:t>
            </w:r>
            <w:r w:rsidR="005F7906">
              <w:t>b</w:t>
            </w:r>
            <w:r w:rsidRPr="00795C40">
              <w:t>) also recommended that preformed DHA</w:t>
            </w:r>
            <w:r>
              <w:t xml:space="preserve"> </w:t>
            </w:r>
            <w:r w:rsidRPr="00795C40">
              <w:t>be added to infant formula but did not recommend that a specific ratio of LA:ALA was needed. Therefore, the higher amount of LA recommended by EFSA</w:t>
            </w:r>
            <w:r>
              <w:t xml:space="preserve"> </w:t>
            </w:r>
            <w:r w:rsidRPr="00795C40">
              <w:t xml:space="preserve">was likely made to ensure appropriate balance between n-6 LC-PUFA and n-3 LC-PUFA, which is already regulated </w:t>
            </w:r>
            <w:r>
              <w:t>by</w:t>
            </w:r>
            <w:r w:rsidRPr="00795C40">
              <w:t xml:space="preserve"> Standard 2.9.1.</w:t>
            </w:r>
          </w:p>
        </w:tc>
      </w:tr>
      <w:tr w:rsidR="00776154" w:rsidRPr="008E6E95" w14:paraId="7D38D6D5" w14:textId="77777777" w:rsidTr="005429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3B4BFB9B" w14:textId="32583D9A" w:rsidR="00776154" w:rsidRDefault="00776154" w:rsidP="0036499F">
            <w:pPr>
              <w:rPr>
                <w:b w:val="0"/>
                <w:bCs w:val="0"/>
              </w:rPr>
            </w:pPr>
            <w:r>
              <w:rPr>
                <w:b w:val="0"/>
                <w:bCs w:val="0"/>
              </w:rPr>
              <w:t>T</w:t>
            </w:r>
            <w:r w:rsidRPr="00F67D34">
              <w:rPr>
                <w:b w:val="0"/>
                <w:bCs w:val="0"/>
              </w:rPr>
              <w:t xml:space="preserve">he </w:t>
            </w:r>
            <w:r w:rsidRPr="0072594C">
              <w:rPr>
                <w:b w:val="0"/>
                <w:bCs w:val="0"/>
              </w:rPr>
              <w:t xml:space="preserve">minimum level of LA should not be too high to avoid </w:t>
            </w:r>
            <w:r>
              <w:rPr>
                <w:b w:val="0"/>
                <w:bCs w:val="0"/>
              </w:rPr>
              <w:t>limiting</w:t>
            </w:r>
            <w:r w:rsidRPr="00F67D34">
              <w:rPr>
                <w:b w:val="0"/>
                <w:bCs w:val="0"/>
              </w:rPr>
              <w:t xml:space="preserve"> the ability </w:t>
            </w:r>
            <w:r>
              <w:rPr>
                <w:b w:val="0"/>
                <w:bCs w:val="0"/>
              </w:rPr>
              <w:t>to produce infant formula products</w:t>
            </w:r>
            <w:r w:rsidRPr="00F67D34">
              <w:rPr>
                <w:b w:val="0"/>
                <w:bCs w:val="0"/>
              </w:rPr>
              <w:t xml:space="preserve"> with LA:ALA ratios at the lower end of the 5:1-15:1 range that is generally accepted as appropriate to maintain a proper balance between LA and ALA as well as the LC</w:t>
            </w:r>
            <w:r>
              <w:rPr>
                <w:b w:val="0"/>
                <w:bCs w:val="0"/>
              </w:rPr>
              <w:t>-</w:t>
            </w:r>
            <w:r w:rsidRPr="00F67D34">
              <w:rPr>
                <w:b w:val="0"/>
                <w:bCs w:val="0"/>
              </w:rPr>
              <w:t>P</w:t>
            </w:r>
            <w:r>
              <w:rPr>
                <w:b w:val="0"/>
                <w:bCs w:val="0"/>
              </w:rPr>
              <w:t>UFA.</w:t>
            </w:r>
          </w:p>
        </w:tc>
        <w:tc>
          <w:tcPr>
            <w:tcW w:w="1276" w:type="dxa"/>
          </w:tcPr>
          <w:p w14:paraId="0BA567AC" w14:textId="77777777" w:rsidR="00776154" w:rsidRDefault="00776154" w:rsidP="00776154">
            <w:pPr>
              <w:ind w:left="20" w:hanging="20"/>
              <w:cnfStyle w:val="000000100000" w:firstRow="0" w:lastRow="0" w:firstColumn="0" w:lastColumn="0" w:oddVBand="0" w:evenVBand="0" w:oddHBand="1" w:evenHBand="0" w:firstRowFirstColumn="0" w:firstRowLastColumn="0" w:lastRowFirstColumn="0" w:lastRowLastColumn="0"/>
            </w:pPr>
            <w:r>
              <w:t>Industry</w:t>
            </w:r>
          </w:p>
          <w:p w14:paraId="6D0042D9" w14:textId="7438D681" w:rsidR="004F4FB8" w:rsidRDefault="009B5FC9" w:rsidP="00776154">
            <w:pPr>
              <w:ind w:left="20" w:hanging="20"/>
              <w:cnfStyle w:val="000000100000" w:firstRow="0" w:lastRow="0" w:firstColumn="0" w:lastColumn="0" w:oddVBand="0" w:evenVBand="0" w:oddHBand="1" w:evenHBand="0" w:firstRowFirstColumn="0" w:firstRowLastColumn="0" w:lastRowFirstColumn="0" w:lastRowLastColumn="0"/>
            </w:pPr>
            <w:r>
              <w:t>(1</w:t>
            </w:r>
            <w:r w:rsidR="004F4FB8">
              <w:t>)</w:t>
            </w:r>
          </w:p>
        </w:tc>
        <w:tc>
          <w:tcPr>
            <w:tcW w:w="5359" w:type="dxa"/>
          </w:tcPr>
          <w:p w14:paraId="3E1171FF" w14:textId="16F9361F" w:rsidR="00776154" w:rsidRDefault="00776154" w:rsidP="009B5FC9">
            <w:pPr>
              <w:ind w:left="33"/>
              <w:cnfStyle w:val="000000100000" w:firstRow="0" w:lastRow="0" w:firstColumn="0" w:lastColumn="0" w:oddVBand="0" w:evenVBand="0" w:oddHBand="1" w:evenHBand="0" w:firstRowFirstColumn="0" w:firstRowLastColumn="0" w:lastRowFirstColumn="0" w:lastRowLastColumn="0"/>
            </w:pPr>
            <w:r w:rsidRPr="009D0160">
              <w:t xml:space="preserve">FSANZ </w:t>
            </w:r>
            <w:r w:rsidR="009B5FC9">
              <w:t xml:space="preserve">2021 label survey found that infant formula products that declared the LA levels on the label were </w:t>
            </w:r>
            <w:r w:rsidRPr="009D0160">
              <w:t>within the min</w:t>
            </w:r>
            <w:r w:rsidR="009B5FC9">
              <w:t xml:space="preserve">imum and maximum ranges of Codex STAN 72-1981, </w:t>
            </w:r>
            <w:r w:rsidR="0036499F">
              <w:t>EU 2016/127</w:t>
            </w:r>
            <w:r w:rsidR="009B5FC9">
              <w:t xml:space="preserve"> and</w:t>
            </w:r>
            <w:r w:rsidRPr="009D0160">
              <w:t xml:space="preserve"> </w:t>
            </w:r>
            <w:r w:rsidR="00A81C38">
              <w:t>S</w:t>
            </w:r>
            <w:r w:rsidRPr="009D0160">
              <w:t>tandard 2.9.1</w:t>
            </w:r>
            <w:r w:rsidR="00A81C38">
              <w:t xml:space="preserve"> (</w:t>
            </w:r>
            <w:r w:rsidR="00A81C38" w:rsidRPr="00702F16">
              <w:rPr>
                <w:szCs w:val="20"/>
              </w:rPr>
              <w:t>S29—8</w:t>
            </w:r>
            <w:r w:rsidR="00A81C38">
              <w:rPr>
                <w:szCs w:val="20"/>
              </w:rPr>
              <w:t>)</w:t>
            </w:r>
            <w:r w:rsidRPr="009D0160">
              <w:t>. Therefore, it is unlikely that the minimum level of LA will limit the capacity for compliant compositions and formulations of infant formula. The minimum and maximum amounts of LA and ALA in</w:t>
            </w:r>
            <w:r w:rsidR="00A771CE">
              <w:t xml:space="preserve"> S29—8 </w:t>
            </w:r>
            <w:r w:rsidRPr="009D0160">
              <w:t xml:space="preserve"> are within the natural range of variation for LA and ALA in breast</w:t>
            </w:r>
            <w:r w:rsidR="004F3872">
              <w:t xml:space="preserve"> </w:t>
            </w:r>
            <w:r w:rsidRPr="009D0160">
              <w:t>mi</w:t>
            </w:r>
            <w:r w:rsidR="00A771CE">
              <w:t>lk (converting percentages of total fatty acids in S29 to mg/100 kJ – see section 5.2)</w:t>
            </w:r>
          </w:p>
          <w:p w14:paraId="3E4F2485" w14:textId="77777777" w:rsidR="00776154" w:rsidRDefault="00776154" w:rsidP="00776154">
            <w:pPr>
              <w:ind w:left="33"/>
              <w:cnfStyle w:val="000000100000" w:firstRow="0" w:lastRow="0" w:firstColumn="0" w:lastColumn="0" w:oddVBand="0" w:evenVBand="0" w:oddHBand="1" w:evenHBand="0" w:firstRowFirstColumn="0" w:firstRowLastColumn="0" w:lastRowFirstColumn="0" w:lastRowLastColumn="0"/>
            </w:pPr>
          </w:p>
        </w:tc>
      </w:tr>
      <w:tr w:rsidR="00776154" w:rsidRPr="008E6E95" w14:paraId="2CFED20C" w14:textId="77777777" w:rsidTr="0054298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0896A564" w14:textId="77777777" w:rsidR="00776154" w:rsidRPr="008E6E95" w:rsidRDefault="00776154" w:rsidP="00776154">
            <w:pPr>
              <w:ind w:left="31"/>
              <w:rPr>
                <w:b w:val="0"/>
                <w:bCs w:val="0"/>
              </w:rPr>
            </w:pPr>
            <w:r>
              <w:rPr>
                <w:b w:val="0"/>
                <w:bCs w:val="0"/>
              </w:rPr>
              <w:t>Suggest establishing a GUL for LA</w:t>
            </w:r>
          </w:p>
        </w:tc>
        <w:tc>
          <w:tcPr>
            <w:tcW w:w="1276" w:type="dxa"/>
          </w:tcPr>
          <w:p w14:paraId="1653921F" w14:textId="77777777" w:rsidR="00776154" w:rsidRPr="008E6E95" w:rsidRDefault="00776154" w:rsidP="00776154">
            <w:pPr>
              <w:ind w:left="113" w:hanging="113"/>
              <w:cnfStyle w:val="000000010000" w:firstRow="0" w:lastRow="0" w:firstColumn="0" w:lastColumn="0" w:oddVBand="0" w:evenVBand="0" w:oddHBand="0" w:evenHBand="1" w:firstRowFirstColumn="0" w:firstRowLastColumn="0" w:lastRowFirstColumn="0" w:lastRowLastColumn="0"/>
            </w:pPr>
            <w:r>
              <w:t>Government (1)</w:t>
            </w:r>
          </w:p>
        </w:tc>
        <w:tc>
          <w:tcPr>
            <w:tcW w:w="5359" w:type="dxa"/>
          </w:tcPr>
          <w:p w14:paraId="1F1969DC" w14:textId="295E9338" w:rsidR="00776154" w:rsidRPr="008E6E95" w:rsidRDefault="00776154" w:rsidP="00F46AB9">
            <w:pPr>
              <w:ind w:left="33"/>
              <w:cnfStyle w:val="000000010000" w:firstRow="0" w:lastRow="0" w:firstColumn="0" w:lastColumn="0" w:oddVBand="0" w:evenVBand="0" w:oddHBand="0" w:evenHBand="1" w:firstRowFirstColumn="0" w:firstRowLastColumn="0" w:lastRowFirstColumn="0" w:lastRowLastColumn="0"/>
            </w:pPr>
            <w:r w:rsidRPr="00313095">
              <w:t>The upper bound of 300 mg/100</w:t>
            </w:r>
            <w:r w:rsidR="00EE5EBB">
              <w:t xml:space="preserve"> </w:t>
            </w:r>
            <w:r w:rsidRPr="00313095">
              <w:t>kJ for LA in EU 2016/1</w:t>
            </w:r>
            <w:r w:rsidR="00AA3A9A">
              <w:t>27, based on EFSA’s scientific o</w:t>
            </w:r>
            <w:r w:rsidRPr="00313095">
              <w:t xml:space="preserve">pinion, is a maximum value not GUL. According to the </w:t>
            </w:r>
            <w:r w:rsidR="00EE5EBB">
              <w:t>nutrient reference value (</w:t>
            </w:r>
            <w:r w:rsidRPr="00313095">
              <w:t>NRV</w:t>
            </w:r>
            <w:r w:rsidR="00EE5EBB">
              <w:t>)</w:t>
            </w:r>
            <w:r w:rsidRPr="00313095">
              <w:t xml:space="preserve"> for </w:t>
            </w:r>
            <w:r w:rsidR="00F46AB9">
              <w:t>ANZ</w:t>
            </w:r>
            <w:r w:rsidRPr="00313095">
              <w:t xml:space="preserve">, no </w:t>
            </w:r>
            <w:r w:rsidR="00EE5EBB">
              <w:t>upper level of intake (</w:t>
            </w:r>
            <w:r w:rsidRPr="00313095">
              <w:t>UL</w:t>
            </w:r>
            <w:r w:rsidR="00EE5EBB">
              <w:t>)</w:t>
            </w:r>
            <w:r w:rsidRPr="00313095">
              <w:t xml:space="preserve"> was set for LA because there is no known level at which adverse effects may occur and for infants 0</w:t>
            </w:r>
            <w:r w:rsidR="00EE5EBB">
              <w:t>–&gt;</w:t>
            </w:r>
            <w:r w:rsidRPr="00313095">
              <w:t>12 months it is not possible to establish a UL.</w:t>
            </w:r>
          </w:p>
        </w:tc>
      </w:tr>
      <w:tr w:rsidR="00776154" w:rsidRPr="008E6E95" w14:paraId="43C7FE17" w14:textId="77777777" w:rsidTr="005429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46CCE7E2" w14:textId="77777777" w:rsidR="00776154" w:rsidRDefault="00776154" w:rsidP="00776154">
            <w:pPr>
              <w:rPr>
                <w:b w:val="0"/>
                <w:bCs w:val="0"/>
              </w:rPr>
            </w:pPr>
            <w:r>
              <w:rPr>
                <w:b w:val="0"/>
                <w:bCs w:val="0"/>
              </w:rPr>
              <w:t>C</w:t>
            </w:r>
            <w:r w:rsidRPr="003158D1">
              <w:rPr>
                <w:b w:val="0"/>
                <w:bCs w:val="0"/>
              </w:rPr>
              <w:t xml:space="preserve">ompositional requirements for LA and ALA are interlinked and as such all aspects should be considered together, particularly </w:t>
            </w:r>
            <w:r w:rsidRPr="003158D1">
              <w:rPr>
                <w:b w:val="0"/>
                <w:bCs w:val="0"/>
              </w:rPr>
              <w:lastRenderedPageBreak/>
              <w:t xml:space="preserve">with regard to the suitability of the LA:ALA ratio. </w:t>
            </w:r>
          </w:p>
        </w:tc>
        <w:tc>
          <w:tcPr>
            <w:tcW w:w="1276" w:type="dxa"/>
          </w:tcPr>
          <w:p w14:paraId="3DE8948E" w14:textId="77777777" w:rsidR="00776154" w:rsidRDefault="00776154" w:rsidP="00776154">
            <w:pPr>
              <w:ind w:left="113" w:hanging="113"/>
              <w:cnfStyle w:val="000000100000" w:firstRow="0" w:lastRow="0" w:firstColumn="0" w:lastColumn="0" w:oddVBand="0" w:evenVBand="0" w:oddHBand="1" w:evenHBand="0" w:firstRowFirstColumn="0" w:firstRowLastColumn="0" w:lastRowFirstColumn="0" w:lastRowLastColumn="0"/>
            </w:pPr>
            <w:r>
              <w:lastRenderedPageBreak/>
              <w:t>Government (1)</w:t>
            </w:r>
          </w:p>
        </w:tc>
        <w:tc>
          <w:tcPr>
            <w:tcW w:w="5359" w:type="dxa"/>
          </w:tcPr>
          <w:p w14:paraId="1E97E20E" w14:textId="77777777" w:rsidR="00776154" w:rsidRPr="009D0160" w:rsidRDefault="00776154" w:rsidP="00776154">
            <w:pPr>
              <w:ind w:left="33"/>
              <w:cnfStyle w:val="000000100000" w:firstRow="0" w:lastRow="0" w:firstColumn="0" w:lastColumn="0" w:oddVBand="0" w:evenVBand="0" w:oddHBand="1" w:evenHBand="0" w:firstRowFirstColumn="0" w:firstRowLastColumn="0" w:lastRowFirstColumn="0" w:lastRowLastColumn="0"/>
            </w:pPr>
            <w:r w:rsidRPr="00367117">
              <w:t>There is no evidence that the LA:ALA ratio as currently specified in Standard 2.9.1 and Codex STAN 72-1981 is likely to pose a risk to infant health. The LA:ALA ratio in both Codex STAN 72-1981 and Standard 2.9.1 permit an appropria</w:t>
            </w:r>
            <w:r>
              <w:t>te balance of n-6 and n-3 PUFA.</w:t>
            </w:r>
          </w:p>
        </w:tc>
      </w:tr>
      <w:tr w:rsidR="00776154" w:rsidRPr="008E6E95" w14:paraId="7E0C38F0" w14:textId="77777777" w:rsidTr="00542980">
        <w:trPr>
          <w:cnfStyle w:val="000000010000" w:firstRow="0" w:lastRow="0" w:firstColumn="0" w:lastColumn="0" w:oddVBand="0" w:evenVBand="0" w:oddHBand="0" w:evenHBand="1" w:firstRowFirstColumn="0" w:firstRowLastColumn="0" w:lastRowFirstColumn="0" w:lastRowLastColumn="0"/>
          <w:trHeight w:val="1994"/>
        </w:trPr>
        <w:tc>
          <w:tcPr>
            <w:cnfStyle w:val="001000000000" w:firstRow="0" w:lastRow="0" w:firstColumn="1" w:lastColumn="0" w:oddVBand="0" w:evenVBand="0" w:oddHBand="0" w:evenHBand="0" w:firstRowFirstColumn="0" w:firstRowLastColumn="0" w:lastRowFirstColumn="0" w:lastRowLastColumn="0"/>
            <w:tcW w:w="2263" w:type="dxa"/>
          </w:tcPr>
          <w:p w14:paraId="6A6B8B60" w14:textId="77777777" w:rsidR="00776154" w:rsidRDefault="00776154" w:rsidP="00776154">
            <w:pPr>
              <w:rPr>
                <w:b w:val="0"/>
                <w:bCs w:val="0"/>
              </w:rPr>
            </w:pPr>
            <w:r w:rsidRPr="00C40061">
              <w:rPr>
                <w:b w:val="0"/>
                <w:bCs w:val="0"/>
              </w:rPr>
              <w:t>Given the advantages of harmonisation with Codex,</w:t>
            </w:r>
            <w:r>
              <w:rPr>
                <w:b w:val="0"/>
                <w:bCs w:val="0"/>
              </w:rPr>
              <w:t xml:space="preserve"> a</w:t>
            </w:r>
            <w:r w:rsidRPr="00C40061">
              <w:rPr>
                <w:b w:val="0"/>
                <w:bCs w:val="0"/>
              </w:rPr>
              <w:t xml:space="preserve">ll requirements for LA and ALA in the revised Standard 2.9.1 are </w:t>
            </w:r>
            <w:r>
              <w:rPr>
                <w:b w:val="0"/>
                <w:bCs w:val="0"/>
              </w:rPr>
              <w:t>recommended to align</w:t>
            </w:r>
            <w:r w:rsidRPr="00C40061">
              <w:rPr>
                <w:b w:val="0"/>
                <w:bCs w:val="0"/>
              </w:rPr>
              <w:t xml:space="preserve"> with those in Codex STAN 72-1981</w:t>
            </w:r>
            <w:r>
              <w:rPr>
                <w:b w:val="0"/>
                <w:bCs w:val="0"/>
              </w:rPr>
              <w:t>.</w:t>
            </w:r>
          </w:p>
        </w:tc>
        <w:tc>
          <w:tcPr>
            <w:tcW w:w="1276" w:type="dxa"/>
          </w:tcPr>
          <w:p w14:paraId="3ACEC59B" w14:textId="77777777" w:rsidR="00776154" w:rsidRPr="00E86FCF" w:rsidRDefault="00776154" w:rsidP="00776154">
            <w:pPr>
              <w:ind w:left="113" w:hanging="113"/>
              <w:cnfStyle w:val="000000010000" w:firstRow="0" w:lastRow="0" w:firstColumn="0" w:lastColumn="0" w:oddVBand="0" w:evenVBand="0" w:oddHBand="0" w:evenHBand="1" w:firstRowFirstColumn="0" w:firstRowLastColumn="0" w:lastRowFirstColumn="0" w:lastRowLastColumn="0"/>
              <w:rPr>
                <w:highlight w:val="yellow"/>
              </w:rPr>
            </w:pPr>
            <w:r w:rsidRPr="0072594C">
              <w:t>Industry (3)</w:t>
            </w:r>
          </w:p>
        </w:tc>
        <w:tc>
          <w:tcPr>
            <w:tcW w:w="5359" w:type="dxa"/>
          </w:tcPr>
          <w:p w14:paraId="1F93A421" w14:textId="104B9FBA" w:rsidR="00776154" w:rsidRPr="00367117" w:rsidRDefault="00776154" w:rsidP="00A771CE">
            <w:pPr>
              <w:ind w:left="33"/>
              <w:cnfStyle w:val="000000010000" w:firstRow="0" w:lastRow="0" w:firstColumn="0" w:lastColumn="0" w:oddVBand="0" w:evenVBand="0" w:oddHBand="0" w:evenHBand="1" w:firstRowFirstColumn="0" w:firstRowLastColumn="0" w:lastRowFirstColumn="0" w:lastRowLastColumn="0"/>
            </w:pPr>
            <w:r w:rsidRPr="0026220A">
              <w:t xml:space="preserve">FSANZ considers that </w:t>
            </w:r>
            <w:r w:rsidR="00E32840">
              <w:t>risk to infants is low if fatty acid requirements are aligned with Codex STAN 72-1981.</w:t>
            </w:r>
            <w:r w:rsidRPr="0026220A">
              <w:t xml:space="preserve"> However, the evidence supports maintaining </w:t>
            </w:r>
            <w:r w:rsidR="00EE5EBB">
              <w:t xml:space="preserve">a </w:t>
            </w:r>
            <w:r w:rsidRPr="0026220A">
              <w:t xml:space="preserve">minimum amount for LA </w:t>
            </w:r>
            <w:r>
              <w:t xml:space="preserve">in </w:t>
            </w:r>
            <w:r w:rsidR="00A771CE">
              <w:t xml:space="preserve">S29—8 </w:t>
            </w:r>
            <w:r w:rsidRPr="0026220A">
              <w:t xml:space="preserve">rather than aligning with Codex. The amount of LA and ALA in </w:t>
            </w:r>
            <w:r w:rsidR="00A771CE">
              <w:t xml:space="preserve">S29—8 </w:t>
            </w:r>
            <w:r w:rsidRPr="0026220A">
              <w:t xml:space="preserve"> is expressed as a proportion of total fatty acids. Codex STAN 72-1981 expresses the essential fatty acid requirements as an amount per </w:t>
            </w:r>
            <w:r w:rsidR="00EE5EBB" w:rsidRPr="0026220A">
              <w:t xml:space="preserve">unit </w:t>
            </w:r>
            <w:r w:rsidRPr="0026220A">
              <w:t>energy. FSANZ propose</w:t>
            </w:r>
            <w:r>
              <w:t>s</w:t>
            </w:r>
            <w:r w:rsidRPr="0026220A">
              <w:t xml:space="preserve"> to continue to require </w:t>
            </w:r>
            <w:r>
              <w:t xml:space="preserve">that </w:t>
            </w:r>
            <w:r w:rsidRPr="0026220A">
              <w:t>the amount of essential fatty acids be expressed as a proportion of total fatty acids.</w:t>
            </w:r>
          </w:p>
        </w:tc>
      </w:tr>
    </w:tbl>
    <w:p w14:paraId="5919BECD" w14:textId="7CFCDA9E" w:rsidR="009A5854" w:rsidRDefault="009A5854" w:rsidP="00F82DB0">
      <w:pPr>
        <w:rPr>
          <w:i/>
          <w:sz w:val="20"/>
          <w:szCs w:val="20"/>
        </w:rPr>
      </w:pPr>
      <w:bookmarkStart w:id="241" w:name="_Toc437858784"/>
      <w:bookmarkStart w:id="242" w:name="_Toc440462454"/>
      <w:bookmarkStart w:id="243" w:name="_Toc440470851"/>
    </w:p>
    <w:p w14:paraId="583F1D42" w14:textId="1A6D8F36" w:rsidR="009A5854" w:rsidRPr="009A5854" w:rsidRDefault="00EE5EBB" w:rsidP="009A5854">
      <w:pPr>
        <w:rPr>
          <w:i/>
          <w:sz w:val="20"/>
          <w:szCs w:val="20"/>
        </w:rPr>
      </w:pPr>
      <w:r w:rsidRPr="00F4294A">
        <w:rPr>
          <w:rFonts w:eastAsia="Arial Unicode MS"/>
          <w:b/>
          <w:bCs/>
          <w:i/>
          <w:iCs/>
          <w:szCs w:val="22"/>
          <w:lang w:val="en-AU" w:bidi="ar-SA"/>
        </w:rPr>
        <w:t>Nutrition r</w:t>
      </w:r>
      <w:r w:rsidR="009A5854" w:rsidRPr="00F4294A">
        <w:rPr>
          <w:rFonts w:eastAsia="Arial Unicode MS"/>
          <w:b/>
          <w:bCs/>
          <w:i/>
          <w:iCs/>
          <w:szCs w:val="22"/>
          <w:lang w:val="en-AU" w:bidi="ar-SA"/>
        </w:rPr>
        <w:t>isk assessment</w:t>
      </w:r>
      <w:r w:rsidR="009A5854" w:rsidRPr="00431757">
        <w:rPr>
          <w:rFonts w:eastAsia="Arial Unicode MS"/>
          <w:b/>
          <w:bCs/>
          <w:i/>
          <w:iCs/>
          <w:szCs w:val="22"/>
          <w:lang w:val="en-AU" w:bidi="ar-SA"/>
        </w:rPr>
        <w:t xml:space="preserve"> </w:t>
      </w:r>
    </w:p>
    <w:p w14:paraId="20FB42D1" w14:textId="32F57537" w:rsidR="00776154" w:rsidRDefault="00776154" w:rsidP="00776154">
      <w:pPr>
        <w:rPr>
          <w:rFonts w:cs="Arial"/>
          <w:color w:val="FF0000"/>
          <w:szCs w:val="22"/>
          <w:lang w:eastAsia="en-AU"/>
        </w:rPr>
      </w:pPr>
    </w:p>
    <w:p w14:paraId="33824A02" w14:textId="04F384A7" w:rsidR="002F0F9C" w:rsidRDefault="008675B7" w:rsidP="00DB56AD">
      <w:pPr>
        <w:contextualSpacing/>
        <w:rPr>
          <w:lang w:eastAsia="en-AU"/>
        </w:rPr>
      </w:pPr>
      <w:r>
        <w:t>Based on the best available</w:t>
      </w:r>
      <w:r w:rsidR="009F17DB">
        <w:t xml:space="preserve"> evidence</w:t>
      </w:r>
      <w:r>
        <w:t xml:space="preserve"> specific to the ANZ population</w:t>
      </w:r>
      <w:r w:rsidR="005422F1">
        <w:t>,</w:t>
      </w:r>
      <w:r>
        <w:t xml:space="preserve"> t</w:t>
      </w:r>
      <w:r w:rsidR="005848AC">
        <w:t xml:space="preserve">he 2021 nutrition </w:t>
      </w:r>
      <w:r w:rsidR="00EE5EBB">
        <w:t xml:space="preserve">risk </w:t>
      </w:r>
      <w:r w:rsidR="005848AC">
        <w:t xml:space="preserve">assessment concluded </w:t>
      </w:r>
      <w:r w:rsidR="000F1668">
        <w:t>that u</w:t>
      </w:r>
      <w:r w:rsidR="000F1668" w:rsidRPr="00D66F38">
        <w:rPr>
          <w:lang w:eastAsia="en-AU"/>
        </w:rPr>
        <w:t xml:space="preserve">se of </w:t>
      </w:r>
      <w:r w:rsidR="000F1668">
        <w:rPr>
          <w:lang w:eastAsia="en-AU"/>
        </w:rPr>
        <w:t>a</w:t>
      </w:r>
      <w:r w:rsidR="000F1668" w:rsidRPr="00D66F38">
        <w:rPr>
          <w:lang w:eastAsia="en-AU"/>
        </w:rPr>
        <w:t xml:space="preserve"> minimum amount</w:t>
      </w:r>
      <w:r w:rsidR="000F1668">
        <w:rPr>
          <w:lang w:eastAsia="en-AU"/>
        </w:rPr>
        <w:t xml:space="preserve"> of </w:t>
      </w:r>
      <w:r w:rsidR="00A81C38">
        <w:rPr>
          <w:lang w:eastAsia="en-AU"/>
        </w:rPr>
        <w:t>LA</w:t>
      </w:r>
      <w:r w:rsidR="00F4294A">
        <w:rPr>
          <w:lang w:eastAsia="en-AU"/>
        </w:rPr>
        <w:t xml:space="preserve"> between 110 mg/100 kJ and </w:t>
      </w:r>
      <w:r w:rsidR="000F1668">
        <w:rPr>
          <w:lang w:eastAsia="en-AU"/>
        </w:rPr>
        <w:t xml:space="preserve"> 140 mg</w:t>
      </w:r>
      <w:r w:rsidR="000F1668" w:rsidRPr="00D66F38">
        <w:rPr>
          <w:lang w:eastAsia="en-AU"/>
        </w:rPr>
        <w:t>/100 kJ</w:t>
      </w:r>
      <w:r w:rsidR="000F1668">
        <w:rPr>
          <w:lang w:eastAsia="en-AU"/>
        </w:rPr>
        <w:t xml:space="preserve"> </w:t>
      </w:r>
      <w:r w:rsidR="000F1668" w:rsidRPr="00D66F38">
        <w:rPr>
          <w:lang w:eastAsia="en-AU"/>
        </w:rPr>
        <w:t>pose</w:t>
      </w:r>
      <w:r w:rsidR="000F1668">
        <w:rPr>
          <w:lang w:eastAsia="en-AU"/>
        </w:rPr>
        <w:t>s</w:t>
      </w:r>
      <w:r w:rsidR="000F1668" w:rsidRPr="00D66F38">
        <w:rPr>
          <w:lang w:eastAsia="en-AU"/>
        </w:rPr>
        <w:t xml:space="preserve"> a</w:t>
      </w:r>
      <w:r w:rsidR="000F1668">
        <w:rPr>
          <w:lang w:eastAsia="en-AU"/>
        </w:rPr>
        <w:t xml:space="preserve"> low</w:t>
      </w:r>
      <w:r w:rsidR="000F1668" w:rsidRPr="00D66F38">
        <w:rPr>
          <w:lang w:eastAsia="en-AU"/>
        </w:rPr>
        <w:t xml:space="preserve"> risk to infant health.</w:t>
      </w:r>
      <w:r w:rsidR="000F1668">
        <w:rPr>
          <w:lang w:eastAsia="en-AU"/>
        </w:rPr>
        <w:t xml:space="preserve"> </w:t>
      </w:r>
    </w:p>
    <w:p w14:paraId="64AADC44" w14:textId="144C79A6" w:rsidR="00A7134C" w:rsidRPr="004F4FB8" w:rsidRDefault="00776154" w:rsidP="004F4FB8">
      <w:pPr>
        <w:pStyle w:val="Heading4"/>
      </w:pPr>
      <w:r>
        <w:t>Options and discussion</w:t>
      </w:r>
    </w:p>
    <w:p w14:paraId="7AE332F1" w14:textId="01E1A914" w:rsidR="001538F9" w:rsidRDefault="001538F9" w:rsidP="001538F9">
      <w:pPr>
        <w:autoSpaceDE w:val="0"/>
        <w:autoSpaceDN w:val="0"/>
        <w:adjustRightInd w:val="0"/>
        <w:rPr>
          <w:rFonts w:cs="Arial"/>
          <w:szCs w:val="22"/>
          <w:lang w:eastAsia="en-AU"/>
        </w:rPr>
      </w:pPr>
      <w:r>
        <w:rPr>
          <w:rFonts w:cs="Arial"/>
          <w:szCs w:val="22"/>
          <w:lang w:eastAsia="en-AU"/>
        </w:rPr>
        <w:t xml:space="preserve">The 2016 nutrition </w:t>
      </w:r>
      <w:r w:rsidR="00EE5EBB">
        <w:rPr>
          <w:rFonts w:cs="Arial"/>
          <w:szCs w:val="22"/>
          <w:lang w:eastAsia="en-AU"/>
        </w:rPr>
        <w:t xml:space="preserve">risk </w:t>
      </w:r>
      <w:r>
        <w:rPr>
          <w:rFonts w:cs="Arial"/>
          <w:szCs w:val="22"/>
          <w:lang w:eastAsia="en-AU"/>
        </w:rPr>
        <w:t>assessment evaluated the risk of adopting the Codex STAN 72-</w:t>
      </w:r>
      <w:r w:rsidR="00EE5EBB">
        <w:rPr>
          <w:rFonts w:cs="Arial"/>
          <w:szCs w:val="22"/>
          <w:lang w:eastAsia="en-AU"/>
        </w:rPr>
        <w:t>‍</w:t>
      </w:r>
      <w:r>
        <w:rPr>
          <w:rFonts w:cs="Arial"/>
          <w:szCs w:val="22"/>
          <w:lang w:eastAsia="en-AU"/>
        </w:rPr>
        <w:t>1981 requirements. The assessment considered that the minimum LA level did not align with breast</w:t>
      </w:r>
      <w:r w:rsidR="00EE5EBB">
        <w:rPr>
          <w:rFonts w:cs="Arial"/>
          <w:szCs w:val="22"/>
          <w:lang w:eastAsia="en-AU"/>
        </w:rPr>
        <w:t xml:space="preserve"> </w:t>
      </w:r>
      <w:r>
        <w:rPr>
          <w:rFonts w:cs="Arial"/>
          <w:szCs w:val="22"/>
          <w:lang w:eastAsia="en-AU"/>
        </w:rPr>
        <w:t xml:space="preserve">milk composition of the ANZ population and had potential to pose risk to infant health. As mentioned in response to submitter comments, based on the nutrition </w:t>
      </w:r>
      <w:r w:rsidR="00EE5EBB">
        <w:rPr>
          <w:rFonts w:cs="Arial"/>
          <w:szCs w:val="22"/>
          <w:lang w:eastAsia="en-AU"/>
        </w:rPr>
        <w:t xml:space="preserve">risk </w:t>
      </w:r>
      <w:r>
        <w:rPr>
          <w:rFonts w:cs="Arial"/>
          <w:szCs w:val="22"/>
          <w:lang w:eastAsia="en-AU"/>
        </w:rPr>
        <w:t>assessment conclusions FSANZ does not find it appropriate to adopt the Codex S</w:t>
      </w:r>
      <w:r w:rsidR="002A0441">
        <w:rPr>
          <w:rFonts w:cs="Arial"/>
          <w:szCs w:val="22"/>
          <w:lang w:eastAsia="en-AU"/>
        </w:rPr>
        <w:t>TAN</w:t>
      </w:r>
      <w:r>
        <w:rPr>
          <w:rFonts w:cs="Arial"/>
          <w:szCs w:val="22"/>
          <w:lang w:eastAsia="en-AU"/>
        </w:rPr>
        <w:t xml:space="preserve"> 72-</w:t>
      </w:r>
      <w:r w:rsidR="00EE5EBB">
        <w:rPr>
          <w:rFonts w:cs="Arial"/>
          <w:szCs w:val="22"/>
          <w:lang w:eastAsia="en-AU"/>
        </w:rPr>
        <w:t>‍</w:t>
      </w:r>
      <w:r>
        <w:rPr>
          <w:rFonts w:cs="Arial"/>
          <w:szCs w:val="22"/>
          <w:lang w:eastAsia="en-AU"/>
        </w:rPr>
        <w:t>1981 minimum</w:t>
      </w:r>
      <w:r w:rsidR="009F17DB">
        <w:rPr>
          <w:rFonts w:cs="Arial"/>
          <w:szCs w:val="22"/>
          <w:lang w:eastAsia="en-AU"/>
        </w:rPr>
        <w:t xml:space="preserve"> level</w:t>
      </w:r>
      <w:r>
        <w:rPr>
          <w:rFonts w:cs="Arial"/>
          <w:szCs w:val="22"/>
          <w:lang w:eastAsia="en-AU"/>
        </w:rPr>
        <w:t xml:space="preserve"> for LA.</w:t>
      </w:r>
    </w:p>
    <w:p w14:paraId="08CC64D8" w14:textId="29F54FF5" w:rsidR="009F17DB" w:rsidRDefault="009F17DB" w:rsidP="001538F9">
      <w:pPr>
        <w:autoSpaceDE w:val="0"/>
        <w:autoSpaceDN w:val="0"/>
        <w:adjustRightInd w:val="0"/>
        <w:rPr>
          <w:rFonts w:cs="Arial"/>
          <w:szCs w:val="22"/>
          <w:lang w:eastAsia="en-AU"/>
        </w:rPr>
      </w:pPr>
    </w:p>
    <w:p w14:paraId="20212129" w14:textId="1C4F8B68" w:rsidR="005848AC" w:rsidRDefault="00EE5EBB" w:rsidP="009623E8">
      <w:pPr>
        <w:autoSpaceDE w:val="0"/>
        <w:autoSpaceDN w:val="0"/>
        <w:adjustRightInd w:val="0"/>
        <w:rPr>
          <w:rFonts w:cs="Arial"/>
          <w:szCs w:val="22"/>
          <w:lang w:eastAsia="en-AU"/>
        </w:rPr>
      </w:pPr>
      <w:r>
        <w:t>Reported</w:t>
      </w:r>
      <w:r w:rsidRPr="00035667">
        <w:t xml:space="preserve"> </w:t>
      </w:r>
      <w:r w:rsidR="005848AC" w:rsidRPr="00035667">
        <w:t>LA concentrations in human milk vary</w:t>
      </w:r>
      <w:r w:rsidR="005848AC">
        <w:rPr>
          <w:rFonts w:cs="Arial"/>
          <w:szCs w:val="22"/>
          <w:lang w:eastAsia="en-AU"/>
        </w:rPr>
        <w:t xml:space="preserve"> based on numerous factors, such as maternal diet, </w:t>
      </w:r>
      <w:r w:rsidR="005848AC" w:rsidRPr="00065C62">
        <w:rPr>
          <w:rFonts w:cs="Arial"/>
          <w:szCs w:val="22"/>
          <w:lang w:eastAsia="en-AU"/>
        </w:rPr>
        <w:t>body fat stores</w:t>
      </w:r>
      <w:r w:rsidR="005848AC">
        <w:rPr>
          <w:rFonts w:cs="Arial"/>
          <w:szCs w:val="22"/>
          <w:lang w:eastAsia="en-AU"/>
        </w:rPr>
        <w:t xml:space="preserve"> and differences in</w:t>
      </w:r>
      <w:r w:rsidR="005848AC" w:rsidRPr="00065C62">
        <w:rPr>
          <w:rFonts w:cs="Arial"/>
          <w:szCs w:val="22"/>
          <w:lang w:eastAsia="en-AU"/>
        </w:rPr>
        <w:t xml:space="preserve"> research methodologies</w:t>
      </w:r>
      <w:r w:rsidR="003439F3">
        <w:rPr>
          <w:rFonts w:cs="Arial"/>
          <w:szCs w:val="22"/>
          <w:lang w:eastAsia="en-AU"/>
        </w:rPr>
        <w:t>. For this reason the</w:t>
      </w:r>
      <w:r w:rsidR="005848AC">
        <w:rPr>
          <w:rFonts w:cs="Arial"/>
          <w:szCs w:val="22"/>
          <w:lang w:eastAsia="en-AU"/>
        </w:rPr>
        <w:t xml:space="preserve"> </w:t>
      </w:r>
      <w:r w:rsidR="004623F4" w:rsidRPr="005848AC">
        <w:rPr>
          <w:rFonts w:cs="Arial"/>
          <w:szCs w:val="22"/>
          <w:lang w:eastAsia="en-AU"/>
        </w:rPr>
        <w:t xml:space="preserve">2021 nutrition </w:t>
      </w:r>
      <w:r>
        <w:rPr>
          <w:rFonts w:cs="Arial"/>
          <w:szCs w:val="22"/>
          <w:lang w:eastAsia="en-AU"/>
        </w:rPr>
        <w:t xml:space="preserve">risk </w:t>
      </w:r>
      <w:r w:rsidR="004623F4" w:rsidRPr="005848AC">
        <w:rPr>
          <w:rFonts w:cs="Arial"/>
          <w:szCs w:val="22"/>
          <w:lang w:eastAsia="en-AU"/>
        </w:rPr>
        <w:t>assessment e</w:t>
      </w:r>
      <w:r w:rsidR="005848AC">
        <w:rPr>
          <w:rFonts w:cs="Arial"/>
          <w:szCs w:val="22"/>
          <w:lang w:eastAsia="en-AU"/>
        </w:rPr>
        <w:t>valuated evidence relevant to the ANZ population</w:t>
      </w:r>
      <w:r w:rsidR="003439F3">
        <w:rPr>
          <w:rFonts w:cs="Arial"/>
          <w:szCs w:val="22"/>
          <w:lang w:eastAsia="en-AU"/>
        </w:rPr>
        <w:t xml:space="preserve">. The assessment </w:t>
      </w:r>
      <w:r>
        <w:rPr>
          <w:rFonts w:cs="Arial"/>
          <w:szCs w:val="22"/>
          <w:lang w:eastAsia="en-AU"/>
        </w:rPr>
        <w:t xml:space="preserve">found </w:t>
      </w:r>
      <w:r w:rsidR="003439F3">
        <w:rPr>
          <w:rFonts w:cs="Arial"/>
          <w:szCs w:val="22"/>
          <w:lang w:eastAsia="en-AU"/>
        </w:rPr>
        <w:t>that for the ANZ population the minimum LA concentrations in breast milk were approximately 140mg/100 kJ. The nutrition</w:t>
      </w:r>
      <w:r>
        <w:rPr>
          <w:rFonts w:cs="Arial"/>
          <w:szCs w:val="22"/>
          <w:lang w:eastAsia="en-AU"/>
        </w:rPr>
        <w:t xml:space="preserve"> risk</w:t>
      </w:r>
      <w:r w:rsidR="003439F3">
        <w:rPr>
          <w:rFonts w:cs="Arial"/>
          <w:szCs w:val="22"/>
          <w:lang w:eastAsia="en-AU"/>
        </w:rPr>
        <w:t xml:space="preserve"> assessment also noted that an LA level of 140/mg/100</w:t>
      </w:r>
      <w:r>
        <w:rPr>
          <w:rFonts w:cs="Arial"/>
          <w:szCs w:val="22"/>
          <w:lang w:eastAsia="en-AU"/>
        </w:rPr>
        <w:t xml:space="preserve"> </w:t>
      </w:r>
      <w:r w:rsidR="003439F3">
        <w:rPr>
          <w:rFonts w:cs="Arial"/>
          <w:szCs w:val="22"/>
          <w:lang w:eastAsia="en-AU"/>
        </w:rPr>
        <w:t>kJ would meet the EFSA AI</w:t>
      </w:r>
      <w:r w:rsidR="001538F9">
        <w:rPr>
          <w:rFonts w:cs="Arial"/>
          <w:szCs w:val="22"/>
          <w:lang w:eastAsia="en-AU"/>
        </w:rPr>
        <w:t xml:space="preserve"> and allow</w:t>
      </w:r>
      <w:r w:rsidR="001538F9" w:rsidRPr="008D096E">
        <w:rPr>
          <w:rFonts w:cs="Arial"/>
          <w:szCs w:val="22"/>
          <w:lang w:eastAsia="en-AU"/>
        </w:rPr>
        <w:t xml:space="preserve"> the </w:t>
      </w:r>
      <w:r w:rsidR="001538F9">
        <w:rPr>
          <w:rFonts w:cs="Arial"/>
          <w:szCs w:val="22"/>
          <w:lang w:eastAsia="en-AU"/>
        </w:rPr>
        <w:t xml:space="preserve">proposed </w:t>
      </w:r>
      <w:r w:rsidR="001538F9" w:rsidRPr="008D096E">
        <w:rPr>
          <w:rFonts w:cs="Arial"/>
          <w:szCs w:val="22"/>
          <w:lang w:eastAsia="en-AU"/>
        </w:rPr>
        <w:t xml:space="preserve">minimum ALA concentration </w:t>
      </w:r>
      <w:r w:rsidR="001538F9">
        <w:rPr>
          <w:rFonts w:cs="Arial"/>
          <w:szCs w:val="22"/>
          <w:lang w:eastAsia="en-AU"/>
        </w:rPr>
        <w:t>to be met (through the LA:ALA ratio)</w:t>
      </w:r>
      <w:r w:rsidR="003439F3">
        <w:rPr>
          <w:rFonts w:cs="Arial"/>
          <w:szCs w:val="22"/>
          <w:lang w:eastAsia="en-AU"/>
        </w:rPr>
        <w:t xml:space="preserve">. </w:t>
      </w:r>
    </w:p>
    <w:p w14:paraId="3B196EB1" w14:textId="179351A0" w:rsidR="00F82DB0" w:rsidRDefault="00F82DB0" w:rsidP="009623E8">
      <w:pPr>
        <w:autoSpaceDE w:val="0"/>
        <w:autoSpaceDN w:val="0"/>
        <w:adjustRightInd w:val="0"/>
        <w:rPr>
          <w:rFonts w:cs="Arial"/>
          <w:szCs w:val="22"/>
          <w:lang w:eastAsia="en-AU"/>
        </w:rPr>
      </w:pPr>
    </w:p>
    <w:p w14:paraId="65D2A45B" w14:textId="1B1166A4" w:rsidR="002A0441" w:rsidRDefault="001538F9" w:rsidP="009623E8">
      <w:pPr>
        <w:autoSpaceDE w:val="0"/>
        <w:autoSpaceDN w:val="0"/>
        <w:adjustRightInd w:val="0"/>
        <w:rPr>
          <w:rFonts w:cs="Arial"/>
          <w:szCs w:val="22"/>
          <w:lang w:eastAsia="en-AU"/>
        </w:rPr>
      </w:pPr>
      <w:r>
        <w:rPr>
          <w:rFonts w:cs="Arial"/>
          <w:szCs w:val="22"/>
          <w:lang w:eastAsia="en-AU"/>
        </w:rPr>
        <w:t xml:space="preserve">The LA concentration in ANZ breast milk reported by the nutrition </w:t>
      </w:r>
      <w:r w:rsidR="00EE5EBB">
        <w:rPr>
          <w:rFonts w:cs="Arial"/>
          <w:szCs w:val="22"/>
          <w:lang w:eastAsia="en-AU"/>
        </w:rPr>
        <w:t xml:space="preserve">risk </w:t>
      </w:r>
      <w:r>
        <w:rPr>
          <w:rFonts w:cs="Arial"/>
          <w:szCs w:val="22"/>
          <w:lang w:eastAsia="en-AU"/>
        </w:rPr>
        <w:t>assessment (140mg/100</w:t>
      </w:r>
      <w:r w:rsidR="00EE5EBB">
        <w:rPr>
          <w:rFonts w:cs="Arial"/>
          <w:szCs w:val="22"/>
          <w:lang w:eastAsia="en-AU"/>
        </w:rPr>
        <w:t xml:space="preserve"> </w:t>
      </w:r>
      <w:r>
        <w:rPr>
          <w:rFonts w:cs="Arial"/>
          <w:szCs w:val="22"/>
          <w:lang w:eastAsia="en-AU"/>
        </w:rPr>
        <w:t>kJ) best align</w:t>
      </w:r>
      <w:r w:rsidR="00EE5EBB">
        <w:rPr>
          <w:rFonts w:cs="Arial"/>
          <w:szCs w:val="22"/>
          <w:lang w:eastAsia="en-AU"/>
        </w:rPr>
        <w:t>s</w:t>
      </w:r>
      <w:r>
        <w:rPr>
          <w:rFonts w:cs="Arial"/>
          <w:szCs w:val="22"/>
          <w:lang w:eastAsia="en-AU"/>
        </w:rPr>
        <w:t xml:space="preserve"> with </w:t>
      </w:r>
      <w:r w:rsidR="00EE5EBB">
        <w:rPr>
          <w:rFonts w:cs="Arial"/>
          <w:szCs w:val="22"/>
          <w:lang w:eastAsia="en-AU"/>
        </w:rPr>
        <w:t>EU 2016/127</w:t>
      </w:r>
      <w:r>
        <w:rPr>
          <w:rFonts w:cs="Arial"/>
          <w:szCs w:val="22"/>
          <w:lang w:eastAsia="en-AU"/>
        </w:rPr>
        <w:t xml:space="preserve">, which </w:t>
      </w:r>
      <w:r w:rsidR="002A0441">
        <w:rPr>
          <w:rFonts w:cs="Arial"/>
          <w:szCs w:val="22"/>
          <w:lang w:eastAsia="en-AU"/>
        </w:rPr>
        <w:t>prescribes</w:t>
      </w:r>
      <w:r>
        <w:rPr>
          <w:rFonts w:cs="Arial"/>
          <w:szCs w:val="22"/>
          <w:lang w:eastAsia="en-AU"/>
        </w:rPr>
        <w:t xml:space="preserve"> a minimum LA level of 120mg/100</w:t>
      </w:r>
      <w:r w:rsidR="00EE5EBB">
        <w:rPr>
          <w:rFonts w:cs="Arial"/>
          <w:szCs w:val="22"/>
          <w:lang w:eastAsia="en-AU"/>
        </w:rPr>
        <w:t xml:space="preserve"> </w:t>
      </w:r>
      <w:r>
        <w:rPr>
          <w:rFonts w:cs="Arial"/>
          <w:szCs w:val="22"/>
          <w:lang w:eastAsia="en-AU"/>
        </w:rPr>
        <w:t xml:space="preserve">kJ. </w:t>
      </w:r>
      <w:r w:rsidR="002A0441">
        <w:rPr>
          <w:rFonts w:cs="Arial"/>
          <w:szCs w:val="22"/>
          <w:lang w:eastAsia="en-AU"/>
        </w:rPr>
        <w:t>This</w:t>
      </w:r>
      <w:r>
        <w:rPr>
          <w:rFonts w:cs="Arial"/>
          <w:szCs w:val="22"/>
          <w:lang w:eastAsia="en-AU"/>
        </w:rPr>
        <w:t xml:space="preserve"> level is recommended by the EFSA (2014</w:t>
      </w:r>
      <w:r w:rsidR="00056097">
        <w:rPr>
          <w:rFonts w:cs="Arial"/>
          <w:szCs w:val="22"/>
          <w:lang w:eastAsia="en-AU"/>
        </w:rPr>
        <w:t>b</w:t>
      </w:r>
      <w:r>
        <w:rPr>
          <w:rFonts w:cs="Arial"/>
          <w:szCs w:val="22"/>
          <w:lang w:eastAsia="en-AU"/>
        </w:rPr>
        <w:t xml:space="preserve">) and the EC SCF (2003). </w:t>
      </w:r>
      <w:r w:rsidR="00EE5EBB">
        <w:rPr>
          <w:rFonts w:cs="Arial"/>
          <w:szCs w:val="22"/>
          <w:lang w:eastAsia="en-AU"/>
        </w:rPr>
        <w:t xml:space="preserve">EU 2016/127 </w:t>
      </w:r>
      <w:r>
        <w:rPr>
          <w:rFonts w:cs="Arial"/>
          <w:szCs w:val="22"/>
          <w:lang w:eastAsia="en-AU"/>
        </w:rPr>
        <w:t xml:space="preserve">also </w:t>
      </w:r>
      <w:r w:rsidR="002A0441">
        <w:rPr>
          <w:rFonts w:cs="Arial"/>
          <w:szCs w:val="22"/>
          <w:lang w:eastAsia="en-AU"/>
        </w:rPr>
        <w:t>prescribes the mandatory addition of DHA to infant formula within the range of 12–24 mg/100</w:t>
      </w:r>
      <w:r w:rsidR="00EE5EBB">
        <w:rPr>
          <w:rFonts w:cs="Arial"/>
          <w:szCs w:val="22"/>
          <w:lang w:eastAsia="en-AU"/>
        </w:rPr>
        <w:t xml:space="preserve"> </w:t>
      </w:r>
      <w:r w:rsidR="002A0441">
        <w:rPr>
          <w:rFonts w:cs="Arial"/>
          <w:szCs w:val="22"/>
          <w:lang w:eastAsia="en-AU"/>
        </w:rPr>
        <w:t>kJ.</w:t>
      </w:r>
    </w:p>
    <w:p w14:paraId="2B4FC00D" w14:textId="23257E5E" w:rsidR="002A0441" w:rsidRDefault="002A0441" w:rsidP="009623E8">
      <w:pPr>
        <w:autoSpaceDE w:val="0"/>
        <w:autoSpaceDN w:val="0"/>
        <w:adjustRightInd w:val="0"/>
        <w:rPr>
          <w:rFonts w:cs="Arial"/>
          <w:szCs w:val="22"/>
          <w:lang w:eastAsia="en-AU"/>
        </w:rPr>
      </w:pPr>
    </w:p>
    <w:p w14:paraId="4EBC6357" w14:textId="3BA01382" w:rsidR="00E87320" w:rsidRDefault="00754BEF" w:rsidP="009623E8">
      <w:pPr>
        <w:autoSpaceDE w:val="0"/>
        <w:autoSpaceDN w:val="0"/>
        <w:adjustRightInd w:val="0"/>
        <w:rPr>
          <w:rFonts w:cs="Arial"/>
          <w:szCs w:val="22"/>
          <w:lang w:eastAsia="en-AU"/>
        </w:rPr>
      </w:pPr>
      <w:r>
        <w:rPr>
          <w:rFonts w:cs="Arial"/>
          <w:szCs w:val="22"/>
          <w:lang w:eastAsia="en-AU"/>
        </w:rPr>
        <w:t>Increas</w:t>
      </w:r>
      <w:r w:rsidR="00A26D46">
        <w:rPr>
          <w:rFonts w:cs="Arial"/>
          <w:szCs w:val="22"/>
          <w:lang w:eastAsia="en-AU"/>
        </w:rPr>
        <w:t>ing</w:t>
      </w:r>
      <w:r w:rsidR="002A0441">
        <w:rPr>
          <w:rFonts w:cs="Arial"/>
          <w:szCs w:val="22"/>
          <w:lang w:eastAsia="en-AU"/>
        </w:rPr>
        <w:t xml:space="preserve"> </w:t>
      </w:r>
      <w:r w:rsidR="00DB1823">
        <w:rPr>
          <w:rFonts w:cs="Arial"/>
          <w:szCs w:val="22"/>
          <w:lang w:eastAsia="en-AU"/>
        </w:rPr>
        <w:t xml:space="preserve">the </w:t>
      </w:r>
      <w:r w:rsidR="002A0441">
        <w:rPr>
          <w:rFonts w:cs="Arial"/>
          <w:szCs w:val="22"/>
          <w:lang w:eastAsia="en-AU"/>
        </w:rPr>
        <w:t>levels of LC-PUFAs</w:t>
      </w:r>
      <w:r w:rsidR="00DB1823">
        <w:rPr>
          <w:rFonts w:cs="Arial"/>
          <w:szCs w:val="22"/>
          <w:lang w:eastAsia="en-AU"/>
        </w:rPr>
        <w:t xml:space="preserve"> can pose</w:t>
      </w:r>
      <w:r w:rsidR="00CC1D03">
        <w:rPr>
          <w:rFonts w:cs="Arial"/>
          <w:szCs w:val="22"/>
          <w:lang w:eastAsia="en-AU"/>
        </w:rPr>
        <w:t xml:space="preserve"> challenges to infant formula manufacture</w:t>
      </w:r>
      <w:r w:rsidR="00A26D46">
        <w:rPr>
          <w:rFonts w:cs="Arial"/>
          <w:szCs w:val="22"/>
          <w:lang w:eastAsia="en-AU"/>
        </w:rPr>
        <w:t>r</w:t>
      </w:r>
      <w:r w:rsidR="00CC1D03">
        <w:rPr>
          <w:rFonts w:cs="Arial"/>
          <w:szCs w:val="22"/>
          <w:lang w:eastAsia="en-AU"/>
        </w:rPr>
        <w:t xml:space="preserve">s </w:t>
      </w:r>
      <w:r w:rsidR="00CC1D03" w:rsidRPr="00E27161">
        <w:rPr>
          <w:rFonts w:cs="Arial"/>
          <w:szCs w:val="22"/>
          <w:lang w:eastAsia="en-AU"/>
        </w:rPr>
        <w:t xml:space="preserve">(Mendonça </w:t>
      </w:r>
      <w:r w:rsidR="00E27161">
        <w:rPr>
          <w:rFonts w:cs="Arial"/>
          <w:szCs w:val="22"/>
          <w:lang w:eastAsia="en-AU"/>
        </w:rPr>
        <w:t xml:space="preserve">et al. </w:t>
      </w:r>
      <w:r w:rsidR="00CC1D03" w:rsidRPr="00E27161">
        <w:rPr>
          <w:rFonts w:cs="Arial"/>
          <w:szCs w:val="22"/>
          <w:lang w:eastAsia="en-AU"/>
        </w:rPr>
        <w:t xml:space="preserve">2017, Daoud </w:t>
      </w:r>
      <w:r w:rsidR="00E27161">
        <w:rPr>
          <w:rFonts w:cs="Arial"/>
          <w:szCs w:val="22"/>
          <w:lang w:eastAsia="en-AU"/>
        </w:rPr>
        <w:t xml:space="preserve">et al. </w:t>
      </w:r>
      <w:r w:rsidR="00CC1D03" w:rsidRPr="00E27161">
        <w:rPr>
          <w:rFonts w:cs="Arial"/>
          <w:szCs w:val="22"/>
          <w:lang w:eastAsia="en-AU"/>
        </w:rPr>
        <w:t>2020</w:t>
      </w:r>
      <w:r w:rsidR="00CC1D03">
        <w:rPr>
          <w:rFonts w:cs="Arial"/>
          <w:szCs w:val="22"/>
          <w:lang w:eastAsia="en-AU"/>
        </w:rPr>
        <w:t>). LC-PUFAs, such as DHA, AL and AL</w:t>
      </w:r>
      <w:r w:rsidR="00A26D46">
        <w:rPr>
          <w:rFonts w:cs="Arial"/>
          <w:szCs w:val="22"/>
          <w:lang w:eastAsia="en-AU"/>
        </w:rPr>
        <w:t>A</w:t>
      </w:r>
      <w:r w:rsidR="00CC1D03">
        <w:rPr>
          <w:rFonts w:cs="Arial"/>
          <w:szCs w:val="22"/>
          <w:lang w:eastAsia="en-AU"/>
        </w:rPr>
        <w:t xml:space="preserve">, are prone to oxidation which can alter the stability, palatability and nutritional value of the final product. </w:t>
      </w:r>
      <w:r w:rsidR="00053313">
        <w:rPr>
          <w:rFonts w:cs="Arial"/>
          <w:szCs w:val="22"/>
          <w:lang w:eastAsia="en-AU"/>
        </w:rPr>
        <w:t>The ESPGHAN</w:t>
      </w:r>
      <w:r w:rsidR="00E87320">
        <w:rPr>
          <w:rFonts w:cs="Arial"/>
          <w:szCs w:val="22"/>
          <w:lang w:eastAsia="en-AU"/>
        </w:rPr>
        <w:t xml:space="preserve"> (2005)</w:t>
      </w:r>
      <w:r w:rsidR="00053313">
        <w:rPr>
          <w:rFonts w:cs="Arial"/>
          <w:szCs w:val="22"/>
          <w:lang w:eastAsia="en-AU"/>
        </w:rPr>
        <w:t xml:space="preserve"> noted that a maximum level of LA of 300</w:t>
      </w:r>
      <w:r w:rsidR="00A26D46">
        <w:rPr>
          <w:rFonts w:cs="Arial"/>
          <w:szCs w:val="22"/>
          <w:lang w:eastAsia="en-AU"/>
        </w:rPr>
        <w:t xml:space="preserve"> </w:t>
      </w:r>
      <w:r w:rsidR="00053313">
        <w:rPr>
          <w:rFonts w:cs="Arial"/>
          <w:szCs w:val="22"/>
          <w:lang w:eastAsia="en-AU"/>
        </w:rPr>
        <w:t>mg/100</w:t>
      </w:r>
      <w:r w:rsidR="00A26D46">
        <w:rPr>
          <w:rFonts w:cs="Arial"/>
          <w:szCs w:val="22"/>
          <w:lang w:eastAsia="en-AU"/>
        </w:rPr>
        <w:t xml:space="preserve"> </w:t>
      </w:r>
      <w:r w:rsidR="00053313">
        <w:rPr>
          <w:rFonts w:cs="Arial"/>
          <w:szCs w:val="22"/>
          <w:lang w:eastAsia="en-AU"/>
        </w:rPr>
        <w:t>kJ (1200</w:t>
      </w:r>
      <w:r w:rsidR="00A26D46">
        <w:rPr>
          <w:rFonts w:cs="Arial"/>
          <w:szCs w:val="22"/>
          <w:lang w:eastAsia="en-AU"/>
        </w:rPr>
        <w:t xml:space="preserve"> </w:t>
      </w:r>
      <w:r w:rsidR="00053313">
        <w:rPr>
          <w:rFonts w:cs="Arial"/>
          <w:szCs w:val="22"/>
          <w:lang w:eastAsia="en-AU"/>
        </w:rPr>
        <w:t>mg/100</w:t>
      </w:r>
      <w:r w:rsidR="00A26D46">
        <w:rPr>
          <w:rFonts w:cs="Arial"/>
          <w:szCs w:val="22"/>
          <w:lang w:eastAsia="en-AU"/>
        </w:rPr>
        <w:t xml:space="preserve"> </w:t>
      </w:r>
      <w:r w:rsidR="00053313">
        <w:rPr>
          <w:rFonts w:cs="Arial"/>
          <w:szCs w:val="22"/>
          <w:lang w:eastAsia="en-AU"/>
        </w:rPr>
        <w:t>kcal) is necessary as high</w:t>
      </w:r>
      <w:r w:rsidR="00A26D46">
        <w:rPr>
          <w:rFonts w:cs="Arial"/>
          <w:szCs w:val="22"/>
          <w:lang w:eastAsia="en-AU"/>
        </w:rPr>
        <w:t>er</w:t>
      </w:r>
      <w:r w:rsidR="00053313">
        <w:rPr>
          <w:rFonts w:cs="Arial"/>
          <w:szCs w:val="22"/>
          <w:lang w:eastAsia="en-AU"/>
        </w:rPr>
        <w:t xml:space="preserve"> levels of LA can induce unwanted </w:t>
      </w:r>
      <w:r w:rsidR="00053313" w:rsidRPr="00E87320">
        <w:rPr>
          <w:rFonts w:cs="Arial"/>
          <w:szCs w:val="22"/>
          <w:lang w:eastAsia="en-AU"/>
        </w:rPr>
        <w:t>metabolic effects with respect to lipoprotein metabolism, immune function, eicosanoid balance and oxidative stress.</w:t>
      </w:r>
      <w:r w:rsidR="00053313">
        <w:rPr>
          <w:rFonts w:cs="Arial"/>
          <w:szCs w:val="22"/>
          <w:lang w:eastAsia="en-AU"/>
        </w:rPr>
        <w:t xml:space="preserve"> </w:t>
      </w:r>
      <w:r w:rsidR="00E87320">
        <w:rPr>
          <w:rFonts w:cs="Arial"/>
          <w:szCs w:val="22"/>
          <w:lang w:eastAsia="en-AU"/>
        </w:rPr>
        <w:t xml:space="preserve">Infant formula enriched with LC-PUFA have particularly evident </w:t>
      </w:r>
      <w:r w:rsidR="00E87320" w:rsidRPr="00E87320">
        <w:rPr>
          <w:rFonts w:cs="Arial"/>
          <w:szCs w:val="22"/>
          <w:lang w:eastAsia="en-AU"/>
        </w:rPr>
        <w:t>oxidi</w:t>
      </w:r>
      <w:r w:rsidR="00A26D46">
        <w:rPr>
          <w:rFonts w:cs="Arial"/>
          <w:szCs w:val="22"/>
          <w:lang w:eastAsia="en-AU"/>
        </w:rPr>
        <w:t>s</w:t>
      </w:r>
      <w:r w:rsidR="00E87320" w:rsidRPr="00E87320">
        <w:rPr>
          <w:rFonts w:cs="Arial"/>
          <w:szCs w:val="22"/>
          <w:lang w:eastAsia="en-AU"/>
        </w:rPr>
        <w:t xml:space="preserve">ed </w:t>
      </w:r>
      <w:r w:rsidR="009F17DB" w:rsidRPr="00E87320">
        <w:rPr>
          <w:rFonts w:cs="Arial"/>
          <w:szCs w:val="22"/>
          <w:lang w:eastAsia="en-AU"/>
        </w:rPr>
        <w:t>flavours</w:t>
      </w:r>
      <w:r w:rsidR="009F17DB">
        <w:rPr>
          <w:rFonts w:cs="Arial"/>
          <w:szCs w:val="22"/>
          <w:lang w:eastAsia="en-AU"/>
        </w:rPr>
        <w:t>, described</w:t>
      </w:r>
      <w:r w:rsidR="00E87320" w:rsidRPr="00E87320">
        <w:rPr>
          <w:rFonts w:cs="Arial"/>
          <w:szCs w:val="22"/>
          <w:lang w:eastAsia="en-AU"/>
        </w:rPr>
        <w:t xml:space="preserve"> as </w:t>
      </w:r>
      <w:r w:rsidR="009F17DB">
        <w:rPr>
          <w:rFonts w:cs="Arial"/>
          <w:szCs w:val="22"/>
          <w:lang w:eastAsia="en-AU"/>
        </w:rPr>
        <w:t>‘</w:t>
      </w:r>
      <w:r w:rsidR="00E87320">
        <w:rPr>
          <w:rFonts w:cs="Arial"/>
          <w:szCs w:val="22"/>
          <w:lang w:eastAsia="en-AU"/>
        </w:rPr>
        <w:t>fishy’ and metallic’</w:t>
      </w:r>
      <w:r w:rsidR="009F17DB">
        <w:rPr>
          <w:rFonts w:cs="Arial"/>
          <w:szCs w:val="22"/>
          <w:lang w:eastAsia="en-AU"/>
        </w:rPr>
        <w:t>.</w:t>
      </w:r>
    </w:p>
    <w:p w14:paraId="379E283A" w14:textId="7E7C7C0D" w:rsidR="005848AC" w:rsidRDefault="005848AC" w:rsidP="009623E8">
      <w:pPr>
        <w:autoSpaceDE w:val="0"/>
        <w:autoSpaceDN w:val="0"/>
        <w:adjustRightInd w:val="0"/>
        <w:rPr>
          <w:rFonts w:cs="Arial"/>
          <w:szCs w:val="22"/>
          <w:lang w:eastAsia="en-AU"/>
        </w:rPr>
      </w:pPr>
    </w:p>
    <w:p w14:paraId="28EEF865" w14:textId="2B7B5C14" w:rsidR="009F17DB" w:rsidRDefault="009F17DB" w:rsidP="009623E8">
      <w:pPr>
        <w:autoSpaceDE w:val="0"/>
        <w:autoSpaceDN w:val="0"/>
        <w:adjustRightInd w:val="0"/>
        <w:rPr>
          <w:rFonts w:cs="Arial"/>
          <w:szCs w:val="22"/>
          <w:lang w:eastAsia="en-AU"/>
        </w:rPr>
      </w:pPr>
      <w:r>
        <w:rPr>
          <w:rFonts w:cs="Arial"/>
          <w:szCs w:val="22"/>
          <w:lang w:eastAsia="en-AU"/>
        </w:rPr>
        <w:t>FSANZ 2021 label survey assessed LA content in products on the ANZ market (Figure</w:t>
      </w:r>
      <w:r w:rsidR="00A26D46">
        <w:rPr>
          <w:rFonts w:cs="Arial"/>
          <w:szCs w:val="22"/>
          <w:lang w:eastAsia="en-AU"/>
        </w:rPr>
        <w:t> </w:t>
      </w:r>
      <w:r w:rsidR="006678F3">
        <w:rPr>
          <w:rFonts w:cs="Arial"/>
          <w:szCs w:val="22"/>
          <w:lang w:eastAsia="en-AU"/>
        </w:rPr>
        <w:t>5</w:t>
      </w:r>
      <w:r w:rsidR="007F4A71">
        <w:rPr>
          <w:rFonts w:cs="Arial"/>
          <w:szCs w:val="22"/>
          <w:lang w:eastAsia="en-AU"/>
        </w:rPr>
        <w:t>.3)</w:t>
      </w:r>
      <w:r>
        <w:rPr>
          <w:rFonts w:cs="Arial"/>
          <w:szCs w:val="22"/>
          <w:lang w:eastAsia="en-AU"/>
        </w:rPr>
        <w:t>. The survey</w:t>
      </w:r>
      <w:r w:rsidR="00FE7413">
        <w:rPr>
          <w:rFonts w:cs="Arial"/>
          <w:szCs w:val="22"/>
          <w:lang w:eastAsia="en-AU"/>
        </w:rPr>
        <w:t xml:space="preserve"> found that LA content in infant formula products ranged between 146–267 mg/100</w:t>
      </w:r>
      <w:r w:rsidR="00A26D46">
        <w:rPr>
          <w:rFonts w:cs="Arial"/>
          <w:szCs w:val="22"/>
          <w:lang w:eastAsia="en-AU"/>
        </w:rPr>
        <w:t xml:space="preserve"> </w:t>
      </w:r>
      <w:r w:rsidR="00FE7413">
        <w:rPr>
          <w:rFonts w:cs="Arial"/>
          <w:szCs w:val="22"/>
          <w:lang w:eastAsia="en-AU"/>
        </w:rPr>
        <w:t>kJ, which meets the requirements of Standard 2.9.1, Codex STAN 72-</w:t>
      </w:r>
      <w:r w:rsidR="00A26D46">
        <w:rPr>
          <w:rFonts w:cs="Arial"/>
          <w:szCs w:val="22"/>
          <w:lang w:eastAsia="en-AU"/>
        </w:rPr>
        <w:t>‍</w:t>
      </w:r>
      <w:r w:rsidR="00FE7413">
        <w:rPr>
          <w:rFonts w:cs="Arial"/>
          <w:szCs w:val="22"/>
          <w:lang w:eastAsia="en-AU"/>
        </w:rPr>
        <w:t xml:space="preserve">1981 and EU </w:t>
      </w:r>
      <w:r w:rsidR="00A26D46">
        <w:rPr>
          <w:rFonts w:cs="Arial"/>
          <w:szCs w:val="22"/>
          <w:lang w:eastAsia="en-AU"/>
        </w:rPr>
        <w:lastRenderedPageBreak/>
        <w:t>2016/127</w:t>
      </w:r>
      <w:r w:rsidR="00FE7413">
        <w:rPr>
          <w:rFonts w:cs="Arial"/>
          <w:szCs w:val="22"/>
          <w:lang w:eastAsia="en-AU"/>
        </w:rPr>
        <w:t xml:space="preserve">. The </w:t>
      </w:r>
      <w:r w:rsidR="00A26D46">
        <w:rPr>
          <w:rFonts w:cs="Arial"/>
          <w:szCs w:val="22"/>
          <w:lang w:eastAsia="en-AU"/>
        </w:rPr>
        <w:t>products with the lowest levels of LA</w:t>
      </w:r>
      <w:r w:rsidR="00FE7413">
        <w:rPr>
          <w:rFonts w:cs="Arial"/>
          <w:szCs w:val="22"/>
          <w:lang w:eastAsia="en-AU"/>
        </w:rPr>
        <w:t xml:space="preserve"> also align</w:t>
      </w:r>
      <w:r w:rsidR="00A26D46">
        <w:rPr>
          <w:rFonts w:cs="Arial"/>
          <w:szCs w:val="22"/>
          <w:lang w:eastAsia="en-AU"/>
        </w:rPr>
        <w:t>ed</w:t>
      </w:r>
      <w:r w:rsidR="00FE7413">
        <w:rPr>
          <w:rFonts w:cs="Arial"/>
          <w:szCs w:val="22"/>
          <w:lang w:eastAsia="en-AU"/>
        </w:rPr>
        <w:t xml:space="preserve"> with the ANZ breast</w:t>
      </w:r>
      <w:r w:rsidR="00A26D46">
        <w:rPr>
          <w:rFonts w:cs="Arial"/>
          <w:szCs w:val="22"/>
          <w:lang w:eastAsia="en-AU"/>
        </w:rPr>
        <w:t xml:space="preserve"> </w:t>
      </w:r>
      <w:r w:rsidR="00FE7413">
        <w:rPr>
          <w:rFonts w:cs="Arial"/>
          <w:szCs w:val="22"/>
          <w:lang w:eastAsia="en-AU"/>
        </w:rPr>
        <w:t xml:space="preserve">milk levels noted in the 2021 nutrition </w:t>
      </w:r>
      <w:r w:rsidR="00A26D46">
        <w:rPr>
          <w:rFonts w:cs="Arial"/>
          <w:szCs w:val="22"/>
          <w:lang w:eastAsia="en-AU"/>
        </w:rPr>
        <w:t xml:space="preserve">risk </w:t>
      </w:r>
      <w:r w:rsidR="00FE7413">
        <w:rPr>
          <w:rFonts w:cs="Arial"/>
          <w:szCs w:val="22"/>
          <w:lang w:eastAsia="en-AU"/>
        </w:rPr>
        <w:t xml:space="preserve">assessment. </w:t>
      </w:r>
    </w:p>
    <w:p w14:paraId="2BDF8A52" w14:textId="77777777" w:rsidR="009F17DB" w:rsidRDefault="009F17DB" w:rsidP="009623E8">
      <w:pPr>
        <w:autoSpaceDE w:val="0"/>
        <w:autoSpaceDN w:val="0"/>
        <w:adjustRightInd w:val="0"/>
        <w:rPr>
          <w:rFonts w:cs="Arial"/>
          <w:szCs w:val="22"/>
          <w:lang w:eastAsia="en-AU"/>
        </w:rPr>
      </w:pPr>
    </w:p>
    <w:p w14:paraId="031FD25A" w14:textId="7386813D" w:rsidR="009623E8" w:rsidRPr="005848AC" w:rsidRDefault="00F82DB0" w:rsidP="00843305">
      <w:pPr>
        <w:autoSpaceDE w:val="0"/>
        <w:autoSpaceDN w:val="0"/>
        <w:adjustRightInd w:val="0"/>
        <w:rPr>
          <w:rFonts w:cs="Arial"/>
          <w:szCs w:val="22"/>
          <w:lang w:eastAsia="en-AU"/>
        </w:rPr>
      </w:pPr>
      <w:r>
        <w:rPr>
          <w:rFonts w:cs="Arial"/>
          <w:noProof/>
          <w:szCs w:val="22"/>
          <w:lang w:eastAsia="en-GB" w:bidi="ar-SA"/>
        </w:rPr>
        <w:drawing>
          <wp:inline distT="0" distB="0" distL="0" distR="0" wp14:anchorId="101F555C" wp14:editId="62B9BEDB">
            <wp:extent cx="5090795" cy="2036445"/>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090795" cy="2036445"/>
                    </a:xfrm>
                    <a:prstGeom prst="rect">
                      <a:avLst/>
                    </a:prstGeom>
                    <a:noFill/>
                  </pic:spPr>
                </pic:pic>
              </a:graphicData>
            </a:graphic>
          </wp:inline>
        </w:drawing>
      </w:r>
    </w:p>
    <w:p w14:paraId="5DA31DA0" w14:textId="045578C2" w:rsidR="009F17DB" w:rsidRDefault="00F82DB0" w:rsidP="0011607A">
      <w:pPr>
        <w:pStyle w:val="FSCaption"/>
      </w:pPr>
      <w:r w:rsidRPr="00754BEF">
        <w:rPr>
          <w:rFonts w:eastAsia="Calibri"/>
        </w:rPr>
        <w:t xml:space="preserve">Figure </w:t>
      </w:r>
      <w:r w:rsidR="006678F3">
        <w:rPr>
          <w:rFonts w:eastAsia="Calibri"/>
        </w:rPr>
        <w:t>5</w:t>
      </w:r>
      <w:r w:rsidR="007F4A71">
        <w:rPr>
          <w:rFonts w:eastAsia="Calibri"/>
        </w:rPr>
        <w:t>.3</w:t>
      </w:r>
      <w:r w:rsidRPr="00754BEF">
        <w:rPr>
          <w:rFonts w:eastAsia="Calibri"/>
        </w:rPr>
        <w:tab/>
      </w:r>
      <w:r w:rsidRPr="00754BEF">
        <w:t xml:space="preserve">Comparison of the permitted ranges for </w:t>
      </w:r>
      <w:r w:rsidR="00A26D46">
        <w:t>LA</w:t>
      </w:r>
      <w:r w:rsidRPr="00754BEF">
        <w:t xml:space="preserve"> across standards (Standard 2.9.1, Codex STAN 72-1981 and EU 2016</w:t>
      </w:r>
      <w:r w:rsidR="00A26D46">
        <w:t>/127</w:t>
      </w:r>
      <w:r w:rsidRPr="00754BEF">
        <w:t>), human milk concentration, and the FSANZ survey of the average content in products on the ANZ market.</w:t>
      </w:r>
    </w:p>
    <w:p w14:paraId="3590059D" w14:textId="3310E420" w:rsidR="00A26D46" w:rsidRPr="006678F3" w:rsidRDefault="00A26D46" w:rsidP="006678F3">
      <w:pPr>
        <w:rPr>
          <w:sz w:val="18"/>
        </w:rPr>
      </w:pPr>
      <w:r w:rsidRPr="006678F3">
        <w:rPr>
          <w:i/>
          <w:sz w:val="18"/>
        </w:rPr>
        <w:t># Codex specifies a guid</w:t>
      </w:r>
      <w:r>
        <w:rPr>
          <w:i/>
          <w:sz w:val="18"/>
        </w:rPr>
        <w:t>anc</w:t>
      </w:r>
      <w:r w:rsidRPr="006678F3">
        <w:rPr>
          <w:i/>
          <w:sz w:val="18"/>
        </w:rPr>
        <w:t>e upper level</w:t>
      </w:r>
    </w:p>
    <w:p w14:paraId="5CDC4936" w14:textId="77777777" w:rsidR="00754BEF" w:rsidRPr="00754BEF" w:rsidRDefault="00754BEF" w:rsidP="00754BEF">
      <w:pPr>
        <w:rPr>
          <w:rFonts w:eastAsiaTheme="minorHAnsi"/>
        </w:rPr>
      </w:pPr>
    </w:p>
    <w:p w14:paraId="3B6E6C96" w14:textId="795CACD7" w:rsidR="009F17DB" w:rsidRDefault="00FE7413" w:rsidP="00FE7413">
      <w:pPr>
        <w:widowControl w:val="0"/>
        <w:rPr>
          <w:rFonts w:eastAsia="Arial Unicode MS"/>
          <w:szCs w:val="22"/>
          <w:lang w:bidi="ar-SA"/>
        </w:rPr>
      </w:pPr>
      <w:r>
        <w:rPr>
          <w:rFonts w:eastAsia="Arial Unicode MS"/>
          <w:szCs w:val="22"/>
          <w:lang w:val="en-AU" w:bidi="ar-SA"/>
        </w:rPr>
        <w:t xml:space="preserve">Given the above discussion, FSANZ acknowledges that there is some </w:t>
      </w:r>
      <w:r w:rsidR="009F17DB">
        <w:rPr>
          <w:rFonts w:eastAsia="Arial Unicode MS"/>
          <w:szCs w:val="22"/>
          <w:lang w:bidi="ar-SA"/>
        </w:rPr>
        <w:t>evidence</w:t>
      </w:r>
      <w:r>
        <w:rPr>
          <w:rFonts w:eastAsia="Arial Unicode MS"/>
          <w:szCs w:val="22"/>
          <w:lang w:bidi="ar-SA"/>
        </w:rPr>
        <w:t xml:space="preserve"> to support increasing the LA minimum requirement. However, further information is needed to address the issues surrounding the stability and palatability of infant formula</w:t>
      </w:r>
      <w:r w:rsidR="00667EA6">
        <w:rPr>
          <w:rFonts w:eastAsia="Arial Unicode MS"/>
          <w:szCs w:val="22"/>
          <w:lang w:bidi="ar-SA"/>
        </w:rPr>
        <w:t xml:space="preserve"> when LA levels are increased</w:t>
      </w:r>
      <w:r>
        <w:rPr>
          <w:rFonts w:eastAsia="Arial Unicode MS"/>
          <w:szCs w:val="22"/>
          <w:lang w:bidi="ar-SA"/>
        </w:rPr>
        <w:t xml:space="preserve">. Moreover, adopting </w:t>
      </w:r>
      <w:r w:rsidR="00667EA6">
        <w:rPr>
          <w:rFonts w:eastAsia="Arial Unicode MS"/>
          <w:szCs w:val="22"/>
          <w:lang w:bidi="ar-SA"/>
        </w:rPr>
        <w:t xml:space="preserve">a higher minimum LA level may create some trade barriers as Codex STAN 72-1981 already sets a lower minimum </w:t>
      </w:r>
      <w:r w:rsidR="002F58FF">
        <w:rPr>
          <w:rFonts w:eastAsia="Arial Unicode MS"/>
          <w:szCs w:val="22"/>
          <w:lang w:bidi="ar-SA"/>
        </w:rPr>
        <w:t xml:space="preserve">LA </w:t>
      </w:r>
      <w:r w:rsidR="00667EA6">
        <w:rPr>
          <w:rFonts w:eastAsia="Arial Unicode MS"/>
          <w:szCs w:val="22"/>
          <w:lang w:bidi="ar-SA"/>
        </w:rPr>
        <w:t xml:space="preserve">requirement.  </w:t>
      </w:r>
      <w:r>
        <w:rPr>
          <w:rFonts w:eastAsia="Arial Unicode MS"/>
          <w:szCs w:val="22"/>
          <w:lang w:bidi="ar-SA"/>
        </w:rPr>
        <w:t xml:space="preserve">  </w:t>
      </w:r>
    </w:p>
    <w:p w14:paraId="41D34B10" w14:textId="21D6AE6E" w:rsidR="00667EA6" w:rsidRDefault="00667EA6" w:rsidP="00FE7413">
      <w:pPr>
        <w:widowControl w:val="0"/>
        <w:rPr>
          <w:rFonts w:eastAsia="Arial Unicode MS"/>
          <w:szCs w:val="22"/>
          <w:lang w:bidi="ar-SA"/>
        </w:rPr>
      </w:pPr>
    </w:p>
    <w:p w14:paraId="347011FE" w14:textId="77777777" w:rsidR="00667EA6" w:rsidRDefault="00667EA6" w:rsidP="00667EA6">
      <w:pPr>
        <w:rPr>
          <w:lang w:val="en-AU" w:bidi="ar-SA"/>
        </w:rPr>
      </w:pPr>
      <w:r>
        <w:rPr>
          <w:lang w:val="en-AU" w:bidi="ar-SA"/>
        </w:rPr>
        <w:t>Two options are proposed to best meet submitters concerns, agree with the scientific evidence, and align with international regulations:</w:t>
      </w:r>
    </w:p>
    <w:p w14:paraId="4A6F1829" w14:textId="77777777" w:rsidR="00667EA6" w:rsidRDefault="00667EA6" w:rsidP="00667EA6">
      <w:pPr>
        <w:rPr>
          <w:lang w:val="en-AU" w:bidi="ar-SA"/>
        </w:rPr>
      </w:pPr>
    </w:p>
    <w:p w14:paraId="22FEC366" w14:textId="2A5DD238" w:rsidR="00667EA6" w:rsidRDefault="00667EA6" w:rsidP="00667EA6">
      <w:pPr>
        <w:ind w:left="567"/>
        <w:rPr>
          <w:lang w:val="en-AU" w:bidi="ar-SA"/>
        </w:rPr>
      </w:pPr>
      <w:r w:rsidRPr="00194867">
        <w:rPr>
          <w:b/>
          <w:i/>
          <w:lang w:val="en-AU" w:bidi="ar-SA"/>
        </w:rPr>
        <w:t>Option 1:</w:t>
      </w:r>
      <w:r>
        <w:rPr>
          <w:lang w:val="en-AU" w:bidi="ar-SA"/>
        </w:rPr>
        <w:t xml:space="preserve"> Adopt </w:t>
      </w:r>
      <w:r w:rsidR="00244639">
        <w:rPr>
          <w:lang w:val="en-AU" w:bidi="ar-SA"/>
        </w:rPr>
        <w:t>EU 2016/127</w:t>
      </w:r>
      <w:r>
        <w:rPr>
          <w:lang w:val="en-AU" w:bidi="ar-SA"/>
        </w:rPr>
        <w:t xml:space="preserve"> minimum LA level of 120</w:t>
      </w:r>
      <w:r w:rsidR="00244639">
        <w:rPr>
          <w:lang w:val="en-AU" w:bidi="ar-SA"/>
        </w:rPr>
        <w:t xml:space="preserve"> </w:t>
      </w:r>
      <w:r>
        <w:rPr>
          <w:lang w:val="en-AU" w:bidi="ar-SA"/>
        </w:rPr>
        <w:t>mg/100</w:t>
      </w:r>
      <w:r w:rsidR="00244639">
        <w:rPr>
          <w:lang w:val="en-AU" w:bidi="ar-SA"/>
        </w:rPr>
        <w:t xml:space="preserve"> </w:t>
      </w:r>
      <w:r>
        <w:rPr>
          <w:lang w:val="en-AU" w:bidi="ar-SA"/>
        </w:rPr>
        <w:t xml:space="preserve">kJ. This option supports alignment with the most recently updated regulation standards and alignment with the </w:t>
      </w:r>
      <w:r w:rsidR="002F58FF">
        <w:rPr>
          <w:lang w:val="en-AU" w:bidi="ar-SA"/>
        </w:rPr>
        <w:t>minimum</w:t>
      </w:r>
      <w:r>
        <w:rPr>
          <w:lang w:val="en-AU" w:bidi="ar-SA"/>
        </w:rPr>
        <w:t xml:space="preserve"> LA levels noted within breast</w:t>
      </w:r>
      <w:r w:rsidR="00244639">
        <w:rPr>
          <w:lang w:val="en-AU" w:bidi="ar-SA"/>
        </w:rPr>
        <w:t xml:space="preserve"> </w:t>
      </w:r>
      <w:r>
        <w:rPr>
          <w:lang w:val="en-AU" w:bidi="ar-SA"/>
        </w:rPr>
        <w:t xml:space="preserve">milk of the ANZ population. </w:t>
      </w:r>
    </w:p>
    <w:p w14:paraId="4DE2432F" w14:textId="77777777" w:rsidR="00667EA6" w:rsidRDefault="00667EA6" w:rsidP="00667EA6">
      <w:pPr>
        <w:ind w:left="567"/>
        <w:rPr>
          <w:b/>
          <w:i/>
          <w:lang w:val="en-AU" w:bidi="ar-SA"/>
        </w:rPr>
      </w:pPr>
    </w:p>
    <w:p w14:paraId="3F92B585" w14:textId="3771913C" w:rsidR="009F17DB" w:rsidRPr="00667EA6" w:rsidRDefault="00667EA6" w:rsidP="00667EA6">
      <w:pPr>
        <w:ind w:left="567"/>
        <w:rPr>
          <w:lang w:val="en-AU" w:bidi="ar-SA"/>
        </w:rPr>
      </w:pPr>
      <w:r>
        <w:rPr>
          <w:b/>
          <w:i/>
          <w:lang w:val="en-AU" w:bidi="ar-SA"/>
        </w:rPr>
        <w:t>Option 2</w:t>
      </w:r>
      <w:r w:rsidRPr="00194867">
        <w:rPr>
          <w:b/>
          <w:i/>
          <w:lang w:val="en-AU" w:bidi="ar-SA"/>
        </w:rPr>
        <w:t>:</w:t>
      </w:r>
      <w:r>
        <w:rPr>
          <w:b/>
          <w:i/>
          <w:lang w:val="en-AU" w:bidi="ar-SA"/>
        </w:rPr>
        <w:t xml:space="preserve"> </w:t>
      </w:r>
      <w:r w:rsidRPr="00667EA6">
        <w:rPr>
          <w:lang w:val="en-AU" w:bidi="ar-SA"/>
        </w:rPr>
        <w:t>Retain the current minimum LA level of 90</w:t>
      </w:r>
      <w:r w:rsidR="00244639">
        <w:rPr>
          <w:lang w:val="en-AU" w:bidi="ar-SA"/>
        </w:rPr>
        <w:t xml:space="preserve"> </w:t>
      </w:r>
      <w:r w:rsidRPr="00667EA6">
        <w:rPr>
          <w:lang w:val="en-AU" w:bidi="ar-SA"/>
        </w:rPr>
        <w:t>mg/100</w:t>
      </w:r>
      <w:r w:rsidR="00244639">
        <w:rPr>
          <w:lang w:val="en-AU" w:bidi="ar-SA"/>
        </w:rPr>
        <w:t xml:space="preserve"> </w:t>
      </w:r>
      <w:r w:rsidRPr="00667EA6">
        <w:rPr>
          <w:lang w:val="en-AU" w:bidi="ar-SA"/>
        </w:rPr>
        <w:t>kJ within Standard 2.9.1</w:t>
      </w:r>
      <w:r w:rsidR="00A81C38">
        <w:rPr>
          <w:lang w:val="en-AU" w:bidi="ar-SA"/>
        </w:rPr>
        <w:t xml:space="preserve"> (</w:t>
      </w:r>
      <w:r w:rsidR="00A81C38" w:rsidRPr="00702F16">
        <w:rPr>
          <w:szCs w:val="20"/>
        </w:rPr>
        <w:t>S29—8</w:t>
      </w:r>
      <w:r w:rsidR="00A81C38">
        <w:rPr>
          <w:szCs w:val="20"/>
        </w:rPr>
        <w:t>)</w:t>
      </w:r>
      <w:r w:rsidRPr="00667EA6">
        <w:rPr>
          <w:lang w:val="en-AU" w:bidi="ar-SA"/>
        </w:rPr>
        <w:t xml:space="preserve">. This option migrates </w:t>
      </w:r>
      <w:r>
        <w:rPr>
          <w:lang w:val="en-AU" w:bidi="ar-SA"/>
        </w:rPr>
        <w:t>risks</w:t>
      </w:r>
      <w:r w:rsidRPr="00667EA6">
        <w:rPr>
          <w:lang w:val="en-AU" w:bidi="ar-SA"/>
        </w:rPr>
        <w:t xml:space="preserve"> surrounding infant formula stability and palatability when LA levels</w:t>
      </w:r>
      <w:r w:rsidR="002F58FF">
        <w:rPr>
          <w:lang w:val="en-AU" w:bidi="ar-SA"/>
        </w:rPr>
        <w:t xml:space="preserve"> are increased. It also represents the best available</w:t>
      </w:r>
      <w:r w:rsidRPr="00667EA6">
        <w:rPr>
          <w:lang w:val="en-AU" w:bidi="ar-SA"/>
        </w:rPr>
        <w:t xml:space="preserve"> option for alignment with Codex and would </w:t>
      </w:r>
      <w:r w:rsidR="002F58FF">
        <w:rPr>
          <w:lang w:val="en-AU" w:bidi="ar-SA"/>
        </w:rPr>
        <w:t xml:space="preserve">mitigate risk of reformulation or trade implications. </w:t>
      </w:r>
      <w:r w:rsidRPr="00667EA6">
        <w:rPr>
          <w:lang w:val="en-AU" w:bidi="ar-SA"/>
        </w:rPr>
        <w:t xml:space="preserve"> </w:t>
      </w:r>
    </w:p>
    <w:p w14:paraId="7424B907" w14:textId="68694AA2" w:rsidR="00152EDE" w:rsidRDefault="00776154" w:rsidP="00826738">
      <w:pPr>
        <w:pStyle w:val="Heading4"/>
      </w:pPr>
      <w:r>
        <w:t xml:space="preserve">Proposed </w:t>
      </w:r>
      <w:r w:rsidR="00C30BAC">
        <w:t>approach</w:t>
      </w:r>
    </w:p>
    <w:p w14:paraId="46768C79" w14:textId="2AEBC965" w:rsidR="00152EDE" w:rsidRDefault="00152EDE" w:rsidP="007C22E2">
      <w:pPr>
        <w:rPr>
          <w:rFonts w:eastAsia="Arial Unicode MS"/>
          <w:szCs w:val="22"/>
          <w:lang w:val="en-AU" w:bidi="ar-SA"/>
        </w:rPr>
      </w:pPr>
      <w:r>
        <w:t>FSANZ proposes to align</w:t>
      </w:r>
      <w:r w:rsidR="007C22E2">
        <w:t xml:space="preserve"> </w:t>
      </w:r>
      <w:r w:rsidR="00A73E47">
        <w:t xml:space="preserve">with </w:t>
      </w:r>
      <w:r>
        <w:rPr>
          <w:rFonts w:eastAsia="Arial Unicode MS"/>
          <w:szCs w:val="22"/>
          <w:lang w:val="en-AU" w:bidi="ar-SA"/>
        </w:rPr>
        <w:t>Codex STAN 72-1981</w:t>
      </w:r>
      <w:r w:rsidR="00A73E47">
        <w:rPr>
          <w:rFonts w:eastAsia="Arial Unicode MS"/>
          <w:szCs w:val="22"/>
          <w:lang w:val="en-AU" w:bidi="ar-SA"/>
        </w:rPr>
        <w:t xml:space="preserve"> on the following</w:t>
      </w:r>
      <w:r>
        <w:rPr>
          <w:rFonts w:eastAsia="Arial Unicode MS"/>
          <w:szCs w:val="22"/>
          <w:lang w:val="en-AU" w:bidi="ar-SA"/>
        </w:rPr>
        <w:t>:</w:t>
      </w:r>
    </w:p>
    <w:p w14:paraId="15916D2E" w14:textId="6F2C0172" w:rsidR="007C22E2" w:rsidRDefault="00826738" w:rsidP="00774FC6">
      <w:pPr>
        <w:pStyle w:val="ListParagraph"/>
        <w:numPr>
          <w:ilvl w:val="0"/>
          <w:numId w:val="13"/>
        </w:numPr>
      </w:pPr>
      <w:r>
        <w:rPr>
          <w:rFonts w:eastAsia="Arial Unicode MS"/>
        </w:rPr>
        <w:t xml:space="preserve">the </w:t>
      </w:r>
      <w:r w:rsidR="00A73E47">
        <w:rPr>
          <w:rFonts w:eastAsia="Arial Unicode MS"/>
        </w:rPr>
        <w:t xml:space="preserve">LA </w:t>
      </w:r>
      <w:r>
        <w:rPr>
          <w:rFonts w:eastAsia="Arial Unicode MS"/>
        </w:rPr>
        <w:t xml:space="preserve">maximum (GUL) </w:t>
      </w:r>
      <w:r w:rsidR="00152EDE">
        <w:t>of 330</w:t>
      </w:r>
      <w:r w:rsidR="0069566D">
        <w:t xml:space="preserve"> </w:t>
      </w:r>
      <w:r w:rsidR="00152EDE">
        <w:t>mg/100</w:t>
      </w:r>
      <w:r w:rsidR="0069566D">
        <w:t xml:space="preserve"> </w:t>
      </w:r>
      <w:r w:rsidR="00152EDE">
        <w:t>kJ</w:t>
      </w:r>
    </w:p>
    <w:p w14:paraId="2C75C788" w14:textId="692D0BD0" w:rsidR="00152EDE" w:rsidRPr="008B7742" w:rsidRDefault="00152EDE" w:rsidP="00774FC6">
      <w:pPr>
        <w:pStyle w:val="FSBullet"/>
        <w:numPr>
          <w:ilvl w:val="0"/>
          <w:numId w:val="13"/>
        </w:numPr>
        <w:rPr>
          <w:rFonts w:eastAsia="Arial Unicode MS"/>
        </w:rPr>
      </w:pPr>
      <w:r w:rsidRPr="00332BD3">
        <w:t xml:space="preserve">minimum amount for </w:t>
      </w:r>
      <w:r w:rsidRPr="0069566D">
        <w:rPr>
          <w:szCs w:val="22"/>
        </w:rPr>
        <w:t xml:space="preserve">ALA </w:t>
      </w:r>
      <w:r w:rsidR="00826738" w:rsidRPr="0069566D">
        <w:rPr>
          <w:szCs w:val="22"/>
        </w:rPr>
        <w:t xml:space="preserve">(12 </w:t>
      </w:r>
      <w:r w:rsidR="00826738" w:rsidRPr="006678F3">
        <w:rPr>
          <w:szCs w:val="22"/>
        </w:rPr>
        <w:t>mg/100 kJ</w:t>
      </w:r>
      <w:r w:rsidR="00826738" w:rsidRPr="0069566D">
        <w:rPr>
          <w:szCs w:val="22"/>
        </w:rPr>
        <w:t xml:space="preserve">) </w:t>
      </w:r>
      <w:r w:rsidRPr="0069566D">
        <w:rPr>
          <w:szCs w:val="22"/>
        </w:rPr>
        <w:t>with</w:t>
      </w:r>
      <w:r>
        <w:t xml:space="preserve"> </w:t>
      </w:r>
      <w:r w:rsidRPr="008B7742">
        <w:rPr>
          <w:rFonts w:eastAsia="Arial Unicode MS"/>
        </w:rPr>
        <w:t>no prescribed maximum for ALA</w:t>
      </w:r>
    </w:p>
    <w:p w14:paraId="03E3A514" w14:textId="315A016F" w:rsidR="00152EDE" w:rsidRPr="00152EDE" w:rsidRDefault="00152EDE" w:rsidP="00774FC6">
      <w:pPr>
        <w:pStyle w:val="FSBullet"/>
        <w:numPr>
          <w:ilvl w:val="0"/>
          <w:numId w:val="13"/>
        </w:numPr>
        <w:rPr>
          <w:rFonts w:eastAsia="Arial Unicode MS"/>
        </w:rPr>
      </w:pPr>
      <w:r w:rsidRPr="00332BD3">
        <w:t>LA:ALA</w:t>
      </w:r>
      <w:r w:rsidRPr="00332BD3">
        <w:rPr>
          <w:rFonts w:eastAsia="Arial Unicode MS"/>
        </w:rPr>
        <w:t xml:space="preserve"> ratio</w:t>
      </w:r>
      <w:r>
        <w:rPr>
          <w:rFonts w:eastAsia="Arial Unicode MS"/>
        </w:rPr>
        <w:t xml:space="preserve"> range</w:t>
      </w:r>
      <w:r w:rsidRPr="00332BD3">
        <w:rPr>
          <w:rFonts w:eastAsia="Arial Unicode MS"/>
        </w:rPr>
        <w:t xml:space="preserve">. </w:t>
      </w:r>
    </w:p>
    <w:p w14:paraId="0B948F5B" w14:textId="11FC8121" w:rsidR="00826738" w:rsidRDefault="0073062B" w:rsidP="00826738">
      <w:pPr>
        <w:rPr>
          <w:lang w:val="en-AU"/>
        </w:rPr>
      </w:pPr>
      <w:r w:rsidRPr="0073062B">
        <w:t>Based on the conclusions of the 2016 and 2021 nutrition risk assessments</w:t>
      </w:r>
      <w:r>
        <w:t xml:space="preserve">, the risk to infant health using these amounts is low. </w:t>
      </w:r>
    </w:p>
    <w:p w14:paraId="028C52D5" w14:textId="77777777" w:rsidR="0073062B" w:rsidRDefault="0073062B" w:rsidP="00826738"/>
    <w:p w14:paraId="5E45A1C6" w14:textId="52627681" w:rsidR="00EA1DB1" w:rsidRDefault="00826738" w:rsidP="00EA1DB1">
      <w:r>
        <w:t xml:space="preserve">Based on </w:t>
      </w:r>
      <w:r w:rsidR="00FE7413">
        <w:t xml:space="preserve">the stability and palatability concerns </w:t>
      </w:r>
      <w:r w:rsidR="002F58FF">
        <w:t>associated with</w:t>
      </w:r>
      <w:r w:rsidR="00FE7413">
        <w:t xml:space="preserve"> higher LA levels</w:t>
      </w:r>
      <w:r>
        <w:t>, history of safe use</w:t>
      </w:r>
      <w:r w:rsidR="00FE7413">
        <w:t xml:space="preserve"> at current levels</w:t>
      </w:r>
      <w:r>
        <w:t xml:space="preserve"> and no </w:t>
      </w:r>
      <w:r w:rsidR="00FE7413">
        <w:t xml:space="preserve">emerging </w:t>
      </w:r>
      <w:r>
        <w:t xml:space="preserve">safety or adequacy concerns for infants, FSANZ proposes to retain the </w:t>
      </w:r>
      <w:r w:rsidRPr="00FA7092">
        <w:t>current minimum requirement for LA</w:t>
      </w:r>
      <w:r>
        <w:t xml:space="preserve"> within Standard 2.9.1</w:t>
      </w:r>
      <w:r w:rsidR="00A81C38">
        <w:t xml:space="preserve"> (</w:t>
      </w:r>
      <w:r w:rsidR="00A81C38" w:rsidRPr="00702F16">
        <w:rPr>
          <w:szCs w:val="20"/>
        </w:rPr>
        <w:t>S29—8</w:t>
      </w:r>
      <w:r w:rsidR="00A81C38">
        <w:rPr>
          <w:szCs w:val="20"/>
        </w:rPr>
        <w:t>)</w:t>
      </w:r>
      <w:r>
        <w:t xml:space="preserve">. However, we note the </w:t>
      </w:r>
      <w:r w:rsidR="00EA1DB1">
        <w:t>conclusions</w:t>
      </w:r>
      <w:r>
        <w:t xml:space="preserve"> of the 2021 </w:t>
      </w:r>
      <w:r w:rsidR="00EA1DB1">
        <w:t>nutrition</w:t>
      </w:r>
      <w:r>
        <w:t xml:space="preserve"> </w:t>
      </w:r>
      <w:r w:rsidR="0069566D">
        <w:t xml:space="preserve">risk </w:t>
      </w:r>
      <w:r>
        <w:t xml:space="preserve">assessment. </w:t>
      </w:r>
      <w:r w:rsidR="00EA1DB1">
        <w:t xml:space="preserve">Therefore, we are seeking further information from health professionals on nutritional adequacy concerns related to the current LA minimum </w:t>
      </w:r>
      <w:r w:rsidR="002F58FF">
        <w:t xml:space="preserve">requirement </w:t>
      </w:r>
      <w:r w:rsidR="00C00D38">
        <w:t>in</w:t>
      </w:r>
      <w:r w:rsidR="00EA1DB1">
        <w:t xml:space="preserve"> Standard 2.9.1</w:t>
      </w:r>
      <w:r w:rsidR="008B1ED5">
        <w:t xml:space="preserve"> (S29—8)</w:t>
      </w:r>
      <w:r w:rsidR="00EA1DB1">
        <w:t xml:space="preserve">. FSANZ is also seeking further information from industry professionals on the technological concerns in </w:t>
      </w:r>
      <w:r w:rsidR="00EA1DB1">
        <w:lastRenderedPageBreak/>
        <w:t xml:space="preserve">meeting a higher level of LA within infant formula, such as </w:t>
      </w:r>
      <w:r w:rsidR="0069566D">
        <w:t xml:space="preserve">how </w:t>
      </w:r>
      <w:r w:rsidR="00EA1DB1">
        <w:t>palatability and</w:t>
      </w:r>
      <w:r w:rsidR="002F58FF">
        <w:t xml:space="preserve"> </w:t>
      </w:r>
      <w:r w:rsidR="0069566D">
        <w:t xml:space="preserve">stability are affected by </w:t>
      </w:r>
      <w:r w:rsidR="002F58FF">
        <w:t>further</w:t>
      </w:r>
      <w:r w:rsidR="00EA1DB1">
        <w:t xml:space="preserve"> addition of ALA and DHA.</w:t>
      </w:r>
    </w:p>
    <w:p w14:paraId="5117B932" w14:textId="507C6B9E" w:rsidR="00776154" w:rsidRDefault="006678F3" w:rsidP="00776154">
      <w:pPr>
        <w:pStyle w:val="Heading2"/>
      </w:pPr>
      <w:bookmarkStart w:id="244" w:name="_Toc73455625"/>
      <w:bookmarkStart w:id="245" w:name="_Toc73624898"/>
      <w:bookmarkStart w:id="246" w:name="_Toc76138282"/>
      <w:r>
        <w:t>5</w:t>
      </w:r>
      <w:r w:rsidR="00776154">
        <w:t>.4</w:t>
      </w:r>
      <w:r w:rsidR="00776154">
        <w:tab/>
        <w:t>Long chain polyunsaturated fatty acids</w:t>
      </w:r>
      <w:r w:rsidR="0024283B" w:rsidRPr="0024283B">
        <w:t xml:space="preserve"> and other LC</w:t>
      </w:r>
      <w:r w:rsidR="0048005E">
        <w:t>-</w:t>
      </w:r>
      <w:r w:rsidR="0024283B" w:rsidRPr="0024283B">
        <w:t>PUFA, ratios and sources</w:t>
      </w:r>
      <w:bookmarkEnd w:id="244"/>
      <w:bookmarkEnd w:id="245"/>
      <w:bookmarkEnd w:id="246"/>
    </w:p>
    <w:p w14:paraId="162893C0" w14:textId="7251CE0A" w:rsidR="00776154" w:rsidRDefault="00776154" w:rsidP="00776154">
      <w:pPr>
        <w:rPr>
          <w:lang w:val="en-AU" w:eastAsia="en-AU" w:bidi="ar-SA"/>
        </w:rPr>
      </w:pPr>
      <w:r>
        <w:rPr>
          <w:lang w:val="en-AU" w:eastAsia="en-AU" w:bidi="ar-SA"/>
        </w:rPr>
        <w:t>The 2016 C</w:t>
      </w:r>
      <w:r w:rsidR="00D81FE2">
        <w:rPr>
          <w:lang w:val="en-AU" w:eastAsia="en-AU" w:bidi="ar-SA"/>
        </w:rPr>
        <w:t>onsultation paper</w:t>
      </w:r>
      <w:r>
        <w:rPr>
          <w:lang w:val="en-AU" w:eastAsia="en-AU" w:bidi="ar-SA"/>
        </w:rPr>
        <w:t xml:space="preserve"> covered a range of issues related to LC</w:t>
      </w:r>
      <w:r w:rsidR="0048005E">
        <w:rPr>
          <w:lang w:val="en-AU" w:eastAsia="en-AU" w:bidi="ar-SA"/>
        </w:rPr>
        <w:t>-</w:t>
      </w:r>
      <w:r>
        <w:rPr>
          <w:lang w:val="en-AU" w:eastAsia="en-AU" w:bidi="ar-SA"/>
        </w:rPr>
        <w:t>PUFA. Only DHA generated numerous comments that did not support FSANZ preliminary view.</w:t>
      </w:r>
      <w:r w:rsidRPr="003C461A">
        <w:rPr>
          <w:lang w:val="en-AU" w:eastAsia="en-AU" w:bidi="ar-SA"/>
        </w:rPr>
        <w:t xml:space="preserve"> Submissions for </w:t>
      </w:r>
      <w:r w:rsidR="00D81FE2">
        <w:rPr>
          <w:lang w:val="en-AU" w:eastAsia="en-AU" w:bidi="ar-SA"/>
        </w:rPr>
        <w:t xml:space="preserve">questions about </w:t>
      </w:r>
      <w:r>
        <w:rPr>
          <w:lang w:val="en-AU" w:eastAsia="en-AU" w:bidi="ar-SA"/>
        </w:rPr>
        <w:t xml:space="preserve">the </w:t>
      </w:r>
      <w:r w:rsidR="00D81FE2">
        <w:rPr>
          <w:lang w:val="en-AU" w:eastAsia="en-AU" w:bidi="ar-SA"/>
        </w:rPr>
        <w:t xml:space="preserve">other </w:t>
      </w:r>
      <w:r>
        <w:rPr>
          <w:lang w:val="en-AU" w:eastAsia="en-AU" w:bidi="ar-SA"/>
        </w:rPr>
        <w:t>LC</w:t>
      </w:r>
      <w:r w:rsidR="0048005E">
        <w:rPr>
          <w:lang w:val="en-AU" w:eastAsia="en-AU" w:bidi="ar-SA"/>
        </w:rPr>
        <w:t>-</w:t>
      </w:r>
      <w:r>
        <w:rPr>
          <w:lang w:val="en-AU" w:eastAsia="en-AU" w:bidi="ar-SA"/>
        </w:rPr>
        <w:t xml:space="preserve">PUFA </w:t>
      </w:r>
      <w:r w:rsidRPr="003C461A">
        <w:rPr>
          <w:lang w:val="en-AU" w:eastAsia="en-AU" w:bidi="ar-SA"/>
        </w:rPr>
        <w:t>were either supportive with FSANZ’s preliminary view or did not comment</w:t>
      </w:r>
      <w:r>
        <w:rPr>
          <w:lang w:val="en-AU" w:eastAsia="en-AU" w:bidi="ar-SA"/>
        </w:rPr>
        <w:t>.</w:t>
      </w:r>
    </w:p>
    <w:p w14:paraId="2DB8E566" w14:textId="70A336A2" w:rsidR="00776154" w:rsidRDefault="00776154" w:rsidP="00776154">
      <w:pPr>
        <w:pStyle w:val="Heading4"/>
        <w:rPr>
          <w:lang w:eastAsia="en-AU"/>
        </w:rPr>
      </w:pPr>
      <w:r>
        <w:rPr>
          <w:lang w:eastAsia="en-AU"/>
        </w:rPr>
        <w:t>Current regulation</w:t>
      </w:r>
      <w:r w:rsidR="007A6CD5">
        <w:rPr>
          <w:lang w:eastAsia="en-AU"/>
        </w:rPr>
        <w:t>s</w:t>
      </w:r>
    </w:p>
    <w:p w14:paraId="52DD0D81" w14:textId="748A824A" w:rsidR="00843305" w:rsidRDefault="00843305" w:rsidP="00776154">
      <w:pPr>
        <w:rPr>
          <w:rFonts w:eastAsia="Arial Unicode MS"/>
          <w:lang w:val="en-AU" w:bidi="ar-SA"/>
        </w:rPr>
      </w:pPr>
      <w:r>
        <w:rPr>
          <w:rFonts w:eastAsia="Arial Unicode MS"/>
          <w:lang w:val="en-AU" w:bidi="ar-SA"/>
        </w:rPr>
        <w:t xml:space="preserve">Table 5.5. summarises regulatory requirements for the permitted range of LC-PUFAs. </w:t>
      </w:r>
    </w:p>
    <w:p w14:paraId="2CDDAA79" w14:textId="77777777" w:rsidR="006309DB" w:rsidRDefault="006309DB" w:rsidP="00776154">
      <w:pPr>
        <w:rPr>
          <w:rFonts w:eastAsia="Arial Unicode MS"/>
          <w:lang w:val="en-AU" w:bidi="ar-SA"/>
        </w:rPr>
      </w:pPr>
    </w:p>
    <w:p w14:paraId="5FC7F6DE" w14:textId="16337D1E" w:rsidR="00776154" w:rsidRDefault="006309DB" w:rsidP="00E9515E">
      <w:pPr>
        <w:pStyle w:val="FSTitle"/>
        <w:rPr>
          <w:rFonts w:eastAsia="Arial Unicode MS"/>
          <w:lang w:val="en-AU" w:bidi="ar-SA"/>
        </w:rPr>
      </w:pPr>
      <w:bookmarkStart w:id="247" w:name="_Toc74061235"/>
      <w:r w:rsidRPr="000B7A14">
        <w:rPr>
          <w:lang w:eastAsia="en-AU"/>
        </w:rPr>
        <w:t xml:space="preserve">Table </w:t>
      </w:r>
      <w:r w:rsidR="006678F3">
        <w:rPr>
          <w:lang w:eastAsia="en-AU"/>
        </w:rPr>
        <w:t>5</w:t>
      </w:r>
      <w:r w:rsidR="00843305">
        <w:rPr>
          <w:lang w:eastAsia="en-AU"/>
        </w:rPr>
        <w:t>.5</w:t>
      </w:r>
      <w:r w:rsidR="00843305">
        <w:rPr>
          <w:lang w:eastAsia="en-AU"/>
        </w:rPr>
        <w:tab/>
      </w:r>
      <w:r w:rsidRPr="008468E6">
        <w:t>Permitted range for</w:t>
      </w:r>
      <w:r>
        <w:t xml:space="preserve"> LC-PUFAs</w:t>
      </w:r>
      <w:bookmarkEnd w:id="247"/>
    </w:p>
    <w:tbl>
      <w:tblPr>
        <w:tblStyle w:val="MediumShading1-Accent3"/>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Caption w:val="Table 5.4.1 Permitted range for LC-PUFAs"/>
        <w:tblDescription w:val="This table summarises the permitted range and ratios for LC-PUFAs in Standard 2.9.1, Codex STAN 72-1981 and EU 2016/127.&#10;"/>
      </w:tblPr>
      <w:tblGrid>
        <w:gridCol w:w="1555"/>
        <w:gridCol w:w="1275"/>
        <w:gridCol w:w="1134"/>
        <w:gridCol w:w="1276"/>
        <w:gridCol w:w="897"/>
        <w:gridCol w:w="898"/>
        <w:gridCol w:w="898"/>
        <w:gridCol w:w="1139"/>
      </w:tblGrid>
      <w:tr w:rsidR="00776154" w:rsidRPr="00203952" w14:paraId="37B4A8F4" w14:textId="77777777" w:rsidTr="008B1ED5">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555" w:type="dxa"/>
            <w:vMerge w:val="restart"/>
            <w:tcBorders>
              <w:top w:val="none" w:sz="0" w:space="0" w:color="auto"/>
              <w:left w:val="none" w:sz="0" w:space="0" w:color="auto"/>
              <w:bottom w:val="none" w:sz="0" w:space="0" w:color="auto"/>
              <w:right w:val="none" w:sz="0" w:space="0" w:color="auto"/>
            </w:tcBorders>
            <w:shd w:val="clear" w:color="auto" w:fill="E5DFEC" w:themeFill="accent4" w:themeFillTint="33"/>
            <w:vAlign w:val="center"/>
          </w:tcPr>
          <w:p w14:paraId="15568ABA" w14:textId="77777777" w:rsidR="00776154" w:rsidRPr="00BC5468" w:rsidRDefault="00776154" w:rsidP="00776154">
            <w:pPr>
              <w:pStyle w:val="FSTableTitle"/>
              <w:jc w:val="center"/>
              <w:rPr>
                <w:b/>
                <w:color w:val="auto"/>
                <w:lang w:val="en-AU" w:bidi="ar-SA"/>
              </w:rPr>
            </w:pPr>
            <w:r w:rsidRPr="00BC5468">
              <w:rPr>
                <w:b/>
                <w:color w:val="auto"/>
                <w:lang w:val="en-AU" w:bidi="ar-SA"/>
              </w:rPr>
              <w:t>Standard</w:t>
            </w:r>
          </w:p>
        </w:tc>
        <w:tc>
          <w:tcPr>
            <w:tcW w:w="3685" w:type="dxa"/>
            <w:gridSpan w:val="3"/>
            <w:tcBorders>
              <w:top w:val="none" w:sz="0" w:space="0" w:color="auto"/>
              <w:left w:val="none" w:sz="0" w:space="0" w:color="auto"/>
              <w:bottom w:val="none" w:sz="0" w:space="0" w:color="auto"/>
              <w:right w:val="none" w:sz="0" w:space="0" w:color="auto"/>
            </w:tcBorders>
            <w:shd w:val="clear" w:color="auto" w:fill="DBE5F1" w:themeFill="accent1" w:themeFillTint="33"/>
            <w:vAlign w:val="center"/>
          </w:tcPr>
          <w:p w14:paraId="3414C083" w14:textId="5D7393BE" w:rsidR="00776154" w:rsidRPr="00BC5468" w:rsidRDefault="00776154" w:rsidP="00776154">
            <w:pPr>
              <w:pStyle w:val="FSTableText"/>
              <w:spacing w:before="40" w:after="40"/>
              <w:jc w:val="center"/>
              <w:cnfStyle w:val="100000000000" w:firstRow="1" w:lastRow="0" w:firstColumn="0" w:lastColumn="0" w:oddVBand="0" w:evenVBand="0" w:oddHBand="0" w:evenHBand="0" w:firstRowFirstColumn="0" w:firstRowLastColumn="0" w:lastRowFirstColumn="0" w:lastRowLastColumn="0"/>
              <w:rPr>
                <w:color w:val="auto"/>
                <w:lang w:val="en-AU" w:bidi="ar-SA"/>
              </w:rPr>
            </w:pPr>
            <w:r w:rsidRPr="00BC5468">
              <w:rPr>
                <w:color w:val="auto"/>
                <w:lang w:val="en-AU" w:bidi="ar-SA"/>
              </w:rPr>
              <w:t>n-6 and n-3 LC-PUFA</w:t>
            </w:r>
          </w:p>
          <w:p w14:paraId="1B2A2B3F" w14:textId="77777777" w:rsidR="00776154" w:rsidRPr="00BC5468" w:rsidRDefault="00776154" w:rsidP="00776154">
            <w:pPr>
              <w:pStyle w:val="FSTableText"/>
              <w:spacing w:before="40" w:after="40"/>
              <w:jc w:val="center"/>
              <w:cnfStyle w:val="100000000000" w:firstRow="1" w:lastRow="0" w:firstColumn="0" w:lastColumn="0" w:oddVBand="0" w:evenVBand="0" w:oddHBand="0" w:evenHBand="0" w:firstRowFirstColumn="0" w:firstRowLastColumn="0" w:lastRowFirstColumn="0" w:lastRowLastColumn="0"/>
              <w:rPr>
                <w:color w:val="auto"/>
                <w:lang w:val="en-AU" w:bidi="ar-SA"/>
              </w:rPr>
            </w:pPr>
            <w:r w:rsidRPr="00BC5468">
              <w:rPr>
                <w:color w:val="auto"/>
                <w:lang w:val="en-AU" w:bidi="ar-SA"/>
              </w:rPr>
              <w:t>maximum</w:t>
            </w:r>
          </w:p>
        </w:tc>
        <w:tc>
          <w:tcPr>
            <w:tcW w:w="3832" w:type="dxa"/>
            <w:gridSpan w:val="4"/>
            <w:tcBorders>
              <w:top w:val="none" w:sz="0" w:space="0" w:color="auto"/>
              <w:left w:val="none" w:sz="0" w:space="0" w:color="auto"/>
              <w:bottom w:val="none" w:sz="0" w:space="0" w:color="auto"/>
              <w:right w:val="none" w:sz="0" w:space="0" w:color="auto"/>
            </w:tcBorders>
            <w:shd w:val="clear" w:color="auto" w:fill="EAF1DD" w:themeFill="accent3" w:themeFillTint="33"/>
            <w:vAlign w:val="center"/>
          </w:tcPr>
          <w:p w14:paraId="3BC9D891" w14:textId="77777777" w:rsidR="00776154" w:rsidRPr="00BC5468" w:rsidRDefault="00776154" w:rsidP="00776154">
            <w:pPr>
              <w:pStyle w:val="FSTableText"/>
              <w:spacing w:before="40" w:after="40"/>
              <w:jc w:val="center"/>
              <w:cnfStyle w:val="100000000000" w:firstRow="1" w:lastRow="0" w:firstColumn="0" w:lastColumn="0" w:oddVBand="0" w:evenVBand="0" w:oddHBand="0" w:evenHBand="0" w:firstRowFirstColumn="0" w:firstRowLastColumn="0" w:lastRowFirstColumn="0" w:lastRowLastColumn="0"/>
              <w:rPr>
                <w:color w:val="auto"/>
                <w:lang w:val="en-AU" w:bidi="ar-SA"/>
              </w:rPr>
            </w:pPr>
            <w:r w:rsidRPr="00BC5468">
              <w:rPr>
                <w:color w:val="auto"/>
                <w:lang w:val="en-AU" w:bidi="ar-SA"/>
              </w:rPr>
              <w:t>DHA, AA, EPA</w:t>
            </w:r>
          </w:p>
          <w:p w14:paraId="498613DC" w14:textId="77777777" w:rsidR="00776154" w:rsidRPr="00BC5468" w:rsidRDefault="00776154" w:rsidP="00776154">
            <w:pPr>
              <w:pStyle w:val="FSTableText"/>
              <w:spacing w:before="40" w:after="40"/>
              <w:jc w:val="center"/>
              <w:cnfStyle w:val="100000000000" w:firstRow="1" w:lastRow="0" w:firstColumn="0" w:lastColumn="0" w:oddVBand="0" w:evenVBand="0" w:oddHBand="0" w:evenHBand="0" w:firstRowFirstColumn="0" w:firstRowLastColumn="0" w:lastRowFirstColumn="0" w:lastRowLastColumn="0"/>
              <w:rPr>
                <w:color w:val="auto"/>
                <w:lang w:val="en-AU" w:bidi="ar-SA"/>
              </w:rPr>
            </w:pPr>
            <w:r w:rsidRPr="00BC5468">
              <w:rPr>
                <w:color w:val="auto"/>
                <w:lang w:val="en-AU" w:bidi="ar-SA"/>
              </w:rPr>
              <w:t>maximum</w:t>
            </w:r>
          </w:p>
        </w:tc>
      </w:tr>
      <w:tr w:rsidR="00776154" w14:paraId="61CC22B2" w14:textId="77777777" w:rsidTr="008B1ED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555" w:type="dxa"/>
            <w:vMerge/>
            <w:tcBorders>
              <w:right w:val="none" w:sz="0" w:space="0" w:color="auto"/>
            </w:tcBorders>
            <w:shd w:val="clear" w:color="auto" w:fill="E5DFEC" w:themeFill="accent4" w:themeFillTint="33"/>
            <w:vAlign w:val="center"/>
          </w:tcPr>
          <w:p w14:paraId="28C25DCD" w14:textId="77777777" w:rsidR="00776154" w:rsidRPr="00BC5468" w:rsidRDefault="00776154" w:rsidP="00776154">
            <w:pPr>
              <w:pStyle w:val="FSTableTitle"/>
              <w:jc w:val="center"/>
              <w:rPr>
                <w:b/>
                <w:lang w:val="en-AU" w:bidi="ar-SA"/>
              </w:rPr>
            </w:pPr>
          </w:p>
        </w:tc>
        <w:tc>
          <w:tcPr>
            <w:tcW w:w="2409" w:type="dxa"/>
            <w:gridSpan w:val="2"/>
            <w:tcBorders>
              <w:left w:val="none" w:sz="0" w:space="0" w:color="auto"/>
              <w:right w:val="none" w:sz="0" w:space="0" w:color="auto"/>
            </w:tcBorders>
            <w:shd w:val="clear" w:color="auto" w:fill="DBE5F1" w:themeFill="accent1" w:themeFillTint="33"/>
            <w:vAlign w:val="center"/>
          </w:tcPr>
          <w:p w14:paraId="43954E0D" w14:textId="63998E4E" w:rsidR="00776154" w:rsidRPr="00BC5468" w:rsidRDefault="00776154" w:rsidP="00D81FE2">
            <w:pPr>
              <w:pStyle w:val="FSTableText"/>
              <w:spacing w:before="40" w:after="40"/>
              <w:jc w:val="center"/>
              <w:cnfStyle w:val="000000100000" w:firstRow="0" w:lastRow="0" w:firstColumn="0" w:lastColumn="0" w:oddVBand="0" w:evenVBand="0" w:oddHBand="1" w:evenHBand="0" w:firstRowFirstColumn="0" w:firstRowLastColumn="0" w:lastRowFirstColumn="0" w:lastRowLastColumn="0"/>
              <w:rPr>
                <w:b/>
                <w:lang w:val="en-AU" w:bidi="ar-SA"/>
              </w:rPr>
            </w:pPr>
            <w:r w:rsidRPr="00BC5468">
              <w:rPr>
                <w:b/>
                <w:i/>
                <w:lang w:val="en-AU" w:bidi="ar-SA"/>
              </w:rPr>
              <w:t xml:space="preserve">% </w:t>
            </w:r>
            <w:r w:rsidR="00D81FE2" w:rsidRPr="00BC5468">
              <w:rPr>
                <w:b/>
                <w:i/>
                <w:lang w:val="en-AU" w:bidi="ar-SA"/>
              </w:rPr>
              <w:t>t</w:t>
            </w:r>
            <w:r w:rsidRPr="00BC5468">
              <w:rPr>
                <w:b/>
                <w:i/>
                <w:lang w:val="en-AU" w:bidi="ar-SA"/>
              </w:rPr>
              <w:t xml:space="preserve">otal </w:t>
            </w:r>
            <w:r w:rsidR="00D81FE2" w:rsidRPr="00BC5468">
              <w:rPr>
                <w:b/>
                <w:i/>
                <w:lang w:val="en-AU" w:bidi="ar-SA"/>
              </w:rPr>
              <w:t>fatty acids</w:t>
            </w:r>
          </w:p>
        </w:tc>
        <w:tc>
          <w:tcPr>
            <w:tcW w:w="1276" w:type="dxa"/>
            <w:vMerge w:val="restart"/>
            <w:tcBorders>
              <w:left w:val="none" w:sz="0" w:space="0" w:color="auto"/>
              <w:right w:val="none" w:sz="0" w:space="0" w:color="auto"/>
            </w:tcBorders>
            <w:shd w:val="clear" w:color="auto" w:fill="DBE5F1" w:themeFill="accent1" w:themeFillTint="33"/>
            <w:vAlign w:val="center"/>
          </w:tcPr>
          <w:p w14:paraId="51E014A0" w14:textId="77777777" w:rsidR="00776154" w:rsidRPr="00BC5468" w:rsidRDefault="00776154" w:rsidP="00776154">
            <w:pPr>
              <w:pStyle w:val="FSTableText"/>
              <w:spacing w:before="40" w:after="40"/>
              <w:jc w:val="center"/>
              <w:cnfStyle w:val="000000100000" w:firstRow="0" w:lastRow="0" w:firstColumn="0" w:lastColumn="0" w:oddVBand="0" w:evenVBand="0" w:oddHBand="1" w:evenHBand="0" w:firstRowFirstColumn="0" w:firstRowLastColumn="0" w:lastRowFirstColumn="0" w:lastRowLastColumn="0"/>
              <w:rPr>
                <w:b/>
                <w:lang w:val="en-AU" w:bidi="ar-SA"/>
              </w:rPr>
            </w:pPr>
            <w:r w:rsidRPr="00BC5468">
              <w:rPr>
                <w:b/>
                <w:lang w:val="en-AU" w:bidi="ar-SA"/>
              </w:rPr>
              <w:t>Ratio</w:t>
            </w:r>
          </w:p>
        </w:tc>
        <w:tc>
          <w:tcPr>
            <w:tcW w:w="2693" w:type="dxa"/>
            <w:gridSpan w:val="3"/>
            <w:tcBorders>
              <w:left w:val="none" w:sz="0" w:space="0" w:color="auto"/>
              <w:right w:val="none" w:sz="0" w:space="0" w:color="auto"/>
            </w:tcBorders>
            <w:shd w:val="clear" w:color="auto" w:fill="EAF1DD" w:themeFill="accent3" w:themeFillTint="33"/>
            <w:vAlign w:val="center"/>
          </w:tcPr>
          <w:p w14:paraId="1C84180B" w14:textId="0B49A415" w:rsidR="00776154" w:rsidRPr="00BC5468" w:rsidRDefault="00776154" w:rsidP="00D81FE2">
            <w:pPr>
              <w:pStyle w:val="FSTableText"/>
              <w:spacing w:before="40" w:after="40"/>
              <w:jc w:val="center"/>
              <w:cnfStyle w:val="000000100000" w:firstRow="0" w:lastRow="0" w:firstColumn="0" w:lastColumn="0" w:oddVBand="0" w:evenVBand="0" w:oddHBand="1" w:evenHBand="0" w:firstRowFirstColumn="0" w:firstRowLastColumn="0" w:lastRowFirstColumn="0" w:lastRowLastColumn="0"/>
              <w:rPr>
                <w:b/>
                <w:lang w:val="en-AU" w:bidi="ar-SA"/>
              </w:rPr>
            </w:pPr>
            <w:r w:rsidRPr="00BC5468">
              <w:rPr>
                <w:b/>
                <w:i/>
                <w:lang w:val="en-AU" w:bidi="ar-SA"/>
              </w:rPr>
              <w:t xml:space="preserve">% </w:t>
            </w:r>
            <w:r w:rsidR="00D81FE2" w:rsidRPr="00BC5468">
              <w:rPr>
                <w:b/>
                <w:i/>
                <w:lang w:val="en-AU" w:bidi="ar-SA"/>
              </w:rPr>
              <w:t>t</w:t>
            </w:r>
            <w:r w:rsidRPr="00BC5468">
              <w:rPr>
                <w:b/>
                <w:i/>
                <w:lang w:val="en-AU" w:bidi="ar-SA"/>
              </w:rPr>
              <w:t xml:space="preserve">otal </w:t>
            </w:r>
            <w:r w:rsidR="00D81FE2" w:rsidRPr="00BC5468">
              <w:rPr>
                <w:b/>
                <w:i/>
                <w:lang w:val="en-AU" w:bidi="ar-SA"/>
              </w:rPr>
              <w:t>fatty acids</w:t>
            </w:r>
          </w:p>
        </w:tc>
        <w:tc>
          <w:tcPr>
            <w:tcW w:w="1139" w:type="dxa"/>
            <w:vMerge w:val="restart"/>
            <w:tcBorders>
              <w:left w:val="none" w:sz="0" w:space="0" w:color="auto"/>
            </w:tcBorders>
            <w:shd w:val="clear" w:color="auto" w:fill="EAF1DD" w:themeFill="accent3" w:themeFillTint="33"/>
            <w:vAlign w:val="center"/>
          </w:tcPr>
          <w:p w14:paraId="129B1047" w14:textId="77777777" w:rsidR="00776154" w:rsidRPr="00BC5468" w:rsidRDefault="00776154" w:rsidP="00776154">
            <w:pPr>
              <w:pStyle w:val="FSTableText"/>
              <w:spacing w:before="40" w:after="40"/>
              <w:jc w:val="center"/>
              <w:cnfStyle w:val="000000100000" w:firstRow="0" w:lastRow="0" w:firstColumn="0" w:lastColumn="0" w:oddVBand="0" w:evenVBand="0" w:oddHBand="1" w:evenHBand="0" w:firstRowFirstColumn="0" w:firstRowLastColumn="0" w:lastRowFirstColumn="0" w:lastRowLastColumn="0"/>
              <w:rPr>
                <w:b/>
                <w:lang w:val="en-AU" w:bidi="ar-SA"/>
              </w:rPr>
            </w:pPr>
            <w:r w:rsidRPr="00BC5468">
              <w:rPr>
                <w:b/>
                <w:lang w:val="en-AU" w:bidi="ar-SA"/>
              </w:rPr>
              <w:t>Ratio</w:t>
            </w:r>
          </w:p>
        </w:tc>
      </w:tr>
      <w:tr w:rsidR="00776154" w:rsidRPr="00203952" w14:paraId="1B75C05F" w14:textId="77777777" w:rsidTr="008B1ED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555" w:type="dxa"/>
            <w:vMerge/>
            <w:tcBorders>
              <w:right w:val="none" w:sz="0" w:space="0" w:color="auto"/>
            </w:tcBorders>
            <w:shd w:val="clear" w:color="auto" w:fill="E5DFEC" w:themeFill="accent4" w:themeFillTint="33"/>
          </w:tcPr>
          <w:p w14:paraId="6F5BFBA0" w14:textId="77777777" w:rsidR="00776154" w:rsidRPr="00346669" w:rsidRDefault="00776154" w:rsidP="00776154">
            <w:pPr>
              <w:pStyle w:val="FSTableText"/>
              <w:spacing w:before="40" w:after="40"/>
              <w:jc w:val="center"/>
              <w:rPr>
                <w:color w:val="FFFFFF" w:themeColor="background1"/>
                <w:lang w:val="en-AU" w:bidi="ar-SA"/>
              </w:rPr>
            </w:pPr>
          </w:p>
        </w:tc>
        <w:tc>
          <w:tcPr>
            <w:tcW w:w="1275" w:type="dxa"/>
            <w:tcBorders>
              <w:left w:val="none" w:sz="0" w:space="0" w:color="auto"/>
              <w:right w:val="none" w:sz="0" w:space="0" w:color="auto"/>
            </w:tcBorders>
            <w:shd w:val="clear" w:color="auto" w:fill="DBE5F1" w:themeFill="accent1" w:themeFillTint="33"/>
          </w:tcPr>
          <w:p w14:paraId="36D117B8" w14:textId="7A3B617C" w:rsidR="00776154" w:rsidRPr="00BC5468" w:rsidRDefault="00776154" w:rsidP="00776154">
            <w:pPr>
              <w:pStyle w:val="FSTableText"/>
              <w:spacing w:before="40" w:after="40"/>
              <w:jc w:val="center"/>
              <w:cnfStyle w:val="000000010000" w:firstRow="0" w:lastRow="0" w:firstColumn="0" w:lastColumn="0" w:oddVBand="0" w:evenVBand="0" w:oddHBand="0" w:evenHBand="1" w:firstRowFirstColumn="0" w:firstRowLastColumn="0" w:lastRowFirstColumn="0" w:lastRowLastColumn="0"/>
              <w:rPr>
                <w:b/>
                <w:lang w:val="en-AU" w:bidi="ar-SA"/>
              </w:rPr>
            </w:pPr>
            <w:r w:rsidRPr="00BC5468">
              <w:rPr>
                <w:b/>
                <w:lang w:val="en-AU" w:bidi="ar-SA"/>
              </w:rPr>
              <w:t xml:space="preserve">n-6 LC-PUFA </w:t>
            </w:r>
          </w:p>
        </w:tc>
        <w:tc>
          <w:tcPr>
            <w:tcW w:w="1134" w:type="dxa"/>
            <w:tcBorders>
              <w:left w:val="none" w:sz="0" w:space="0" w:color="auto"/>
              <w:right w:val="none" w:sz="0" w:space="0" w:color="auto"/>
            </w:tcBorders>
            <w:shd w:val="clear" w:color="auto" w:fill="DBE5F1" w:themeFill="accent1" w:themeFillTint="33"/>
          </w:tcPr>
          <w:p w14:paraId="0E87CB95" w14:textId="41EFA376" w:rsidR="00776154" w:rsidRPr="00BC5468" w:rsidRDefault="00776154" w:rsidP="00776154">
            <w:pPr>
              <w:pStyle w:val="FSTableText"/>
              <w:spacing w:before="40" w:after="40"/>
              <w:jc w:val="center"/>
              <w:cnfStyle w:val="000000010000" w:firstRow="0" w:lastRow="0" w:firstColumn="0" w:lastColumn="0" w:oddVBand="0" w:evenVBand="0" w:oddHBand="0" w:evenHBand="1" w:firstRowFirstColumn="0" w:firstRowLastColumn="0" w:lastRowFirstColumn="0" w:lastRowLastColumn="0"/>
              <w:rPr>
                <w:b/>
                <w:lang w:val="en-AU" w:bidi="ar-SA"/>
              </w:rPr>
            </w:pPr>
            <w:r w:rsidRPr="00BC5468">
              <w:rPr>
                <w:b/>
                <w:lang w:val="en-AU" w:bidi="ar-SA"/>
              </w:rPr>
              <w:t xml:space="preserve">3 LC-PUFA </w:t>
            </w:r>
          </w:p>
        </w:tc>
        <w:tc>
          <w:tcPr>
            <w:tcW w:w="1276" w:type="dxa"/>
            <w:vMerge/>
            <w:tcBorders>
              <w:left w:val="none" w:sz="0" w:space="0" w:color="auto"/>
              <w:right w:val="none" w:sz="0" w:space="0" w:color="auto"/>
            </w:tcBorders>
            <w:shd w:val="clear" w:color="auto" w:fill="9BBB59" w:themeFill="accent3"/>
          </w:tcPr>
          <w:p w14:paraId="0A99CF86" w14:textId="77777777" w:rsidR="00776154" w:rsidRPr="00BC5468" w:rsidRDefault="00776154" w:rsidP="00776154">
            <w:pPr>
              <w:pStyle w:val="FSTableText"/>
              <w:spacing w:before="40" w:after="40"/>
              <w:jc w:val="center"/>
              <w:cnfStyle w:val="000000010000" w:firstRow="0" w:lastRow="0" w:firstColumn="0" w:lastColumn="0" w:oddVBand="0" w:evenVBand="0" w:oddHBand="0" w:evenHBand="1" w:firstRowFirstColumn="0" w:firstRowLastColumn="0" w:lastRowFirstColumn="0" w:lastRowLastColumn="0"/>
              <w:rPr>
                <w:b/>
                <w:lang w:val="en-AU" w:bidi="ar-SA"/>
              </w:rPr>
            </w:pPr>
          </w:p>
        </w:tc>
        <w:tc>
          <w:tcPr>
            <w:tcW w:w="897" w:type="dxa"/>
            <w:tcBorders>
              <w:left w:val="none" w:sz="0" w:space="0" w:color="auto"/>
              <w:right w:val="none" w:sz="0" w:space="0" w:color="auto"/>
            </w:tcBorders>
            <w:shd w:val="clear" w:color="auto" w:fill="EAF1DD" w:themeFill="accent3" w:themeFillTint="33"/>
          </w:tcPr>
          <w:p w14:paraId="49BB0A97" w14:textId="77777777" w:rsidR="00776154" w:rsidRPr="00BC5468" w:rsidRDefault="00776154" w:rsidP="00776154">
            <w:pPr>
              <w:pStyle w:val="FSTableText"/>
              <w:spacing w:before="40" w:after="40"/>
              <w:jc w:val="center"/>
              <w:cnfStyle w:val="000000010000" w:firstRow="0" w:lastRow="0" w:firstColumn="0" w:lastColumn="0" w:oddVBand="0" w:evenVBand="0" w:oddHBand="0" w:evenHBand="1" w:firstRowFirstColumn="0" w:firstRowLastColumn="0" w:lastRowFirstColumn="0" w:lastRowLastColumn="0"/>
              <w:rPr>
                <w:b/>
                <w:lang w:val="en-AU" w:bidi="ar-SA"/>
              </w:rPr>
            </w:pPr>
            <w:r w:rsidRPr="00BC5468">
              <w:rPr>
                <w:b/>
                <w:lang w:val="en-AU" w:bidi="ar-SA"/>
              </w:rPr>
              <w:t>AA</w:t>
            </w:r>
            <w:r w:rsidRPr="00BC5468" w:rsidDel="00683796">
              <w:rPr>
                <w:b/>
                <w:lang w:val="en-AU" w:bidi="ar-SA"/>
              </w:rPr>
              <w:t xml:space="preserve"> </w:t>
            </w:r>
          </w:p>
        </w:tc>
        <w:tc>
          <w:tcPr>
            <w:tcW w:w="898" w:type="dxa"/>
            <w:tcBorders>
              <w:left w:val="none" w:sz="0" w:space="0" w:color="auto"/>
              <w:right w:val="none" w:sz="0" w:space="0" w:color="auto"/>
            </w:tcBorders>
            <w:shd w:val="clear" w:color="auto" w:fill="EAF1DD" w:themeFill="accent3" w:themeFillTint="33"/>
          </w:tcPr>
          <w:p w14:paraId="27922490" w14:textId="77777777" w:rsidR="00776154" w:rsidRPr="00BC5468" w:rsidRDefault="00776154" w:rsidP="00776154">
            <w:pPr>
              <w:pStyle w:val="FSTableText"/>
              <w:spacing w:before="40" w:after="40"/>
              <w:jc w:val="center"/>
              <w:cnfStyle w:val="000000010000" w:firstRow="0" w:lastRow="0" w:firstColumn="0" w:lastColumn="0" w:oddVBand="0" w:evenVBand="0" w:oddHBand="0" w:evenHBand="1" w:firstRowFirstColumn="0" w:firstRowLastColumn="0" w:lastRowFirstColumn="0" w:lastRowLastColumn="0"/>
              <w:rPr>
                <w:b/>
                <w:lang w:val="en-AU" w:bidi="ar-SA"/>
              </w:rPr>
            </w:pPr>
            <w:r w:rsidRPr="00BC5468">
              <w:rPr>
                <w:b/>
                <w:lang w:val="en-AU" w:bidi="ar-SA"/>
              </w:rPr>
              <w:t>DHA</w:t>
            </w:r>
          </w:p>
        </w:tc>
        <w:tc>
          <w:tcPr>
            <w:tcW w:w="898" w:type="dxa"/>
            <w:tcBorders>
              <w:left w:val="none" w:sz="0" w:space="0" w:color="auto"/>
              <w:right w:val="none" w:sz="0" w:space="0" w:color="auto"/>
            </w:tcBorders>
            <w:shd w:val="clear" w:color="auto" w:fill="EAF1DD" w:themeFill="accent3" w:themeFillTint="33"/>
          </w:tcPr>
          <w:p w14:paraId="2C917CC2" w14:textId="77777777" w:rsidR="00776154" w:rsidRPr="00BC5468" w:rsidRDefault="00776154" w:rsidP="00776154">
            <w:pPr>
              <w:pStyle w:val="FSTableText"/>
              <w:spacing w:before="40" w:after="40"/>
              <w:jc w:val="center"/>
              <w:cnfStyle w:val="000000010000" w:firstRow="0" w:lastRow="0" w:firstColumn="0" w:lastColumn="0" w:oddVBand="0" w:evenVBand="0" w:oddHBand="0" w:evenHBand="1" w:firstRowFirstColumn="0" w:firstRowLastColumn="0" w:lastRowFirstColumn="0" w:lastRowLastColumn="0"/>
              <w:rPr>
                <w:b/>
                <w:lang w:val="en-AU" w:bidi="ar-SA"/>
              </w:rPr>
            </w:pPr>
            <w:r w:rsidRPr="00BC5468">
              <w:rPr>
                <w:b/>
                <w:lang w:val="en-AU" w:bidi="ar-SA"/>
              </w:rPr>
              <w:t>EPA</w:t>
            </w:r>
          </w:p>
        </w:tc>
        <w:tc>
          <w:tcPr>
            <w:tcW w:w="1139" w:type="dxa"/>
            <w:vMerge/>
            <w:tcBorders>
              <w:left w:val="none" w:sz="0" w:space="0" w:color="auto"/>
            </w:tcBorders>
            <w:shd w:val="clear" w:color="auto" w:fill="9BBB59" w:themeFill="accent3"/>
          </w:tcPr>
          <w:p w14:paraId="646BED26" w14:textId="77777777" w:rsidR="00776154" w:rsidRPr="00203952" w:rsidRDefault="00776154" w:rsidP="00776154">
            <w:pPr>
              <w:pStyle w:val="FSTableText"/>
              <w:spacing w:before="40" w:after="40"/>
              <w:jc w:val="center"/>
              <w:cnfStyle w:val="000000010000" w:firstRow="0" w:lastRow="0" w:firstColumn="0" w:lastColumn="0" w:oddVBand="0" w:evenVBand="0" w:oddHBand="0" w:evenHBand="1" w:firstRowFirstColumn="0" w:firstRowLastColumn="0" w:lastRowFirstColumn="0" w:lastRowLastColumn="0"/>
              <w:rPr>
                <w:b/>
                <w:lang w:val="en-AU" w:bidi="ar-SA"/>
              </w:rPr>
            </w:pPr>
          </w:p>
        </w:tc>
      </w:tr>
      <w:tr w:rsidR="00776154" w:rsidRPr="00BA36F4" w14:paraId="16771084" w14:textId="77777777" w:rsidTr="008B1ED5">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555" w:type="dxa"/>
            <w:tcBorders>
              <w:right w:val="none" w:sz="0" w:space="0" w:color="auto"/>
            </w:tcBorders>
            <w:shd w:val="clear" w:color="auto" w:fill="FFFFFF" w:themeFill="background1"/>
            <w:vAlign w:val="center"/>
          </w:tcPr>
          <w:p w14:paraId="0F61AFC4" w14:textId="3628E31D" w:rsidR="00776154" w:rsidRPr="00BA36F4" w:rsidRDefault="00776154" w:rsidP="008B1ED5">
            <w:pPr>
              <w:pStyle w:val="FSTableText"/>
              <w:spacing w:before="40" w:after="40"/>
              <w:jc w:val="center"/>
              <w:rPr>
                <w:lang w:val="en-AU" w:bidi="ar-SA"/>
              </w:rPr>
            </w:pPr>
            <w:r w:rsidRPr="00BA36F4">
              <w:rPr>
                <w:lang w:val="en-AU" w:bidi="ar-SA"/>
              </w:rPr>
              <w:t>Standard 2.9.1</w:t>
            </w:r>
            <w:r w:rsidR="008B1ED5">
              <w:rPr>
                <w:lang w:val="en-AU" w:bidi="ar-SA"/>
              </w:rPr>
              <w:t xml:space="preserve"> (</w:t>
            </w:r>
            <w:r w:rsidR="008B1ED5">
              <w:t>S29—8)</w:t>
            </w:r>
          </w:p>
        </w:tc>
        <w:tc>
          <w:tcPr>
            <w:tcW w:w="1275" w:type="dxa"/>
            <w:tcBorders>
              <w:left w:val="none" w:sz="0" w:space="0" w:color="auto"/>
              <w:right w:val="none" w:sz="0" w:space="0" w:color="auto"/>
            </w:tcBorders>
            <w:shd w:val="clear" w:color="auto" w:fill="FFFFFF" w:themeFill="background1"/>
            <w:vAlign w:val="center"/>
          </w:tcPr>
          <w:p w14:paraId="31A0AEF9" w14:textId="77777777" w:rsidR="00776154" w:rsidRPr="00BA36F4" w:rsidRDefault="00776154" w:rsidP="00776154">
            <w:pPr>
              <w:pStyle w:val="FSTableText"/>
              <w:spacing w:before="40" w:after="40"/>
              <w:jc w:val="center"/>
              <w:cnfStyle w:val="000000100000" w:firstRow="0" w:lastRow="0" w:firstColumn="0" w:lastColumn="0" w:oddVBand="0" w:evenVBand="0" w:oddHBand="1" w:evenHBand="0" w:firstRowFirstColumn="0" w:firstRowLastColumn="0" w:lastRowFirstColumn="0" w:lastRowLastColumn="0"/>
              <w:rPr>
                <w:lang w:val="en-AU" w:bidi="ar-SA"/>
              </w:rPr>
            </w:pPr>
            <w:r w:rsidRPr="00BA36F4">
              <w:rPr>
                <w:lang w:val="en-AU" w:bidi="ar-SA"/>
              </w:rPr>
              <w:t>2%</w:t>
            </w:r>
          </w:p>
        </w:tc>
        <w:tc>
          <w:tcPr>
            <w:tcW w:w="1134" w:type="dxa"/>
            <w:tcBorders>
              <w:left w:val="none" w:sz="0" w:space="0" w:color="auto"/>
              <w:right w:val="none" w:sz="0" w:space="0" w:color="auto"/>
            </w:tcBorders>
            <w:shd w:val="clear" w:color="auto" w:fill="FFFFFF" w:themeFill="background1"/>
            <w:vAlign w:val="center"/>
          </w:tcPr>
          <w:p w14:paraId="7C6545D8" w14:textId="77777777" w:rsidR="00776154" w:rsidRPr="00BA36F4" w:rsidRDefault="00776154" w:rsidP="00776154">
            <w:pPr>
              <w:pStyle w:val="FSTableText"/>
              <w:spacing w:before="40" w:after="40"/>
              <w:jc w:val="center"/>
              <w:cnfStyle w:val="000000100000" w:firstRow="0" w:lastRow="0" w:firstColumn="0" w:lastColumn="0" w:oddVBand="0" w:evenVBand="0" w:oddHBand="1" w:evenHBand="0" w:firstRowFirstColumn="0" w:firstRowLastColumn="0" w:lastRowFirstColumn="0" w:lastRowLastColumn="0"/>
              <w:rPr>
                <w:lang w:val="en-AU" w:bidi="ar-SA"/>
              </w:rPr>
            </w:pPr>
            <w:r w:rsidRPr="00BA36F4">
              <w:rPr>
                <w:lang w:val="en-AU" w:bidi="ar-SA"/>
              </w:rPr>
              <w:t>1%</w:t>
            </w:r>
          </w:p>
        </w:tc>
        <w:tc>
          <w:tcPr>
            <w:tcW w:w="1276" w:type="dxa"/>
            <w:tcBorders>
              <w:left w:val="none" w:sz="0" w:space="0" w:color="auto"/>
              <w:right w:val="none" w:sz="0" w:space="0" w:color="auto"/>
            </w:tcBorders>
            <w:shd w:val="clear" w:color="auto" w:fill="FFFFFF" w:themeFill="background1"/>
            <w:vAlign w:val="center"/>
          </w:tcPr>
          <w:p w14:paraId="543562EF" w14:textId="77777777" w:rsidR="00776154" w:rsidRPr="00BA36F4" w:rsidRDefault="00776154" w:rsidP="00776154">
            <w:pPr>
              <w:pStyle w:val="FSTableText"/>
              <w:spacing w:before="40" w:after="40"/>
              <w:jc w:val="center"/>
              <w:cnfStyle w:val="000000100000" w:firstRow="0" w:lastRow="0" w:firstColumn="0" w:lastColumn="0" w:oddVBand="0" w:evenVBand="0" w:oddHBand="1" w:evenHBand="0" w:firstRowFirstColumn="0" w:firstRowLastColumn="0" w:lastRowFirstColumn="0" w:lastRowLastColumn="0"/>
              <w:rPr>
                <w:lang w:val="en-AU" w:bidi="ar-SA"/>
              </w:rPr>
            </w:pPr>
            <w:r w:rsidRPr="00BA36F4">
              <w:rPr>
                <w:lang w:val="en-AU" w:bidi="ar-SA"/>
              </w:rPr>
              <w:t>n</w:t>
            </w:r>
            <w:r>
              <w:rPr>
                <w:lang w:val="en-AU" w:bidi="ar-SA"/>
              </w:rPr>
              <w:t>-</w:t>
            </w:r>
            <w:r w:rsidRPr="00BA36F4">
              <w:rPr>
                <w:lang w:val="en-AU" w:bidi="ar-SA"/>
              </w:rPr>
              <w:t>6 ≥ n</w:t>
            </w:r>
            <w:r>
              <w:rPr>
                <w:lang w:val="en-AU" w:bidi="ar-SA"/>
              </w:rPr>
              <w:t>-</w:t>
            </w:r>
            <w:r w:rsidRPr="00BA36F4">
              <w:rPr>
                <w:lang w:val="en-AU" w:bidi="ar-SA"/>
              </w:rPr>
              <w:t>3</w:t>
            </w:r>
          </w:p>
        </w:tc>
        <w:tc>
          <w:tcPr>
            <w:tcW w:w="897" w:type="dxa"/>
            <w:tcBorders>
              <w:left w:val="none" w:sz="0" w:space="0" w:color="auto"/>
              <w:right w:val="none" w:sz="0" w:space="0" w:color="auto"/>
            </w:tcBorders>
            <w:shd w:val="clear" w:color="auto" w:fill="FFFFFF" w:themeFill="background1"/>
            <w:vAlign w:val="center"/>
          </w:tcPr>
          <w:p w14:paraId="1F214138" w14:textId="77777777" w:rsidR="00776154" w:rsidRDefault="00776154" w:rsidP="00776154">
            <w:pPr>
              <w:pStyle w:val="FSTableText"/>
              <w:spacing w:before="40" w:after="40"/>
              <w:jc w:val="center"/>
              <w:cnfStyle w:val="000000100000" w:firstRow="0" w:lastRow="0" w:firstColumn="0" w:lastColumn="0" w:oddVBand="0" w:evenVBand="0" w:oddHBand="1" w:evenHBand="0" w:firstRowFirstColumn="0" w:firstRowLastColumn="0" w:lastRowFirstColumn="0" w:lastRowLastColumn="0"/>
              <w:rPr>
                <w:lang w:val="en-AU" w:bidi="ar-SA"/>
              </w:rPr>
            </w:pPr>
            <w:r w:rsidRPr="00BA36F4">
              <w:rPr>
                <w:lang w:val="en-AU" w:bidi="ar-SA"/>
              </w:rPr>
              <w:t>1%</w:t>
            </w:r>
          </w:p>
        </w:tc>
        <w:tc>
          <w:tcPr>
            <w:tcW w:w="898" w:type="dxa"/>
            <w:tcBorders>
              <w:left w:val="none" w:sz="0" w:space="0" w:color="auto"/>
              <w:right w:val="none" w:sz="0" w:space="0" w:color="auto"/>
            </w:tcBorders>
            <w:shd w:val="clear" w:color="auto" w:fill="FFFFFF" w:themeFill="background1"/>
            <w:vAlign w:val="center"/>
          </w:tcPr>
          <w:p w14:paraId="59CFC561" w14:textId="77777777" w:rsidR="00776154" w:rsidRPr="00BA36F4" w:rsidRDefault="00776154" w:rsidP="00776154">
            <w:pPr>
              <w:pStyle w:val="FSTableText"/>
              <w:spacing w:before="40" w:after="40"/>
              <w:jc w:val="center"/>
              <w:cnfStyle w:val="000000100000" w:firstRow="0" w:lastRow="0" w:firstColumn="0" w:lastColumn="0" w:oddVBand="0" w:evenVBand="0" w:oddHBand="1" w:evenHBand="0" w:firstRowFirstColumn="0" w:firstRowLastColumn="0" w:lastRowFirstColumn="0" w:lastRowLastColumn="0"/>
              <w:rPr>
                <w:lang w:val="en-AU" w:bidi="ar-SA"/>
              </w:rPr>
            </w:pPr>
            <w:r>
              <w:rPr>
                <w:lang w:val="en-AU"/>
              </w:rPr>
              <w:t>NS</w:t>
            </w:r>
          </w:p>
        </w:tc>
        <w:tc>
          <w:tcPr>
            <w:tcW w:w="898" w:type="dxa"/>
            <w:tcBorders>
              <w:left w:val="none" w:sz="0" w:space="0" w:color="auto"/>
              <w:right w:val="none" w:sz="0" w:space="0" w:color="auto"/>
            </w:tcBorders>
            <w:shd w:val="clear" w:color="auto" w:fill="FFFFFF" w:themeFill="background1"/>
            <w:vAlign w:val="center"/>
          </w:tcPr>
          <w:p w14:paraId="12D3F162" w14:textId="77777777" w:rsidR="00776154" w:rsidRPr="00BA36F4" w:rsidRDefault="00776154" w:rsidP="00776154">
            <w:pPr>
              <w:pStyle w:val="FSTableText"/>
              <w:spacing w:before="40" w:after="40"/>
              <w:jc w:val="center"/>
              <w:cnfStyle w:val="000000100000" w:firstRow="0" w:lastRow="0" w:firstColumn="0" w:lastColumn="0" w:oddVBand="0" w:evenVBand="0" w:oddHBand="1" w:evenHBand="0" w:firstRowFirstColumn="0" w:firstRowLastColumn="0" w:lastRowFirstColumn="0" w:lastRowLastColumn="0"/>
              <w:rPr>
                <w:lang w:val="en-AU" w:bidi="ar-SA"/>
              </w:rPr>
            </w:pPr>
            <w:r>
              <w:rPr>
                <w:lang w:val="en-AU" w:bidi="ar-SA"/>
              </w:rPr>
              <w:t>NS</w:t>
            </w:r>
          </w:p>
        </w:tc>
        <w:tc>
          <w:tcPr>
            <w:tcW w:w="1139" w:type="dxa"/>
            <w:tcBorders>
              <w:left w:val="none" w:sz="0" w:space="0" w:color="auto"/>
            </w:tcBorders>
            <w:shd w:val="clear" w:color="auto" w:fill="FFFFFF" w:themeFill="background1"/>
            <w:vAlign w:val="center"/>
          </w:tcPr>
          <w:p w14:paraId="67DFF997" w14:textId="77777777" w:rsidR="00776154" w:rsidRPr="00BA36F4" w:rsidRDefault="00776154" w:rsidP="00776154">
            <w:pPr>
              <w:pStyle w:val="FSTableText"/>
              <w:spacing w:before="40" w:after="40"/>
              <w:jc w:val="center"/>
              <w:cnfStyle w:val="000000100000" w:firstRow="0" w:lastRow="0" w:firstColumn="0" w:lastColumn="0" w:oddVBand="0" w:evenVBand="0" w:oddHBand="1" w:evenHBand="0" w:firstRowFirstColumn="0" w:firstRowLastColumn="0" w:lastRowFirstColumn="0" w:lastRowLastColumn="0"/>
              <w:rPr>
                <w:lang w:val="en-AU" w:bidi="ar-SA"/>
              </w:rPr>
            </w:pPr>
            <w:r>
              <w:rPr>
                <w:lang w:val="en-AU" w:bidi="ar-SA"/>
              </w:rPr>
              <w:t xml:space="preserve">DHA </w:t>
            </w:r>
            <w:r w:rsidRPr="00BA36F4">
              <w:rPr>
                <w:lang w:val="en-AU" w:bidi="ar-SA"/>
              </w:rPr>
              <w:t>≥</w:t>
            </w:r>
            <w:r>
              <w:rPr>
                <w:lang w:val="en-AU" w:bidi="ar-SA"/>
              </w:rPr>
              <w:t xml:space="preserve"> EPA</w:t>
            </w:r>
          </w:p>
        </w:tc>
      </w:tr>
      <w:tr w:rsidR="00776154" w:rsidRPr="00BA36F4" w14:paraId="53D1F059" w14:textId="77777777" w:rsidTr="008B1ED5">
        <w:trPr>
          <w:cnfStyle w:val="000000010000" w:firstRow="0" w:lastRow="0" w:firstColumn="0" w:lastColumn="0" w:oddVBand="0" w:evenVBand="0" w:oddHBand="0" w:evenHBand="1"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555" w:type="dxa"/>
            <w:tcBorders>
              <w:right w:val="none" w:sz="0" w:space="0" w:color="auto"/>
            </w:tcBorders>
            <w:shd w:val="clear" w:color="auto" w:fill="FFFFFF" w:themeFill="background1"/>
            <w:vAlign w:val="center"/>
          </w:tcPr>
          <w:p w14:paraId="70C158B0" w14:textId="77777777" w:rsidR="00776154" w:rsidRPr="00BA36F4" w:rsidRDefault="00776154" w:rsidP="00776154">
            <w:pPr>
              <w:pStyle w:val="FSTableText"/>
              <w:spacing w:before="40" w:after="40"/>
              <w:jc w:val="center"/>
              <w:rPr>
                <w:lang w:val="en-AU" w:bidi="ar-SA"/>
              </w:rPr>
            </w:pPr>
            <w:r>
              <w:rPr>
                <w:lang w:val="en-AU" w:bidi="ar-SA"/>
              </w:rPr>
              <w:t>Codex STAN 72-1981</w:t>
            </w:r>
          </w:p>
        </w:tc>
        <w:tc>
          <w:tcPr>
            <w:tcW w:w="1275" w:type="dxa"/>
            <w:tcBorders>
              <w:left w:val="none" w:sz="0" w:space="0" w:color="auto"/>
              <w:right w:val="none" w:sz="0" w:space="0" w:color="auto"/>
            </w:tcBorders>
            <w:shd w:val="clear" w:color="auto" w:fill="FFFFFF" w:themeFill="background1"/>
            <w:vAlign w:val="center"/>
          </w:tcPr>
          <w:p w14:paraId="447455BE" w14:textId="77777777" w:rsidR="00776154" w:rsidRPr="00BA36F4" w:rsidRDefault="00776154" w:rsidP="00776154">
            <w:pPr>
              <w:pStyle w:val="FSTableText"/>
              <w:spacing w:before="40" w:after="40"/>
              <w:jc w:val="center"/>
              <w:cnfStyle w:val="000000010000" w:firstRow="0" w:lastRow="0" w:firstColumn="0" w:lastColumn="0" w:oddVBand="0" w:evenVBand="0" w:oddHBand="0" w:evenHBand="1" w:firstRowFirstColumn="0" w:firstRowLastColumn="0" w:lastRowFirstColumn="0" w:lastRowLastColumn="0"/>
              <w:rPr>
                <w:lang w:val="en-AU" w:bidi="ar-SA"/>
              </w:rPr>
            </w:pPr>
            <w:r>
              <w:rPr>
                <w:lang w:val="en-AU" w:bidi="ar-SA"/>
              </w:rPr>
              <w:t>NS</w:t>
            </w:r>
          </w:p>
        </w:tc>
        <w:tc>
          <w:tcPr>
            <w:tcW w:w="1134" w:type="dxa"/>
            <w:tcBorders>
              <w:left w:val="none" w:sz="0" w:space="0" w:color="auto"/>
              <w:right w:val="none" w:sz="0" w:space="0" w:color="auto"/>
            </w:tcBorders>
            <w:shd w:val="clear" w:color="auto" w:fill="FFFFFF" w:themeFill="background1"/>
            <w:vAlign w:val="center"/>
          </w:tcPr>
          <w:p w14:paraId="3E0A32F7" w14:textId="77777777" w:rsidR="00776154" w:rsidRPr="00BA36F4" w:rsidRDefault="00776154" w:rsidP="00776154">
            <w:pPr>
              <w:pStyle w:val="FSTableText"/>
              <w:spacing w:before="40" w:after="40"/>
              <w:jc w:val="center"/>
              <w:cnfStyle w:val="000000010000" w:firstRow="0" w:lastRow="0" w:firstColumn="0" w:lastColumn="0" w:oddVBand="0" w:evenVBand="0" w:oddHBand="0" w:evenHBand="1" w:firstRowFirstColumn="0" w:firstRowLastColumn="0" w:lastRowFirstColumn="0" w:lastRowLastColumn="0"/>
              <w:rPr>
                <w:lang w:val="en-AU" w:bidi="ar-SA"/>
              </w:rPr>
            </w:pPr>
            <w:r>
              <w:rPr>
                <w:lang w:val="en-AU"/>
              </w:rPr>
              <w:t>NS</w:t>
            </w:r>
          </w:p>
        </w:tc>
        <w:tc>
          <w:tcPr>
            <w:tcW w:w="1276" w:type="dxa"/>
            <w:tcBorders>
              <w:left w:val="none" w:sz="0" w:space="0" w:color="auto"/>
              <w:right w:val="none" w:sz="0" w:space="0" w:color="auto"/>
            </w:tcBorders>
            <w:shd w:val="clear" w:color="auto" w:fill="FFFFFF" w:themeFill="background1"/>
            <w:vAlign w:val="center"/>
          </w:tcPr>
          <w:p w14:paraId="2851F883" w14:textId="77777777" w:rsidR="00776154" w:rsidRDefault="00776154" w:rsidP="00776154">
            <w:pPr>
              <w:pStyle w:val="FSTableText"/>
              <w:spacing w:before="40" w:after="40"/>
              <w:jc w:val="center"/>
              <w:cnfStyle w:val="000000010000" w:firstRow="0" w:lastRow="0" w:firstColumn="0" w:lastColumn="0" w:oddVBand="0" w:evenVBand="0" w:oddHBand="0" w:evenHBand="1" w:firstRowFirstColumn="0" w:firstRowLastColumn="0" w:lastRowFirstColumn="0" w:lastRowLastColumn="0"/>
              <w:rPr>
                <w:lang w:val="en-AU" w:bidi="ar-SA"/>
              </w:rPr>
            </w:pPr>
            <w:r w:rsidRPr="00BA36F4">
              <w:rPr>
                <w:lang w:val="en-AU" w:bidi="ar-SA"/>
              </w:rPr>
              <w:t>AA ≥ DHA</w:t>
            </w:r>
          </w:p>
          <w:p w14:paraId="6BB777B4" w14:textId="77777777" w:rsidR="00776154" w:rsidRDefault="00776154" w:rsidP="00776154">
            <w:pPr>
              <w:pStyle w:val="FSTableText"/>
              <w:spacing w:before="40" w:after="40"/>
              <w:jc w:val="center"/>
              <w:cnfStyle w:val="000000010000" w:firstRow="0" w:lastRow="0" w:firstColumn="0" w:lastColumn="0" w:oddVBand="0" w:evenVBand="0" w:oddHBand="0" w:evenHBand="1" w:firstRowFirstColumn="0" w:firstRowLastColumn="0" w:lastRowFirstColumn="0" w:lastRowLastColumn="0"/>
              <w:rPr>
                <w:lang w:val="en-AU" w:bidi="ar-SA"/>
              </w:rPr>
            </w:pPr>
            <w:r>
              <w:rPr>
                <w:lang w:val="en-AU" w:bidi="ar-SA"/>
              </w:rPr>
              <w:t xml:space="preserve">DHA </w:t>
            </w:r>
            <w:r w:rsidRPr="00BA36F4">
              <w:rPr>
                <w:lang w:val="en-AU" w:bidi="ar-SA"/>
              </w:rPr>
              <w:t>≥</w:t>
            </w:r>
            <w:r>
              <w:rPr>
                <w:lang w:val="en-AU" w:bidi="ar-SA"/>
              </w:rPr>
              <w:t xml:space="preserve"> EPA</w:t>
            </w:r>
          </w:p>
        </w:tc>
        <w:tc>
          <w:tcPr>
            <w:tcW w:w="897" w:type="dxa"/>
            <w:tcBorders>
              <w:left w:val="none" w:sz="0" w:space="0" w:color="auto"/>
              <w:right w:val="none" w:sz="0" w:space="0" w:color="auto"/>
            </w:tcBorders>
            <w:shd w:val="clear" w:color="auto" w:fill="FFFFFF" w:themeFill="background1"/>
            <w:vAlign w:val="center"/>
          </w:tcPr>
          <w:p w14:paraId="7878247B" w14:textId="77777777" w:rsidR="00776154" w:rsidRDefault="00776154" w:rsidP="00776154">
            <w:pPr>
              <w:pStyle w:val="FSTableText"/>
              <w:spacing w:before="40" w:after="40"/>
              <w:jc w:val="center"/>
              <w:cnfStyle w:val="000000010000" w:firstRow="0" w:lastRow="0" w:firstColumn="0" w:lastColumn="0" w:oddVBand="0" w:evenVBand="0" w:oddHBand="0" w:evenHBand="1" w:firstRowFirstColumn="0" w:firstRowLastColumn="0" w:lastRowFirstColumn="0" w:lastRowLastColumn="0"/>
              <w:rPr>
                <w:lang w:val="en-AU" w:bidi="ar-SA"/>
              </w:rPr>
            </w:pPr>
            <w:r w:rsidRPr="00BA36F4">
              <w:rPr>
                <w:lang w:val="en-AU" w:bidi="ar-SA"/>
              </w:rPr>
              <w:t>N</w:t>
            </w:r>
            <w:r>
              <w:rPr>
                <w:lang w:val="en-AU" w:bidi="ar-SA"/>
              </w:rPr>
              <w:t>S</w:t>
            </w:r>
          </w:p>
        </w:tc>
        <w:tc>
          <w:tcPr>
            <w:tcW w:w="898" w:type="dxa"/>
            <w:tcBorders>
              <w:left w:val="none" w:sz="0" w:space="0" w:color="auto"/>
              <w:right w:val="none" w:sz="0" w:space="0" w:color="auto"/>
            </w:tcBorders>
            <w:shd w:val="clear" w:color="auto" w:fill="FFFFFF" w:themeFill="background1"/>
            <w:vAlign w:val="center"/>
          </w:tcPr>
          <w:p w14:paraId="341C78B2" w14:textId="77777777" w:rsidR="00776154" w:rsidRPr="00BA36F4" w:rsidRDefault="00776154" w:rsidP="00776154">
            <w:pPr>
              <w:pStyle w:val="FSTableText"/>
              <w:spacing w:before="40" w:after="40"/>
              <w:jc w:val="center"/>
              <w:cnfStyle w:val="000000010000" w:firstRow="0" w:lastRow="0" w:firstColumn="0" w:lastColumn="0" w:oddVBand="0" w:evenVBand="0" w:oddHBand="0" w:evenHBand="1" w:firstRowFirstColumn="0" w:firstRowLastColumn="0" w:lastRowFirstColumn="0" w:lastRowLastColumn="0"/>
              <w:rPr>
                <w:lang w:val="en-AU" w:bidi="ar-SA"/>
              </w:rPr>
            </w:pPr>
            <w:r w:rsidRPr="00BA36F4">
              <w:rPr>
                <w:lang w:val="en-AU" w:bidi="ar-SA"/>
              </w:rPr>
              <w:t>0.5%</w:t>
            </w:r>
            <w:r>
              <w:rPr>
                <w:lang w:val="en-AU" w:bidi="ar-SA"/>
              </w:rPr>
              <w:t xml:space="preserve"> (GUL)</w:t>
            </w:r>
          </w:p>
        </w:tc>
        <w:tc>
          <w:tcPr>
            <w:tcW w:w="898" w:type="dxa"/>
            <w:tcBorders>
              <w:left w:val="none" w:sz="0" w:space="0" w:color="auto"/>
              <w:right w:val="none" w:sz="0" w:space="0" w:color="auto"/>
            </w:tcBorders>
            <w:shd w:val="clear" w:color="auto" w:fill="FFFFFF" w:themeFill="background1"/>
            <w:vAlign w:val="center"/>
          </w:tcPr>
          <w:p w14:paraId="434F21CD" w14:textId="77777777" w:rsidR="00776154" w:rsidRPr="00BA36F4" w:rsidRDefault="00776154" w:rsidP="00776154">
            <w:pPr>
              <w:pStyle w:val="FSTableText"/>
              <w:jc w:val="center"/>
              <w:cnfStyle w:val="000000010000" w:firstRow="0" w:lastRow="0" w:firstColumn="0" w:lastColumn="0" w:oddVBand="0" w:evenVBand="0" w:oddHBand="0" w:evenHBand="1" w:firstRowFirstColumn="0" w:firstRowLastColumn="0" w:lastRowFirstColumn="0" w:lastRowLastColumn="0"/>
              <w:rPr>
                <w:lang w:val="en-AU" w:bidi="ar-SA"/>
              </w:rPr>
            </w:pPr>
            <w:r>
              <w:rPr>
                <w:lang w:val="en-AU" w:bidi="ar-SA"/>
              </w:rPr>
              <w:t>NS</w:t>
            </w:r>
          </w:p>
        </w:tc>
        <w:tc>
          <w:tcPr>
            <w:tcW w:w="1139" w:type="dxa"/>
            <w:tcBorders>
              <w:left w:val="none" w:sz="0" w:space="0" w:color="auto"/>
            </w:tcBorders>
            <w:shd w:val="clear" w:color="auto" w:fill="FFFFFF" w:themeFill="background1"/>
            <w:vAlign w:val="center"/>
          </w:tcPr>
          <w:p w14:paraId="4DD086D8" w14:textId="77777777" w:rsidR="00776154" w:rsidRPr="00BA36F4" w:rsidRDefault="00776154" w:rsidP="00776154">
            <w:pPr>
              <w:pStyle w:val="FSTableText"/>
              <w:spacing w:before="40" w:after="40"/>
              <w:jc w:val="center"/>
              <w:cnfStyle w:val="000000010000" w:firstRow="0" w:lastRow="0" w:firstColumn="0" w:lastColumn="0" w:oddVBand="0" w:evenVBand="0" w:oddHBand="0" w:evenHBand="1" w:firstRowFirstColumn="0" w:firstRowLastColumn="0" w:lastRowFirstColumn="0" w:lastRowLastColumn="0"/>
              <w:rPr>
                <w:lang w:val="en-AU" w:bidi="ar-SA"/>
              </w:rPr>
            </w:pPr>
            <w:r w:rsidRPr="00BA36F4">
              <w:rPr>
                <w:lang w:val="en-AU" w:bidi="ar-SA"/>
              </w:rPr>
              <w:t>N</w:t>
            </w:r>
            <w:r>
              <w:rPr>
                <w:lang w:val="en-AU" w:bidi="ar-SA"/>
              </w:rPr>
              <w:t>S</w:t>
            </w:r>
          </w:p>
        </w:tc>
      </w:tr>
      <w:tr w:rsidR="00776154" w:rsidRPr="00BA36F4" w14:paraId="22768D2B" w14:textId="77777777" w:rsidTr="008B1ED5">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555" w:type="dxa"/>
            <w:tcBorders>
              <w:right w:val="none" w:sz="0" w:space="0" w:color="auto"/>
            </w:tcBorders>
            <w:shd w:val="clear" w:color="auto" w:fill="FFFFFF" w:themeFill="background1"/>
            <w:vAlign w:val="center"/>
          </w:tcPr>
          <w:p w14:paraId="37FE650B" w14:textId="21B161D9" w:rsidR="00776154" w:rsidRDefault="0048005E" w:rsidP="00776154">
            <w:pPr>
              <w:pStyle w:val="FSTableText"/>
              <w:spacing w:before="40" w:after="40"/>
              <w:jc w:val="center"/>
              <w:rPr>
                <w:lang w:val="en-AU" w:bidi="ar-SA"/>
              </w:rPr>
            </w:pPr>
            <w:r>
              <w:rPr>
                <w:lang w:val="en-AU" w:bidi="ar-SA"/>
              </w:rPr>
              <w:t>EU 2016/</w:t>
            </w:r>
            <w:r w:rsidR="00D81FE2">
              <w:rPr>
                <w:lang w:val="en-AU" w:bidi="ar-SA"/>
              </w:rPr>
              <w:t>127</w:t>
            </w:r>
          </w:p>
        </w:tc>
        <w:tc>
          <w:tcPr>
            <w:tcW w:w="2409" w:type="dxa"/>
            <w:gridSpan w:val="2"/>
            <w:tcBorders>
              <w:left w:val="none" w:sz="0" w:space="0" w:color="auto"/>
              <w:right w:val="none" w:sz="0" w:space="0" w:color="auto"/>
            </w:tcBorders>
            <w:shd w:val="clear" w:color="auto" w:fill="FFFFFF" w:themeFill="background1"/>
            <w:vAlign w:val="center"/>
          </w:tcPr>
          <w:p w14:paraId="35772140" w14:textId="77777777" w:rsidR="00776154" w:rsidRDefault="00776154" w:rsidP="00776154">
            <w:pPr>
              <w:pStyle w:val="FSTableText"/>
              <w:spacing w:before="40" w:after="40"/>
              <w:jc w:val="center"/>
              <w:cnfStyle w:val="000000100000" w:firstRow="0" w:lastRow="0" w:firstColumn="0" w:lastColumn="0" w:oddVBand="0" w:evenVBand="0" w:oddHBand="1" w:evenHBand="0" w:firstRowFirstColumn="0" w:firstRowLastColumn="0" w:lastRowFirstColumn="0" w:lastRowLastColumn="0"/>
              <w:rPr>
                <w:lang w:val="en-AU"/>
              </w:rPr>
            </w:pPr>
            <w:r>
              <w:rPr>
                <w:lang w:val="en-AU" w:bidi="ar-SA"/>
              </w:rPr>
              <w:t>2%</w:t>
            </w:r>
          </w:p>
        </w:tc>
        <w:tc>
          <w:tcPr>
            <w:tcW w:w="1276" w:type="dxa"/>
            <w:tcBorders>
              <w:left w:val="none" w:sz="0" w:space="0" w:color="auto"/>
              <w:right w:val="none" w:sz="0" w:space="0" w:color="auto"/>
            </w:tcBorders>
            <w:shd w:val="clear" w:color="auto" w:fill="FFFFFF" w:themeFill="background1"/>
            <w:vAlign w:val="center"/>
          </w:tcPr>
          <w:p w14:paraId="36436E51" w14:textId="77777777" w:rsidR="00776154" w:rsidRPr="00BA36F4" w:rsidRDefault="00776154" w:rsidP="00776154">
            <w:pPr>
              <w:pStyle w:val="FSTableText"/>
              <w:spacing w:before="40" w:after="40"/>
              <w:jc w:val="center"/>
              <w:cnfStyle w:val="000000100000" w:firstRow="0" w:lastRow="0" w:firstColumn="0" w:lastColumn="0" w:oddVBand="0" w:evenVBand="0" w:oddHBand="1" w:evenHBand="0" w:firstRowFirstColumn="0" w:firstRowLastColumn="0" w:lastRowFirstColumn="0" w:lastRowLastColumn="0"/>
              <w:rPr>
                <w:lang w:val="en-AU" w:bidi="ar-SA"/>
              </w:rPr>
            </w:pPr>
            <w:r>
              <w:rPr>
                <w:lang w:val="en-AU" w:bidi="ar-SA"/>
              </w:rPr>
              <w:t xml:space="preserve">DHA </w:t>
            </w:r>
            <w:r w:rsidRPr="00BA36F4">
              <w:rPr>
                <w:lang w:val="en-AU" w:bidi="ar-SA"/>
              </w:rPr>
              <w:t>≥</w:t>
            </w:r>
            <w:r>
              <w:rPr>
                <w:lang w:val="en-AU" w:bidi="ar-SA"/>
              </w:rPr>
              <w:t xml:space="preserve"> EPA</w:t>
            </w:r>
          </w:p>
        </w:tc>
        <w:tc>
          <w:tcPr>
            <w:tcW w:w="897" w:type="dxa"/>
            <w:tcBorders>
              <w:left w:val="none" w:sz="0" w:space="0" w:color="auto"/>
              <w:right w:val="none" w:sz="0" w:space="0" w:color="auto"/>
            </w:tcBorders>
            <w:shd w:val="clear" w:color="auto" w:fill="FFFFFF" w:themeFill="background1"/>
            <w:vAlign w:val="center"/>
          </w:tcPr>
          <w:p w14:paraId="53EBD9A3" w14:textId="77777777" w:rsidR="00776154" w:rsidRPr="00BA36F4" w:rsidRDefault="00776154" w:rsidP="00776154">
            <w:pPr>
              <w:pStyle w:val="FSTableText"/>
              <w:spacing w:before="40" w:after="40"/>
              <w:jc w:val="center"/>
              <w:cnfStyle w:val="000000100000" w:firstRow="0" w:lastRow="0" w:firstColumn="0" w:lastColumn="0" w:oddVBand="0" w:evenVBand="0" w:oddHBand="1" w:evenHBand="0" w:firstRowFirstColumn="0" w:firstRowLastColumn="0" w:lastRowFirstColumn="0" w:lastRowLastColumn="0"/>
              <w:rPr>
                <w:lang w:val="en-AU" w:bidi="ar-SA"/>
              </w:rPr>
            </w:pPr>
            <w:r>
              <w:rPr>
                <w:lang w:val="en-AU" w:bidi="ar-SA"/>
              </w:rPr>
              <w:t>1%</w:t>
            </w:r>
          </w:p>
        </w:tc>
        <w:tc>
          <w:tcPr>
            <w:tcW w:w="898" w:type="dxa"/>
            <w:tcBorders>
              <w:left w:val="none" w:sz="0" w:space="0" w:color="auto"/>
              <w:right w:val="none" w:sz="0" w:space="0" w:color="auto"/>
            </w:tcBorders>
            <w:shd w:val="clear" w:color="auto" w:fill="FFFFFF" w:themeFill="background1"/>
            <w:vAlign w:val="center"/>
          </w:tcPr>
          <w:p w14:paraId="1A09359B" w14:textId="77777777" w:rsidR="00776154" w:rsidRPr="00BA36F4" w:rsidRDefault="00776154" w:rsidP="00776154">
            <w:pPr>
              <w:pStyle w:val="FSTableText"/>
              <w:spacing w:before="40" w:after="40"/>
              <w:jc w:val="center"/>
              <w:cnfStyle w:val="000000100000" w:firstRow="0" w:lastRow="0" w:firstColumn="0" w:lastColumn="0" w:oddVBand="0" w:evenVBand="0" w:oddHBand="1" w:evenHBand="0" w:firstRowFirstColumn="0" w:firstRowLastColumn="0" w:lastRowFirstColumn="0" w:lastRowLastColumn="0"/>
              <w:rPr>
                <w:lang w:val="en-AU" w:bidi="ar-SA"/>
              </w:rPr>
            </w:pPr>
            <w:r>
              <w:t>~</w:t>
            </w:r>
            <w:r w:rsidRPr="002011C9">
              <w:t>0.5-1</w:t>
            </w:r>
            <w:r>
              <w:t>%</w:t>
            </w:r>
          </w:p>
        </w:tc>
        <w:tc>
          <w:tcPr>
            <w:tcW w:w="898" w:type="dxa"/>
            <w:tcBorders>
              <w:left w:val="none" w:sz="0" w:space="0" w:color="auto"/>
              <w:right w:val="none" w:sz="0" w:space="0" w:color="auto"/>
            </w:tcBorders>
            <w:shd w:val="clear" w:color="auto" w:fill="FFFFFF" w:themeFill="background1"/>
            <w:vAlign w:val="center"/>
          </w:tcPr>
          <w:p w14:paraId="6E5A4AA8" w14:textId="77777777" w:rsidR="00776154" w:rsidRDefault="00776154" w:rsidP="00776154">
            <w:pPr>
              <w:pStyle w:val="FSTableText"/>
              <w:jc w:val="center"/>
              <w:cnfStyle w:val="000000100000" w:firstRow="0" w:lastRow="0" w:firstColumn="0" w:lastColumn="0" w:oddVBand="0" w:evenVBand="0" w:oddHBand="1" w:evenHBand="0" w:firstRowFirstColumn="0" w:firstRowLastColumn="0" w:lastRowFirstColumn="0" w:lastRowLastColumn="0"/>
              <w:rPr>
                <w:lang w:val="en-AU" w:bidi="ar-SA"/>
              </w:rPr>
            </w:pPr>
            <w:r>
              <w:rPr>
                <w:lang w:val="en-AU" w:bidi="ar-SA"/>
              </w:rPr>
              <w:t>NS</w:t>
            </w:r>
          </w:p>
        </w:tc>
        <w:tc>
          <w:tcPr>
            <w:tcW w:w="1139" w:type="dxa"/>
            <w:tcBorders>
              <w:left w:val="none" w:sz="0" w:space="0" w:color="auto"/>
            </w:tcBorders>
            <w:shd w:val="clear" w:color="auto" w:fill="FFFFFF" w:themeFill="background1"/>
            <w:vAlign w:val="center"/>
          </w:tcPr>
          <w:p w14:paraId="18EEF696" w14:textId="77777777" w:rsidR="00776154" w:rsidRPr="00BA36F4" w:rsidRDefault="00776154" w:rsidP="00776154">
            <w:pPr>
              <w:pStyle w:val="FSTableText"/>
              <w:spacing w:before="40" w:after="40"/>
              <w:jc w:val="center"/>
              <w:cnfStyle w:val="000000100000" w:firstRow="0" w:lastRow="0" w:firstColumn="0" w:lastColumn="0" w:oddVBand="0" w:evenVBand="0" w:oddHBand="1" w:evenHBand="0" w:firstRowFirstColumn="0" w:firstRowLastColumn="0" w:lastRowFirstColumn="0" w:lastRowLastColumn="0"/>
              <w:rPr>
                <w:lang w:val="en-AU" w:bidi="ar-SA"/>
              </w:rPr>
            </w:pPr>
            <w:r>
              <w:rPr>
                <w:lang w:val="en-AU" w:bidi="ar-SA"/>
              </w:rPr>
              <w:t>NS</w:t>
            </w:r>
          </w:p>
        </w:tc>
      </w:tr>
    </w:tbl>
    <w:p w14:paraId="0884BE7C" w14:textId="79EFE3D3" w:rsidR="0048005E" w:rsidRPr="006678F3" w:rsidRDefault="0048005E" w:rsidP="006678F3">
      <w:pPr>
        <w:rPr>
          <w:sz w:val="18"/>
        </w:rPr>
      </w:pPr>
      <w:r w:rsidRPr="006678F3">
        <w:rPr>
          <w:i/>
          <w:sz w:val="18"/>
        </w:rPr>
        <w:t>NS: Not stated</w:t>
      </w:r>
    </w:p>
    <w:p w14:paraId="391278B2" w14:textId="4B0B3889" w:rsidR="00776154" w:rsidRDefault="00776154" w:rsidP="00776154">
      <w:pPr>
        <w:pStyle w:val="Heading5"/>
        <w:rPr>
          <w:lang w:val="en-AU" w:eastAsia="en-AU" w:bidi="ar-SA"/>
        </w:rPr>
      </w:pPr>
      <w:r>
        <w:rPr>
          <w:lang w:val="en-AU" w:eastAsia="en-AU" w:bidi="ar-SA"/>
        </w:rPr>
        <w:t>DHA</w:t>
      </w:r>
    </w:p>
    <w:p w14:paraId="14AD28D9" w14:textId="77777777" w:rsidR="00776154" w:rsidRPr="00EF7D16" w:rsidRDefault="00776154" w:rsidP="00776154">
      <w:pPr>
        <w:rPr>
          <w:lang w:val="en-AU" w:eastAsia="en-AU" w:bidi="ar-SA"/>
        </w:rPr>
      </w:pPr>
      <w:r w:rsidRPr="00EF7D16">
        <w:rPr>
          <w:lang w:val="en-AU" w:eastAsia="en-AU" w:bidi="ar-SA"/>
        </w:rPr>
        <w:t xml:space="preserve">The </w:t>
      </w:r>
      <w:r>
        <w:rPr>
          <w:lang w:val="en-AU" w:eastAsia="en-AU" w:bidi="ar-SA"/>
        </w:rPr>
        <w:t>addition</w:t>
      </w:r>
      <w:r w:rsidRPr="00EF7D16">
        <w:rPr>
          <w:lang w:val="en-AU" w:eastAsia="en-AU" w:bidi="ar-SA"/>
        </w:rPr>
        <w:t xml:space="preserve"> of DHA is optional in both Standard 2.9.1 and Codex STAN 72-1981.</w:t>
      </w:r>
    </w:p>
    <w:p w14:paraId="5204BAB0" w14:textId="738CCA46" w:rsidR="00776154" w:rsidRDefault="00776154" w:rsidP="008B1ED5">
      <w:pPr>
        <w:spacing w:before="240"/>
        <w:rPr>
          <w:lang w:val="en-AU" w:eastAsia="en-AU" w:bidi="ar-SA"/>
        </w:rPr>
      </w:pPr>
      <w:r>
        <w:rPr>
          <w:lang w:val="en-AU" w:eastAsia="en-AU" w:bidi="ar-SA"/>
        </w:rPr>
        <w:t xml:space="preserve">The </w:t>
      </w:r>
      <w:r w:rsidRPr="00BB7D3E">
        <w:rPr>
          <w:lang w:val="en-AU" w:eastAsia="en-AU" w:bidi="ar-SA"/>
        </w:rPr>
        <w:t>main difference between the standards is Codex STAN 72-1981 lists a DHA maximum as a GUL of 0.5% fatty acids whereas Standard 2.9.1</w:t>
      </w:r>
      <w:r w:rsidR="008B1ED5">
        <w:rPr>
          <w:lang w:val="en-AU" w:eastAsia="en-AU" w:bidi="ar-SA"/>
        </w:rPr>
        <w:t xml:space="preserve"> (</w:t>
      </w:r>
      <w:r w:rsidR="008B1ED5">
        <w:t>S29—8)</w:t>
      </w:r>
      <w:r w:rsidRPr="00BB7D3E">
        <w:rPr>
          <w:lang w:val="en-AU" w:eastAsia="en-AU" w:bidi="ar-SA"/>
        </w:rPr>
        <w:t xml:space="preserve"> limits DHA as a component of the maximum 1% of n-3 LC-PUFA.</w:t>
      </w:r>
      <w:r>
        <w:rPr>
          <w:lang w:val="en-AU" w:eastAsia="en-AU" w:bidi="ar-SA"/>
        </w:rPr>
        <w:t xml:space="preserve"> </w:t>
      </w:r>
    </w:p>
    <w:p w14:paraId="1A7AD213" w14:textId="77777777" w:rsidR="00776154" w:rsidRDefault="00776154" w:rsidP="00776154">
      <w:pPr>
        <w:pStyle w:val="Heading5"/>
        <w:rPr>
          <w:lang w:val="en-AU" w:eastAsia="en-AU" w:bidi="ar-SA"/>
        </w:rPr>
      </w:pPr>
      <w:r>
        <w:rPr>
          <w:lang w:val="en-AU" w:eastAsia="en-AU" w:bidi="ar-SA"/>
        </w:rPr>
        <w:t>AA</w:t>
      </w:r>
    </w:p>
    <w:p w14:paraId="74D9D819" w14:textId="376626D2" w:rsidR="00776154" w:rsidRPr="004F3327" w:rsidRDefault="00776154" w:rsidP="00776154">
      <w:pPr>
        <w:rPr>
          <w:rFonts w:eastAsia="Arial Unicode MS"/>
          <w:lang w:val="en-AU"/>
        </w:rPr>
      </w:pPr>
      <w:r>
        <w:rPr>
          <w:rFonts w:eastAsia="Arial Unicode MS"/>
          <w:szCs w:val="22"/>
          <w:lang w:val="en-AU" w:bidi="ar-SA"/>
        </w:rPr>
        <w:t xml:space="preserve">The </w:t>
      </w:r>
      <w:r w:rsidR="00E94C9C">
        <w:rPr>
          <w:rFonts w:eastAsia="Arial Unicode MS"/>
          <w:szCs w:val="22"/>
          <w:lang w:val="en-AU" w:bidi="ar-SA"/>
        </w:rPr>
        <w:t>t</w:t>
      </w:r>
      <w:r>
        <w:rPr>
          <w:rFonts w:eastAsia="Arial Unicode MS"/>
          <w:szCs w:val="22"/>
          <w:lang w:val="en-AU" w:bidi="ar-SA"/>
        </w:rPr>
        <w:t xml:space="preserve">able to </w:t>
      </w:r>
      <w:r w:rsidR="008B1ED5">
        <w:rPr>
          <w:rFonts w:eastAsia="Arial Unicode MS"/>
          <w:szCs w:val="22"/>
          <w:lang w:val="en-AU" w:bidi="ar-SA"/>
        </w:rPr>
        <w:t>s</w:t>
      </w:r>
      <w:r w:rsidR="00E466E5">
        <w:rPr>
          <w:rFonts w:eastAsia="Arial Unicode MS"/>
          <w:szCs w:val="22"/>
          <w:lang w:val="en-AU" w:bidi="ar-SA"/>
        </w:rPr>
        <w:t>ection S29—8</w:t>
      </w:r>
      <w:r>
        <w:rPr>
          <w:lang w:val="en-AU" w:bidi="ar-SA"/>
        </w:rPr>
        <w:t xml:space="preserve"> p</w:t>
      </w:r>
      <w:r w:rsidRPr="00BC7CBF">
        <w:rPr>
          <w:lang w:val="en-AU" w:bidi="ar-SA"/>
        </w:rPr>
        <w:t xml:space="preserve">rescribes a maximum </w:t>
      </w:r>
      <w:r>
        <w:rPr>
          <w:lang w:val="en-AU" w:bidi="ar-SA"/>
        </w:rPr>
        <w:t>proportion of AA when present at no more than 1% total fatty acids</w:t>
      </w:r>
      <w:r w:rsidRPr="00BC7CBF">
        <w:rPr>
          <w:lang w:val="en-AU" w:bidi="ar-SA"/>
        </w:rPr>
        <w:t>.</w:t>
      </w:r>
      <w:r w:rsidRPr="006329E8">
        <w:rPr>
          <w:lang w:val="en-AU" w:bidi="ar-SA"/>
        </w:rPr>
        <w:t xml:space="preserve"> </w:t>
      </w:r>
      <w:r>
        <w:rPr>
          <w:lang w:val="en-AU" w:bidi="ar-SA"/>
        </w:rPr>
        <w:t xml:space="preserve">Codex STAN 72-1981 requires AA content of infant formula to reach at least the same content as DHA. </w:t>
      </w:r>
    </w:p>
    <w:p w14:paraId="644435EF" w14:textId="77777777" w:rsidR="00776154" w:rsidRDefault="00776154" w:rsidP="00776154">
      <w:pPr>
        <w:pStyle w:val="Heading5"/>
        <w:rPr>
          <w:lang w:val="en-AU" w:eastAsia="en-AU" w:bidi="ar-SA"/>
        </w:rPr>
      </w:pPr>
      <w:r>
        <w:rPr>
          <w:lang w:val="en-AU" w:eastAsia="en-AU" w:bidi="ar-SA"/>
        </w:rPr>
        <w:t>DHA:AA</w:t>
      </w:r>
    </w:p>
    <w:p w14:paraId="27D5FF99" w14:textId="77777777" w:rsidR="00776154" w:rsidRDefault="00776154" w:rsidP="00776154">
      <w:pPr>
        <w:rPr>
          <w:rFonts w:eastAsia="Arial Unicode MS"/>
          <w:szCs w:val="22"/>
          <w:lang w:val="en-AU" w:bidi="ar-SA"/>
        </w:rPr>
      </w:pPr>
      <w:r w:rsidRPr="003F5460">
        <w:rPr>
          <w:rFonts w:eastAsia="Arial Unicode MS"/>
          <w:szCs w:val="22"/>
          <w:lang w:val="en-AU" w:bidi="ar-SA"/>
        </w:rPr>
        <w:t>Th</w:t>
      </w:r>
      <w:r>
        <w:rPr>
          <w:rFonts w:eastAsia="Arial Unicode MS"/>
          <w:szCs w:val="22"/>
          <w:lang w:val="en-AU" w:bidi="ar-SA"/>
        </w:rPr>
        <w:t>e</w:t>
      </w:r>
      <w:r w:rsidRPr="003F5460">
        <w:rPr>
          <w:rFonts w:eastAsia="Arial Unicode MS"/>
          <w:szCs w:val="22"/>
          <w:lang w:val="en-AU" w:bidi="ar-SA"/>
        </w:rPr>
        <w:t xml:space="preserve"> </w:t>
      </w:r>
      <w:r>
        <w:rPr>
          <w:rFonts w:eastAsia="Arial Unicode MS"/>
          <w:szCs w:val="22"/>
          <w:lang w:val="en-AU" w:bidi="ar-SA"/>
        </w:rPr>
        <w:t xml:space="preserve">total n-6:n-3 </w:t>
      </w:r>
      <w:r w:rsidRPr="003F5460">
        <w:rPr>
          <w:rFonts w:eastAsiaTheme="minorHAnsi"/>
        </w:rPr>
        <w:t xml:space="preserve">ratio </w:t>
      </w:r>
      <w:r>
        <w:rPr>
          <w:rFonts w:eastAsia="Arial Unicode MS" w:cs="Arial"/>
          <w:szCs w:val="22"/>
          <w:lang w:val="en-AU" w:bidi="ar-SA"/>
        </w:rPr>
        <w:t>is</w:t>
      </w:r>
      <w:r w:rsidRPr="003F5460">
        <w:rPr>
          <w:rFonts w:eastAsia="Arial Unicode MS" w:cs="Arial"/>
          <w:szCs w:val="22"/>
          <w:lang w:val="en-AU" w:bidi="ar-SA"/>
        </w:rPr>
        <w:t xml:space="preserve"> included </w:t>
      </w:r>
      <w:r>
        <w:rPr>
          <w:rFonts w:eastAsia="Arial Unicode MS" w:cs="Arial"/>
          <w:szCs w:val="22"/>
          <w:lang w:val="en-AU" w:bidi="ar-SA"/>
        </w:rPr>
        <w:t xml:space="preserve">in Standard 2.9.1 </w:t>
      </w:r>
      <w:r w:rsidRPr="003F5460">
        <w:rPr>
          <w:rFonts w:eastAsia="Arial Unicode MS" w:cs="Arial"/>
          <w:szCs w:val="22"/>
          <w:lang w:val="en-AU" w:bidi="ar-SA"/>
        </w:rPr>
        <w:t xml:space="preserve">to manage </w:t>
      </w:r>
      <w:r w:rsidRPr="003F5460">
        <w:rPr>
          <w:rFonts w:cs="Arial"/>
          <w:szCs w:val="22"/>
        </w:rPr>
        <w:t xml:space="preserve">any potential </w:t>
      </w:r>
      <w:r w:rsidRPr="003F5460">
        <w:t>risk</w:t>
      </w:r>
      <w:r w:rsidRPr="003F5460">
        <w:rPr>
          <w:rFonts w:cs="Arial"/>
          <w:szCs w:val="22"/>
        </w:rPr>
        <w:t xml:space="preserve"> of imbalance </w:t>
      </w:r>
      <w:r>
        <w:rPr>
          <w:rFonts w:cs="Arial"/>
          <w:szCs w:val="22"/>
        </w:rPr>
        <w:t>between</w:t>
      </w:r>
      <w:r w:rsidRPr="003F5460">
        <w:rPr>
          <w:rFonts w:cs="Arial"/>
          <w:szCs w:val="22"/>
        </w:rPr>
        <w:t xml:space="preserve"> </w:t>
      </w:r>
      <w:r>
        <w:rPr>
          <w:rFonts w:eastAsia="Arial Unicode MS"/>
          <w:szCs w:val="22"/>
          <w:lang w:val="en-AU" w:bidi="ar-SA"/>
        </w:rPr>
        <w:t xml:space="preserve">n-6 to n-3 LC-PUFA. Codex STAN 72-1981 does not include any maximum or ratios for total n-3 and n-6 content. Instead a minimum AA:DHA ratio is included to manage any potential n-6 and n-3 imbalance.   </w:t>
      </w:r>
    </w:p>
    <w:p w14:paraId="57BB4807" w14:textId="77777777" w:rsidR="00776154" w:rsidRPr="009216C5" w:rsidRDefault="00776154" w:rsidP="00776154">
      <w:pPr>
        <w:pStyle w:val="Heading4"/>
        <w:rPr>
          <w:rFonts w:eastAsia="Arial Unicode MS"/>
          <w:szCs w:val="22"/>
          <w:lang w:val="en-AU" w:bidi="ar-SA"/>
        </w:rPr>
      </w:pPr>
      <w:r w:rsidRPr="009216C5">
        <w:lastRenderedPageBreak/>
        <w:t>Previous consideration</w:t>
      </w:r>
    </w:p>
    <w:p w14:paraId="46C71E44" w14:textId="77777777" w:rsidR="00776154" w:rsidRDefault="00776154" w:rsidP="00776154">
      <w:pPr>
        <w:pStyle w:val="Heading5"/>
        <w:rPr>
          <w:lang w:val="en-AU" w:eastAsia="en-AU" w:bidi="ar-SA"/>
        </w:rPr>
      </w:pPr>
      <w:r>
        <w:rPr>
          <w:lang w:val="en-AU" w:eastAsia="en-AU" w:bidi="ar-SA"/>
        </w:rPr>
        <w:t>DHA</w:t>
      </w:r>
    </w:p>
    <w:p w14:paraId="5FE0FBDB" w14:textId="02139A3F" w:rsidR="00776154" w:rsidRDefault="00776154" w:rsidP="00776154">
      <w:pPr>
        <w:rPr>
          <w:lang w:val="en-AU" w:eastAsia="en-AU" w:bidi="ar-SA"/>
        </w:rPr>
      </w:pPr>
      <w:r w:rsidRPr="002854D5">
        <w:rPr>
          <w:lang w:val="en-AU" w:eastAsia="en-AU" w:bidi="ar-SA"/>
        </w:rPr>
        <w:t>DHA is a non-essential fatty acid as it is synthesised from</w:t>
      </w:r>
      <w:r>
        <w:rPr>
          <w:lang w:val="en-AU" w:eastAsia="en-AU" w:bidi="ar-SA"/>
        </w:rPr>
        <w:t xml:space="preserve"> the essential fatty acid ALA. The 2016 nutrition </w:t>
      </w:r>
      <w:r w:rsidR="0048005E">
        <w:rPr>
          <w:lang w:val="en-AU" w:eastAsia="en-AU" w:bidi="ar-SA"/>
        </w:rPr>
        <w:t xml:space="preserve">risk </w:t>
      </w:r>
      <w:r>
        <w:rPr>
          <w:lang w:val="en-AU" w:eastAsia="en-AU" w:bidi="ar-SA"/>
        </w:rPr>
        <w:t xml:space="preserve">assessment considered that </w:t>
      </w:r>
      <w:r>
        <w:rPr>
          <w:rFonts w:eastAsia="Arial Unicode MS"/>
          <w:szCs w:val="22"/>
          <w:lang w:val="en-AU" w:bidi="ar-SA"/>
        </w:rPr>
        <w:t>over recent years t</w:t>
      </w:r>
      <w:r w:rsidRPr="00F21E46">
        <w:rPr>
          <w:rFonts w:eastAsia="Arial Unicode MS"/>
          <w:szCs w:val="22"/>
          <w:lang w:val="en-AU" w:bidi="ar-SA"/>
        </w:rPr>
        <w:t>he</w:t>
      </w:r>
      <w:r>
        <w:rPr>
          <w:rFonts w:eastAsia="Arial Unicode MS"/>
          <w:szCs w:val="22"/>
          <w:lang w:val="en-AU" w:bidi="ar-SA"/>
        </w:rPr>
        <w:t>r</w:t>
      </w:r>
      <w:r w:rsidRPr="00F21E46">
        <w:rPr>
          <w:rFonts w:eastAsia="Arial Unicode MS"/>
          <w:szCs w:val="22"/>
          <w:lang w:val="en-AU" w:bidi="ar-SA"/>
        </w:rPr>
        <w:t xml:space="preserve">e has been considerable debate </w:t>
      </w:r>
      <w:r>
        <w:rPr>
          <w:rFonts w:eastAsia="Arial Unicode MS"/>
          <w:szCs w:val="22"/>
          <w:lang w:val="en-AU" w:bidi="ar-SA"/>
        </w:rPr>
        <w:t xml:space="preserve">about </w:t>
      </w:r>
      <w:r w:rsidRPr="00F21E46">
        <w:rPr>
          <w:rFonts w:eastAsia="Arial Unicode MS"/>
          <w:szCs w:val="22"/>
          <w:lang w:val="en-AU" w:bidi="ar-SA"/>
        </w:rPr>
        <w:t xml:space="preserve">whether a mandatory minimum of DHA should be </w:t>
      </w:r>
      <w:r>
        <w:rPr>
          <w:rFonts w:eastAsia="Arial Unicode MS"/>
          <w:szCs w:val="22"/>
          <w:lang w:val="en-AU" w:bidi="ar-SA"/>
        </w:rPr>
        <w:t xml:space="preserve">set for infant formula. The assessment concluded that </w:t>
      </w:r>
      <w:r w:rsidRPr="009126C2">
        <w:rPr>
          <w:rFonts w:eastAsia="Arial Unicode MS"/>
          <w:szCs w:val="22"/>
          <w:lang w:val="en-AU" w:bidi="ar-SA"/>
        </w:rPr>
        <w:t xml:space="preserve">mandatory </w:t>
      </w:r>
      <w:r>
        <w:rPr>
          <w:rFonts w:eastAsia="Arial Unicode MS"/>
          <w:szCs w:val="22"/>
          <w:lang w:val="en-AU" w:bidi="ar-SA"/>
        </w:rPr>
        <w:t xml:space="preserve">inclusion of a </w:t>
      </w:r>
      <w:r w:rsidRPr="009126C2">
        <w:rPr>
          <w:rFonts w:eastAsia="Arial Unicode MS"/>
          <w:szCs w:val="22"/>
          <w:lang w:val="en-AU" w:bidi="ar-SA"/>
        </w:rPr>
        <w:t xml:space="preserve">minimum </w:t>
      </w:r>
      <w:r w:rsidR="0048005E">
        <w:rPr>
          <w:rFonts w:eastAsia="Arial Unicode MS"/>
          <w:szCs w:val="22"/>
          <w:lang w:val="en-AU" w:bidi="ar-SA"/>
        </w:rPr>
        <w:t>amount</w:t>
      </w:r>
      <w:r w:rsidR="0048005E" w:rsidRPr="009126C2">
        <w:rPr>
          <w:rFonts w:eastAsia="Arial Unicode MS"/>
          <w:szCs w:val="22"/>
          <w:lang w:val="en-AU" w:bidi="ar-SA"/>
        </w:rPr>
        <w:t xml:space="preserve"> </w:t>
      </w:r>
      <w:r w:rsidRPr="009126C2">
        <w:rPr>
          <w:rFonts w:eastAsia="Arial Unicode MS"/>
          <w:szCs w:val="22"/>
          <w:lang w:val="en-AU" w:bidi="ar-SA"/>
        </w:rPr>
        <w:t xml:space="preserve">of DHA </w:t>
      </w:r>
      <w:r>
        <w:rPr>
          <w:rFonts w:eastAsia="Arial Unicode MS"/>
          <w:szCs w:val="22"/>
          <w:lang w:val="en-AU" w:bidi="ar-SA"/>
        </w:rPr>
        <w:t>was</w:t>
      </w:r>
      <w:r w:rsidRPr="009126C2">
        <w:rPr>
          <w:rFonts w:eastAsia="Arial Unicode MS"/>
          <w:szCs w:val="22"/>
          <w:lang w:val="en-AU" w:bidi="ar-SA"/>
        </w:rPr>
        <w:t xml:space="preserve"> based on mixed</w:t>
      </w:r>
      <w:r>
        <w:rPr>
          <w:rFonts w:eastAsia="Arial Unicode MS"/>
          <w:szCs w:val="22"/>
          <w:lang w:val="en-AU" w:bidi="ar-SA"/>
        </w:rPr>
        <w:t xml:space="preserve"> and inconclusive studies </w:t>
      </w:r>
      <w:r w:rsidRPr="009126C2">
        <w:rPr>
          <w:rFonts w:eastAsia="Arial Unicode MS"/>
          <w:szCs w:val="22"/>
          <w:lang w:val="en-AU" w:bidi="ar-SA"/>
        </w:rPr>
        <w:t>on i</w:t>
      </w:r>
      <w:r>
        <w:rPr>
          <w:rFonts w:eastAsia="Arial Unicode MS"/>
          <w:szCs w:val="22"/>
          <w:lang w:val="en-AU" w:bidi="ar-SA"/>
        </w:rPr>
        <w:t>nfant development.</w:t>
      </w:r>
    </w:p>
    <w:p w14:paraId="552AE2A4" w14:textId="77777777" w:rsidR="00776154" w:rsidRDefault="00776154" w:rsidP="00776154">
      <w:pPr>
        <w:rPr>
          <w:lang w:val="en-AU" w:eastAsia="en-AU" w:bidi="ar-SA"/>
        </w:rPr>
      </w:pPr>
    </w:p>
    <w:p w14:paraId="69457E80" w14:textId="2A7E8243" w:rsidR="00776154" w:rsidRPr="003F2E67" w:rsidRDefault="00776154" w:rsidP="00776154">
      <w:pPr>
        <w:rPr>
          <w:lang w:val="en-AU" w:eastAsia="en-AU" w:bidi="ar-SA"/>
        </w:rPr>
      </w:pPr>
      <w:r>
        <w:rPr>
          <w:lang w:val="en-AU" w:eastAsia="en-AU" w:bidi="ar-SA"/>
        </w:rPr>
        <w:t xml:space="preserve">The 2016 nutrition </w:t>
      </w:r>
      <w:r w:rsidR="0048005E">
        <w:rPr>
          <w:lang w:val="en-AU" w:eastAsia="en-AU" w:bidi="ar-SA"/>
        </w:rPr>
        <w:t xml:space="preserve">risk </w:t>
      </w:r>
      <w:r>
        <w:rPr>
          <w:lang w:val="en-AU" w:eastAsia="en-AU" w:bidi="ar-SA"/>
        </w:rPr>
        <w:t xml:space="preserve">assessment considered </w:t>
      </w:r>
      <w:r>
        <w:rPr>
          <w:rFonts w:eastAsia="Arial Unicode MS"/>
          <w:szCs w:val="22"/>
          <w:lang w:val="en-AU" w:bidi="ar-SA"/>
        </w:rPr>
        <w:t xml:space="preserve">that the </w:t>
      </w:r>
      <w:r>
        <w:rPr>
          <w:rFonts w:eastAsia="Arial Unicode MS"/>
        </w:rPr>
        <w:t xml:space="preserve">current maximum proportion of 1% total n-3 LC-PUFA in </w:t>
      </w:r>
      <w:r>
        <w:rPr>
          <w:rFonts w:eastAsia="Arial Unicode MS"/>
          <w:szCs w:val="22"/>
          <w:lang w:val="en-AU" w:bidi="ar-SA"/>
        </w:rPr>
        <w:t xml:space="preserve">Standard 2.9.1 </w:t>
      </w:r>
      <w:r>
        <w:rPr>
          <w:rFonts w:eastAsia="Arial Unicode MS"/>
        </w:rPr>
        <w:t xml:space="preserve">consists of DHA and smaller proportions of EPA and other n-3 LC-PUFA. From a review of specifications for DHA oil in the Code (Standard 1.3.4 </w:t>
      </w:r>
      <w:r w:rsidRPr="00BF0FC3">
        <w:rPr>
          <w:szCs w:val="22"/>
        </w:rPr>
        <w:t>– Identity and</w:t>
      </w:r>
      <w:r>
        <w:rPr>
          <w:szCs w:val="22"/>
        </w:rPr>
        <w:t xml:space="preserve"> Purity</w:t>
      </w:r>
      <w:r w:rsidRPr="00BF0FC3">
        <w:rPr>
          <w:rFonts w:eastAsia="Arial Unicode MS"/>
        </w:rPr>
        <w:t>)</w:t>
      </w:r>
      <w:r>
        <w:rPr>
          <w:rFonts w:eastAsia="Arial Unicode MS"/>
        </w:rPr>
        <w:t xml:space="preserve">, it is possible that present formulations of infant formula contain slightly more DHA than the Codex GUL of 0.5% total fatty acids. However, FSANZ concluded that there was minor or no impact expected on current infant formula formulations if the maximum for all n-3 LC-PUFAs in the Code were replaced by a GUL for DHA (and other relevant ratios). </w:t>
      </w:r>
    </w:p>
    <w:p w14:paraId="2A12D4EF" w14:textId="77777777" w:rsidR="00776154" w:rsidRDefault="00776154" w:rsidP="00776154">
      <w:pPr>
        <w:rPr>
          <w:lang w:val="en-AU" w:eastAsia="en-AU" w:bidi="ar-SA"/>
        </w:rPr>
      </w:pPr>
    </w:p>
    <w:p w14:paraId="2F7FA5E6" w14:textId="118AED42" w:rsidR="00776154" w:rsidRPr="009216C5" w:rsidRDefault="00776154" w:rsidP="00776154">
      <w:pPr>
        <w:rPr>
          <w:rFonts w:eastAsia="Arial Unicode MS"/>
          <w:szCs w:val="22"/>
          <w:lang w:val="en-AU" w:bidi="ar-SA"/>
        </w:rPr>
      </w:pPr>
      <w:r>
        <w:rPr>
          <w:rFonts w:eastAsia="Arial Unicode MS"/>
          <w:szCs w:val="22"/>
          <w:lang w:val="en-AU" w:bidi="ar-SA"/>
        </w:rPr>
        <w:t xml:space="preserve">Therefore, FSANZ’s preliminary view in 2016 was </w:t>
      </w:r>
      <w:r w:rsidRPr="001D3FF6">
        <w:rPr>
          <w:rFonts w:eastAsia="Arial Unicode MS"/>
          <w:szCs w:val="22"/>
          <w:lang w:val="en-AU" w:bidi="ar-SA"/>
        </w:rPr>
        <w:t xml:space="preserve">that a mandatory minimum DHA is not supported </w:t>
      </w:r>
      <w:r>
        <w:rPr>
          <w:rFonts w:eastAsia="Arial Unicode MS"/>
          <w:szCs w:val="22"/>
          <w:lang w:val="en-AU" w:bidi="ar-SA"/>
        </w:rPr>
        <w:t xml:space="preserve">by the evidence and it </w:t>
      </w:r>
      <w:r w:rsidRPr="00F21E46">
        <w:rPr>
          <w:rFonts w:eastAsia="Arial Unicode MS"/>
          <w:szCs w:val="22"/>
          <w:lang w:val="en-AU" w:bidi="ar-SA"/>
        </w:rPr>
        <w:t>is appropriate</w:t>
      </w:r>
      <w:r>
        <w:rPr>
          <w:rFonts w:eastAsia="Arial Unicode MS"/>
          <w:szCs w:val="22"/>
          <w:lang w:val="en-AU" w:bidi="ar-SA"/>
        </w:rPr>
        <w:t xml:space="preserve"> to control DHA when present with a guidance limit, by</w:t>
      </w:r>
      <w:r>
        <w:rPr>
          <w:rFonts w:eastAsia="Arial Unicode MS"/>
          <w:lang w:val="en-AU"/>
        </w:rPr>
        <w:t xml:space="preserve"> adopting the Codex GUL amount for DHA of 0.5% total fatty acids.</w:t>
      </w:r>
      <w:r>
        <w:rPr>
          <w:rFonts w:eastAsia="Arial Unicode MS"/>
          <w:szCs w:val="22"/>
          <w:lang w:val="en-AU" w:bidi="ar-SA"/>
        </w:rPr>
        <w:t xml:space="preserve"> </w:t>
      </w:r>
    </w:p>
    <w:p w14:paraId="4F0C308F" w14:textId="77777777" w:rsidR="00776154" w:rsidRDefault="00776154" w:rsidP="00776154">
      <w:pPr>
        <w:pStyle w:val="Heading5"/>
        <w:rPr>
          <w:lang w:val="en-AU" w:eastAsia="en-AU" w:bidi="ar-SA"/>
        </w:rPr>
      </w:pPr>
      <w:r>
        <w:rPr>
          <w:lang w:val="en-AU" w:eastAsia="en-AU" w:bidi="ar-SA"/>
        </w:rPr>
        <w:t>AA</w:t>
      </w:r>
    </w:p>
    <w:p w14:paraId="21AFCD25" w14:textId="77777777" w:rsidR="00776154" w:rsidRDefault="00776154" w:rsidP="00776154">
      <w:pPr>
        <w:rPr>
          <w:rFonts w:eastAsia="Arial Unicode MS"/>
          <w:szCs w:val="22"/>
          <w:lang w:val="en-AU" w:bidi="ar-SA"/>
        </w:rPr>
      </w:pPr>
      <w:r>
        <w:rPr>
          <w:rFonts w:eastAsia="Arial Unicode MS"/>
          <w:szCs w:val="22"/>
          <w:lang w:val="en-AU" w:bidi="ar-SA"/>
        </w:rPr>
        <w:t xml:space="preserve">In 2016 </w:t>
      </w:r>
      <w:r w:rsidRPr="00150016">
        <w:rPr>
          <w:rFonts w:eastAsia="Arial Unicode MS"/>
          <w:szCs w:val="22"/>
          <w:lang w:val="en-AU" w:bidi="ar-SA"/>
        </w:rPr>
        <w:t xml:space="preserve">FSANZ concluded that it is appropriate to maintain the requirement for EPA content to be no </w:t>
      </w:r>
      <w:r w:rsidRPr="00414D85">
        <w:rPr>
          <w:rFonts w:eastAsia="Arial Unicode MS"/>
          <w:szCs w:val="22"/>
          <w:lang w:val="en-AU" w:bidi="ar-SA"/>
        </w:rPr>
        <w:t>more than DHA content as this is already aligned with Codex. FSANZ also concluded that it is appropriate to maintain a maximum</w:t>
      </w:r>
      <w:r w:rsidRPr="00150016">
        <w:rPr>
          <w:rFonts w:eastAsia="Arial Unicode MS"/>
          <w:szCs w:val="22"/>
          <w:lang w:val="en-AU" w:bidi="ar-SA"/>
        </w:rPr>
        <w:t xml:space="preserve"> proportion of no more than 1% total fatty acids when AA is present.</w:t>
      </w:r>
    </w:p>
    <w:p w14:paraId="705DCD32" w14:textId="77777777" w:rsidR="00776154" w:rsidRPr="004F3327" w:rsidRDefault="00776154" w:rsidP="00776154">
      <w:pPr>
        <w:pStyle w:val="Heading5"/>
        <w:rPr>
          <w:lang w:val="en-AU" w:eastAsia="en-AU" w:bidi="ar-SA"/>
        </w:rPr>
      </w:pPr>
      <w:r>
        <w:rPr>
          <w:lang w:val="en-AU" w:eastAsia="en-AU" w:bidi="ar-SA"/>
        </w:rPr>
        <w:t>DHA:AA</w:t>
      </w:r>
    </w:p>
    <w:p w14:paraId="5995DF50" w14:textId="77777777" w:rsidR="00776154" w:rsidRPr="00150016" w:rsidRDefault="00776154" w:rsidP="00776154">
      <w:pPr>
        <w:rPr>
          <w:rFonts w:eastAsia="Arial Unicode MS"/>
          <w:szCs w:val="22"/>
          <w:lang w:val="en-AU" w:bidi="ar-SA"/>
        </w:rPr>
      </w:pPr>
      <w:r w:rsidRPr="00150016">
        <w:rPr>
          <w:rFonts w:eastAsia="Arial Unicode MS"/>
          <w:szCs w:val="22"/>
          <w:lang w:val="en-AU" w:bidi="ar-SA"/>
        </w:rPr>
        <w:t>FSANZ also proposed replacing the minimum ratio of total n-6 to total n-3 with the Codex minimum ratio of AA:DHA to avoid metabolic imbalance between the n-3 and n-6 LC-PUFA</w:t>
      </w:r>
      <w:r>
        <w:rPr>
          <w:rFonts w:eastAsia="Arial Unicode MS"/>
          <w:szCs w:val="22"/>
          <w:lang w:val="en-AU" w:bidi="ar-SA"/>
        </w:rPr>
        <w:t>.</w:t>
      </w:r>
    </w:p>
    <w:p w14:paraId="65A4EC7B" w14:textId="646423E0" w:rsidR="00776154" w:rsidRDefault="00143572" w:rsidP="00776154">
      <w:pPr>
        <w:pStyle w:val="Heading4"/>
        <w:rPr>
          <w:lang w:eastAsia="en-AU"/>
        </w:rPr>
      </w:pPr>
      <w:r>
        <w:rPr>
          <w:lang w:eastAsia="en-AU"/>
        </w:rPr>
        <w:t>Stakeholder views</w:t>
      </w:r>
    </w:p>
    <w:p w14:paraId="03112485" w14:textId="39759D1E" w:rsidR="00776154" w:rsidRDefault="00776154" w:rsidP="00776154">
      <w:r>
        <w:rPr>
          <w:lang w:val="en-AU" w:eastAsia="en-AU" w:bidi="ar-SA"/>
        </w:rPr>
        <w:t>Eight submitters (</w:t>
      </w:r>
      <w:r w:rsidR="0048005E">
        <w:rPr>
          <w:lang w:val="en-AU" w:eastAsia="en-AU" w:bidi="ar-SA"/>
        </w:rPr>
        <w:t>three</w:t>
      </w:r>
      <w:r>
        <w:rPr>
          <w:lang w:val="en-AU" w:eastAsia="en-AU" w:bidi="ar-SA"/>
        </w:rPr>
        <w:t xml:space="preserve"> </w:t>
      </w:r>
      <w:r w:rsidR="0048005E">
        <w:rPr>
          <w:lang w:val="en-AU" w:eastAsia="en-AU" w:bidi="ar-SA"/>
        </w:rPr>
        <w:t>g</w:t>
      </w:r>
      <w:r>
        <w:rPr>
          <w:lang w:val="en-AU" w:eastAsia="en-AU" w:bidi="ar-SA"/>
        </w:rPr>
        <w:t xml:space="preserve">overnment, </w:t>
      </w:r>
      <w:r w:rsidR="0048005E">
        <w:rPr>
          <w:lang w:val="en-AU" w:eastAsia="en-AU" w:bidi="ar-SA"/>
        </w:rPr>
        <w:t>five</w:t>
      </w:r>
      <w:r>
        <w:rPr>
          <w:lang w:val="en-AU" w:eastAsia="en-AU" w:bidi="ar-SA"/>
        </w:rPr>
        <w:t xml:space="preserve"> </w:t>
      </w:r>
      <w:r w:rsidR="0048005E">
        <w:rPr>
          <w:lang w:val="en-AU" w:eastAsia="en-AU" w:bidi="ar-SA"/>
        </w:rPr>
        <w:t>i</w:t>
      </w:r>
      <w:r>
        <w:rPr>
          <w:lang w:val="en-AU" w:eastAsia="en-AU" w:bidi="ar-SA"/>
        </w:rPr>
        <w:t xml:space="preserve">ndustry) expressed varied views on the DHA addition to infant formula. </w:t>
      </w:r>
      <w:r>
        <w:rPr>
          <w:rFonts w:eastAsia="Arial Unicode MS"/>
          <w:lang w:val="en-AU" w:bidi="ar-SA"/>
        </w:rPr>
        <w:t>Two industry submitters commented on issues pertaining to sources and ratios of other LC</w:t>
      </w:r>
      <w:r w:rsidR="0048005E">
        <w:rPr>
          <w:rFonts w:eastAsia="Arial Unicode MS"/>
          <w:lang w:val="en-AU" w:bidi="ar-SA"/>
        </w:rPr>
        <w:t>-</w:t>
      </w:r>
      <w:r>
        <w:rPr>
          <w:rFonts w:eastAsia="Arial Unicode MS"/>
          <w:lang w:val="en-AU" w:bidi="ar-SA"/>
        </w:rPr>
        <w:t>PUFA</w:t>
      </w:r>
      <w:r w:rsidR="00843305">
        <w:rPr>
          <w:rFonts w:eastAsia="Arial Unicode MS"/>
          <w:lang w:val="en-AU" w:bidi="ar-SA"/>
        </w:rPr>
        <w:t xml:space="preserve"> (Table 5.6)</w:t>
      </w:r>
      <w:r>
        <w:rPr>
          <w:rFonts w:eastAsia="Arial Unicode MS"/>
          <w:lang w:val="en-AU" w:bidi="ar-SA"/>
        </w:rPr>
        <w:t xml:space="preserve">. </w:t>
      </w:r>
    </w:p>
    <w:p w14:paraId="43B2C321" w14:textId="77777777" w:rsidR="00776154" w:rsidRDefault="00776154" w:rsidP="00776154"/>
    <w:p w14:paraId="3BF4A767" w14:textId="62B7F0BC" w:rsidR="00776154" w:rsidRDefault="00776154" w:rsidP="00E9515E">
      <w:pPr>
        <w:pStyle w:val="FSTitle"/>
        <w:rPr>
          <w:lang w:val="en-AU" w:eastAsia="en-AU" w:bidi="ar-SA"/>
        </w:rPr>
      </w:pPr>
      <w:bookmarkStart w:id="248" w:name="_Toc74061236"/>
      <w:r>
        <w:t xml:space="preserve">Table </w:t>
      </w:r>
      <w:r w:rsidR="006678F3">
        <w:t>5</w:t>
      </w:r>
      <w:r w:rsidR="00843305">
        <w:t>.6</w:t>
      </w:r>
      <w:r w:rsidR="00843305">
        <w:tab/>
      </w:r>
      <w:r>
        <w:t>Su</w:t>
      </w:r>
      <w:r w:rsidR="00843305">
        <w:t xml:space="preserve">bmitter comments on </w:t>
      </w:r>
      <w:r w:rsidR="00843305" w:rsidRPr="00843305">
        <w:t>LC-PUFA, ratios and sources</w:t>
      </w:r>
      <w:bookmarkEnd w:id="248"/>
    </w:p>
    <w:tbl>
      <w:tblPr>
        <w:tblStyle w:val="ListTable4-Accent3"/>
        <w:tblW w:w="0" w:type="auto"/>
        <w:tblLook w:val="04A0" w:firstRow="1" w:lastRow="0" w:firstColumn="1" w:lastColumn="0" w:noHBand="0" w:noVBand="1"/>
        <w:tblCaption w:val="Table 5.4.2 Summary of issues"/>
        <w:tblDescription w:val="This table summarises the number of submissions regarding LC-PUFAs to the previous Consultation papers for Proposal P1028."/>
      </w:tblPr>
      <w:tblGrid>
        <w:gridCol w:w="3681"/>
        <w:gridCol w:w="1559"/>
        <w:gridCol w:w="3658"/>
      </w:tblGrid>
      <w:tr w:rsidR="00776154" w:rsidRPr="008410B2" w14:paraId="2DE80989" w14:textId="77777777" w:rsidTr="008410B2">
        <w:trPr>
          <w:cnfStyle w:val="100000000000" w:firstRow="1" w:lastRow="0" w:firstColumn="0" w:lastColumn="0" w:oddVBand="0" w:evenVBand="0" w:oddHBand="0"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3681" w:type="dxa"/>
            <w:vAlign w:val="center"/>
          </w:tcPr>
          <w:p w14:paraId="33C6DFCD" w14:textId="78AD9A14" w:rsidR="00776154" w:rsidRPr="008410B2" w:rsidRDefault="00843305" w:rsidP="00542980">
            <w:pPr>
              <w:jc w:val="center"/>
              <w:rPr>
                <w:rFonts w:asciiTheme="minorHAnsi" w:hAnsiTheme="minorHAnsi"/>
                <w:color w:val="auto"/>
                <w:sz w:val="20"/>
                <w:szCs w:val="20"/>
                <w:lang w:eastAsia="en-GB"/>
              </w:rPr>
            </w:pPr>
            <w:r w:rsidRPr="008410B2">
              <w:rPr>
                <w:rFonts w:asciiTheme="minorHAnsi" w:hAnsiTheme="minorHAnsi"/>
                <w:color w:val="auto"/>
                <w:sz w:val="20"/>
                <w:szCs w:val="20"/>
                <w:lang w:eastAsia="en-GB"/>
              </w:rPr>
              <w:t>Comment</w:t>
            </w:r>
          </w:p>
        </w:tc>
        <w:tc>
          <w:tcPr>
            <w:tcW w:w="1559" w:type="dxa"/>
            <w:vAlign w:val="center"/>
          </w:tcPr>
          <w:p w14:paraId="6F849CF4" w14:textId="77777777" w:rsidR="00776154" w:rsidRPr="008410B2" w:rsidRDefault="00776154" w:rsidP="00542980">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olor w:val="auto"/>
                <w:sz w:val="20"/>
                <w:szCs w:val="20"/>
                <w:lang w:eastAsia="en-GB"/>
              </w:rPr>
            </w:pPr>
            <w:r w:rsidRPr="008410B2">
              <w:rPr>
                <w:rFonts w:asciiTheme="minorHAnsi" w:hAnsiTheme="minorHAnsi"/>
                <w:color w:val="auto"/>
                <w:sz w:val="20"/>
                <w:szCs w:val="20"/>
                <w:lang w:eastAsia="en-GB"/>
              </w:rPr>
              <w:t>Raised by</w:t>
            </w:r>
          </w:p>
        </w:tc>
        <w:tc>
          <w:tcPr>
            <w:tcW w:w="3658" w:type="dxa"/>
            <w:vAlign w:val="center"/>
          </w:tcPr>
          <w:p w14:paraId="4D86228B" w14:textId="77777777" w:rsidR="00776154" w:rsidRPr="008410B2" w:rsidRDefault="00776154" w:rsidP="00542980">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olor w:val="auto"/>
                <w:sz w:val="20"/>
                <w:szCs w:val="20"/>
                <w:lang w:eastAsia="en-GB"/>
              </w:rPr>
            </w:pPr>
            <w:r w:rsidRPr="008410B2">
              <w:rPr>
                <w:rFonts w:asciiTheme="minorHAnsi" w:hAnsiTheme="minorHAnsi"/>
                <w:color w:val="auto"/>
                <w:sz w:val="20"/>
                <w:szCs w:val="20"/>
                <w:lang w:eastAsia="en-GB"/>
              </w:rPr>
              <w:t>FSANZ Response</w:t>
            </w:r>
          </w:p>
        </w:tc>
      </w:tr>
      <w:tr w:rsidR="00776154" w:rsidRPr="008410B2" w14:paraId="79BB34A5" w14:textId="77777777" w:rsidTr="005429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8" w:type="dxa"/>
            <w:gridSpan w:val="3"/>
          </w:tcPr>
          <w:p w14:paraId="39C29AD8" w14:textId="77777777" w:rsidR="00776154" w:rsidRPr="008410B2" w:rsidRDefault="00776154" w:rsidP="00776154">
            <w:pPr>
              <w:rPr>
                <w:rFonts w:asciiTheme="minorHAnsi" w:hAnsiTheme="minorHAnsi"/>
                <w:b w:val="0"/>
                <w:i/>
                <w:sz w:val="20"/>
                <w:szCs w:val="20"/>
                <w:lang w:val="en-AU" w:eastAsia="en-AU" w:bidi="ar-SA"/>
              </w:rPr>
            </w:pPr>
            <w:r w:rsidRPr="008410B2">
              <w:rPr>
                <w:rFonts w:asciiTheme="minorHAnsi" w:hAnsiTheme="minorHAnsi"/>
                <w:b w:val="0"/>
                <w:i/>
                <w:sz w:val="20"/>
                <w:szCs w:val="20"/>
                <w:lang w:val="en-AU" w:eastAsia="en-AU" w:bidi="ar-SA"/>
              </w:rPr>
              <w:t>DHA</w:t>
            </w:r>
          </w:p>
        </w:tc>
      </w:tr>
      <w:tr w:rsidR="00776154" w:rsidRPr="008410B2" w14:paraId="3C3BBB1E" w14:textId="77777777" w:rsidTr="008410B2">
        <w:tc>
          <w:tcPr>
            <w:cnfStyle w:val="001000000000" w:firstRow="0" w:lastRow="0" w:firstColumn="1" w:lastColumn="0" w:oddVBand="0" w:evenVBand="0" w:oddHBand="0" w:evenHBand="0" w:firstRowFirstColumn="0" w:firstRowLastColumn="0" w:lastRowFirstColumn="0" w:lastRowLastColumn="0"/>
            <w:tcW w:w="3681" w:type="dxa"/>
          </w:tcPr>
          <w:p w14:paraId="1DDF9887" w14:textId="488C1AF3" w:rsidR="00776154" w:rsidRPr="008410B2" w:rsidRDefault="00776154" w:rsidP="001312BE">
            <w:pPr>
              <w:rPr>
                <w:rFonts w:asciiTheme="minorHAnsi" w:hAnsiTheme="minorHAnsi"/>
                <w:b w:val="0"/>
                <w:sz w:val="20"/>
                <w:szCs w:val="20"/>
                <w:lang w:val="en-AU" w:eastAsia="en-AU" w:bidi="ar-SA"/>
              </w:rPr>
            </w:pPr>
            <w:r w:rsidRPr="008410B2">
              <w:rPr>
                <w:rFonts w:asciiTheme="minorHAnsi" w:hAnsiTheme="minorHAnsi"/>
                <w:b w:val="0"/>
                <w:sz w:val="20"/>
                <w:szCs w:val="20"/>
              </w:rPr>
              <w:t>Supports FSANZ considerations in 2016 C</w:t>
            </w:r>
            <w:r w:rsidR="001312BE" w:rsidRPr="008410B2">
              <w:rPr>
                <w:rFonts w:asciiTheme="minorHAnsi" w:hAnsiTheme="minorHAnsi"/>
                <w:b w:val="0"/>
                <w:sz w:val="20"/>
                <w:szCs w:val="20"/>
              </w:rPr>
              <w:t>onsultation paper</w:t>
            </w:r>
            <w:r w:rsidRPr="008410B2">
              <w:rPr>
                <w:rFonts w:asciiTheme="minorHAnsi" w:hAnsiTheme="minorHAnsi"/>
                <w:b w:val="0"/>
                <w:sz w:val="20"/>
                <w:szCs w:val="20"/>
              </w:rPr>
              <w:t xml:space="preserve"> (retain voluntary addition of DHA) citing lack of safety data for addition of DHA without AA and cost of AA compared to DHA.</w:t>
            </w:r>
          </w:p>
        </w:tc>
        <w:tc>
          <w:tcPr>
            <w:tcW w:w="1559" w:type="dxa"/>
          </w:tcPr>
          <w:p w14:paraId="25EB2CD1" w14:textId="77777777" w:rsidR="00776154" w:rsidRPr="008410B2" w:rsidRDefault="00776154" w:rsidP="00776154">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AU" w:eastAsia="en-AU" w:bidi="ar-SA"/>
              </w:rPr>
            </w:pPr>
            <w:r w:rsidRPr="008410B2">
              <w:rPr>
                <w:rFonts w:asciiTheme="minorHAnsi" w:hAnsiTheme="minorHAnsi"/>
                <w:sz w:val="20"/>
                <w:szCs w:val="20"/>
              </w:rPr>
              <w:t>Industry (2)</w:t>
            </w:r>
          </w:p>
        </w:tc>
        <w:tc>
          <w:tcPr>
            <w:tcW w:w="3658" w:type="dxa"/>
          </w:tcPr>
          <w:p w14:paraId="4A230320" w14:textId="77777777" w:rsidR="00776154" w:rsidRPr="008410B2" w:rsidRDefault="00776154" w:rsidP="00542980">
            <w:pPr>
              <w:ind w:left="34" w:hanging="34"/>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AU" w:eastAsia="en-AU" w:bidi="ar-SA"/>
              </w:rPr>
            </w:pPr>
            <w:r w:rsidRPr="008410B2">
              <w:rPr>
                <w:rFonts w:asciiTheme="minorHAnsi" w:hAnsiTheme="minorHAnsi"/>
                <w:sz w:val="20"/>
                <w:szCs w:val="20"/>
              </w:rPr>
              <w:t>Refer to options and discussion section (below).</w:t>
            </w:r>
          </w:p>
        </w:tc>
      </w:tr>
      <w:tr w:rsidR="00776154" w:rsidRPr="008410B2" w14:paraId="50FDE835" w14:textId="77777777" w:rsidTr="008410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shd w:val="clear" w:color="auto" w:fill="FFFFFF" w:themeFill="background1"/>
          </w:tcPr>
          <w:p w14:paraId="5A86353B" w14:textId="0A9816E3" w:rsidR="00776154" w:rsidRPr="008410B2" w:rsidRDefault="00776154" w:rsidP="001312BE">
            <w:pPr>
              <w:rPr>
                <w:rFonts w:asciiTheme="minorHAnsi" w:hAnsiTheme="minorHAnsi"/>
                <w:b w:val="0"/>
                <w:sz w:val="20"/>
                <w:szCs w:val="20"/>
                <w:lang w:val="en-AU" w:eastAsia="en-AU" w:bidi="ar-SA"/>
              </w:rPr>
            </w:pPr>
            <w:r w:rsidRPr="008410B2">
              <w:rPr>
                <w:rFonts w:asciiTheme="minorHAnsi" w:hAnsiTheme="minorHAnsi"/>
                <w:b w:val="0"/>
                <w:sz w:val="20"/>
                <w:szCs w:val="20"/>
              </w:rPr>
              <w:t xml:space="preserve">Align with EU </w:t>
            </w:r>
            <w:r w:rsidR="001312BE" w:rsidRPr="008410B2">
              <w:rPr>
                <w:rFonts w:asciiTheme="minorHAnsi" w:hAnsiTheme="minorHAnsi"/>
                <w:b w:val="0"/>
                <w:sz w:val="20"/>
                <w:szCs w:val="20"/>
              </w:rPr>
              <w:t xml:space="preserve">2016/127 </w:t>
            </w:r>
            <w:r w:rsidRPr="008410B2">
              <w:rPr>
                <w:rFonts w:asciiTheme="minorHAnsi" w:hAnsiTheme="minorHAnsi"/>
                <w:b w:val="0"/>
                <w:sz w:val="20"/>
                <w:szCs w:val="20"/>
              </w:rPr>
              <w:t>for mandatory addition of DHA</w:t>
            </w:r>
          </w:p>
        </w:tc>
        <w:tc>
          <w:tcPr>
            <w:tcW w:w="1559" w:type="dxa"/>
            <w:shd w:val="clear" w:color="auto" w:fill="FFFFFF" w:themeFill="background1"/>
          </w:tcPr>
          <w:p w14:paraId="39F62B19" w14:textId="77777777" w:rsidR="008410B2" w:rsidRDefault="00776154" w:rsidP="00776154">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8410B2">
              <w:rPr>
                <w:rFonts w:asciiTheme="minorHAnsi" w:hAnsiTheme="minorHAnsi"/>
                <w:sz w:val="20"/>
                <w:szCs w:val="20"/>
              </w:rPr>
              <w:t xml:space="preserve">Government </w:t>
            </w:r>
            <w:r w:rsidR="008410B2">
              <w:rPr>
                <w:rFonts w:asciiTheme="minorHAnsi" w:hAnsiTheme="minorHAnsi"/>
                <w:sz w:val="20"/>
                <w:szCs w:val="20"/>
              </w:rPr>
              <w:t>(3)</w:t>
            </w:r>
          </w:p>
          <w:p w14:paraId="69B4EF46" w14:textId="17DDFB16" w:rsidR="00776154" w:rsidRPr="008410B2" w:rsidRDefault="00776154" w:rsidP="00776154">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8410B2">
              <w:rPr>
                <w:rFonts w:asciiTheme="minorHAnsi" w:hAnsiTheme="minorHAnsi"/>
                <w:sz w:val="20"/>
                <w:szCs w:val="20"/>
              </w:rPr>
              <w:t>Industry (2)</w:t>
            </w:r>
          </w:p>
        </w:tc>
        <w:tc>
          <w:tcPr>
            <w:tcW w:w="3658" w:type="dxa"/>
            <w:shd w:val="clear" w:color="auto" w:fill="FFFFFF" w:themeFill="background1"/>
          </w:tcPr>
          <w:p w14:paraId="5D4C3E46" w14:textId="5536FED6" w:rsidR="00776154" w:rsidRPr="008410B2" w:rsidRDefault="00776154" w:rsidP="001312BE">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AU" w:eastAsia="en-AU" w:bidi="ar-SA"/>
              </w:rPr>
            </w:pPr>
            <w:r w:rsidRPr="008410B2">
              <w:rPr>
                <w:rFonts w:asciiTheme="minorHAnsi" w:hAnsiTheme="minorHAnsi"/>
                <w:sz w:val="20"/>
                <w:szCs w:val="20"/>
                <w:lang w:eastAsia="en-AU"/>
              </w:rPr>
              <w:t xml:space="preserve">In 2016, EU mandated that by February 2021, infant formula </w:t>
            </w:r>
            <w:r w:rsidRPr="008410B2">
              <w:rPr>
                <w:rFonts w:asciiTheme="minorHAnsi" w:hAnsiTheme="minorHAnsi"/>
                <w:sz w:val="20"/>
                <w:szCs w:val="20"/>
              </w:rPr>
              <w:t>must contain DHA at levels of 20</w:t>
            </w:r>
            <w:r w:rsidR="001312BE" w:rsidRPr="008410B2">
              <w:rPr>
                <w:rFonts w:asciiTheme="minorHAnsi" w:hAnsiTheme="minorHAnsi"/>
                <w:sz w:val="20"/>
                <w:szCs w:val="20"/>
              </w:rPr>
              <w:t>–</w:t>
            </w:r>
            <w:r w:rsidRPr="008410B2">
              <w:rPr>
                <w:rFonts w:asciiTheme="minorHAnsi" w:hAnsiTheme="minorHAnsi"/>
                <w:sz w:val="20"/>
                <w:szCs w:val="20"/>
              </w:rPr>
              <w:t>50 mg/100 kcal (approximately 0.5</w:t>
            </w:r>
            <w:r w:rsidR="001312BE" w:rsidRPr="008410B2">
              <w:rPr>
                <w:rFonts w:asciiTheme="minorHAnsi" w:hAnsiTheme="minorHAnsi"/>
                <w:sz w:val="20"/>
                <w:szCs w:val="20"/>
              </w:rPr>
              <w:t>–</w:t>
            </w:r>
            <w:r w:rsidRPr="008410B2">
              <w:rPr>
                <w:rFonts w:asciiTheme="minorHAnsi" w:hAnsiTheme="minorHAnsi"/>
                <w:sz w:val="20"/>
                <w:szCs w:val="20"/>
              </w:rPr>
              <w:t>1% of total fatty acids or 4.8</w:t>
            </w:r>
            <w:r w:rsidR="001312BE" w:rsidRPr="008410B2">
              <w:rPr>
                <w:rFonts w:asciiTheme="minorHAnsi" w:hAnsiTheme="minorHAnsi"/>
                <w:sz w:val="20"/>
                <w:szCs w:val="20"/>
              </w:rPr>
              <w:t>–</w:t>
            </w:r>
            <w:r w:rsidRPr="008410B2">
              <w:rPr>
                <w:rFonts w:asciiTheme="minorHAnsi" w:hAnsiTheme="minorHAnsi"/>
                <w:sz w:val="20"/>
                <w:szCs w:val="20"/>
              </w:rPr>
              <w:t xml:space="preserve">12 mg/100 kJ). The legislation does </w:t>
            </w:r>
            <w:r w:rsidRPr="008410B2">
              <w:rPr>
                <w:rFonts w:asciiTheme="minorHAnsi" w:hAnsiTheme="minorHAnsi"/>
                <w:sz w:val="20"/>
                <w:szCs w:val="20"/>
              </w:rPr>
              <w:lastRenderedPageBreak/>
              <w:t>not provide a requirement for addition of ARA. The decision to mandate DHA levels was based on a 2013 EFSA opinion paper.</w:t>
            </w:r>
          </w:p>
        </w:tc>
      </w:tr>
      <w:tr w:rsidR="00776154" w:rsidRPr="008410B2" w14:paraId="6E778AE7" w14:textId="77777777" w:rsidTr="008410B2">
        <w:tc>
          <w:tcPr>
            <w:cnfStyle w:val="001000000000" w:firstRow="0" w:lastRow="0" w:firstColumn="1" w:lastColumn="0" w:oddVBand="0" w:evenVBand="0" w:oddHBand="0" w:evenHBand="0" w:firstRowFirstColumn="0" w:firstRowLastColumn="0" w:lastRowFirstColumn="0" w:lastRowLastColumn="0"/>
            <w:tcW w:w="3681" w:type="dxa"/>
          </w:tcPr>
          <w:p w14:paraId="37C21EDC" w14:textId="7E45C430" w:rsidR="00776154" w:rsidRPr="008410B2" w:rsidRDefault="00776154" w:rsidP="001312BE">
            <w:pPr>
              <w:rPr>
                <w:rFonts w:asciiTheme="minorHAnsi" w:hAnsiTheme="minorHAnsi"/>
                <w:b w:val="0"/>
                <w:sz w:val="20"/>
                <w:szCs w:val="20"/>
                <w:lang w:val="en-AU" w:eastAsia="en-AU" w:bidi="ar-SA"/>
              </w:rPr>
            </w:pPr>
            <w:r w:rsidRPr="008410B2">
              <w:rPr>
                <w:rFonts w:asciiTheme="minorHAnsi" w:hAnsiTheme="minorHAnsi"/>
                <w:b w:val="0"/>
                <w:sz w:val="20"/>
                <w:szCs w:val="20"/>
              </w:rPr>
              <w:lastRenderedPageBreak/>
              <w:t xml:space="preserve">Align with EU </w:t>
            </w:r>
            <w:r w:rsidR="001312BE" w:rsidRPr="008410B2">
              <w:rPr>
                <w:rFonts w:asciiTheme="minorHAnsi" w:hAnsiTheme="minorHAnsi"/>
                <w:b w:val="0"/>
                <w:sz w:val="20"/>
                <w:szCs w:val="20"/>
              </w:rPr>
              <w:t xml:space="preserve">2016/127 </w:t>
            </w:r>
            <w:r w:rsidRPr="008410B2">
              <w:rPr>
                <w:rFonts w:asciiTheme="minorHAnsi" w:hAnsiTheme="minorHAnsi"/>
                <w:b w:val="0"/>
                <w:sz w:val="20"/>
                <w:szCs w:val="20"/>
              </w:rPr>
              <w:t>with minimum DHA level equal to or in excess of AA amount.</w:t>
            </w:r>
          </w:p>
        </w:tc>
        <w:tc>
          <w:tcPr>
            <w:tcW w:w="1559" w:type="dxa"/>
          </w:tcPr>
          <w:p w14:paraId="2D269D17" w14:textId="77777777" w:rsidR="00776154" w:rsidRPr="008410B2" w:rsidRDefault="00776154" w:rsidP="00776154">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AU" w:eastAsia="en-AU" w:bidi="ar-SA"/>
              </w:rPr>
            </w:pPr>
            <w:r w:rsidRPr="008410B2">
              <w:rPr>
                <w:rFonts w:asciiTheme="minorHAnsi" w:hAnsiTheme="minorHAnsi"/>
                <w:sz w:val="20"/>
                <w:szCs w:val="20"/>
              </w:rPr>
              <w:t>Industry (1)</w:t>
            </w:r>
          </w:p>
        </w:tc>
        <w:tc>
          <w:tcPr>
            <w:tcW w:w="3658" w:type="dxa"/>
          </w:tcPr>
          <w:p w14:paraId="3D65338D" w14:textId="2C1D27AD" w:rsidR="00776154" w:rsidRPr="008410B2" w:rsidRDefault="00776154" w:rsidP="00776154">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AU" w:eastAsia="en-AU" w:bidi="ar-SA"/>
              </w:rPr>
            </w:pPr>
            <w:r w:rsidRPr="008410B2">
              <w:rPr>
                <w:rFonts w:asciiTheme="minorHAnsi" w:hAnsiTheme="minorHAnsi"/>
                <w:sz w:val="20"/>
                <w:szCs w:val="20"/>
                <w:lang w:eastAsia="en-AU"/>
              </w:rPr>
              <w:t>Refer to options and discussion section (below)</w:t>
            </w:r>
            <w:r w:rsidR="00754BEF" w:rsidRPr="008410B2">
              <w:rPr>
                <w:rFonts w:asciiTheme="minorHAnsi" w:hAnsiTheme="minorHAnsi"/>
                <w:sz w:val="20"/>
                <w:szCs w:val="20"/>
                <w:lang w:eastAsia="en-AU"/>
              </w:rPr>
              <w:t>.</w:t>
            </w:r>
          </w:p>
        </w:tc>
      </w:tr>
      <w:tr w:rsidR="00776154" w:rsidRPr="008410B2" w14:paraId="7B144A88" w14:textId="77777777" w:rsidTr="005429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8" w:type="dxa"/>
            <w:gridSpan w:val="3"/>
          </w:tcPr>
          <w:p w14:paraId="7B18A238" w14:textId="77777777" w:rsidR="00776154" w:rsidRPr="008410B2" w:rsidRDefault="00776154" w:rsidP="00776154">
            <w:pPr>
              <w:rPr>
                <w:rFonts w:asciiTheme="minorHAnsi" w:hAnsiTheme="minorHAnsi"/>
                <w:b w:val="0"/>
                <w:i/>
                <w:sz w:val="20"/>
                <w:szCs w:val="20"/>
                <w:lang w:eastAsia="en-AU"/>
              </w:rPr>
            </w:pPr>
            <w:r w:rsidRPr="008410B2">
              <w:rPr>
                <w:rFonts w:asciiTheme="minorHAnsi" w:hAnsiTheme="minorHAnsi"/>
                <w:b w:val="0"/>
                <w:i/>
                <w:sz w:val="20"/>
                <w:szCs w:val="20"/>
              </w:rPr>
              <w:t>LC-PUFA</w:t>
            </w:r>
          </w:p>
        </w:tc>
      </w:tr>
      <w:tr w:rsidR="00776154" w:rsidRPr="008410B2" w14:paraId="29CF3E8A" w14:textId="77777777" w:rsidTr="008410B2">
        <w:tc>
          <w:tcPr>
            <w:cnfStyle w:val="001000000000" w:firstRow="0" w:lastRow="0" w:firstColumn="1" w:lastColumn="0" w:oddVBand="0" w:evenVBand="0" w:oddHBand="0" w:evenHBand="0" w:firstRowFirstColumn="0" w:firstRowLastColumn="0" w:lastRowFirstColumn="0" w:lastRowLastColumn="0"/>
            <w:tcW w:w="3681" w:type="dxa"/>
          </w:tcPr>
          <w:p w14:paraId="547C3DEA" w14:textId="77777777" w:rsidR="00776154" w:rsidRPr="008410B2" w:rsidRDefault="00776154" w:rsidP="00776154">
            <w:pPr>
              <w:rPr>
                <w:rFonts w:asciiTheme="minorHAnsi" w:hAnsiTheme="minorHAnsi"/>
                <w:b w:val="0"/>
                <w:sz w:val="20"/>
                <w:szCs w:val="20"/>
              </w:rPr>
            </w:pPr>
            <w:r w:rsidRPr="008410B2">
              <w:rPr>
                <w:rFonts w:asciiTheme="minorHAnsi" w:hAnsiTheme="minorHAnsi"/>
                <w:b w:val="0"/>
                <w:sz w:val="20"/>
                <w:szCs w:val="20"/>
                <w:lang w:val="en-AU"/>
              </w:rPr>
              <w:t>Sources of LC-PUFA</w:t>
            </w:r>
          </w:p>
        </w:tc>
        <w:tc>
          <w:tcPr>
            <w:tcW w:w="5217" w:type="dxa"/>
            <w:gridSpan w:val="2"/>
          </w:tcPr>
          <w:p w14:paraId="3D60133F" w14:textId="77777777" w:rsidR="00776154" w:rsidRPr="008410B2" w:rsidRDefault="00776154" w:rsidP="00776154">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eastAsia="en-AU"/>
              </w:rPr>
            </w:pPr>
            <w:r w:rsidRPr="008410B2">
              <w:rPr>
                <w:rFonts w:asciiTheme="minorHAnsi" w:hAnsiTheme="minorHAnsi"/>
                <w:sz w:val="20"/>
                <w:szCs w:val="20"/>
              </w:rPr>
              <w:t>No comments</w:t>
            </w:r>
          </w:p>
        </w:tc>
      </w:tr>
      <w:tr w:rsidR="00776154" w:rsidRPr="008410B2" w14:paraId="0607A538" w14:textId="77777777" w:rsidTr="005429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8" w:type="dxa"/>
            <w:gridSpan w:val="3"/>
          </w:tcPr>
          <w:p w14:paraId="0E9F0821" w14:textId="77777777" w:rsidR="00776154" w:rsidRPr="008410B2" w:rsidRDefault="00776154" w:rsidP="00776154">
            <w:pPr>
              <w:rPr>
                <w:rFonts w:asciiTheme="minorHAnsi" w:hAnsiTheme="minorHAnsi"/>
                <w:b w:val="0"/>
                <w:i/>
                <w:sz w:val="20"/>
                <w:szCs w:val="20"/>
                <w:lang w:eastAsia="en-AU"/>
              </w:rPr>
            </w:pPr>
            <w:r w:rsidRPr="008410B2">
              <w:rPr>
                <w:rFonts w:asciiTheme="minorHAnsi" w:hAnsiTheme="minorHAnsi"/>
                <w:b w:val="0"/>
                <w:i/>
                <w:sz w:val="20"/>
                <w:szCs w:val="20"/>
                <w:lang w:val="en-AU"/>
              </w:rPr>
              <w:t>EPA</w:t>
            </w:r>
          </w:p>
        </w:tc>
      </w:tr>
      <w:tr w:rsidR="00776154" w:rsidRPr="008410B2" w14:paraId="5DFA1D90" w14:textId="77777777" w:rsidTr="008410B2">
        <w:tc>
          <w:tcPr>
            <w:cnfStyle w:val="001000000000" w:firstRow="0" w:lastRow="0" w:firstColumn="1" w:lastColumn="0" w:oddVBand="0" w:evenVBand="0" w:oddHBand="0" w:evenHBand="0" w:firstRowFirstColumn="0" w:firstRowLastColumn="0" w:lastRowFirstColumn="0" w:lastRowLastColumn="0"/>
            <w:tcW w:w="3681" w:type="dxa"/>
          </w:tcPr>
          <w:p w14:paraId="6E5A16E7" w14:textId="008517FC" w:rsidR="00776154" w:rsidRPr="008410B2" w:rsidRDefault="00776154" w:rsidP="00776154">
            <w:pPr>
              <w:rPr>
                <w:rFonts w:asciiTheme="minorHAnsi" w:hAnsiTheme="minorHAnsi"/>
                <w:sz w:val="20"/>
                <w:szCs w:val="20"/>
              </w:rPr>
            </w:pPr>
            <w:r w:rsidRPr="008410B2">
              <w:rPr>
                <w:rFonts w:asciiTheme="minorHAnsi" w:hAnsiTheme="minorHAnsi"/>
                <w:b w:val="0"/>
                <w:sz w:val="20"/>
                <w:szCs w:val="20"/>
              </w:rPr>
              <w:t xml:space="preserve">Support maintaining the </w:t>
            </w:r>
            <w:r w:rsidRPr="008410B2">
              <w:rPr>
                <w:rFonts w:asciiTheme="minorHAnsi" w:hAnsiTheme="minorHAnsi"/>
                <w:b w:val="0"/>
                <w:sz w:val="20"/>
                <w:szCs w:val="20"/>
                <w:lang w:val="en-AU"/>
              </w:rPr>
              <w:t>current requirement for EPA content to be no more than DHA content, as this is already aligned with Codex.</w:t>
            </w:r>
          </w:p>
        </w:tc>
        <w:tc>
          <w:tcPr>
            <w:tcW w:w="1559" w:type="dxa"/>
          </w:tcPr>
          <w:p w14:paraId="112D99A7" w14:textId="77777777" w:rsidR="00776154" w:rsidRPr="008410B2" w:rsidRDefault="00776154" w:rsidP="00776154">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8410B2">
              <w:rPr>
                <w:rFonts w:asciiTheme="minorHAnsi" w:hAnsiTheme="minorHAnsi"/>
                <w:sz w:val="20"/>
                <w:szCs w:val="20"/>
              </w:rPr>
              <w:t>Industry (1)</w:t>
            </w:r>
          </w:p>
        </w:tc>
        <w:tc>
          <w:tcPr>
            <w:tcW w:w="3658" w:type="dxa"/>
          </w:tcPr>
          <w:p w14:paraId="1D6C475B" w14:textId="0941BB6B" w:rsidR="00776154" w:rsidRPr="008410B2" w:rsidRDefault="00776154" w:rsidP="00776154">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eastAsia="en-AU"/>
              </w:rPr>
            </w:pPr>
            <w:r w:rsidRPr="008410B2">
              <w:rPr>
                <w:rFonts w:asciiTheme="minorHAnsi" w:hAnsiTheme="minorHAnsi"/>
                <w:sz w:val="20"/>
                <w:szCs w:val="20"/>
                <w:lang w:eastAsia="en-AU"/>
              </w:rPr>
              <w:t>FSANZ agrees</w:t>
            </w:r>
            <w:r w:rsidR="00754BEF" w:rsidRPr="008410B2">
              <w:rPr>
                <w:rFonts w:asciiTheme="minorHAnsi" w:hAnsiTheme="minorHAnsi"/>
                <w:sz w:val="20"/>
                <w:szCs w:val="20"/>
                <w:lang w:eastAsia="en-AU"/>
              </w:rPr>
              <w:t>.</w:t>
            </w:r>
          </w:p>
        </w:tc>
      </w:tr>
      <w:tr w:rsidR="00776154" w:rsidRPr="008410B2" w14:paraId="279E1A3D" w14:textId="77777777" w:rsidTr="005429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8" w:type="dxa"/>
            <w:gridSpan w:val="3"/>
          </w:tcPr>
          <w:p w14:paraId="5F4CFD4B" w14:textId="77777777" w:rsidR="00776154" w:rsidRPr="008410B2" w:rsidRDefault="00776154" w:rsidP="00776154">
            <w:pPr>
              <w:rPr>
                <w:rFonts w:asciiTheme="minorHAnsi" w:hAnsiTheme="minorHAnsi"/>
                <w:b w:val="0"/>
                <w:i/>
                <w:sz w:val="20"/>
                <w:szCs w:val="20"/>
                <w:lang w:eastAsia="en-AU"/>
              </w:rPr>
            </w:pPr>
            <w:r w:rsidRPr="008410B2">
              <w:rPr>
                <w:rFonts w:asciiTheme="minorHAnsi" w:hAnsiTheme="minorHAnsi"/>
                <w:b w:val="0"/>
                <w:i/>
                <w:sz w:val="20"/>
                <w:szCs w:val="20"/>
              </w:rPr>
              <w:t>AA</w:t>
            </w:r>
          </w:p>
        </w:tc>
      </w:tr>
      <w:tr w:rsidR="00776154" w:rsidRPr="008410B2" w14:paraId="31669641" w14:textId="77777777" w:rsidTr="008410B2">
        <w:tc>
          <w:tcPr>
            <w:cnfStyle w:val="001000000000" w:firstRow="0" w:lastRow="0" w:firstColumn="1" w:lastColumn="0" w:oddVBand="0" w:evenVBand="0" w:oddHBand="0" w:evenHBand="0" w:firstRowFirstColumn="0" w:firstRowLastColumn="0" w:lastRowFirstColumn="0" w:lastRowLastColumn="0"/>
            <w:tcW w:w="3681" w:type="dxa"/>
          </w:tcPr>
          <w:p w14:paraId="77615087" w14:textId="7E77D4F4" w:rsidR="00776154" w:rsidRPr="008410B2" w:rsidRDefault="00776154" w:rsidP="00776154">
            <w:pPr>
              <w:rPr>
                <w:rFonts w:asciiTheme="minorHAnsi" w:hAnsiTheme="minorHAnsi"/>
                <w:b w:val="0"/>
                <w:sz w:val="20"/>
                <w:szCs w:val="20"/>
              </w:rPr>
            </w:pPr>
            <w:r w:rsidRPr="008410B2">
              <w:rPr>
                <w:rFonts w:asciiTheme="minorHAnsi" w:hAnsiTheme="minorHAnsi"/>
                <w:b w:val="0"/>
                <w:sz w:val="20"/>
                <w:szCs w:val="20"/>
                <w:lang w:val="en-AU" w:eastAsia="en-AU" w:bidi="ar-SA"/>
              </w:rPr>
              <w:t>Support maintaining the current requirement that a maximum proportion of no more than 1% total fatty acids when AA is present.</w:t>
            </w:r>
          </w:p>
        </w:tc>
        <w:tc>
          <w:tcPr>
            <w:tcW w:w="1559" w:type="dxa"/>
          </w:tcPr>
          <w:p w14:paraId="6B5B37FD" w14:textId="77777777" w:rsidR="00776154" w:rsidRPr="008410B2" w:rsidRDefault="00776154" w:rsidP="00776154">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8410B2">
              <w:rPr>
                <w:rFonts w:asciiTheme="minorHAnsi" w:hAnsiTheme="minorHAnsi"/>
                <w:sz w:val="20"/>
                <w:szCs w:val="20"/>
              </w:rPr>
              <w:t>Industry (1)</w:t>
            </w:r>
          </w:p>
        </w:tc>
        <w:tc>
          <w:tcPr>
            <w:tcW w:w="3658" w:type="dxa"/>
          </w:tcPr>
          <w:p w14:paraId="257FC2F2" w14:textId="7ECBA291" w:rsidR="00776154" w:rsidRPr="008410B2" w:rsidRDefault="00776154" w:rsidP="00776154">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eastAsia="en-AU"/>
              </w:rPr>
            </w:pPr>
            <w:r w:rsidRPr="008410B2">
              <w:rPr>
                <w:rFonts w:asciiTheme="minorHAnsi" w:hAnsiTheme="minorHAnsi"/>
                <w:sz w:val="20"/>
                <w:szCs w:val="20"/>
                <w:lang w:eastAsia="en-AU"/>
              </w:rPr>
              <w:t>FSANZ agrees</w:t>
            </w:r>
            <w:r w:rsidR="00754BEF" w:rsidRPr="008410B2">
              <w:rPr>
                <w:rFonts w:asciiTheme="minorHAnsi" w:hAnsiTheme="minorHAnsi"/>
                <w:sz w:val="20"/>
                <w:szCs w:val="20"/>
                <w:lang w:eastAsia="en-AU"/>
              </w:rPr>
              <w:t>.</w:t>
            </w:r>
          </w:p>
        </w:tc>
      </w:tr>
      <w:tr w:rsidR="00776154" w:rsidRPr="008410B2" w14:paraId="3DE9EA99" w14:textId="77777777" w:rsidTr="005429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8" w:type="dxa"/>
            <w:gridSpan w:val="3"/>
          </w:tcPr>
          <w:p w14:paraId="479F1B5F" w14:textId="77777777" w:rsidR="00776154" w:rsidRPr="008410B2" w:rsidRDefault="00776154" w:rsidP="00776154">
            <w:pPr>
              <w:rPr>
                <w:rFonts w:asciiTheme="minorHAnsi" w:hAnsiTheme="minorHAnsi"/>
                <w:b w:val="0"/>
                <w:i/>
                <w:sz w:val="20"/>
                <w:szCs w:val="20"/>
                <w:lang w:eastAsia="en-AU"/>
              </w:rPr>
            </w:pPr>
            <w:r w:rsidRPr="008410B2">
              <w:rPr>
                <w:rFonts w:asciiTheme="minorHAnsi" w:hAnsiTheme="minorHAnsi"/>
                <w:b w:val="0"/>
                <w:i/>
                <w:sz w:val="20"/>
                <w:szCs w:val="20"/>
                <w:lang w:val="en-AU" w:eastAsia="en-AU" w:bidi="ar-SA"/>
              </w:rPr>
              <w:t>AA:DHA ratio</w:t>
            </w:r>
          </w:p>
        </w:tc>
      </w:tr>
      <w:tr w:rsidR="00776154" w:rsidRPr="008410B2" w14:paraId="5FCAA701" w14:textId="77777777" w:rsidTr="008410B2">
        <w:tc>
          <w:tcPr>
            <w:cnfStyle w:val="001000000000" w:firstRow="0" w:lastRow="0" w:firstColumn="1" w:lastColumn="0" w:oddVBand="0" w:evenVBand="0" w:oddHBand="0" w:evenHBand="0" w:firstRowFirstColumn="0" w:firstRowLastColumn="0" w:lastRowFirstColumn="0" w:lastRowLastColumn="0"/>
            <w:tcW w:w="3681" w:type="dxa"/>
          </w:tcPr>
          <w:p w14:paraId="51D9B650" w14:textId="1E95420D" w:rsidR="00776154" w:rsidRPr="008410B2" w:rsidRDefault="00776154" w:rsidP="00776154">
            <w:pPr>
              <w:rPr>
                <w:rFonts w:asciiTheme="minorHAnsi" w:hAnsiTheme="minorHAnsi"/>
                <w:b w:val="0"/>
                <w:sz w:val="20"/>
                <w:szCs w:val="20"/>
              </w:rPr>
            </w:pPr>
            <w:r w:rsidRPr="008410B2">
              <w:rPr>
                <w:rFonts w:asciiTheme="minorHAnsi" w:hAnsiTheme="minorHAnsi"/>
                <w:b w:val="0"/>
                <w:sz w:val="20"/>
                <w:szCs w:val="20"/>
                <w:lang w:val="en-AU"/>
              </w:rPr>
              <w:t>Support the proposal to replace the minimum ratio of total n-6 to total n-3 with the Codex minimum ratio of AA:DHA.</w:t>
            </w:r>
          </w:p>
        </w:tc>
        <w:tc>
          <w:tcPr>
            <w:tcW w:w="1559" w:type="dxa"/>
          </w:tcPr>
          <w:p w14:paraId="283406E3" w14:textId="77777777" w:rsidR="00776154" w:rsidRPr="008410B2" w:rsidRDefault="00776154" w:rsidP="00776154">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8410B2">
              <w:rPr>
                <w:rFonts w:asciiTheme="minorHAnsi" w:hAnsiTheme="minorHAnsi"/>
                <w:sz w:val="20"/>
                <w:szCs w:val="20"/>
              </w:rPr>
              <w:t>Industry (1)</w:t>
            </w:r>
          </w:p>
        </w:tc>
        <w:tc>
          <w:tcPr>
            <w:tcW w:w="3658" w:type="dxa"/>
          </w:tcPr>
          <w:p w14:paraId="6EF8F48D" w14:textId="6AC037D8" w:rsidR="00776154" w:rsidRPr="008410B2" w:rsidRDefault="00776154" w:rsidP="00776154">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eastAsia="en-AU"/>
              </w:rPr>
            </w:pPr>
            <w:r w:rsidRPr="008410B2">
              <w:rPr>
                <w:rFonts w:asciiTheme="minorHAnsi" w:hAnsiTheme="minorHAnsi"/>
                <w:sz w:val="20"/>
                <w:szCs w:val="20"/>
                <w:lang w:eastAsia="en-AU"/>
              </w:rPr>
              <w:t>FSANZ agrees</w:t>
            </w:r>
            <w:r w:rsidR="00754BEF" w:rsidRPr="008410B2">
              <w:rPr>
                <w:rFonts w:asciiTheme="minorHAnsi" w:hAnsiTheme="minorHAnsi"/>
                <w:sz w:val="20"/>
                <w:szCs w:val="20"/>
                <w:lang w:eastAsia="en-AU"/>
              </w:rPr>
              <w:t>.</w:t>
            </w:r>
          </w:p>
        </w:tc>
      </w:tr>
    </w:tbl>
    <w:p w14:paraId="7C75ACD9" w14:textId="77777777" w:rsidR="00776154" w:rsidRDefault="00776154" w:rsidP="00776154"/>
    <w:p w14:paraId="4974F8B8" w14:textId="7AF968EA" w:rsidR="00776154" w:rsidRPr="00431757" w:rsidRDefault="001312BE" w:rsidP="00776154">
      <w:pPr>
        <w:rPr>
          <w:rFonts w:eastAsia="Arial Unicode MS"/>
          <w:b/>
          <w:bCs/>
          <w:i/>
          <w:iCs/>
          <w:szCs w:val="22"/>
          <w:lang w:val="en-AU" w:bidi="ar-SA"/>
        </w:rPr>
      </w:pPr>
      <w:r>
        <w:rPr>
          <w:rFonts w:eastAsia="Arial Unicode MS"/>
          <w:b/>
          <w:bCs/>
          <w:i/>
          <w:iCs/>
          <w:szCs w:val="22"/>
          <w:lang w:val="en-AU" w:bidi="ar-SA"/>
        </w:rPr>
        <w:t>Nutrition r</w:t>
      </w:r>
      <w:r w:rsidR="00776154" w:rsidRPr="00431757">
        <w:rPr>
          <w:rFonts w:eastAsia="Arial Unicode MS"/>
          <w:b/>
          <w:bCs/>
          <w:i/>
          <w:iCs/>
          <w:szCs w:val="22"/>
          <w:lang w:val="en-AU" w:bidi="ar-SA"/>
        </w:rPr>
        <w:t xml:space="preserve">isk assessment </w:t>
      </w:r>
    </w:p>
    <w:p w14:paraId="2776764C" w14:textId="77777777" w:rsidR="00776154" w:rsidRDefault="00776154" w:rsidP="00776154"/>
    <w:p w14:paraId="06A51815" w14:textId="7079F75A" w:rsidR="00776154" w:rsidRDefault="00776154" w:rsidP="00776154">
      <w:r>
        <w:t xml:space="preserve">No further </w:t>
      </w:r>
      <w:r w:rsidR="001312BE">
        <w:t xml:space="preserve">nutrition </w:t>
      </w:r>
      <w:r>
        <w:t xml:space="preserve">risk assessment was considered on these issues. </w:t>
      </w:r>
    </w:p>
    <w:p w14:paraId="06998246" w14:textId="77777777" w:rsidR="00776154" w:rsidRDefault="00776154" w:rsidP="00776154"/>
    <w:p w14:paraId="4A276416" w14:textId="5691F4A3" w:rsidR="00776154" w:rsidRDefault="00776154" w:rsidP="00776154">
      <w:r>
        <w:t xml:space="preserve">However, FSANZ notes the </w:t>
      </w:r>
      <w:r w:rsidR="00E27161">
        <w:t xml:space="preserve">key points made in a </w:t>
      </w:r>
      <w:r>
        <w:t xml:space="preserve">position paper published by the </w:t>
      </w:r>
      <w:r w:rsidRPr="00EB1C99">
        <w:t>European Academy of Pediatrics and the Child Health Foundation</w:t>
      </w:r>
      <w:r w:rsidR="00505176">
        <w:t xml:space="preserve"> (Koletzko et al</w:t>
      </w:r>
      <w:r w:rsidR="00E27161">
        <w:t>.</w:t>
      </w:r>
      <w:r w:rsidR="00505176">
        <w:t xml:space="preserve"> 2020</w:t>
      </w:r>
      <w:r w:rsidR="00E27161">
        <w:t>)</w:t>
      </w:r>
      <w:r>
        <w:t>:</w:t>
      </w:r>
    </w:p>
    <w:p w14:paraId="643783B8" w14:textId="40C8D30D" w:rsidR="00776154" w:rsidRPr="009216C5" w:rsidRDefault="001312BE" w:rsidP="00774FC6">
      <w:pPr>
        <w:pStyle w:val="ListParagraph"/>
        <w:numPr>
          <w:ilvl w:val="0"/>
          <w:numId w:val="11"/>
        </w:numPr>
        <w:ind w:left="567" w:hanging="567"/>
      </w:pPr>
      <w:r>
        <w:t>c</w:t>
      </w:r>
      <w:r w:rsidR="00776154">
        <w:t xml:space="preserve">oncerns </w:t>
      </w:r>
      <w:r w:rsidR="00776154" w:rsidRPr="009216C5">
        <w:t xml:space="preserve">about the safety of feeding infants high levels of DHA without providing adequate amounts of AA </w:t>
      </w:r>
    </w:p>
    <w:p w14:paraId="40C520FB" w14:textId="4DDD6A26" w:rsidR="00776154" w:rsidRDefault="001312BE" w:rsidP="00774FC6">
      <w:pPr>
        <w:pStyle w:val="ListParagraph"/>
        <w:numPr>
          <w:ilvl w:val="0"/>
          <w:numId w:val="11"/>
        </w:numPr>
        <w:ind w:left="567" w:hanging="567"/>
      </w:pPr>
      <w:r>
        <w:t>t</w:t>
      </w:r>
      <w:r w:rsidR="00776154">
        <w:t xml:space="preserve">he safety of infant formula with relatively high concentration of DHA but without AA has not been evaluated in infants </w:t>
      </w:r>
    </w:p>
    <w:p w14:paraId="658F0FAD" w14:textId="1C849F79" w:rsidR="00776154" w:rsidRDefault="001312BE" w:rsidP="00774FC6">
      <w:pPr>
        <w:pStyle w:val="ListParagraph"/>
        <w:numPr>
          <w:ilvl w:val="0"/>
          <w:numId w:val="11"/>
        </w:numPr>
        <w:ind w:left="567" w:hanging="567"/>
      </w:pPr>
      <w:r>
        <w:t>h</w:t>
      </w:r>
      <w:r w:rsidR="00776154">
        <w:t>igh DHA may lead to adverse effects such as reduced AA levels in brain tissue suboptimal neurodevelopment, poor growth and immune development</w:t>
      </w:r>
    </w:p>
    <w:p w14:paraId="3C595F87" w14:textId="69246ABB" w:rsidR="00776154" w:rsidRPr="00786A93" w:rsidRDefault="001312BE" w:rsidP="00774FC6">
      <w:pPr>
        <w:pStyle w:val="ListParagraph"/>
        <w:numPr>
          <w:ilvl w:val="0"/>
          <w:numId w:val="11"/>
        </w:numPr>
        <w:ind w:left="567" w:hanging="567"/>
      </w:pPr>
      <w:r>
        <w:t>m</w:t>
      </w:r>
      <w:r w:rsidR="00776154">
        <w:t>inimal or optimal intake levels of AA in infancy have not been defined, and the optimal ratio of AA to DHA in the infant diet has not been determined.</w:t>
      </w:r>
    </w:p>
    <w:p w14:paraId="4BB2854D" w14:textId="77777777" w:rsidR="00776154" w:rsidRDefault="00776154" w:rsidP="00776154"/>
    <w:p w14:paraId="1AB0AAD9" w14:textId="3A7E3E22" w:rsidR="00776154" w:rsidRDefault="00776154" w:rsidP="00776154">
      <w:r>
        <w:t>The lack of evidence on the safety of infant formula with added DHA wi</w:t>
      </w:r>
      <w:r w:rsidR="006309DB">
        <w:t>thout concomitant AA amounts were</w:t>
      </w:r>
      <w:r>
        <w:t xml:space="preserve"> noted in the 2016 C</w:t>
      </w:r>
      <w:r w:rsidR="001312BE">
        <w:t>onsultation paper nutrition</w:t>
      </w:r>
      <w:r>
        <w:t xml:space="preserve"> risk assessment. </w:t>
      </w:r>
    </w:p>
    <w:p w14:paraId="06971270" w14:textId="77777777" w:rsidR="00776154" w:rsidRDefault="00776154" w:rsidP="00776154">
      <w:pPr>
        <w:pStyle w:val="Heading4"/>
      </w:pPr>
      <w:r>
        <w:t>Options and discussion</w:t>
      </w:r>
    </w:p>
    <w:p w14:paraId="6CAB10BA" w14:textId="4FBED61A" w:rsidR="00776154" w:rsidRDefault="00776154" w:rsidP="00776154">
      <w:pPr>
        <w:rPr>
          <w:lang w:val="en-AU" w:eastAsia="en-AU" w:bidi="ar-SA"/>
        </w:rPr>
      </w:pPr>
      <w:r>
        <w:rPr>
          <w:lang w:val="en-AU" w:eastAsia="en-AU" w:bidi="ar-SA"/>
        </w:rPr>
        <w:t xml:space="preserve">Standard 2.9.1 and Codex STAN 72-1981 currently permit the optional addition of DHA provided the content of DHA does not exceed the AA amount. Based on submitter comments, the options to be considered for this issue </w:t>
      </w:r>
      <w:r w:rsidR="001312BE">
        <w:rPr>
          <w:lang w:val="en-AU" w:eastAsia="en-AU" w:bidi="ar-SA"/>
        </w:rPr>
        <w:t xml:space="preserve">are </w:t>
      </w:r>
      <w:r>
        <w:rPr>
          <w:lang w:val="en-AU" w:eastAsia="en-AU" w:bidi="ar-SA"/>
        </w:rPr>
        <w:t>maintain</w:t>
      </w:r>
      <w:r w:rsidR="001312BE">
        <w:rPr>
          <w:lang w:val="en-AU" w:eastAsia="en-AU" w:bidi="ar-SA"/>
        </w:rPr>
        <w:t>ing</w:t>
      </w:r>
      <w:r>
        <w:rPr>
          <w:lang w:val="en-AU" w:eastAsia="en-AU" w:bidi="ar-SA"/>
        </w:rPr>
        <w:t xml:space="preserve"> the current permission in Standard 2.9.1 or align</w:t>
      </w:r>
      <w:r w:rsidR="001312BE">
        <w:rPr>
          <w:lang w:val="en-AU" w:eastAsia="en-AU" w:bidi="ar-SA"/>
        </w:rPr>
        <w:t>ing</w:t>
      </w:r>
      <w:r>
        <w:rPr>
          <w:lang w:val="en-AU" w:eastAsia="en-AU" w:bidi="ar-SA"/>
        </w:rPr>
        <w:t xml:space="preserve"> with EU </w:t>
      </w:r>
      <w:r w:rsidR="001312BE">
        <w:rPr>
          <w:lang w:val="en-AU" w:eastAsia="en-AU" w:bidi="ar-SA"/>
        </w:rPr>
        <w:t xml:space="preserve">2016/127 </w:t>
      </w:r>
      <w:r>
        <w:rPr>
          <w:lang w:val="en-AU" w:eastAsia="en-AU" w:bidi="ar-SA"/>
        </w:rPr>
        <w:t xml:space="preserve">which has mandated a minimum level of DHA. Because Standard 2.9.1 currently permits voluntary DHA addition, infant formula that is manufactured overseas and includes DHA (and AA) would be permitted to be sold in </w:t>
      </w:r>
      <w:r w:rsidR="00F46AB9">
        <w:rPr>
          <w:lang w:val="en-AU" w:eastAsia="en-AU" w:bidi="ar-SA"/>
        </w:rPr>
        <w:t>ANZ</w:t>
      </w:r>
      <w:r>
        <w:rPr>
          <w:lang w:val="en-AU" w:eastAsia="en-AU" w:bidi="ar-SA"/>
        </w:rPr>
        <w:t xml:space="preserve">. </w:t>
      </w:r>
    </w:p>
    <w:p w14:paraId="79AD98B1" w14:textId="77777777" w:rsidR="00776154" w:rsidRDefault="00776154" w:rsidP="00776154">
      <w:pPr>
        <w:rPr>
          <w:lang w:val="en-AU" w:eastAsia="en-AU" w:bidi="ar-SA"/>
        </w:rPr>
      </w:pPr>
    </w:p>
    <w:p w14:paraId="13C7B883" w14:textId="03748C77" w:rsidR="00776154" w:rsidRDefault="00776154" w:rsidP="00776154">
      <w:pPr>
        <w:rPr>
          <w:lang w:val="en-AU" w:eastAsia="en-AU" w:bidi="ar-SA"/>
        </w:rPr>
      </w:pPr>
      <w:r>
        <w:rPr>
          <w:lang w:val="en-AU" w:eastAsia="en-AU" w:bidi="ar-SA"/>
        </w:rPr>
        <w:t xml:space="preserve">Given the uncertainty in the safety of a mandatory minimum of DHA without equivalent AA addition and the lack of evidence on requirements for dietary AA in infants, FSANZ </w:t>
      </w:r>
      <w:r>
        <w:rPr>
          <w:lang w:val="en-AU" w:eastAsia="en-AU" w:bidi="ar-SA"/>
        </w:rPr>
        <w:lastRenderedPageBreak/>
        <w:t>considers that the Specific Policy Principals - Composition in the infant formula policy guideline</w:t>
      </w:r>
      <w:r>
        <w:rPr>
          <w:rStyle w:val="FootnoteReference"/>
          <w:lang w:val="en-AU" w:eastAsia="en-AU" w:bidi="ar-SA"/>
        </w:rPr>
        <w:footnoteReference w:id="8"/>
      </w:r>
      <w:r>
        <w:rPr>
          <w:lang w:val="en-AU" w:eastAsia="en-AU" w:bidi="ar-SA"/>
        </w:rPr>
        <w:t xml:space="preserve"> would not be met. </w:t>
      </w:r>
    </w:p>
    <w:p w14:paraId="6FFE36F4" w14:textId="77777777" w:rsidR="00776154" w:rsidRDefault="00776154" w:rsidP="00776154">
      <w:pPr>
        <w:rPr>
          <w:lang w:val="en-AU" w:eastAsia="en-AU" w:bidi="ar-SA"/>
        </w:rPr>
      </w:pPr>
    </w:p>
    <w:p w14:paraId="068F25C8" w14:textId="60A152EE" w:rsidR="00776154" w:rsidRDefault="00776154" w:rsidP="00776154">
      <w:pPr>
        <w:rPr>
          <w:lang w:val="en-AU" w:eastAsia="en-AU" w:bidi="ar-SA"/>
        </w:rPr>
      </w:pPr>
      <w:r>
        <w:rPr>
          <w:lang w:val="en-AU" w:eastAsia="en-AU" w:bidi="ar-SA"/>
        </w:rPr>
        <w:t xml:space="preserve">Since DHA and AA are not components of the essential nutrient composition for infant formula, a mandatory minimum amount of DHA would be best evaluated through the pre-market assessment process.  </w:t>
      </w:r>
    </w:p>
    <w:p w14:paraId="3CA915F0" w14:textId="5F6F7D7E" w:rsidR="00776154" w:rsidRDefault="00776154" w:rsidP="00776154">
      <w:pPr>
        <w:pStyle w:val="Heading4"/>
      </w:pPr>
      <w:r>
        <w:t xml:space="preserve">Proposed </w:t>
      </w:r>
      <w:r w:rsidR="00C30BAC">
        <w:t>approach</w:t>
      </w:r>
    </w:p>
    <w:p w14:paraId="3DBB7F70" w14:textId="4BD326C0" w:rsidR="00776154" w:rsidRPr="001256DE" w:rsidRDefault="00776154" w:rsidP="00776154">
      <w:pPr>
        <w:rPr>
          <w:lang w:val="en-AU" w:eastAsia="en-AU" w:bidi="ar-SA"/>
        </w:rPr>
      </w:pPr>
      <w:r>
        <w:rPr>
          <w:lang w:eastAsia="en-AU"/>
        </w:rPr>
        <w:t xml:space="preserve">Based on further alignment with </w:t>
      </w:r>
      <w:r>
        <w:rPr>
          <w:lang w:val="en-AU" w:eastAsia="en-AU" w:bidi="ar-SA"/>
        </w:rPr>
        <w:t xml:space="preserve">Codex STAN 72-1981 and the conclusions of the 2016 nutrition </w:t>
      </w:r>
      <w:r w:rsidR="001312BE">
        <w:rPr>
          <w:lang w:val="en-AU" w:eastAsia="en-AU" w:bidi="ar-SA"/>
        </w:rPr>
        <w:t xml:space="preserve">risk </w:t>
      </w:r>
      <w:r>
        <w:rPr>
          <w:lang w:val="en-AU" w:eastAsia="en-AU" w:bidi="ar-SA"/>
        </w:rPr>
        <w:t>assessment</w:t>
      </w:r>
      <w:r w:rsidR="00E94C9C">
        <w:rPr>
          <w:lang w:val="en-AU" w:eastAsia="en-AU" w:bidi="ar-SA"/>
        </w:rPr>
        <w:t>,</w:t>
      </w:r>
      <w:r>
        <w:rPr>
          <w:lang w:val="en-AU" w:eastAsia="en-AU" w:bidi="ar-SA"/>
        </w:rPr>
        <w:t xml:space="preserve"> </w:t>
      </w:r>
      <w:r w:rsidRPr="0059148A">
        <w:rPr>
          <w:lang w:eastAsia="en-AU"/>
        </w:rPr>
        <w:t xml:space="preserve">FSANZ proposes to </w:t>
      </w:r>
      <w:r>
        <w:rPr>
          <w:lang w:eastAsia="en-AU"/>
        </w:rPr>
        <w:t xml:space="preserve">retain the current voluntary permission for DHA, </w:t>
      </w:r>
      <w:r>
        <w:rPr>
          <w:lang w:val="en-AU" w:eastAsia="en-AU" w:bidi="ar-SA"/>
        </w:rPr>
        <w:t>provided the content of DHA does not exceed the AA amount</w:t>
      </w:r>
      <w:r>
        <w:rPr>
          <w:lang w:eastAsia="en-AU"/>
        </w:rPr>
        <w:t>. W</w:t>
      </w:r>
      <w:r>
        <w:rPr>
          <w:lang w:val="en-AU" w:eastAsia="en-AU" w:bidi="ar-SA"/>
        </w:rPr>
        <w:t>hen DHA is present,</w:t>
      </w:r>
    </w:p>
    <w:p w14:paraId="2443E8A8" w14:textId="450EC0F7" w:rsidR="00754BEF" w:rsidRDefault="00776154" w:rsidP="00754BEF">
      <w:pPr>
        <w:rPr>
          <w:lang w:val="en-AU" w:eastAsia="en-AU" w:bidi="ar-SA"/>
        </w:rPr>
      </w:pPr>
      <w:r>
        <w:rPr>
          <w:lang w:val="en-AU" w:eastAsia="en-AU" w:bidi="ar-SA"/>
        </w:rPr>
        <w:t xml:space="preserve">the amount should be controlled </w:t>
      </w:r>
      <w:r w:rsidRPr="00EF281B">
        <w:rPr>
          <w:lang w:val="en-AU" w:eastAsia="en-AU" w:bidi="ar-SA"/>
        </w:rPr>
        <w:t xml:space="preserve">with a </w:t>
      </w:r>
      <w:r w:rsidR="001312BE">
        <w:rPr>
          <w:lang w:val="en-AU" w:eastAsia="en-AU" w:bidi="ar-SA"/>
        </w:rPr>
        <w:t>GUL</w:t>
      </w:r>
      <w:r w:rsidRPr="00EF281B">
        <w:rPr>
          <w:lang w:val="en-AU" w:eastAsia="en-AU" w:bidi="ar-SA"/>
        </w:rPr>
        <w:t>, by adopting the Codex GUL for DHA of 0.5% total fatty acids</w:t>
      </w:r>
      <w:r>
        <w:rPr>
          <w:lang w:val="en-AU" w:eastAsia="en-AU" w:bidi="ar-SA"/>
        </w:rPr>
        <w:t xml:space="preserve">. </w:t>
      </w:r>
    </w:p>
    <w:p w14:paraId="330BD3D9" w14:textId="77777777" w:rsidR="00754BEF" w:rsidRDefault="00754BEF" w:rsidP="00754BEF">
      <w:pPr>
        <w:rPr>
          <w:lang w:val="en-AU" w:eastAsia="en-AU" w:bidi="ar-SA"/>
        </w:rPr>
      </w:pPr>
    </w:p>
    <w:p w14:paraId="0013CE78" w14:textId="625634A4" w:rsidR="00776154" w:rsidRDefault="00776154" w:rsidP="00776154">
      <w:pPr>
        <w:rPr>
          <w:lang w:val="en-AU" w:eastAsia="en-AU" w:bidi="ar-SA"/>
        </w:rPr>
      </w:pPr>
      <w:r>
        <w:rPr>
          <w:lang w:val="en-AU" w:eastAsia="en-AU" w:bidi="ar-SA"/>
        </w:rPr>
        <w:t xml:space="preserve">Based on submitter support and the </w:t>
      </w:r>
      <w:r w:rsidR="00D44947">
        <w:rPr>
          <w:lang w:val="en-AU" w:eastAsia="en-AU" w:bidi="ar-SA"/>
        </w:rPr>
        <w:t>conclusions</w:t>
      </w:r>
      <w:r>
        <w:rPr>
          <w:lang w:val="en-AU" w:eastAsia="en-AU" w:bidi="ar-SA"/>
        </w:rPr>
        <w:t xml:space="preserve"> of the 2016 nutrition </w:t>
      </w:r>
      <w:r w:rsidR="00D30D58">
        <w:rPr>
          <w:lang w:val="en-AU" w:eastAsia="en-AU" w:bidi="ar-SA"/>
        </w:rPr>
        <w:t xml:space="preserve">risk </w:t>
      </w:r>
      <w:r>
        <w:rPr>
          <w:lang w:val="en-AU" w:eastAsia="en-AU" w:bidi="ar-SA"/>
        </w:rPr>
        <w:t>assessment</w:t>
      </w:r>
      <w:r w:rsidR="003C7F63">
        <w:rPr>
          <w:lang w:val="en-AU" w:eastAsia="en-AU" w:bidi="ar-SA"/>
        </w:rPr>
        <w:t>,</w:t>
      </w:r>
      <w:r>
        <w:rPr>
          <w:lang w:val="en-AU" w:eastAsia="en-AU" w:bidi="ar-SA"/>
        </w:rPr>
        <w:t xml:space="preserve"> the proposed options for source of LC-PUFA, EPA</w:t>
      </w:r>
      <w:r w:rsidR="003C7F63">
        <w:rPr>
          <w:lang w:val="en-AU" w:eastAsia="en-AU" w:bidi="ar-SA"/>
        </w:rPr>
        <w:t xml:space="preserve"> and</w:t>
      </w:r>
      <w:r w:rsidR="004026FC">
        <w:rPr>
          <w:lang w:val="en-AU" w:eastAsia="en-AU" w:bidi="ar-SA"/>
        </w:rPr>
        <w:t xml:space="preserve"> </w:t>
      </w:r>
      <w:r>
        <w:rPr>
          <w:lang w:val="en-AU" w:eastAsia="en-AU" w:bidi="ar-SA"/>
        </w:rPr>
        <w:t xml:space="preserve">AA and ratios of DHA, AA and LC-PUFA are unchanged from the previous consideration of these topics in the 2016 Consultation </w:t>
      </w:r>
      <w:r w:rsidR="00D30D58">
        <w:rPr>
          <w:lang w:val="en-AU" w:eastAsia="en-AU" w:bidi="ar-SA"/>
        </w:rPr>
        <w:t>p</w:t>
      </w:r>
      <w:r w:rsidR="00385AF6">
        <w:rPr>
          <w:lang w:val="en-AU" w:eastAsia="en-AU" w:bidi="ar-SA"/>
        </w:rPr>
        <w:t>aper.</w:t>
      </w:r>
    </w:p>
    <w:p w14:paraId="645EAEE0" w14:textId="08B11A01" w:rsidR="00776154" w:rsidRPr="003C4F33" w:rsidRDefault="00385AF6" w:rsidP="00776154">
      <w:pPr>
        <w:pStyle w:val="Heading2"/>
      </w:pPr>
      <w:bookmarkStart w:id="249" w:name="_Toc73455626"/>
      <w:bookmarkStart w:id="250" w:name="_Toc73624899"/>
      <w:bookmarkStart w:id="251" w:name="_Toc76138283"/>
      <w:r>
        <w:t>5</w:t>
      </w:r>
      <w:r w:rsidR="00776154">
        <w:t xml:space="preserve">.5 </w:t>
      </w:r>
      <w:r w:rsidR="00776154">
        <w:tab/>
        <w:t>Fat s</w:t>
      </w:r>
      <w:r w:rsidR="00776154" w:rsidRPr="003C4F33">
        <w:t>ource</w:t>
      </w:r>
      <w:bookmarkEnd w:id="249"/>
      <w:bookmarkEnd w:id="250"/>
      <w:bookmarkEnd w:id="251"/>
    </w:p>
    <w:p w14:paraId="1F67A44F" w14:textId="07FB9D91" w:rsidR="00776154" w:rsidRPr="00A44248" w:rsidRDefault="00776154" w:rsidP="00776154">
      <w:pPr>
        <w:pStyle w:val="Heading4"/>
      </w:pPr>
      <w:r w:rsidRPr="001F4CE1">
        <w:t>Current regulation</w:t>
      </w:r>
      <w:r w:rsidR="007A6CD5">
        <w:t>s</w:t>
      </w:r>
      <w:r w:rsidRPr="001F4CE1">
        <w:t xml:space="preserve"> </w:t>
      </w:r>
    </w:p>
    <w:p w14:paraId="66171F4C" w14:textId="77777777" w:rsidR="00776154" w:rsidRDefault="00776154" w:rsidP="00776154">
      <w:r w:rsidRPr="00D0448A">
        <w:t xml:space="preserve">Standard 2.9.1 does not specify or prohibit any particular sources of fat. Instead, </w:t>
      </w:r>
    </w:p>
    <w:p w14:paraId="20189415" w14:textId="3483FC1E" w:rsidR="00776154" w:rsidRDefault="00776154" w:rsidP="00776154">
      <w:pPr>
        <w:rPr>
          <w:rFonts w:eastAsia="Arial Unicode MS"/>
          <w:szCs w:val="22"/>
          <w:lang w:val="en-AU" w:bidi="ar-SA"/>
        </w:rPr>
      </w:pPr>
      <w:r>
        <w:t xml:space="preserve">specific requirements which restrict fat composition are listed in </w:t>
      </w:r>
      <w:r w:rsidR="00BA0E4A">
        <w:t>s</w:t>
      </w:r>
      <w:r w:rsidRPr="00506428">
        <w:t>ection 2.9.1—11 and</w:t>
      </w:r>
      <w:r>
        <w:rPr>
          <w:sz w:val="20"/>
          <w:szCs w:val="20"/>
        </w:rPr>
        <w:t xml:space="preserve"> </w:t>
      </w:r>
      <w:r w:rsidR="00BA0E4A">
        <w:rPr>
          <w:sz w:val="20"/>
          <w:szCs w:val="20"/>
        </w:rPr>
        <w:t>s</w:t>
      </w:r>
      <w:r w:rsidR="00E466E5">
        <w:t xml:space="preserve">ection </w:t>
      </w:r>
      <w:r w:rsidRPr="00506428">
        <w:t>S29—8.</w:t>
      </w:r>
      <w:r>
        <w:t xml:space="preserve"> </w:t>
      </w:r>
      <w:r w:rsidRPr="00F4786C">
        <w:rPr>
          <w:rFonts w:eastAsia="Arial Unicode MS"/>
          <w:szCs w:val="22"/>
          <w:lang w:val="en-AU" w:bidi="ar-SA"/>
        </w:rPr>
        <w:t xml:space="preserve">Codex </w:t>
      </w:r>
      <w:r>
        <w:rPr>
          <w:rFonts w:eastAsia="Arial Unicode MS"/>
          <w:szCs w:val="22"/>
          <w:lang w:val="en-AU" w:bidi="ar-SA"/>
        </w:rPr>
        <w:t xml:space="preserve">STAN 72-1981 generally takes a similar approach on the source of fat (as the macronutrient component) in infant formula in that no specific sources are specified. </w:t>
      </w:r>
      <w:r w:rsidR="00D30D58">
        <w:rPr>
          <w:rFonts w:eastAsia="Arial Unicode MS"/>
          <w:szCs w:val="22"/>
          <w:lang w:val="en-AU" w:bidi="ar-SA"/>
        </w:rPr>
        <w:t xml:space="preserve">However, </w:t>
      </w:r>
      <w:r>
        <w:rPr>
          <w:rFonts w:eastAsia="Arial Unicode MS"/>
          <w:szCs w:val="22"/>
          <w:lang w:val="en-AU" w:bidi="ar-SA"/>
        </w:rPr>
        <w:t>the footnote to Part 3.1(b) s</w:t>
      </w:r>
      <w:r w:rsidRPr="00F4786C">
        <w:rPr>
          <w:rFonts w:eastAsia="Arial Unicode MS"/>
          <w:szCs w:val="22"/>
          <w:lang w:val="en-AU" w:bidi="ar-SA"/>
        </w:rPr>
        <w:t>pecifies that commercially hydrogenated oils and fats should not be used</w:t>
      </w:r>
      <w:r>
        <w:rPr>
          <w:rFonts w:eastAsia="Arial Unicode MS"/>
          <w:szCs w:val="22"/>
          <w:lang w:val="en-AU" w:bidi="ar-SA"/>
        </w:rPr>
        <w:t>.</w:t>
      </w:r>
      <w:r w:rsidRPr="00D44F71">
        <w:rPr>
          <w:rFonts w:eastAsia="Arial Unicode MS"/>
          <w:szCs w:val="22"/>
          <w:lang w:val="en-AU" w:bidi="ar-SA"/>
        </w:rPr>
        <w:t xml:space="preserve"> </w:t>
      </w:r>
      <w:r>
        <w:rPr>
          <w:rFonts w:eastAsia="Arial Unicode MS"/>
          <w:szCs w:val="22"/>
          <w:lang w:val="en-AU" w:bidi="ar-SA"/>
        </w:rPr>
        <w:t>DHA is specifically listed as a permitted optional ingredient.</w:t>
      </w:r>
    </w:p>
    <w:p w14:paraId="69F5AB90" w14:textId="77777777" w:rsidR="00776154" w:rsidRDefault="00776154" w:rsidP="00776154">
      <w:pPr>
        <w:pStyle w:val="Heading4"/>
      </w:pPr>
      <w:r w:rsidRPr="009216C5">
        <w:t>Previous consideration</w:t>
      </w:r>
    </w:p>
    <w:p w14:paraId="10C3AD86" w14:textId="5874F7FA" w:rsidR="00776154" w:rsidRDefault="00776154" w:rsidP="00776154">
      <w:r>
        <w:rPr>
          <w:rFonts w:eastAsia="Arial Unicode MS"/>
        </w:rPr>
        <w:t>Submissions to the 2012 Cons</w:t>
      </w:r>
      <w:r w:rsidR="00D30D58">
        <w:rPr>
          <w:rFonts w:eastAsia="Arial Unicode MS"/>
        </w:rPr>
        <w:t>ult</w:t>
      </w:r>
      <w:r>
        <w:rPr>
          <w:rFonts w:eastAsia="Arial Unicode MS"/>
        </w:rPr>
        <w:t xml:space="preserve">ation paper commented that </w:t>
      </w:r>
      <w:r w:rsidRPr="00386B49">
        <w:t>as technology develops</w:t>
      </w:r>
      <w:r>
        <w:t>;</w:t>
      </w:r>
      <w:r w:rsidRPr="00386B49">
        <w:t xml:space="preserve"> more</w:t>
      </w:r>
      <w:r>
        <w:t xml:space="preserve"> detail may be required in the </w:t>
      </w:r>
      <w:r w:rsidR="00D30D58">
        <w:t>s</w:t>
      </w:r>
      <w:r w:rsidRPr="00386B49">
        <w:t xml:space="preserve">tandard to specify </w:t>
      </w:r>
      <w:r>
        <w:t>which</w:t>
      </w:r>
      <w:r w:rsidRPr="00386B49">
        <w:t xml:space="preserve"> ingredients are permitted to make up the essential </w:t>
      </w:r>
      <w:r>
        <w:t>fat composition and that there is</w:t>
      </w:r>
      <w:r w:rsidRPr="00642EB2">
        <w:rPr>
          <w:rFonts w:eastAsia="Arial Unicode MS"/>
        </w:rPr>
        <w:t xml:space="preserve"> no clear definition or </w:t>
      </w:r>
      <w:r w:rsidRPr="00642EB2">
        <w:t>differentiat</w:t>
      </w:r>
      <w:r>
        <w:t>ion</w:t>
      </w:r>
      <w:r w:rsidRPr="00642EB2">
        <w:t xml:space="preserve"> between </w:t>
      </w:r>
      <w:r>
        <w:t xml:space="preserve">what is considered a lipid </w:t>
      </w:r>
      <w:r w:rsidRPr="00642EB2">
        <w:t>component</w:t>
      </w:r>
      <w:r>
        <w:t xml:space="preserve"> versus a lipid </w:t>
      </w:r>
      <w:r w:rsidRPr="00642EB2">
        <w:t>ingredient</w:t>
      </w:r>
      <w:r>
        <w:t xml:space="preserve"> </w:t>
      </w:r>
      <w:r w:rsidRPr="00642EB2">
        <w:t xml:space="preserve">incorporated </w:t>
      </w:r>
      <w:r>
        <w:t>for</w:t>
      </w:r>
      <w:r w:rsidRPr="00642EB2">
        <w:t xml:space="preserve"> the macronutrient profile of the formula</w:t>
      </w:r>
      <w:r>
        <w:t>.</w:t>
      </w:r>
    </w:p>
    <w:p w14:paraId="3DE4AAF9" w14:textId="77777777" w:rsidR="00776154" w:rsidRDefault="00776154" w:rsidP="00776154"/>
    <w:p w14:paraId="087FDC44" w14:textId="1553C1C9" w:rsidR="00776154" w:rsidRPr="00376ECD" w:rsidRDefault="00776154" w:rsidP="00776154">
      <w:r>
        <w:t xml:space="preserve">In 2016 FSANZ sought further information on whether submitters had any issues with the current approach to regulation of the source of fat in infant formula. </w:t>
      </w:r>
    </w:p>
    <w:p w14:paraId="2C31CCF5" w14:textId="1F3DD93B" w:rsidR="00776154" w:rsidRPr="00A44248" w:rsidRDefault="00143572" w:rsidP="00776154">
      <w:pPr>
        <w:pStyle w:val="Heading4"/>
      </w:pPr>
      <w:r>
        <w:t>Stakeholder views</w:t>
      </w:r>
    </w:p>
    <w:p w14:paraId="0D90ABF2" w14:textId="4D32D8F1" w:rsidR="00776154" w:rsidRDefault="006309DB" w:rsidP="00776154">
      <w:r>
        <w:t>Nine submitters (</w:t>
      </w:r>
      <w:r w:rsidR="0048005E">
        <w:t>two</w:t>
      </w:r>
      <w:r>
        <w:t xml:space="preserve"> government, </w:t>
      </w:r>
      <w:r w:rsidR="0048005E">
        <w:t>six</w:t>
      </w:r>
      <w:r>
        <w:t xml:space="preserve"> industry, </w:t>
      </w:r>
      <w:r w:rsidR="0048005E">
        <w:t>one</w:t>
      </w:r>
      <w:r>
        <w:t xml:space="preserve"> health p</w:t>
      </w:r>
      <w:r w:rsidR="00776154">
        <w:t xml:space="preserve">rofessional) commented on the regulation of sources of fat. Six submitters supported the current approach or did not convey a view. </w:t>
      </w:r>
      <w:r w:rsidR="00D30D58">
        <w:t>T</w:t>
      </w:r>
      <w:r w:rsidR="00776154">
        <w:t xml:space="preserve">wo submitters considered that clarity was needed about fat sources that can or cannot be used to manufacture infant formula with respect to certain fats (Table </w:t>
      </w:r>
      <w:r w:rsidR="00385AF6">
        <w:t>5</w:t>
      </w:r>
      <w:r w:rsidR="00D30D58">
        <w:t>.</w:t>
      </w:r>
      <w:r w:rsidR="008410B2">
        <w:t>7)</w:t>
      </w:r>
      <w:r w:rsidR="00776154">
        <w:t>.</w:t>
      </w:r>
    </w:p>
    <w:p w14:paraId="02212DB2" w14:textId="77777777" w:rsidR="00776154" w:rsidRPr="00376ECD" w:rsidRDefault="00776154" w:rsidP="00776154"/>
    <w:p w14:paraId="4DE2C3C7" w14:textId="17E3C082" w:rsidR="00776154" w:rsidRDefault="00776154" w:rsidP="00E9515E">
      <w:pPr>
        <w:pStyle w:val="FSTitle"/>
      </w:pPr>
      <w:bookmarkStart w:id="252" w:name="_Toc74061237"/>
      <w:r w:rsidRPr="0081429D">
        <w:lastRenderedPageBreak/>
        <w:t xml:space="preserve">Table </w:t>
      </w:r>
      <w:r w:rsidR="00385AF6">
        <w:t>5</w:t>
      </w:r>
      <w:r w:rsidR="008410B2">
        <w:t>.7</w:t>
      </w:r>
      <w:r w:rsidR="008410B2">
        <w:tab/>
        <w:t>Submitter comments on</w:t>
      </w:r>
      <w:r>
        <w:t xml:space="preserve"> source of fat</w:t>
      </w:r>
      <w:bookmarkEnd w:id="252"/>
    </w:p>
    <w:tbl>
      <w:tblPr>
        <w:tblStyle w:val="MediumShading1-Accent3"/>
        <w:tblW w:w="9214" w:type="dxa"/>
        <w:tblLook w:val="04A0" w:firstRow="1" w:lastRow="0" w:firstColumn="1" w:lastColumn="0" w:noHBand="0" w:noVBand="1"/>
        <w:tblCaption w:val="Table 5.5.1 Summary of issues – source of fat"/>
        <w:tblDescription w:val="This table summarises the number of submissions regarding the source of fat to the previous Consultation papers for Proposal P1028."/>
      </w:tblPr>
      <w:tblGrid>
        <w:gridCol w:w="3969"/>
        <w:gridCol w:w="1701"/>
        <w:gridCol w:w="3544"/>
      </w:tblGrid>
      <w:tr w:rsidR="00776154" w:rsidRPr="00C649BB" w14:paraId="711363EB" w14:textId="77777777" w:rsidTr="005429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vAlign w:val="center"/>
          </w:tcPr>
          <w:p w14:paraId="0F7D9964" w14:textId="703793C0" w:rsidR="00776154" w:rsidRPr="001C24DD" w:rsidRDefault="00843305" w:rsidP="00542980">
            <w:pPr>
              <w:spacing w:after="240"/>
              <w:jc w:val="center"/>
              <w:rPr>
                <w:rFonts w:asciiTheme="minorHAnsi" w:hAnsiTheme="minorHAnsi" w:cstheme="minorHAnsi"/>
                <w:color w:val="auto"/>
                <w:sz w:val="22"/>
              </w:rPr>
            </w:pPr>
            <w:r>
              <w:rPr>
                <w:rFonts w:asciiTheme="minorHAnsi" w:hAnsiTheme="minorHAnsi" w:cstheme="minorHAnsi"/>
                <w:color w:val="auto"/>
                <w:sz w:val="22"/>
              </w:rPr>
              <w:t>Comment</w:t>
            </w:r>
          </w:p>
        </w:tc>
        <w:tc>
          <w:tcPr>
            <w:tcW w:w="1701" w:type="dxa"/>
            <w:vAlign w:val="center"/>
          </w:tcPr>
          <w:p w14:paraId="6072519D" w14:textId="77777777" w:rsidR="00776154" w:rsidRPr="001C24DD" w:rsidRDefault="00776154" w:rsidP="00542980">
            <w:pPr>
              <w:spacing w:after="24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2"/>
              </w:rPr>
            </w:pPr>
            <w:r w:rsidRPr="001C24DD">
              <w:rPr>
                <w:rFonts w:asciiTheme="minorHAnsi" w:hAnsiTheme="minorHAnsi" w:cstheme="minorHAnsi"/>
                <w:color w:val="auto"/>
                <w:sz w:val="22"/>
              </w:rPr>
              <w:t>Raised by</w:t>
            </w:r>
          </w:p>
        </w:tc>
        <w:tc>
          <w:tcPr>
            <w:tcW w:w="3544" w:type="dxa"/>
            <w:vAlign w:val="center"/>
          </w:tcPr>
          <w:p w14:paraId="1CB1EE65" w14:textId="77777777" w:rsidR="00776154" w:rsidRPr="001C24DD" w:rsidRDefault="00776154" w:rsidP="00542980">
            <w:pPr>
              <w:spacing w:after="24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2"/>
              </w:rPr>
            </w:pPr>
            <w:r w:rsidRPr="001C24DD">
              <w:rPr>
                <w:rFonts w:asciiTheme="minorHAnsi" w:hAnsiTheme="minorHAnsi" w:cstheme="minorHAnsi"/>
                <w:color w:val="auto"/>
                <w:sz w:val="22"/>
              </w:rPr>
              <w:t>FSANZ response</w:t>
            </w:r>
          </w:p>
        </w:tc>
      </w:tr>
      <w:tr w:rsidR="00776154" w:rsidRPr="00C649BB" w14:paraId="2A423EB7" w14:textId="77777777" w:rsidTr="005429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14:paraId="00028098" w14:textId="25FF9CC2" w:rsidR="00776154" w:rsidRPr="00C649BB" w:rsidRDefault="00774FC6" w:rsidP="00776154">
            <w:pPr>
              <w:rPr>
                <w:rFonts w:asciiTheme="minorHAnsi" w:hAnsiTheme="minorHAnsi" w:cstheme="minorHAnsi"/>
                <w:b w:val="0"/>
                <w:szCs w:val="20"/>
                <w:lang w:eastAsia="en-AU" w:bidi="ar-SA"/>
              </w:rPr>
            </w:pPr>
            <w:r w:rsidRPr="00774FC6">
              <w:rPr>
                <w:rFonts w:asciiTheme="minorHAnsi" w:hAnsiTheme="minorHAnsi" w:cstheme="minorHAnsi"/>
                <w:b w:val="0"/>
                <w:szCs w:val="20"/>
                <w:lang w:eastAsia="en-AU" w:bidi="ar-SA"/>
              </w:rPr>
              <w:t>Greater certainty around certain fat sources, for example β-palmitin which meets specific fatty acid requirements but may fall under the definition of a novel food or nutritive substance</w:t>
            </w:r>
            <w:r>
              <w:rPr>
                <w:rFonts w:asciiTheme="minorHAnsi" w:hAnsiTheme="minorHAnsi" w:cstheme="minorHAnsi"/>
                <w:b w:val="0"/>
                <w:szCs w:val="20"/>
                <w:lang w:eastAsia="en-AU" w:bidi="ar-SA"/>
              </w:rPr>
              <w:t>.</w:t>
            </w:r>
          </w:p>
        </w:tc>
        <w:tc>
          <w:tcPr>
            <w:tcW w:w="1701" w:type="dxa"/>
          </w:tcPr>
          <w:p w14:paraId="7B0BE4AA" w14:textId="77777777" w:rsidR="00776154" w:rsidRPr="00C649BB" w:rsidRDefault="00776154" w:rsidP="00776154">
            <w:pPr>
              <w:ind w:left="113" w:hanging="113"/>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Cs w:val="20"/>
                <w:lang w:eastAsia="en-AU" w:bidi="ar-SA"/>
              </w:rPr>
            </w:pPr>
            <w:r w:rsidRPr="00C649BB">
              <w:rPr>
                <w:rFonts w:asciiTheme="minorHAnsi" w:hAnsiTheme="minorHAnsi" w:cstheme="minorHAnsi"/>
                <w:bCs/>
                <w:szCs w:val="20"/>
                <w:lang w:eastAsia="en-AU" w:bidi="ar-SA"/>
              </w:rPr>
              <w:t xml:space="preserve">Government (1) </w:t>
            </w:r>
          </w:p>
        </w:tc>
        <w:tc>
          <w:tcPr>
            <w:tcW w:w="3544" w:type="dxa"/>
          </w:tcPr>
          <w:p w14:paraId="1250365D" w14:textId="46AAA556" w:rsidR="00776154" w:rsidRPr="00C649BB" w:rsidRDefault="002F58FF" w:rsidP="00D30D58">
            <w:pPr>
              <w:ind w:left="34"/>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Cs w:val="20"/>
                <w:lang w:eastAsia="en-AU" w:bidi="ar-SA"/>
              </w:rPr>
            </w:pPr>
            <w:r>
              <w:rPr>
                <w:rFonts w:asciiTheme="minorHAnsi" w:hAnsiTheme="minorHAnsi" w:cstheme="minorHAnsi"/>
                <w:bCs/>
                <w:szCs w:val="20"/>
                <w:lang w:eastAsia="en-AU" w:bidi="ar-SA"/>
              </w:rPr>
              <w:t>See C</w:t>
            </w:r>
            <w:r w:rsidR="00D30D58">
              <w:rPr>
                <w:rFonts w:asciiTheme="minorHAnsi" w:hAnsiTheme="minorHAnsi" w:cstheme="minorHAnsi"/>
                <w:bCs/>
                <w:szCs w:val="20"/>
                <w:lang w:eastAsia="en-AU" w:bidi="ar-SA"/>
              </w:rPr>
              <w:t xml:space="preserve">onsultation paper </w:t>
            </w:r>
            <w:r>
              <w:rPr>
                <w:rFonts w:asciiTheme="minorHAnsi" w:hAnsiTheme="minorHAnsi" w:cstheme="minorHAnsi"/>
                <w:bCs/>
                <w:szCs w:val="20"/>
                <w:lang w:eastAsia="en-AU" w:bidi="ar-SA"/>
              </w:rPr>
              <w:t>3</w:t>
            </w:r>
            <w:r w:rsidR="00776154" w:rsidRPr="00C649BB">
              <w:rPr>
                <w:rFonts w:asciiTheme="minorHAnsi" w:hAnsiTheme="minorHAnsi" w:cstheme="minorHAnsi"/>
                <w:bCs/>
                <w:szCs w:val="20"/>
                <w:lang w:eastAsia="en-AU" w:bidi="ar-SA"/>
              </w:rPr>
              <w:t xml:space="preserve"> for discussion of the pre-market assessment requirements for macronutrient sources.</w:t>
            </w:r>
          </w:p>
        </w:tc>
      </w:tr>
      <w:tr w:rsidR="00776154" w:rsidRPr="00C649BB" w14:paraId="7930F0D9" w14:textId="77777777" w:rsidTr="0054298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14:paraId="4A6CBD69" w14:textId="3CD4298F" w:rsidR="00776154" w:rsidRPr="00C649BB" w:rsidRDefault="00776154" w:rsidP="00D30D58">
            <w:pPr>
              <w:ind w:left="29"/>
              <w:rPr>
                <w:rFonts w:asciiTheme="minorHAnsi" w:hAnsiTheme="minorHAnsi" w:cstheme="minorHAnsi"/>
                <w:b w:val="0"/>
                <w:bCs w:val="0"/>
                <w:szCs w:val="20"/>
                <w:lang w:eastAsia="en-AU" w:bidi="ar-SA"/>
              </w:rPr>
            </w:pPr>
            <w:r w:rsidRPr="00C649BB">
              <w:rPr>
                <w:rFonts w:asciiTheme="minorHAnsi" w:hAnsiTheme="minorHAnsi" w:cstheme="minorHAnsi"/>
                <w:b w:val="0"/>
                <w:bCs w:val="0"/>
                <w:szCs w:val="20"/>
                <w:lang w:eastAsia="en-AU" w:bidi="ar-SA"/>
              </w:rPr>
              <w:t xml:space="preserve">Novel, edible fats used in combination with other vegetable oils to achieve the desired fatty acid profile. The current standard does not </w:t>
            </w:r>
            <w:r w:rsidR="00D30D58">
              <w:rPr>
                <w:rFonts w:asciiTheme="minorHAnsi" w:hAnsiTheme="minorHAnsi" w:cstheme="minorHAnsi"/>
                <w:b w:val="0"/>
                <w:bCs w:val="0"/>
                <w:szCs w:val="20"/>
                <w:lang w:eastAsia="en-AU" w:bidi="ar-SA"/>
              </w:rPr>
              <w:t>identify</w:t>
            </w:r>
            <w:r w:rsidR="00D30D58" w:rsidRPr="00C649BB">
              <w:rPr>
                <w:rFonts w:asciiTheme="minorHAnsi" w:hAnsiTheme="minorHAnsi" w:cstheme="minorHAnsi"/>
                <w:b w:val="0"/>
                <w:bCs w:val="0"/>
                <w:szCs w:val="20"/>
                <w:lang w:eastAsia="en-AU" w:bidi="ar-SA"/>
              </w:rPr>
              <w:t xml:space="preserve"> </w:t>
            </w:r>
            <w:r w:rsidRPr="00C649BB">
              <w:rPr>
                <w:rFonts w:asciiTheme="minorHAnsi" w:hAnsiTheme="minorHAnsi" w:cstheme="minorHAnsi"/>
                <w:b w:val="0"/>
                <w:bCs w:val="0"/>
                <w:szCs w:val="20"/>
                <w:lang w:eastAsia="en-AU" w:bidi="ar-SA"/>
              </w:rPr>
              <w:t xml:space="preserve">when these fat sources require pre-assessment approval.  </w:t>
            </w:r>
          </w:p>
        </w:tc>
        <w:tc>
          <w:tcPr>
            <w:tcW w:w="1701" w:type="dxa"/>
          </w:tcPr>
          <w:p w14:paraId="48AB3132" w14:textId="77777777" w:rsidR="00776154" w:rsidRPr="00C649BB" w:rsidRDefault="00776154" w:rsidP="00776154">
            <w:pPr>
              <w:ind w:left="31" w:hanging="31"/>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Cs/>
                <w:szCs w:val="20"/>
                <w:lang w:eastAsia="en-AU" w:bidi="ar-SA"/>
              </w:rPr>
            </w:pPr>
            <w:r w:rsidRPr="00C649BB">
              <w:rPr>
                <w:rFonts w:asciiTheme="minorHAnsi" w:hAnsiTheme="minorHAnsi" w:cstheme="minorHAnsi"/>
                <w:bCs/>
                <w:szCs w:val="20"/>
                <w:lang w:eastAsia="en-AU" w:bidi="ar-SA"/>
              </w:rPr>
              <w:t>Industry (1)</w:t>
            </w:r>
          </w:p>
        </w:tc>
        <w:tc>
          <w:tcPr>
            <w:tcW w:w="3544" w:type="dxa"/>
          </w:tcPr>
          <w:p w14:paraId="6A8B3303" w14:textId="1C0ECEC2" w:rsidR="00776154" w:rsidRPr="00C649BB" w:rsidRDefault="002F58FF" w:rsidP="00776154">
            <w:pPr>
              <w:ind w:left="34"/>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Cs/>
                <w:szCs w:val="20"/>
                <w:lang w:eastAsia="en-AU" w:bidi="ar-SA"/>
              </w:rPr>
            </w:pPr>
            <w:r>
              <w:rPr>
                <w:rFonts w:asciiTheme="minorHAnsi" w:hAnsiTheme="minorHAnsi" w:cstheme="minorHAnsi"/>
                <w:bCs/>
                <w:szCs w:val="20"/>
                <w:lang w:eastAsia="en-AU" w:bidi="ar-SA"/>
              </w:rPr>
              <w:t xml:space="preserve">See </w:t>
            </w:r>
            <w:r w:rsidR="00D30D58">
              <w:rPr>
                <w:rFonts w:asciiTheme="minorHAnsi" w:hAnsiTheme="minorHAnsi" w:cstheme="minorHAnsi"/>
                <w:bCs/>
                <w:szCs w:val="20"/>
                <w:lang w:eastAsia="en-AU" w:bidi="ar-SA"/>
              </w:rPr>
              <w:t>Consultation paper 3</w:t>
            </w:r>
            <w:r w:rsidR="00776154" w:rsidRPr="00C649BB">
              <w:rPr>
                <w:rFonts w:asciiTheme="minorHAnsi" w:hAnsiTheme="minorHAnsi" w:cstheme="minorHAnsi"/>
                <w:bCs/>
                <w:szCs w:val="20"/>
                <w:lang w:eastAsia="en-AU" w:bidi="ar-SA"/>
              </w:rPr>
              <w:t xml:space="preserve"> for discussion of the pre-market assessment requirements for macronutrient sources.</w:t>
            </w:r>
          </w:p>
        </w:tc>
      </w:tr>
    </w:tbl>
    <w:p w14:paraId="6594B136" w14:textId="3F4A838A" w:rsidR="00776154" w:rsidRDefault="00D30D58" w:rsidP="00776154">
      <w:pPr>
        <w:pStyle w:val="Heading4"/>
        <w:rPr>
          <w:lang w:eastAsia="en-AU"/>
        </w:rPr>
      </w:pPr>
      <w:r>
        <w:rPr>
          <w:lang w:eastAsia="en-AU"/>
        </w:rPr>
        <w:t>Nutrition r</w:t>
      </w:r>
      <w:r w:rsidR="00776154">
        <w:rPr>
          <w:lang w:eastAsia="en-AU"/>
        </w:rPr>
        <w:t>isk assessment</w:t>
      </w:r>
    </w:p>
    <w:p w14:paraId="145F528A" w14:textId="14738BCD" w:rsidR="00776154" w:rsidRDefault="00776154" w:rsidP="00776154">
      <w:pPr>
        <w:rPr>
          <w:lang w:val="en-AU" w:eastAsia="en-AU" w:bidi="ar-SA"/>
        </w:rPr>
      </w:pPr>
      <w:r>
        <w:rPr>
          <w:lang w:val="en-AU" w:eastAsia="en-AU" w:bidi="ar-SA"/>
        </w:rPr>
        <w:t xml:space="preserve">No further </w:t>
      </w:r>
      <w:r w:rsidR="00D30D58">
        <w:rPr>
          <w:lang w:val="en-AU" w:eastAsia="en-AU" w:bidi="ar-SA"/>
        </w:rPr>
        <w:t xml:space="preserve">nutrition </w:t>
      </w:r>
      <w:r>
        <w:rPr>
          <w:lang w:val="en-AU" w:eastAsia="en-AU" w:bidi="ar-SA"/>
        </w:rPr>
        <w:t xml:space="preserve">risk assessment has been considered. </w:t>
      </w:r>
    </w:p>
    <w:p w14:paraId="27EE3D85" w14:textId="77777777" w:rsidR="00776154" w:rsidRDefault="00776154" w:rsidP="00776154">
      <w:pPr>
        <w:rPr>
          <w:rFonts w:eastAsia="Arial Unicode MS"/>
          <w:b/>
          <w:bCs/>
          <w:i/>
          <w:iCs/>
          <w:szCs w:val="22"/>
          <w:lang w:val="en-AU" w:bidi="ar-SA"/>
        </w:rPr>
      </w:pPr>
    </w:p>
    <w:p w14:paraId="79BAD26E" w14:textId="77777777" w:rsidR="00776154" w:rsidRPr="00E82455" w:rsidRDefault="00776154" w:rsidP="00776154">
      <w:pPr>
        <w:rPr>
          <w:rFonts w:eastAsia="Arial Unicode MS"/>
          <w:b/>
          <w:bCs/>
          <w:i/>
          <w:iCs/>
          <w:szCs w:val="22"/>
          <w:lang w:val="en-AU" w:bidi="ar-SA"/>
        </w:rPr>
      </w:pPr>
      <w:r w:rsidRPr="00E82455">
        <w:rPr>
          <w:rFonts w:eastAsia="Arial Unicode MS"/>
          <w:b/>
          <w:bCs/>
          <w:i/>
          <w:iCs/>
          <w:szCs w:val="22"/>
          <w:lang w:val="en-AU" w:bidi="ar-SA"/>
        </w:rPr>
        <w:t>Options and discussion</w:t>
      </w:r>
    </w:p>
    <w:p w14:paraId="0F27D23B" w14:textId="77777777" w:rsidR="00776154" w:rsidRDefault="00776154" w:rsidP="00776154"/>
    <w:p w14:paraId="05B8D61D" w14:textId="77777777" w:rsidR="00776154" w:rsidRDefault="00776154" w:rsidP="00776154">
      <w:r>
        <w:t>When certain fats or fatty acids we</w:t>
      </w:r>
      <w:r w:rsidRPr="00D0448A">
        <w:t>re considered harmful</w:t>
      </w:r>
      <w:r>
        <w:t xml:space="preserve">, restrictions were put in place in the Code </w:t>
      </w:r>
      <w:r w:rsidRPr="00D0448A">
        <w:t>to protect infants from adverse health consequences</w:t>
      </w:r>
      <w:r>
        <w:t>.</w:t>
      </w:r>
      <w:r w:rsidRPr="00D0448A">
        <w:t xml:space="preserve"> A similar approach </w:t>
      </w:r>
      <w:r>
        <w:t xml:space="preserve">is taken in Codex STAN 72-1981. </w:t>
      </w:r>
    </w:p>
    <w:p w14:paraId="1EFABE40" w14:textId="77777777" w:rsidR="00776154" w:rsidRDefault="00776154" w:rsidP="00776154"/>
    <w:p w14:paraId="7F955226" w14:textId="2AA972B7" w:rsidR="006C3B69" w:rsidRDefault="006C3B69" w:rsidP="006C3B69">
      <w:pPr>
        <w:rPr>
          <w:lang w:val="en-AU" w:bidi="ar-SA"/>
        </w:rPr>
      </w:pPr>
      <w:r>
        <w:rPr>
          <w:lang w:val="en-AU" w:bidi="ar-SA"/>
        </w:rPr>
        <w:t>Two options are proposed to best meet submitters concerns, agree with the scientific evidence, and align with international regulations:</w:t>
      </w:r>
    </w:p>
    <w:p w14:paraId="41A2AFF2" w14:textId="77777777" w:rsidR="006C3B69" w:rsidRDefault="006C3B69" w:rsidP="006C3B69">
      <w:pPr>
        <w:rPr>
          <w:lang w:val="en-AU" w:bidi="ar-SA"/>
        </w:rPr>
      </w:pPr>
    </w:p>
    <w:p w14:paraId="75EF6F64" w14:textId="02A585FF" w:rsidR="00776154" w:rsidRPr="00267260" w:rsidRDefault="006C3B69" w:rsidP="00087219">
      <w:pPr>
        <w:spacing w:after="120"/>
        <w:ind w:left="567"/>
        <w:rPr>
          <w:lang w:val="en-AU" w:bidi="ar-SA"/>
        </w:rPr>
      </w:pPr>
      <w:r w:rsidRPr="00267260">
        <w:rPr>
          <w:b/>
          <w:lang w:val="en-AU" w:bidi="ar-SA"/>
        </w:rPr>
        <w:t>Option 1:</w:t>
      </w:r>
      <w:r w:rsidR="00B07714" w:rsidRPr="00267260">
        <w:rPr>
          <w:lang w:val="en-AU" w:bidi="ar-SA"/>
        </w:rPr>
        <w:t xml:space="preserve"> Retain current</w:t>
      </w:r>
      <w:r w:rsidR="00776154" w:rsidRPr="00267260">
        <w:rPr>
          <w:lang w:val="en-AU" w:bidi="ar-SA"/>
        </w:rPr>
        <w:t xml:space="preserve"> approach which restricts specific fats and no further definition of fat source</w:t>
      </w:r>
      <w:r w:rsidRPr="00267260">
        <w:rPr>
          <w:lang w:val="en-AU" w:bidi="ar-SA"/>
        </w:rPr>
        <w:t>.</w:t>
      </w:r>
    </w:p>
    <w:p w14:paraId="7D9155D2" w14:textId="3079595D" w:rsidR="00776154" w:rsidRPr="00267260" w:rsidRDefault="006C3B69" w:rsidP="00087219">
      <w:pPr>
        <w:spacing w:after="120"/>
        <w:ind w:left="567"/>
        <w:rPr>
          <w:lang w:val="en-AU" w:bidi="ar-SA"/>
        </w:rPr>
      </w:pPr>
      <w:r w:rsidRPr="00267260">
        <w:rPr>
          <w:b/>
          <w:lang w:val="en-AU" w:bidi="ar-SA"/>
        </w:rPr>
        <w:t>Option 2:</w:t>
      </w:r>
      <w:r w:rsidR="00776154" w:rsidRPr="00267260">
        <w:rPr>
          <w:lang w:val="en-AU" w:bidi="ar-SA"/>
        </w:rPr>
        <w:t xml:space="preserve"> Relax or remove restrictions on specific fats but introduce more definition about permitted sources of fat. </w:t>
      </w:r>
    </w:p>
    <w:p w14:paraId="4B965B4A" w14:textId="20D38394" w:rsidR="00776154" w:rsidRDefault="00776154" w:rsidP="00776154">
      <w:pPr>
        <w:pStyle w:val="Heading4"/>
      </w:pPr>
      <w:r>
        <w:t xml:space="preserve">Proposed </w:t>
      </w:r>
      <w:r w:rsidR="00C30BAC">
        <w:t>approach</w:t>
      </w:r>
    </w:p>
    <w:p w14:paraId="6239056A" w14:textId="77777777" w:rsidR="00776154" w:rsidRPr="0081429D" w:rsidRDefault="00776154" w:rsidP="00776154">
      <w:r>
        <w:t>FSANZ considers that retaining the current approach is appropriate</w:t>
      </w:r>
      <w:r w:rsidRPr="00F2505E">
        <w:t xml:space="preserve"> </w:t>
      </w:r>
      <w:r>
        <w:t>b</w:t>
      </w:r>
      <w:r w:rsidRPr="00F2505E">
        <w:t>ased on the number of submissions which supported th</w:t>
      </w:r>
      <w:r>
        <w:t xml:space="preserve">is view. This conclusion has been factored into consideration on restrictions of certain fats, discussed in following sections. </w:t>
      </w:r>
    </w:p>
    <w:p w14:paraId="4091A40D" w14:textId="5DD81E52" w:rsidR="00776154" w:rsidRPr="00432C37" w:rsidRDefault="00385AF6" w:rsidP="00776154">
      <w:pPr>
        <w:pStyle w:val="Heading2"/>
      </w:pPr>
      <w:bookmarkStart w:id="253" w:name="_Toc73455627"/>
      <w:bookmarkStart w:id="254" w:name="_Toc73624900"/>
      <w:bookmarkStart w:id="255" w:name="_Toc76138284"/>
      <w:r>
        <w:t>5</w:t>
      </w:r>
      <w:r w:rsidR="00776154" w:rsidRPr="00432C37">
        <w:t>.6</w:t>
      </w:r>
      <w:r w:rsidR="00776154" w:rsidRPr="00432C37">
        <w:tab/>
        <w:t>Restrictions on certain fats</w:t>
      </w:r>
      <w:bookmarkEnd w:id="253"/>
      <w:bookmarkEnd w:id="254"/>
      <w:bookmarkEnd w:id="255"/>
      <w:r w:rsidR="00776154" w:rsidRPr="00432C37">
        <w:t xml:space="preserve"> </w:t>
      </w:r>
    </w:p>
    <w:p w14:paraId="209CDD85" w14:textId="441CACD9" w:rsidR="008410B2" w:rsidRDefault="008410B2" w:rsidP="008410B2">
      <w:r>
        <w:t xml:space="preserve">Table 5.8 summarises the regulatory requirements for maximum amounts of certain fats. </w:t>
      </w:r>
    </w:p>
    <w:p w14:paraId="2E4F59D2" w14:textId="07E7B943" w:rsidR="00776154" w:rsidRDefault="00776154" w:rsidP="00E9515E">
      <w:pPr>
        <w:pStyle w:val="FSTitle"/>
        <w:rPr>
          <w:rFonts w:eastAsia="Arial Unicode MS"/>
          <w:szCs w:val="22"/>
          <w:lang w:val="en-AU" w:bidi="ar-SA"/>
        </w:rPr>
      </w:pPr>
      <w:bookmarkStart w:id="256" w:name="_Toc74061238"/>
      <w:r w:rsidRPr="005E2061">
        <w:t xml:space="preserve">Table </w:t>
      </w:r>
      <w:r w:rsidR="00385AF6">
        <w:t>5</w:t>
      </w:r>
      <w:r w:rsidR="008410B2">
        <w:t>.8</w:t>
      </w:r>
      <w:r w:rsidR="008410B2">
        <w:tab/>
      </w:r>
      <w:r>
        <w:t>Maximum amounts of fatty acids</w:t>
      </w:r>
      <w:bookmarkEnd w:id="256"/>
      <w:r w:rsidRPr="005E2061">
        <w:t xml:space="preserve"> </w:t>
      </w:r>
    </w:p>
    <w:tbl>
      <w:tblPr>
        <w:tblStyle w:val="MediumShading1-Accent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5.6.1 Maximum amounts of fatty acids "/>
        <w:tblDescription w:val="This table summarises the permitted maximum for fatty acids in Standard 2.9.1, Codex STAN 72-1981 and EU 2016/127."/>
      </w:tblPr>
      <w:tblGrid>
        <w:gridCol w:w="2158"/>
        <w:gridCol w:w="1343"/>
        <w:gridCol w:w="1839"/>
        <w:gridCol w:w="1839"/>
        <w:gridCol w:w="1837"/>
      </w:tblGrid>
      <w:tr w:rsidR="00776154" w:rsidRPr="00EC12BF" w14:paraId="558FC847" w14:textId="77777777" w:rsidTr="001C24DD">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196" w:type="pct"/>
            <w:tcBorders>
              <w:top w:val="none" w:sz="0" w:space="0" w:color="auto"/>
              <w:left w:val="none" w:sz="0" w:space="0" w:color="auto"/>
              <w:bottom w:val="none" w:sz="0" w:space="0" w:color="auto"/>
              <w:right w:val="none" w:sz="0" w:space="0" w:color="auto"/>
            </w:tcBorders>
            <w:shd w:val="clear" w:color="auto" w:fill="E5DFEC" w:themeFill="accent4" w:themeFillTint="33"/>
            <w:vAlign w:val="center"/>
          </w:tcPr>
          <w:p w14:paraId="353591A0" w14:textId="77777777" w:rsidR="00776154" w:rsidRPr="001C24DD" w:rsidRDefault="00776154" w:rsidP="00776154">
            <w:pPr>
              <w:spacing w:before="40" w:after="40"/>
              <w:ind w:left="214"/>
              <w:jc w:val="center"/>
              <w:rPr>
                <w:rFonts w:cs="Arial"/>
                <w:color w:val="auto"/>
                <w:sz w:val="22"/>
                <w:szCs w:val="18"/>
              </w:rPr>
            </w:pPr>
            <w:r w:rsidRPr="001C24DD">
              <w:rPr>
                <w:rFonts w:cs="Arial"/>
                <w:color w:val="auto"/>
                <w:sz w:val="22"/>
                <w:szCs w:val="18"/>
              </w:rPr>
              <w:t>Fat</w:t>
            </w:r>
          </w:p>
        </w:tc>
        <w:tc>
          <w:tcPr>
            <w:tcW w:w="745" w:type="pct"/>
            <w:tcBorders>
              <w:top w:val="none" w:sz="0" w:space="0" w:color="auto"/>
              <w:left w:val="none" w:sz="0" w:space="0" w:color="auto"/>
              <w:bottom w:val="none" w:sz="0" w:space="0" w:color="auto"/>
              <w:right w:val="none" w:sz="0" w:space="0" w:color="auto"/>
            </w:tcBorders>
            <w:shd w:val="clear" w:color="auto" w:fill="DBE5F1" w:themeFill="accent1" w:themeFillTint="33"/>
            <w:vAlign w:val="center"/>
          </w:tcPr>
          <w:p w14:paraId="632073C6" w14:textId="77777777" w:rsidR="00776154" w:rsidRPr="001C24DD" w:rsidRDefault="00776154" w:rsidP="00776154">
            <w:pPr>
              <w:spacing w:before="40" w:after="40"/>
              <w:jc w:val="center"/>
              <w:cnfStyle w:val="100000000000" w:firstRow="1" w:lastRow="0" w:firstColumn="0" w:lastColumn="0" w:oddVBand="0" w:evenVBand="0" w:oddHBand="0" w:evenHBand="0" w:firstRowFirstColumn="0" w:firstRowLastColumn="0" w:lastRowFirstColumn="0" w:lastRowLastColumn="0"/>
              <w:rPr>
                <w:rFonts w:cs="Arial"/>
                <w:color w:val="auto"/>
                <w:sz w:val="22"/>
                <w:szCs w:val="18"/>
              </w:rPr>
            </w:pPr>
            <w:r w:rsidRPr="001C24DD">
              <w:rPr>
                <w:rFonts w:cs="Arial"/>
                <w:color w:val="auto"/>
                <w:sz w:val="22"/>
                <w:szCs w:val="18"/>
              </w:rPr>
              <w:t>Unit</w:t>
            </w:r>
          </w:p>
        </w:tc>
        <w:tc>
          <w:tcPr>
            <w:tcW w:w="1020" w:type="pct"/>
            <w:tcBorders>
              <w:top w:val="none" w:sz="0" w:space="0" w:color="auto"/>
              <w:left w:val="none" w:sz="0" w:space="0" w:color="auto"/>
              <w:bottom w:val="none" w:sz="0" w:space="0" w:color="auto"/>
              <w:right w:val="none" w:sz="0" w:space="0" w:color="auto"/>
            </w:tcBorders>
            <w:shd w:val="clear" w:color="auto" w:fill="EAF1DD" w:themeFill="accent3" w:themeFillTint="33"/>
            <w:vAlign w:val="center"/>
          </w:tcPr>
          <w:p w14:paraId="64A12B1D" w14:textId="77777777" w:rsidR="008B1ED5" w:rsidRDefault="00776154" w:rsidP="00776154">
            <w:pPr>
              <w:spacing w:before="40" w:after="40"/>
              <w:jc w:val="center"/>
              <w:cnfStyle w:val="100000000000" w:firstRow="1" w:lastRow="0" w:firstColumn="0" w:lastColumn="0" w:oddVBand="0" w:evenVBand="0" w:oddHBand="0" w:evenHBand="0" w:firstRowFirstColumn="0" w:firstRowLastColumn="0" w:lastRowFirstColumn="0" w:lastRowLastColumn="0"/>
              <w:rPr>
                <w:rFonts w:cs="Arial"/>
                <w:color w:val="auto"/>
                <w:sz w:val="22"/>
                <w:szCs w:val="18"/>
              </w:rPr>
            </w:pPr>
            <w:r w:rsidRPr="001C24DD">
              <w:rPr>
                <w:rFonts w:cs="Arial"/>
                <w:color w:val="auto"/>
                <w:sz w:val="22"/>
                <w:szCs w:val="18"/>
              </w:rPr>
              <w:t>Standard 2.9.1</w:t>
            </w:r>
          </w:p>
          <w:p w14:paraId="6F066C29" w14:textId="67DC12C5" w:rsidR="00776154" w:rsidRPr="001C24DD" w:rsidRDefault="008B1ED5" w:rsidP="00776154">
            <w:pPr>
              <w:spacing w:before="40" w:after="40"/>
              <w:jc w:val="center"/>
              <w:cnfStyle w:val="100000000000" w:firstRow="1" w:lastRow="0" w:firstColumn="0" w:lastColumn="0" w:oddVBand="0" w:evenVBand="0" w:oddHBand="0" w:evenHBand="0" w:firstRowFirstColumn="0" w:firstRowLastColumn="0" w:lastRowFirstColumn="0" w:lastRowLastColumn="0"/>
              <w:rPr>
                <w:rFonts w:cs="Arial"/>
                <w:color w:val="auto"/>
                <w:sz w:val="22"/>
                <w:szCs w:val="18"/>
              </w:rPr>
            </w:pPr>
            <w:r>
              <w:rPr>
                <w:rFonts w:cs="Arial"/>
                <w:color w:val="auto"/>
                <w:sz w:val="22"/>
                <w:szCs w:val="18"/>
              </w:rPr>
              <w:t>(</w:t>
            </w:r>
            <w:r w:rsidR="009748A5">
              <w:rPr>
                <w:rFonts w:cs="Arial"/>
                <w:color w:val="auto"/>
                <w:sz w:val="22"/>
                <w:szCs w:val="18"/>
              </w:rPr>
              <w:t xml:space="preserve">S29—8 </w:t>
            </w:r>
            <w:r>
              <w:rPr>
                <w:rFonts w:cs="Arial"/>
                <w:color w:val="auto"/>
                <w:sz w:val="22"/>
                <w:szCs w:val="18"/>
              </w:rPr>
              <w:t>)</w:t>
            </w:r>
          </w:p>
        </w:tc>
        <w:tc>
          <w:tcPr>
            <w:tcW w:w="1020" w:type="pct"/>
            <w:tcBorders>
              <w:top w:val="none" w:sz="0" w:space="0" w:color="auto"/>
              <w:left w:val="none" w:sz="0" w:space="0" w:color="auto"/>
              <w:bottom w:val="none" w:sz="0" w:space="0" w:color="auto"/>
              <w:right w:val="none" w:sz="0" w:space="0" w:color="auto"/>
            </w:tcBorders>
            <w:shd w:val="clear" w:color="auto" w:fill="DAEEF3" w:themeFill="accent5" w:themeFillTint="33"/>
            <w:vAlign w:val="center"/>
          </w:tcPr>
          <w:p w14:paraId="64705D0C" w14:textId="77777777" w:rsidR="00776154" w:rsidRPr="001C24DD" w:rsidRDefault="00776154" w:rsidP="00776154">
            <w:pPr>
              <w:spacing w:before="40" w:after="40"/>
              <w:jc w:val="center"/>
              <w:cnfStyle w:val="100000000000" w:firstRow="1" w:lastRow="0" w:firstColumn="0" w:lastColumn="0" w:oddVBand="0" w:evenVBand="0" w:oddHBand="0" w:evenHBand="0" w:firstRowFirstColumn="0" w:firstRowLastColumn="0" w:lastRowFirstColumn="0" w:lastRowLastColumn="0"/>
              <w:rPr>
                <w:rFonts w:cs="Arial"/>
                <w:color w:val="auto"/>
                <w:sz w:val="22"/>
                <w:szCs w:val="18"/>
              </w:rPr>
            </w:pPr>
            <w:r w:rsidRPr="001C24DD">
              <w:rPr>
                <w:rFonts w:cs="Arial"/>
                <w:color w:val="auto"/>
                <w:sz w:val="22"/>
                <w:szCs w:val="18"/>
              </w:rPr>
              <w:t>Codex STAN 72-1981</w:t>
            </w:r>
          </w:p>
        </w:tc>
        <w:tc>
          <w:tcPr>
            <w:tcW w:w="1019" w:type="pct"/>
            <w:tcBorders>
              <w:top w:val="none" w:sz="0" w:space="0" w:color="auto"/>
              <w:left w:val="none" w:sz="0" w:space="0" w:color="auto"/>
              <w:bottom w:val="none" w:sz="0" w:space="0" w:color="auto"/>
              <w:right w:val="none" w:sz="0" w:space="0" w:color="auto"/>
            </w:tcBorders>
            <w:shd w:val="clear" w:color="auto" w:fill="DDD9C3" w:themeFill="background2" w:themeFillShade="E6"/>
            <w:vAlign w:val="center"/>
          </w:tcPr>
          <w:p w14:paraId="45AE94D0" w14:textId="353D5C73" w:rsidR="00776154" w:rsidRPr="001C24DD" w:rsidRDefault="00776154" w:rsidP="00D30D58">
            <w:pPr>
              <w:spacing w:before="40" w:after="40"/>
              <w:jc w:val="center"/>
              <w:cnfStyle w:val="100000000000" w:firstRow="1" w:lastRow="0" w:firstColumn="0" w:lastColumn="0" w:oddVBand="0" w:evenVBand="0" w:oddHBand="0" w:evenHBand="0" w:firstRowFirstColumn="0" w:firstRowLastColumn="0" w:lastRowFirstColumn="0" w:lastRowLastColumn="0"/>
              <w:rPr>
                <w:rFonts w:cs="Arial"/>
                <w:color w:val="auto"/>
                <w:sz w:val="22"/>
                <w:szCs w:val="18"/>
              </w:rPr>
            </w:pPr>
            <w:r w:rsidRPr="001C24DD">
              <w:rPr>
                <w:rFonts w:cs="Arial"/>
                <w:color w:val="auto"/>
                <w:sz w:val="22"/>
                <w:szCs w:val="18"/>
              </w:rPr>
              <w:t xml:space="preserve">EU </w:t>
            </w:r>
            <w:r w:rsidR="00D30D58" w:rsidRPr="001C24DD">
              <w:rPr>
                <w:rFonts w:cs="Arial"/>
                <w:color w:val="auto"/>
                <w:sz w:val="22"/>
                <w:szCs w:val="18"/>
              </w:rPr>
              <w:t>2016/127</w:t>
            </w:r>
          </w:p>
        </w:tc>
      </w:tr>
      <w:tr w:rsidR="00776154" w:rsidRPr="00EC12BF" w14:paraId="49166AD3" w14:textId="77777777" w:rsidTr="001C24D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196" w:type="pct"/>
            <w:tcBorders>
              <w:right w:val="none" w:sz="0" w:space="0" w:color="auto"/>
            </w:tcBorders>
            <w:shd w:val="clear" w:color="auto" w:fill="auto"/>
            <w:vAlign w:val="center"/>
          </w:tcPr>
          <w:p w14:paraId="08032809" w14:textId="0E24F00C" w:rsidR="00776154" w:rsidRPr="00EC12BF" w:rsidRDefault="00776154" w:rsidP="00776154">
            <w:pPr>
              <w:spacing w:before="40" w:after="40"/>
              <w:ind w:left="214"/>
              <w:rPr>
                <w:rFonts w:cs="Arial"/>
                <w:b w:val="0"/>
                <w:szCs w:val="18"/>
              </w:rPr>
            </w:pPr>
            <w:r w:rsidRPr="00EC12BF">
              <w:rPr>
                <w:rFonts w:cs="Arial"/>
                <w:b w:val="0"/>
                <w:szCs w:val="18"/>
              </w:rPr>
              <w:t>Phospholipids</w:t>
            </w:r>
            <w:r w:rsidR="004A6124">
              <w:rPr>
                <w:rFonts w:cs="Arial"/>
                <w:b w:val="0"/>
                <w:szCs w:val="18"/>
              </w:rPr>
              <w:t xml:space="preserve"> (PL)</w:t>
            </w:r>
          </w:p>
        </w:tc>
        <w:tc>
          <w:tcPr>
            <w:tcW w:w="745" w:type="pct"/>
            <w:tcBorders>
              <w:left w:val="none" w:sz="0" w:space="0" w:color="auto"/>
              <w:right w:val="none" w:sz="0" w:space="0" w:color="auto"/>
            </w:tcBorders>
            <w:shd w:val="clear" w:color="auto" w:fill="auto"/>
            <w:vAlign w:val="center"/>
          </w:tcPr>
          <w:p w14:paraId="7C238562" w14:textId="77777777" w:rsidR="00776154" w:rsidRPr="00EC12BF" w:rsidRDefault="00776154" w:rsidP="00776154">
            <w:pPr>
              <w:spacing w:before="40" w:after="40"/>
              <w:jc w:val="center"/>
              <w:cnfStyle w:val="000000100000" w:firstRow="0" w:lastRow="0" w:firstColumn="0" w:lastColumn="0" w:oddVBand="0" w:evenVBand="0" w:oddHBand="1" w:evenHBand="0" w:firstRowFirstColumn="0" w:firstRowLastColumn="0" w:lastRowFirstColumn="0" w:lastRowLastColumn="0"/>
              <w:rPr>
                <w:rFonts w:cs="Arial"/>
                <w:szCs w:val="18"/>
              </w:rPr>
            </w:pPr>
            <w:r w:rsidRPr="00EC12BF">
              <w:rPr>
                <w:rFonts w:cs="Arial"/>
                <w:szCs w:val="18"/>
              </w:rPr>
              <w:t>g/L</w:t>
            </w:r>
          </w:p>
        </w:tc>
        <w:tc>
          <w:tcPr>
            <w:tcW w:w="1020" w:type="pct"/>
            <w:tcBorders>
              <w:left w:val="none" w:sz="0" w:space="0" w:color="auto"/>
              <w:right w:val="none" w:sz="0" w:space="0" w:color="auto"/>
            </w:tcBorders>
            <w:shd w:val="clear" w:color="auto" w:fill="auto"/>
            <w:vAlign w:val="center"/>
          </w:tcPr>
          <w:p w14:paraId="79C0EF91" w14:textId="77777777" w:rsidR="00776154" w:rsidRPr="00EC12BF" w:rsidRDefault="00776154" w:rsidP="00776154">
            <w:pPr>
              <w:spacing w:before="40" w:after="40"/>
              <w:jc w:val="center"/>
              <w:cnfStyle w:val="000000100000" w:firstRow="0" w:lastRow="0" w:firstColumn="0" w:lastColumn="0" w:oddVBand="0" w:evenVBand="0" w:oddHBand="1" w:evenHBand="0" w:firstRowFirstColumn="0" w:firstRowLastColumn="0" w:lastRowFirstColumn="0" w:lastRowLastColumn="0"/>
              <w:rPr>
                <w:rFonts w:cs="Arial"/>
                <w:szCs w:val="18"/>
              </w:rPr>
            </w:pPr>
            <w:r w:rsidRPr="00EC12BF">
              <w:rPr>
                <w:rFonts w:cs="Arial"/>
                <w:szCs w:val="18"/>
              </w:rPr>
              <w:t>–</w:t>
            </w:r>
          </w:p>
        </w:tc>
        <w:tc>
          <w:tcPr>
            <w:tcW w:w="1020" w:type="pct"/>
            <w:tcBorders>
              <w:left w:val="none" w:sz="0" w:space="0" w:color="auto"/>
              <w:right w:val="none" w:sz="0" w:space="0" w:color="auto"/>
            </w:tcBorders>
            <w:shd w:val="clear" w:color="auto" w:fill="auto"/>
            <w:vAlign w:val="center"/>
          </w:tcPr>
          <w:p w14:paraId="79B38E53" w14:textId="0E46B5C5" w:rsidR="00776154" w:rsidRPr="00EC12BF" w:rsidRDefault="00776154" w:rsidP="00776154">
            <w:pPr>
              <w:spacing w:before="40" w:after="40"/>
              <w:jc w:val="center"/>
              <w:cnfStyle w:val="000000100000" w:firstRow="0" w:lastRow="0" w:firstColumn="0" w:lastColumn="0" w:oddVBand="0" w:evenVBand="0" w:oddHBand="1" w:evenHBand="0" w:firstRowFirstColumn="0" w:firstRowLastColumn="0" w:lastRowFirstColumn="0" w:lastRowLastColumn="0"/>
              <w:rPr>
                <w:rFonts w:cs="Arial"/>
                <w:szCs w:val="18"/>
              </w:rPr>
            </w:pPr>
            <w:r>
              <w:rPr>
                <w:rFonts w:cs="Arial"/>
                <w:szCs w:val="18"/>
              </w:rPr>
              <w:t>2</w:t>
            </w:r>
            <w:r w:rsidR="00385AF6">
              <w:rPr>
                <w:rFonts w:cs="Arial"/>
                <w:szCs w:val="18"/>
              </w:rPr>
              <w:t>*</w:t>
            </w:r>
          </w:p>
        </w:tc>
        <w:tc>
          <w:tcPr>
            <w:tcW w:w="1019" w:type="pct"/>
            <w:tcBorders>
              <w:left w:val="none" w:sz="0" w:space="0" w:color="auto"/>
            </w:tcBorders>
            <w:shd w:val="clear" w:color="auto" w:fill="auto"/>
            <w:vAlign w:val="center"/>
          </w:tcPr>
          <w:p w14:paraId="786801B5" w14:textId="77777777" w:rsidR="00776154" w:rsidRPr="00EC12BF" w:rsidRDefault="00776154" w:rsidP="00776154">
            <w:pPr>
              <w:spacing w:before="40" w:after="40"/>
              <w:jc w:val="center"/>
              <w:cnfStyle w:val="000000100000" w:firstRow="0" w:lastRow="0" w:firstColumn="0" w:lastColumn="0" w:oddVBand="0" w:evenVBand="0" w:oddHBand="1" w:evenHBand="0" w:firstRowFirstColumn="0" w:firstRowLastColumn="0" w:lastRowFirstColumn="0" w:lastRowLastColumn="0"/>
              <w:rPr>
                <w:rFonts w:cs="Arial"/>
                <w:szCs w:val="18"/>
              </w:rPr>
            </w:pPr>
            <w:r>
              <w:rPr>
                <w:rFonts w:cs="Arial"/>
                <w:szCs w:val="18"/>
              </w:rPr>
              <w:t>2</w:t>
            </w:r>
          </w:p>
        </w:tc>
      </w:tr>
      <w:tr w:rsidR="00776154" w:rsidRPr="00EC12BF" w14:paraId="2A9DE9B3" w14:textId="77777777" w:rsidTr="001C24DD">
        <w:trPr>
          <w:cnfStyle w:val="000000010000" w:firstRow="0" w:lastRow="0" w:firstColumn="0" w:lastColumn="0" w:oddVBand="0" w:evenVBand="0" w:oddHBand="0" w:evenHBand="1"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196" w:type="pct"/>
            <w:tcBorders>
              <w:right w:val="none" w:sz="0" w:space="0" w:color="auto"/>
            </w:tcBorders>
            <w:shd w:val="clear" w:color="auto" w:fill="auto"/>
            <w:vAlign w:val="center"/>
          </w:tcPr>
          <w:p w14:paraId="7C0CF40B" w14:textId="77777777" w:rsidR="00776154" w:rsidRPr="00EC12BF" w:rsidRDefault="00776154" w:rsidP="00776154">
            <w:pPr>
              <w:spacing w:before="40" w:after="40"/>
              <w:ind w:left="214"/>
              <w:rPr>
                <w:rFonts w:cs="Arial"/>
                <w:b w:val="0"/>
                <w:szCs w:val="18"/>
              </w:rPr>
            </w:pPr>
            <w:r w:rsidRPr="00EC12BF">
              <w:rPr>
                <w:rFonts w:cs="Arial"/>
                <w:b w:val="0"/>
                <w:szCs w:val="18"/>
              </w:rPr>
              <w:t>Trans fatty acids</w:t>
            </w:r>
          </w:p>
        </w:tc>
        <w:tc>
          <w:tcPr>
            <w:tcW w:w="745" w:type="pct"/>
            <w:tcBorders>
              <w:left w:val="none" w:sz="0" w:space="0" w:color="auto"/>
              <w:right w:val="none" w:sz="0" w:space="0" w:color="auto"/>
            </w:tcBorders>
            <w:shd w:val="clear" w:color="auto" w:fill="auto"/>
            <w:vAlign w:val="center"/>
          </w:tcPr>
          <w:p w14:paraId="17FB5092" w14:textId="77777777" w:rsidR="00776154" w:rsidRPr="00EC12BF" w:rsidRDefault="00776154" w:rsidP="00776154">
            <w:pPr>
              <w:spacing w:before="40" w:after="40"/>
              <w:jc w:val="center"/>
              <w:cnfStyle w:val="000000010000" w:firstRow="0" w:lastRow="0" w:firstColumn="0" w:lastColumn="0" w:oddVBand="0" w:evenVBand="0" w:oddHBand="0" w:evenHBand="1" w:firstRowFirstColumn="0" w:firstRowLastColumn="0" w:lastRowFirstColumn="0" w:lastRowLastColumn="0"/>
              <w:rPr>
                <w:rFonts w:cs="Arial"/>
                <w:szCs w:val="18"/>
              </w:rPr>
            </w:pPr>
            <w:r w:rsidRPr="00EC12BF">
              <w:rPr>
                <w:rFonts w:cs="Arial"/>
                <w:szCs w:val="18"/>
              </w:rPr>
              <w:t>% total FA</w:t>
            </w:r>
          </w:p>
        </w:tc>
        <w:tc>
          <w:tcPr>
            <w:tcW w:w="1020" w:type="pct"/>
            <w:tcBorders>
              <w:left w:val="none" w:sz="0" w:space="0" w:color="auto"/>
              <w:right w:val="none" w:sz="0" w:space="0" w:color="auto"/>
            </w:tcBorders>
            <w:shd w:val="clear" w:color="auto" w:fill="auto"/>
            <w:vAlign w:val="center"/>
          </w:tcPr>
          <w:p w14:paraId="1F4EAD35" w14:textId="77777777" w:rsidR="00776154" w:rsidRPr="00EC12BF" w:rsidRDefault="00776154" w:rsidP="00776154">
            <w:pPr>
              <w:spacing w:before="40" w:after="40"/>
              <w:jc w:val="center"/>
              <w:cnfStyle w:val="000000010000" w:firstRow="0" w:lastRow="0" w:firstColumn="0" w:lastColumn="0" w:oddVBand="0" w:evenVBand="0" w:oddHBand="0" w:evenHBand="1" w:firstRowFirstColumn="0" w:firstRowLastColumn="0" w:lastRowFirstColumn="0" w:lastRowLastColumn="0"/>
              <w:rPr>
                <w:rFonts w:cs="Arial"/>
                <w:szCs w:val="18"/>
              </w:rPr>
            </w:pPr>
            <w:r w:rsidRPr="00EC12BF">
              <w:rPr>
                <w:rFonts w:cs="Arial"/>
                <w:szCs w:val="18"/>
              </w:rPr>
              <w:t>4</w:t>
            </w:r>
          </w:p>
        </w:tc>
        <w:tc>
          <w:tcPr>
            <w:tcW w:w="1020" w:type="pct"/>
            <w:tcBorders>
              <w:left w:val="none" w:sz="0" w:space="0" w:color="auto"/>
              <w:right w:val="none" w:sz="0" w:space="0" w:color="auto"/>
            </w:tcBorders>
            <w:shd w:val="clear" w:color="auto" w:fill="auto"/>
            <w:vAlign w:val="center"/>
          </w:tcPr>
          <w:p w14:paraId="28579EA0" w14:textId="77777777" w:rsidR="00776154" w:rsidRPr="00EC12BF" w:rsidRDefault="00776154" w:rsidP="00776154">
            <w:pPr>
              <w:spacing w:before="40" w:after="40"/>
              <w:jc w:val="center"/>
              <w:cnfStyle w:val="000000010000" w:firstRow="0" w:lastRow="0" w:firstColumn="0" w:lastColumn="0" w:oddVBand="0" w:evenVBand="0" w:oddHBand="0" w:evenHBand="1" w:firstRowFirstColumn="0" w:firstRowLastColumn="0" w:lastRowFirstColumn="0" w:lastRowLastColumn="0"/>
              <w:rPr>
                <w:rFonts w:cs="Arial"/>
                <w:szCs w:val="18"/>
              </w:rPr>
            </w:pPr>
            <w:r w:rsidRPr="00EC12BF">
              <w:rPr>
                <w:rFonts w:cs="Arial"/>
                <w:szCs w:val="18"/>
              </w:rPr>
              <w:t>3</w:t>
            </w:r>
          </w:p>
        </w:tc>
        <w:tc>
          <w:tcPr>
            <w:tcW w:w="1019" w:type="pct"/>
            <w:tcBorders>
              <w:left w:val="none" w:sz="0" w:space="0" w:color="auto"/>
            </w:tcBorders>
            <w:shd w:val="clear" w:color="auto" w:fill="auto"/>
            <w:vAlign w:val="center"/>
          </w:tcPr>
          <w:p w14:paraId="446D27D5" w14:textId="77777777" w:rsidR="00776154" w:rsidRPr="00EC12BF" w:rsidRDefault="00776154" w:rsidP="00776154">
            <w:pPr>
              <w:spacing w:before="40" w:after="40"/>
              <w:jc w:val="center"/>
              <w:cnfStyle w:val="000000010000" w:firstRow="0" w:lastRow="0" w:firstColumn="0" w:lastColumn="0" w:oddVBand="0" w:evenVBand="0" w:oddHBand="0" w:evenHBand="1" w:firstRowFirstColumn="0" w:firstRowLastColumn="0" w:lastRowFirstColumn="0" w:lastRowLastColumn="0"/>
              <w:rPr>
                <w:rFonts w:cs="Arial"/>
                <w:szCs w:val="18"/>
              </w:rPr>
            </w:pPr>
            <w:r w:rsidRPr="00EC12BF">
              <w:rPr>
                <w:rFonts w:cs="Arial"/>
                <w:szCs w:val="18"/>
              </w:rPr>
              <w:t>3</w:t>
            </w:r>
          </w:p>
        </w:tc>
      </w:tr>
      <w:tr w:rsidR="00776154" w:rsidRPr="00EC12BF" w14:paraId="4177B047" w14:textId="77777777" w:rsidTr="001C24D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196" w:type="pct"/>
            <w:tcBorders>
              <w:right w:val="none" w:sz="0" w:space="0" w:color="auto"/>
            </w:tcBorders>
            <w:shd w:val="clear" w:color="auto" w:fill="auto"/>
            <w:vAlign w:val="center"/>
            <w:hideMark/>
          </w:tcPr>
          <w:p w14:paraId="071B5145" w14:textId="77777777" w:rsidR="00776154" w:rsidRPr="00EC12BF" w:rsidRDefault="00776154" w:rsidP="00776154">
            <w:pPr>
              <w:spacing w:before="40" w:after="40"/>
              <w:ind w:left="214"/>
              <w:rPr>
                <w:rFonts w:cs="Arial"/>
                <w:b w:val="0"/>
                <w:szCs w:val="18"/>
              </w:rPr>
            </w:pPr>
            <w:r w:rsidRPr="00EC12BF">
              <w:rPr>
                <w:rFonts w:cs="Arial"/>
                <w:b w:val="0"/>
                <w:szCs w:val="18"/>
              </w:rPr>
              <w:t>Erucic acid</w:t>
            </w:r>
          </w:p>
        </w:tc>
        <w:tc>
          <w:tcPr>
            <w:tcW w:w="745" w:type="pct"/>
            <w:tcBorders>
              <w:left w:val="none" w:sz="0" w:space="0" w:color="auto"/>
              <w:right w:val="none" w:sz="0" w:space="0" w:color="auto"/>
            </w:tcBorders>
            <w:shd w:val="clear" w:color="auto" w:fill="auto"/>
            <w:vAlign w:val="center"/>
            <w:hideMark/>
          </w:tcPr>
          <w:p w14:paraId="3E09845B" w14:textId="77777777" w:rsidR="00776154" w:rsidRPr="00EC12BF" w:rsidRDefault="00776154" w:rsidP="00776154">
            <w:pPr>
              <w:spacing w:before="40" w:after="40"/>
              <w:jc w:val="center"/>
              <w:cnfStyle w:val="000000100000" w:firstRow="0" w:lastRow="0" w:firstColumn="0" w:lastColumn="0" w:oddVBand="0" w:evenVBand="0" w:oddHBand="1" w:evenHBand="0" w:firstRowFirstColumn="0" w:firstRowLastColumn="0" w:lastRowFirstColumn="0" w:lastRowLastColumn="0"/>
              <w:rPr>
                <w:rFonts w:cs="Arial"/>
                <w:szCs w:val="18"/>
              </w:rPr>
            </w:pPr>
            <w:r w:rsidRPr="00EC12BF">
              <w:rPr>
                <w:rFonts w:cs="Arial"/>
                <w:szCs w:val="18"/>
              </w:rPr>
              <w:t>% total FA</w:t>
            </w:r>
          </w:p>
        </w:tc>
        <w:tc>
          <w:tcPr>
            <w:tcW w:w="1020" w:type="pct"/>
            <w:tcBorders>
              <w:left w:val="none" w:sz="0" w:space="0" w:color="auto"/>
              <w:right w:val="none" w:sz="0" w:space="0" w:color="auto"/>
            </w:tcBorders>
            <w:shd w:val="clear" w:color="auto" w:fill="auto"/>
            <w:vAlign w:val="center"/>
            <w:hideMark/>
          </w:tcPr>
          <w:p w14:paraId="0E276B0E" w14:textId="77777777" w:rsidR="00776154" w:rsidRPr="00EC12BF" w:rsidRDefault="00776154" w:rsidP="00776154">
            <w:pPr>
              <w:spacing w:before="40" w:after="40"/>
              <w:jc w:val="center"/>
              <w:cnfStyle w:val="000000100000" w:firstRow="0" w:lastRow="0" w:firstColumn="0" w:lastColumn="0" w:oddVBand="0" w:evenVBand="0" w:oddHBand="1" w:evenHBand="0" w:firstRowFirstColumn="0" w:firstRowLastColumn="0" w:lastRowFirstColumn="0" w:lastRowLastColumn="0"/>
              <w:rPr>
                <w:rFonts w:cs="Arial"/>
                <w:szCs w:val="18"/>
              </w:rPr>
            </w:pPr>
            <w:r w:rsidRPr="00EC12BF">
              <w:rPr>
                <w:rFonts w:cs="Arial"/>
                <w:szCs w:val="18"/>
              </w:rPr>
              <w:t>1</w:t>
            </w:r>
          </w:p>
        </w:tc>
        <w:tc>
          <w:tcPr>
            <w:tcW w:w="1020" w:type="pct"/>
            <w:tcBorders>
              <w:left w:val="none" w:sz="0" w:space="0" w:color="auto"/>
              <w:right w:val="none" w:sz="0" w:space="0" w:color="auto"/>
            </w:tcBorders>
            <w:shd w:val="clear" w:color="auto" w:fill="auto"/>
            <w:vAlign w:val="center"/>
            <w:hideMark/>
          </w:tcPr>
          <w:p w14:paraId="1942C351" w14:textId="77777777" w:rsidR="00776154" w:rsidRPr="00EC12BF" w:rsidRDefault="00776154" w:rsidP="00776154">
            <w:pPr>
              <w:spacing w:before="40" w:after="40"/>
              <w:jc w:val="center"/>
              <w:cnfStyle w:val="000000100000" w:firstRow="0" w:lastRow="0" w:firstColumn="0" w:lastColumn="0" w:oddVBand="0" w:evenVBand="0" w:oddHBand="1" w:evenHBand="0" w:firstRowFirstColumn="0" w:firstRowLastColumn="0" w:lastRowFirstColumn="0" w:lastRowLastColumn="0"/>
              <w:rPr>
                <w:rFonts w:cs="Arial"/>
                <w:szCs w:val="18"/>
              </w:rPr>
            </w:pPr>
            <w:r w:rsidRPr="00EC12BF">
              <w:rPr>
                <w:rFonts w:cs="Arial"/>
                <w:szCs w:val="18"/>
              </w:rPr>
              <w:t>1</w:t>
            </w:r>
          </w:p>
        </w:tc>
        <w:tc>
          <w:tcPr>
            <w:tcW w:w="1019" w:type="pct"/>
            <w:tcBorders>
              <w:left w:val="none" w:sz="0" w:space="0" w:color="auto"/>
            </w:tcBorders>
            <w:shd w:val="clear" w:color="auto" w:fill="auto"/>
            <w:vAlign w:val="center"/>
          </w:tcPr>
          <w:p w14:paraId="314BBBFD" w14:textId="77777777" w:rsidR="00776154" w:rsidRPr="00EC12BF" w:rsidRDefault="00776154" w:rsidP="00776154">
            <w:pPr>
              <w:spacing w:before="40" w:after="40"/>
              <w:jc w:val="center"/>
              <w:cnfStyle w:val="000000100000" w:firstRow="0" w:lastRow="0" w:firstColumn="0" w:lastColumn="0" w:oddVBand="0" w:evenVBand="0" w:oddHBand="1" w:evenHBand="0" w:firstRowFirstColumn="0" w:firstRowLastColumn="0" w:lastRowFirstColumn="0" w:lastRowLastColumn="0"/>
              <w:rPr>
                <w:rFonts w:cs="Arial"/>
                <w:szCs w:val="18"/>
              </w:rPr>
            </w:pPr>
            <w:r w:rsidRPr="00EC12BF">
              <w:rPr>
                <w:rFonts w:cs="Arial"/>
                <w:szCs w:val="18"/>
              </w:rPr>
              <w:t>1</w:t>
            </w:r>
          </w:p>
        </w:tc>
      </w:tr>
      <w:tr w:rsidR="00776154" w:rsidRPr="00EC12BF" w14:paraId="5544D438" w14:textId="77777777" w:rsidTr="001C24DD">
        <w:trPr>
          <w:cnfStyle w:val="000000010000" w:firstRow="0" w:lastRow="0" w:firstColumn="0" w:lastColumn="0" w:oddVBand="0" w:evenVBand="0" w:oddHBand="0" w:evenHBand="1"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196" w:type="pct"/>
            <w:tcBorders>
              <w:right w:val="none" w:sz="0" w:space="0" w:color="auto"/>
            </w:tcBorders>
            <w:shd w:val="clear" w:color="auto" w:fill="auto"/>
            <w:vAlign w:val="center"/>
            <w:hideMark/>
          </w:tcPr>
          <w:p w14:paraId="27B265B1" w14:textId="77777777" w:rsidR="00776154" w:rsidRPr="00EC12BF" w:rsidRDefault="00776154" w:rsidP="00776154">
            <w:pPr>
              <w:spacing w:before="40" w:after="40"/>
              <w:ind w:left="214"/>
              <w:rPr>
                <w:rFonts w:cs="Arial"/>
                <w:b w:val="0"/>
                <w:szCs w:val="18"/>
              </w:rPr>
            </w:pPr>
            <w:r w:rsidRPr="00EC12BF">
              <w:rPr>
                <w:rFonts w:cs="Arial"/>
                <w:b w:val="0"/>
                <w:szCs w:val="18"/>
              </w:rPr>
              <w:t>Lauric acid + myristic acid</w:t>
            </w:r>
          </w:p>
        </w:tc>
        <w:tc>
          <w:tcPr>
            <w:tcW w:w="745" w:type="pct"/>
            <w:tcBorders>
              <w:left w:val="none" w:sz="0" w:space="0" w:color="auto"/>
              <w:right w:val="none" w:sz="0" w:space="0" w:color="auto"/>
            </w:tcBorders>
            <w:shd w:val="clear" w:color="auto" w:fill="auto"/>
            <w:vAlign w:val="center"/>
            <w:hideMark/>
          </w:tcPr>
          <w:p w14:paraId="01F3FF3C" w14:textId="77777777" w:rsidR="00776154" w:rsidRPr="00EC12BF" w:rsidRDefault="00776154" w:rsidP="00776154">
            <w:pPr>
              <w:spacing w:before="40" w:after="40"/>
              <w:jc w:val="center"/>
              <w:cnfStyle w:val="000000010000" w:firstRow="0" w:lastRow="0" w:firstColumn="0" w:lastColumn="0" w:oddVBand="0" w:evenVBand="0" w:oddHBand="0" w:evenHBand="1" w:firstRowFirstColumn="0" w:firstRowLastColumn="0" w:lastRowFirstColumn="0" w:lastRowLastColumn="0"/>
              <w:rPr>
                <w:rFonts w:cs="Arial"/>
                <w:szCs w:val="18"/>
              </w:rPr>
            </w:pPr>
            <w:r w:rsidRPr="00EC12BF">
              <w:rPr>
                <w:rFonts w:cs="Arial"/>
                <w:szCs w:val="18"/>
              </w:rPr>
              <w:t>% total FA</w:t>
            </w:r>
          </w:p>
        </w:tc>
        <w:tc>
          <w:tcPr>
            <w:tcW w:w="1020" w:type="pct"/>
            <w:tcBorders>
              <w:left w:val="none" w:sz="0" w:space="0" w:color="auto"/>
              <w:right w:val="none" w:sz="0" w:space="0" w:color="auto"/>
            </w:tcBorders>
            <w:shd w:val="clear" w:color="auto" w:fill="auto"/>
            <w:vAlign w:val="center"/>
            <w:hideMark/>
          </w:tcPr>
          <w:p w14:paraId="089362AA" w14:textId="77777777" w:rsidR="00776154" w:rsidRPr="00EC12BF" w:rsidRDefault="00776154" w:rsidP="00776154">
            <w:pPr>
              <w:spacing w:before="40" w:after="40"/>
              <w:jc w:val="center"/>
              <w:cnfStyle w:val="000000010000" w:firstRow="0" w:lastRow="0" w:firstColumn="0" w:lastColumn="0" w:oddVBand="0" w:evenVBand="0" w:oddHBand="0" w:evenHBand="1" w:firstRowFirstColumn="0" w:firstRowLastColumn="0" w:lastRowFirstColumn="0" w:lastRowLastColumn="0"/>
              <w:rPr>
                <w:rFonts w:cs="Arial"/>
                <w:szCs w:val="18"/>
              </w:rPr>
            </w:pPr>
            <w:r w:rsidRPr="00EC12BF">
              <w:rPr>
                <w:rFonts w:cs="Arial"/>
                <w:szCs w:val="18"/>
              </w:rPr>
              <w:t>–</w:t>
            </w:r>
          </w:p>
        </w:tc>
        <w:tc>
          <w:tcPr>
            <w:tcW w:w="1020" w:type="pct"/>
            <w:tcBorders>
              <w:left w:val="none" w:sz="0" w:space="0" w:color="auto"/>
              <w:right w:val="none" w:sz="0" w:space="0" w:color="auto"/>
            </w:tcBorders>
            <w:shd w:val="clear" w:color="auto" w:fill="auto"/>
            <w:vAlign w:val="center"/>
            <w:hideMark/>
          </w:tcPr>
          <w:p w14:paraId="193CBA47" w14:textId="77777777" w:rsidR="00776154" w:rsidRPr="00EC12BF" w:rsidRDefault="00776154" w:rsidP="00776154">
            <w:pPr>
              <w:spacing w:before="40" w:after="40"/>
              <w:jc w:val="center"/>
              <w:cnfStyle w:val="000000010000" w:firstRow="0" w:lastRow="0" w:firstColumn="0" w:lastColumn="0" w:oddVBand="0" w:evenVBand="0" w:oddHBand="0" w:evenHBand="1" w:firstRowFirstColumn="0" w:firstRowLastColumn="0" w:lastRowFirstColumn="0" w:lastRowLastColumn="0"/>
              <w:rPr>
                <w:rFonts w:cs="Arial"/>
                <w:szCs w:val="18"/>
              </w:rPr>
            </w:pPr>
            <w:r w:rsidRPr="00EC12BF">
              <w:rPr>
                <w:rFonts w:cs="Arial"/>
                <w:szCs w:val="18"/>
              </w:rPr>
              <w:t>20</w:t>
            </w:r>
          </w:p>
        </w:tc>
        <w:tc>
          <w:tcPr>
            <w:tcW w:w="1019" w:type="pct"/>
            <w:tcBorders>
              <w:left w:val="none" w:sz="0" w:space="0" w:color="auto"/>
            </w:tcBorders>
            <w:shd w:val="clear" w:color="auto" w:fill="auto"/>
            <w:vAlign w:val="center"/>
          </w:tcPr>
          <w:p w14:paraId="49C2E7D6" w14:textId="77777777" w:rsidR="00776154" w:rsidRPr="00EC12BF" w:rsidRDefault="00776154" w:rsidP="00776154">
            <w:pPr>
              <w:spacing w:before="40" w:after="40"/>
              <w:jc w:val="center"/>
              <w:cnfStyle w:val="000000010000" w:firstRow="0" w:lastRow="0" w:firstColumn="0" w:lastColumn="0" w:oddVBand="0" w:evenVBand="0" w:oddHBand="0" w:evenHBand="1" w:firstRowFirstColumn="0" w:firstRowLastColumn="0" w:lastRowFirstColumn="0" w:lastRowLastColumn="0"/>
              <w:rPr>
                <w:rFonts w:cs="Arial"/>
                <w:szCs w:val="18"/>
              </w:rPr>
            </w:pPr>
            <w:r w:rsidRPr="00EC12BF">
              <w:rPr>
                <w:rFonts w:cs="Arial"/>
                <w:szCs w:val="18"/>
              </w:rPr>
              <w:t>–</w:t>
            </w:r>
          </w:p>
        </w:tc>
      </w:tr>
    </w:tbl>
    <w:p w14:paraId="4C8E57D6" w14:textId="2B2938D8" w:rsidR="00776154" w:rsidRPr="001C24DD" w:rsidRDefault="00776154" w:rsidP="00776154">
      <w:pPr>
        <w:rPr>
          <w:i/>
          <w:sz w:val="18"/>
          <w:szCs w:val="18"/>
        </w:rPr>
      </w:pPr>
      <w:r w:rsidRPr="001C24DD">
        <w:rPr>
          <w:i/>
          <w:sz w:val="18"/>
          <w:szCs w:val="18"/>
        </w:rPr>
        <w:t xml:space="preserve">* Codex </w:t>
      </w:r>
      <w:r w:rsidR="00D30D58" w:rsidRPr="001C24DD">
        <w:rPr>
          <w:i/>
          <w:sz w:val="18"/>
          <w:szCs w:val="18"/>
        </w:rPr>
        <w:t xml:space="preserve">STAN </w:t>
      </w:r>
      <w:r w:rsidRPr="001C24DD">
        <w:rPr>
          <w:i/>
          <w:sz w:val="18"/>
          <w:szCs w:val="18"/>
        </w:rPr>
        <w:t xml:space="preserve">72-1981 prescribes a maximum of </w:t>
      </w:r>
      <w:r w:rsidRPr="001C24DD">
        <w:rPr>
          <w:rFonts w:cs="Arial"/>
          <w:i/>
          <w:sz w:val="18"/>
          <w:szCs w:val="18"/>
        </w:rPr>
        <w:t>72 mg/100</w:t>
      </w:r>
      <w:r w:rsidR="00D30D58" w:rsidRPr="001C24DD">
        <w:rPr>
          <w:rFonts w:cs="Arial"/>
          <w:i/>
          <w:sz w:val="18"/>
          <w:szCs w:val="18"/>
        </w:rPr>
        <w:t xml:space="preserve"> </w:t>
      </w:r>
      <w:r w:rsidRPr="001C24DD">
        <w:rPr>
          <w:rFonts w:cs="Arial"/>
          <w:i/>
          <w:sz w:val="18"/>
          <w:szCs w:val="18"/>
        </w:rPr>
        <w:t>kJ, which is equivalent to 2</w:t>
      </w:r>
      <w:r w:rsidR="00D30D58" w:rsidRPr="001C24DD">
        <w:rPr>
          <w:rFonts w:cs="Arial"/>
          <w:i/>
          <w:sz w:val="18"/>
          <w:szCs w:val="18"/>
        </w:rPr>
        <w:t xml:space="preserve"> </w:t>
      </w:r>
      <w:r w:rsidRPr="001C24DD">
        <w:rPr>
          <w:rFonts w:cs="Arial"/>
          <w:i/>
          <w:sz w:val="18"/>
          <w:szCs w:val="18"/>
        </w:rPr>
        <w:t>g/L</w:t>
      </w:r>
    </w:p>
    <w:p w14:paraId="0BCC9160" w14:textId="54942624" w:rsidR="00776154" w:rsidRDefault="00385AF6" w:rsidP="00C73A77">
      <w:pPr>
        <w:pStyle w:val="Heading3"/>
      </w:pPr>
      <w:bookmarkStart w:id="257" w:name="_Toc73455628"/>
      <w:bookmarkStart w:id="258" w:name="_Toc73624901"/>
      <w:r>
        <w:lastRenderedPageBreak/>
        <w:t>5</w:t>
      </w:r>
      <w:r w:rsidR="00776154">
        <w:t>.6.1</w:t>
      </w:r>
      <w:r w:rsidR="00776154">
        <w:tab/>
      </w:r>
      <w:r w:rsidR="00776154" w:rsidRPr="00055C07">
        <w:t>Medium chain triglycerides</w:t>
      </w:r>
      <w:bookmarkEnd w:id="257"/>
      <w:bookmarkEnd w:id="258"/>
    </w:p>
    <w:p w14:paraId="41F1C12E" w14:textId="11B5EC78" w:rsidR="00776154" w:rsidRDefault="00776154" w:rsidP="00776154">
      <w:pPr>
        <w:pStyle w:val="Heading4"/>
        <w:rPr>
          <w:lang w:eastAsia="en-AU"/>
        </w:rPr>
      </w:pPr>
      <w:r>
        <w:rPr>
          <w:lang w:eastAsia="en-AU"/>
        </w:rPr>
        <w:t>Current regulation</w:t>
      </w:r>
      <w:r w:rsidR="007A6CD5">
        <w:rPr>
          <w:lang w:eastAsia="en-AU"/>
        </w:rPr>
        <w:t>s</w:t>
      </w:r>
    </w:p>
    <w:p w14:paraId="728CC91D" w14:textId="6E0A2B36" w:rsidR="00776154" w:rsidRPr="0081429D" w:rsidRDefault="00A12AAA" w:rsidP="00776154">
      <w:r>
        <w:t>M</w:t>
      </w:r>
      <w:r w:rsidR="00776154" w:rsidRPr="00512291">
        <w:t>edium ch</w:t>
      </w:r>
      <w:r>
        <w:t>ain triglycerides (MCT) contain</w:t>
      </w:r>
      <w:r w:rsidR="00776154" w:rsidRPr="00512291">
        <w:t xml:space="preserve"> fatty acids of 6–12 carbon chains which include caprylic (C:8) and capric (C:10) acids. They occur naturally in many foods including dairy products, coconut and palm oils. </w:t>
      </w:r>
      <w:r w:rsidR="009748A5">
        <w:t xml:space="preserve">Standard 2.9.11 permits </w:t>
      </w:r>
      <w:r w:rsidR="00776154">
        <w:t>M</w:t>
      </w:r>
      <w:r w:rsidR="00776154" w:rsidRPr="0081429D">
        <w:t>CT</w:t>
      </w:r>
      <w:r w:rsidR="00B07714">
        <w:t xml:space="preserve"> </w:t>
      </w:r>
      <w:r w:rsidR="00776154" w:rsidRPr="0081429D">
        <w:t xml:space="preserve">to be present only </w:t>
      </w:r>
      <w:r w:rsidR="00B07714">
        <w:t>as a</w:t>
      </w:r>
      <w:r w:rsidR="00776154">
        <w:t xml:space="preserve"> </w:t>
      </w:r>
      <w:r w:rsidR="00776154" w:rsidRPr="0081429D">
        <w:t xml:space="preserve">natural constituent of a milk-based ingredient of that formula; or </w:t>
      </w:r>
      <w:r w:rsidR="00D30D58">
        <w:t>as</w:t>
      </w:r>
      <w:r w:rsidR="00776154">
        <w:t xml:space="preserve"> a component of a </w:t>
      </w:r>
      <w:r w:rsidR="00776154" w:rsidRPr="0081429D">
        <w:t>processing aid in the preparation of</w:t>
      </w:r>
      <w:r w:rsidR="00776154">
        <w:t xml:space="preserve"> a</w:t>
      </w:r>
      <w:r w:rsidR="00776154" w:rsidRPr="0081429D">
        <w:t xml:space="preserve"> permitted fat</w:t>
      </w:r>
      <w:r w:rsidR="00D30D58">
        <w:t>-</w:t>
      </w:r>
      <w:r w:rsidR="00776154" w:rsidRPr="0081429D">
        <w:t>soluble vitamin.</w:t>
      </w:r>
      <w:r w:rsidR="00776154">
        <w:t xml:space="preserve"> </w:t>
      </w:r>
      <w:r w:rsidR="00776154" w:rsidRPr="009E531B">
        <w:rPr>
          <w:lang w:val="en-AU" w:eastAsia="en-AU" w:bidi="ar-SA"/>
        </w:rPr>
        <w:t>Codex STAN 72-1981</w:t>
      </w:r>
      <w:r w:rsidR="00776154">
        <w:rPr>
          <w:lang w:val="en-AU" w:eastAsia="en-AU" w:bidi="ar-SA"/>
        </w:rPr>
        <w:t xml:space="preserve"> and </w:t>
      </w:r>
      <w:r w:rsidR="00D30D58">
        <w:rPr>
          <w:lang w:val="en-AU" w:eastAsia="en-AU" w:bidi="ar-SA"/>
        </w:rPr>
        <w:t>EU 2016/127</w:t>
      </w:r>
      <w:r w:rsidR="009748A5">
        <w:rPr>
          <w:lang w:val="en-AU" w:eastAsia="en-AU" w:bidi="ar-SA"/>
        </w:rPr>
        <w:t xml:space="preserve"> </w:t>
      </w:r>
      <w:r w:rsidR="00776154">
        <w:rPr>
          <w:lang w:val="en-AU" w:eastAsia="en-AU" w:bidi="ar-SA"/>
        </w:rPr>
        <w:t>do</w:t>
      </w:r>
      <w:r w:rsidR="00776154" w:rsidRPr="009E531B">
        <w:rPr>
          <w:lang w:val="en-AU" w:eastAsia="en-AU" w:bidi="ar-SA"/>
        </w:rPr>
        <w:t xml:space="preserve"> not include</w:t>
      </w:r>
      <w:r w:rsidR="00776154">
        <w:rPr>
          <w:lang w:val="en-AU" w:eastAsia="en-AU" w:bidi="ar-SA"/>
        </w:rPr>
        <w:t xml:space="preserve"> any statement about MCT</w:t>
      </w:r>
      <w:r w:rsidR="00776154" w:rsidRPr="009E531B">
        <w:rPr>
          <w:lang w:val="en-AU" w:eastAsia="en-AU" w:bidi="ar-SA"/>
        </w:rPr>
        <w:t>.</w:t>
      </w:r>
    </w:p>
    <w:p w14:paraId="1E0C61B6" w14:textId="77777777" w:rsidR="00776154" w:rsidRDefault="00776154" w:rsidP="00776154">
      <w:pPr>
        <w:pStyle w:val="Heading4"/>
        <w:rPr>
          <w:lang w:eastAsia="en-AU"/>
        </w:rPr>
      </w:pPr>
      <w:r>
        <w:rPr>
          <w:lang w:eastAsia="en-AU"/>
        </w:rPr>
        <w:t>Previous consideration</w:t>
      </w:r>
    </w:p>
    <w:p w14:paraId="5C0D467A" w14:textId="30AB5FAB" w:rsidR="00776154" w:rsidRPr="009A1969" w:rsidRDefault="00776154" w:rsidP="00776154">
      <w:pPr>
        <w:rPr>
          <w:lang w:val="en-AU" w:eastAsia="en-AU" w:bidi="ar-SA"/>
        </w:rPr>
      </w:pPr>
      <w:r>
        <w:rPr>
          <w:lang w:val="en-AU" w:eastAsia="en-AU" w:bidi="ar-SA"/>
        </w:rPr>
        <w:t>In 2016 FSANZ considered that</w:t>
      </w:r>
      <w:r w:rsidRPr="009A1969">
        <w:rPr>
          <w:lang w:val="en-AU" w:eastAsia="en-AU" w:bidi="ar-SA"/>
        </w:rPr>
        <w:t xml:space="preserve"> the current limitations on MCTs in Standard 2.9.1 remain appropriate as they do not pose a risk to infants and there is no apparent benefit from permitting MCTs in infant formula. Stakeholder feedback </w:t>
      </w:r>
      <w:r>
        <w:rPr>
          <w:lang w:val="en-AU" w:eastAsia="en-AU" w:bidi="ar-SA"/>
        </w:rPr>
        <w:t xml:space="preserve">was requested </w:t>
      </w:r>
      <w:r w:rsidRPr="009A1969">
        <w:rPr>
          <w:lang w:val="en-AU" w:eastAsia="en-AU" w:bidi="ar-SA"/>
        </w:rPr>
        <w:t>to inform the future assessment.</w:t>
      </w:r>
    </w:p>
    <w:p w14:paraId="04559B7A" w14:textId="05373F68" w:rsidR="00776154" w:rsidRDefault="00EA5E74" w:rsidP="00776154">
      <w:pPr>
        <w:pStyle w:val="Heading4"/>
        <w:ind w:left="0" w:firstLine="0"/>
        <w:rPr>
          <w:lang w:eastAsia="en-AU"/>
        </w:rPr>
      </w:pPr>
      <w:r>
        <w:rPr>
          <w:lang w:eastAsia="en-AU"/>
        </w:rPr>
        <w:t>Stakeholder views</w:t>
      </w:r>
    </w:p>
    <w:p w14:paraId="633A5309" w14:textId="7A71905E" w:rsidR="00776154" w:rsidRDefault="00776154" w:rsidP="00776154">
      <w:pPr>
        <w:rPr>
          <w:lang w:val="en-AU" w:eastAsia="en-AU" w:bidi="ar-SA"/>
        </w:rPr>
      </w:pPr>
      <w:r>
        <w:rPr>
          <w:lang w:val="en-AU" w:eastAsia="en-AU" w:bidi="ar-SA"/>
        </w:rPr>
        <w:t>Six submitters (</w:t>
      </w:r>
      <w:r w:rsidR="00151044">
        <w:rPr>
          <w:lang w:val="en-AU" w:eastAsia="en-AU" w:bidi="ar-SA"/>
        </w:rPr>
        <w:t>three</w:t>
      </w:r>
      <w:r>
        <w:rPr>
          <w:lang w:val="en-AU" w:eastAsia="en-AU" w:bidi="ar-SA"/>
        </w:rPr>
        <w:t xml:space="preserve"> government,</w:t>
      </w:r>
      <w:r w:rsidRPr="00A44248">
        <w:rPr>
          <w:lang w:val="en-AU" w:eastAsia="en-AU" w:bidi="ar-SA"/>
        </w:rPr>
        <w:t xml:space="preserve"> </w:t>
      </w:r>
      <w:r w:rsidR="00151044">
        <w:rPr>
          <w:lang w:val="en-AU" w:eastAsia="en-AU" w:bidi="ar-SA"/>
        </w:rPr>
        <w:t>three</w:t>
      </w:r>
      <w:r w:rsidRPr="00A44248">
        <w:rPr>
          <w:lang w:val="en-AU" w:eastAsia="en-AU" w:bidi="ar-SA"/>
        </w:rPr>
        <w:t xml:space="preserve"> industry) commented on </w:t>
      </w:r>
      <w:r>
        <w:rPr>
          <w:lang w:val="en-AU" w:eastAsia="en-AU" w:bidi="ar-SA"/>
        </w:rPr>
        <w:t xml:space="preserve">the restriction on MCT, with government submitters supporting the existing restriction or </w:t>
      </w:r>
      <w:r w:rsidR="00151044">
        <w:rPr>
          <w:lang w:val="en-AU" w:eastAsia="en-AU" w:bidi="ar-SA"/>
        </w:rPr>
        <w:t xml:space="preserve">recommending </w:t>
      </w:r>
      <w:r>
        <w:rPr>
          <w:lang w:val="en-AU" w:eastAsia="en-AU" w:bidi="ar-SA"/>
        </w:rPr>
        <w:t xml:space="preserve">additional assessment be undertaken. Industry submitters </w:t>
      </w:r>
      <w:r w:rsidRPr="00365E01">
        <w:rPr>
          <w:lang w:val="en-AU" w:eastAsia="en-AU" w:bidi="ar-SA"/>
        </w:rPr>
        <w:t>s</w:t>
      </w:r>
      <w:r>
        <w:rPr>
          <w:lang w:val="en-AU" w:eastAsia="en-AU" w:bidi="ar-SA"/>
        </w:rPr>
        <w:t>upported re</w:t>
      </w:r>
      <w:r w:rsidRPr="00365E01">
        <w:rPr>
          <w:lang w:val="en-AU" w:eastAsia="en-AU" w:bidi="ar-SA"/>
        </w:rPr>
        <w:t xml:space="preserve">moval of </w:t>
      </w:r>
      <w:r>
        <w:rPr>
          <w:lang w:val="en-AU" w:eastAsia="en-AU" w:bidi="ar-SA"/>
        </w:rPr>
        <w:t xml:space="preserve">existing </w:t>
      </w:r>
      <w:r w:rsidRPr="00365E01">
        <w:rPr>
          <w:lang w:val="en-AU" w:eastAsia="en-AU" w:bidi="ar-SA"/>
        </w:rPr>
        <w:t>restriction</w:t>
      </w:r>
      <w:r>
        <w:rPr>
          <w:lang w:val="en-AU" w:eastAsia="en-AU" w:bidi="ar-SA"/>
        </w:rPr>
        <w:t>s on MCT</w:t>
      </w:r>
      <w:r w:rsidRPr="00365E01">
        <w:rPr>
          <w:lang w:val="en-AU" w:eastAsia="en-AU" w:bidi="ar-SA"/>
        </w:rPr>
        <w:t xml:space="preserve"> </w:t>
      </w:r>
      <w:r>
        <w:rPr>
          <w:lang w:val="en-AU" w:eastAsia="en-AU" w:bidi="ar-SA"/>
        </w:rPr>
        <w:t xml:space="preserve">to </w:t>
      </w:r>
      <w:r w:rsidRPr="00365E01">
        <w:rPr>
          <w:lang w:val="en-AU" w:eastAsia="en-AU" w:bidi="ar-SA"/>
        </w:rPr>
        <w:t>align with Codex</w:t>
      </w:r>
      <w:r>
        <w:rPr>
          <w:lang w:val="en-AU" w:eastAsia="en-AU" w:bidi="ar-SA"/>
        </w:rPr>
        <w:t xml:space="preserve"> STAN 72-1981 and</w:t>
      </w:r>
      <w:r w:rsidRPr="00365E01">
        <w:rPr>
          <w:lang w:val="en-AU" w:eastAsia="en-AU" w:bidi="ar-SA"/>
        </w:rPr>
        <w:t xml:space="preserve"> allow greater choice of fat sources</w:t>
      </w:r>
      <w:r>
        <w:rPr>
          <w:lang w:val="en-AU" w:eastAsia="en-AU" w:bidi="ar-SA"/>
        </w:rPr>
        <w:t xml:space="preserve"> to be used.</w:t>
      </w:r>
    </w:p>
    <w:p w14:paraId="4F90778E" w14:textId="7BE6EF6C" w:rsidR="00776154" w:rsidRPr="00E55D30" w:rsidRDefault="00151044" w:rsidP="00776154">
      <w:pPr>
        <w:pStyle w:val="Heading4"/>
        <w:rPr>
          <w:lang w:eastAsia="en-AU"/>
        </w:rPr>
      </w:pPr>
      <w:r>
        <w:rPr>
          <w:lang w:eastAsia="en-AU"/>
        </w:rPr>
        <w:t>Nutrition r</w:t>
      </w:r>
      <w:r w:rsidR="00776154">
        <w:rPr>
          <w:lang w:eastAsia="en-AU"/>
        </w:rPr>
        <w:t>isk assessment</w:t>
      </w:r>
    </w:p>
    <w:p w14:paraId="74476304" w14:textId="2E995911" w:rsidR="00776154" w:rsidRDefault="00776154" w:rsidP="00776154">
      <w:pPr>
        <w:rPr>
          <w:lang w:val="en-AU" w:eastAsia="en-AU" w:bidi="ar-SA"/>
        </w:rPr>
      </w:pPr>
      <w:r>
        <w:rPr>
          <w:lang w:val="en-AU" w:eastAsia="en-AU" w:bidi="ar-SA"/>
        </w:rPr>
        <w:t>No further</w:t>
      </w:r>
      <w:r w:rsidR="00151044">
        <w:rPr>
          <w:lang w:val="en-AU" w:eastAsia="en-AU" w:bidi="ar-SA"/>
        </w:rPr>
        <w:t xml:space="preserve"> nutrition</w:t>
      </w:r>
      <w:r>
        <w:rPr>
          <w:lang w:val="en-AU" w:eastAsia="en-AU" w:bidi="ar-SA"/>
        </w:rPr>
        <w:t xml:space="preserve"> risk assessment has been considered on this issue. </w:t>
      </w:r>
    </w:p>
    <w:p w14:paraId="2213EF2B" w14:textId="2B11B5B4" w:rsidR="000A1C3A" w:rsidRDefault="00776154" w:rsidP="00DD1431">
      <w:pPr>
        <w:pStyle w:val="Heading4"/>
        <w:rPr>
          <w:lang w:eastAsia="en-AU"/>
        </w:rPr>
      </w:pPr>
      <w:r>
        <w:rPr>
          <w:lang w:eastAsia="en-AU"/>
        </w:rPr>
        <w:t>Options and discussion</w:t>
      </w:r>
    </w:p>
    <w:p w14:paraId="1CC77566" w14:textId="50B58F16" w:rsidR="000A1C3A" w:rsidRDefault="000A1C3A" w:rsidP="000A1C3A">
      <w:pPr>
        <w:tabs>
          <w:tab w:val="left" w:pos="851"/>
        </w:tabs>
      </w:pPr>
      <w:r>
        <w:rPr>
          <w:rFonts w:eastAsia="Arial Unicode MS"/>
          <w:szCs w:val="22"/>
          <w:lang w:val="en-AU" w:bidi="ar-SA"/>
        </w:rPr>
        <w:t xml:space="preserve">The original prohibition on MCTs in Standard 2.9.1 was based on potential safety concerns. </w:t>
      </w:r>
      <w:r w:rsidRPr="006D24A4">
        <w:rPr>
          <w:rFonts w:eastAsia="Arial Unicode MS"/>
          <w:szCs w:val="22"/>
          <w:lang w:val="en-AU" w:bidi="ar-SA"/>
        </w:rPr>
        <w:t xml:space="preserve">This prohibition </w:t>
      </w:r>
      <w:r>
        <w:rPr>
          <w:rFonts w:eastAsia="Arial Unicode MS"/>
          <w:szCs w:val="22"/>
          <w:lang w:val="en-AU" w:bidi="ar-SA"/>
        </w:rPr>
        <w:t xml:space="preserve">was retained by FSANZ in </w:t>
      </w:r>
      <w:hyperlink r:id="rId34" w:history="1">
        <w:r w:rsidRPr="00A01728">
          <w:rPr>
            <w:rStyle w:val="Hyperlink"/>
            <w:rFonts w:eastAsia="Arial Unicode MS"/>
            <w:szCs w:val="22"/>
            <w:lang w:val="en-AU" w:bidi="ar-SA"/>
          </w:rPr>
          <w:t xml:space="preserve">Application A563 </w:t>
        </w:r>
        <w:r>
          <w:rPr>
            <w:rStyle w:val="Hyperlink"/>
            <w:rFonts w:eastAsia="Arial Unicode MS"/>
            <w:szCs w:val="22"/>
            <w:lang w:val="en-AU" w:bidi="ar-SA"/>
          </w:rPr>
          <w:t>–</w:t>
        </w:r>
        <w:r w:rsidRPr="00A01728">
          <w:rPr>
            <w:rStyle w:val="Hyperlink"/>
            <w:rFonts w:eastAsia="Arial Unicode MS"/>
            <w:szCs w:val="22"/>
            <w:lang w:val="en-AU" w:bidi="ar-SA"/>
          </w:rPr>
          <w:t xml:space="preserve"> Medium Chain Triglycerides in </w:t>
        </w:r>
        <w:r>
          <w:rPr>
            <w:rStyle w:val="Hyperlink"/>
            <w:rFonts w:eastAsia="Arial Unicode MS"/>
            <w:szCs w:val="22"/>
            <w:lang w:val="en-AU" w:bidi="ar-SA"/>
          </w:rPr>
          <w:t>I</w:t>
        </w:r>
        <w:r w:rsidRPr="00A01728">
          <w:rPr>
            <w:rStyle w:val="Hyperlink"/>
            <w:rFonts w:eastAsia="Arial Unicode MS"/>
            <w:szCs w:val="22"/>
            <w:lang w:val="en-AU" w:bidi="ar-SA"/>
          </w:rPr>
          <w:t xml:space="preserve">nfant </w:t>
        </w:r>
        <w:r>
          <w:rPr>
            <w:rStyle w:val="Hyperlink"/>
            <w:rFonts w:eastAsia="Arial Unicode MS"/>
            <w:szCs w:val="22"/>
            <w:lang w:val="en-AU" w:bidi="ar-SA"/>
          </w:rPr>
          <w:t>F</w:t>
        </w:r>
        <w:r w:rsidRPr="00A01728">
          <w:rPr>
            <w:rStyle w:val="Hyperlink"/>
            <w:rFonts w:eastAsia="Arial Unicode MS"/>
            <w:szCs w:val="22"/>
            <w:lang w:val="en-AU" w:bidi="ar-SA"/>
          </w:rPr>
          <w:t>ormula</w:t>
        </w:r>
      </w:hyperlink>
      <w:r w:rsidR="00E27161">
        <w:rPr>
          <w:rStyle w:val="Hyperlink"/>
          <w:rFonts w:eastAsia="Arial Unicode MS"/>
          <w:szCs w:val="22"/>
          <w:lang w:val="en-AU" w:bidi="ar-SA"/>
        </w:rPr>
        <w:t xml:space="preserve"> </w:t>
      </w:r>
      <w:r w:rsidR="00E27161" w:rsidRPr="00E27161">
        <w:t>(FSANZ 2006)</w:t>
      </w:r>
      <w:r>
        <w:rPr>
          <w:rFonts w:eastAsia="Arial Unicode MS"/>
          <w:szCs w:val="22"/>
          <w:lang w:val="en-AU" w:bidi="ar-SA"/>
        </w:rPr>
        <w:t>.</w:t>
      </w:r>
      <w:r>
        <w:t xml:space="preserve"> </w:t>
      </w:r>
      <w:r w:rsidR="008B1ED5">
        <w:t xml:space="preserve">The prohibition of MCTs in </w:t>
      </w:r>
      <w:r>
        <w:rPr>
          <w:lang w:val="en-AU"/>
        </w:rPr>
        <w:t>Standard 2.9.1</w:t>
      </w:r>
      <w:r w:rsidR="008B1ED5">
        <w:rPr>
          <w:lang w:val="en-AU"/>
        </w:rPr>
        <w:t xml:space="preserve"> was retained </w:t>
      </w:r>
      <w:r>
        <w:rPr>
          <w:lang w:val="en-AU"/>
        </w:rPr>
        <w:t xml:space="preserve"> </w:t>
      </w:r>
      <w:r w:rsidR="00E27161">
        <w:rPr>
          <w:lang w:val="en-AU"/>
        </w:rPr>
        <w:t>on the basis that (1) MCT</w:t>
      </w:r>
      <w:r>
        <w:rPr>
          <w:lang w:val="en-AU"/>
        </w:rPr>
        <w:t xml:space="preserve"> fats are not normally present in significant amounts in breast milk; (2) the long term effects of infants consuming a relatively high amount of saturated fats are unknown; and (3) there is no convincing evidence that the inclusion of MCTs in infant formula has any benefit to infant health (ANZFA 1999</w:t>
      </w:r>
      <w:r w:rsidR="005F7906">
        <w:rPr>
          <w:lang w:val="en-AU"/>
        </w:rPr>
        <w:t>a</w:t>
      </w:r>
      <w:r w:rsidR="00BF175F">
        <w:rPr>
          <w:lang w:val="en-AU"/>
        </w:rPr>
        <w:t>; LSRO 1998</w:t>
      </w:r>
      <w:r>
        <w:rPr>
          <w:lang w:val="en-AU"/>
        </w:rPr>
        <w:t xml:space="preserve">). </w:t>
      </w:r>
      <w:r>
        <w:t>More recently, the EC SCF (2003) noted that there was no nutritional need to add MCTs to infant formula</w:t>
      </w:r>
      <w:r w:rsidR="00E27161">
        <w:t xml:space="preserve"> on the basis of similar argumen</w:t>
      </w:r>
      <w:r>
        <w:t>ts and, accordingly, Codex STAN 72-1981 does not specify anything about MCTs. EFSA (2014</w:t>
      </w:r>
      <w:r w:rsidR="00056097">
        <w:t>b</w:t>
      </w:r>
      <w:r>
        <w:t>) reiterated this conclusion.</w:t>
      </w:r>
    </w:p>
    <w:p w14:paraId="653B9C08" w14:textId="77777777" w:rsidR="000A1C3A" w:rsidRDefault="000A1C3A" w:rsidP="000A1C3A">
      <w:pPr>
        <w:tabs>
          <w:tab w:val="left" w:pos="851"/>
        </w:tabs>
      </w:pPr>
    </w:p>
    <w:p w14:paraId="6530015A" w14:textId="63C0BB25" w:rsidR="000A1C3A" w:rsidRDefault="00F978AB" w:rsidP="000A1C3A">
      <w:pPr>
        <w:tabs>
          <w:tab w:val="left" w:pos="851"/>
        </w:tabs>
        <w:rPr>
          <w:lang w:val="en-AU" w:eastAsia="en-AU" w:bidi="ar-SA"/>
        </w:rPr>
      </w:pPr>
      <w:r>
        <w:rPr>
          <w:lang w:val="en-AU" w:eastAsia="en-AU" w:bidi="ar-SA"/>
        </w:rPr>
        <w:t>Industry s</w:t>
      </w:r>
      <w:r w:rsidR="000A1C3A">
        <w:rPr>
          <w:lang w:val="en-AU" w:eastAsia="en-AU" w:bidi="ar-SA"/>
        </w:rPr>
        <w:t xml:space="preserve">ubmitters supported </w:t>
      </w:r>
      <w:r>
        <w:rPr>
          <w:lang w:val="en-AU" w:eastAsia="en-AU" w:bidi="ar-SA"/>
        </w:rPr>
        <w:t xml:space="preserve">removal of the current MCT restrictions based on alignment with </w:t>
      </w:r>
      <w:r w:rsidRPr="00365E01">
        <w:rPr>
          <w:lang w:val="en-AU" w:eastAsia="en-AU" w:bidi="ar-SA"/>
        </w:rPr>
        <w:t>Codex</w:t>
      </w:r>
      <w:r>
        <w:rPr>
          <w:lang w:val="en-AU" w:eastAsia="en-AU" w:bidi="ar-SA"/>
        </w:rPr>
        <w:t xml:space="preserve"> STAN 72-1981, </w:t>
      </w:r>
      <w:r w:rsidR="006C3B69">
        <w:rPr>
          <w:lang w:val="en-AU" w:eastAsia="en-AU" w:bidi="ar-SA"/>
        </w:rPr>
        <w:t xml:space="preserve">permission of a </w:t>
      </w:r>
      <w:r>
        <w:rPr>
          <w:lang w:val="en-AU" w:eastAsia="en-AU" w:bidi="ar-SA"/>
        </w:rPr>
        <w:t xml:space="preserve">greater choice of fat sources </w:t>
      </w:r>
      <w:r w:rsidR="006C3B69">
        <w:rPr>
          <w:lang w:val="en-AU" w:eastAsia="en-AU" w:bidi="ar-SA"/>
        </w:rPr>
        <w:t xml:space="preserve">that can </w:t>
      </w:r>
      <w:r>
        <w:rPr>
          <w:lang w:val="en-AU" w:eastAsia="en-AU" w:bidi="ar-SA"/>
        </w:rPr>
        <w:t xml:space="preserve">be used and that </w:t>
      </w:r>
      <w:r w:rsidR="003E6531">
        <w:rPr>
          <w:lang w:val="en-AU" w:eastAsia="en-AU" w:bidi="ar-SA"/>
        </w:rPr>
        <w:t xml:space="preserve">considering that </w:t>
      </w:r>
      <w:r>
        <w:rPr>
          <w:lang w:val="en-AU" w:eastAsia="en-AU" w:bidi="ar-SA"/>
        </w:rPr>
        <w:t xml:space="preserve">MCTs are </w:t>
      </w:r>
      <w:r w:rsidR="003E6531">
        <w:rPr>
          <w:lang w:val="en-AU" w:eastAsia="en-AU" w:bidi="ar-SA"/>
        </w:rPr>
        <w:t xml:space="preserve">permitted for </w:t>
      </w:r>
      <w:r>
        <w:rPr>
          <w:lang w:val="en-AU" w:eastAsia="en-AU" w:bidi="ar-SA"/>
        </w:rPr>
        <w:t>IFPSDU</w:t>
      </w:r>
      <w:r w:rsidR="00330C3C">
        <w:rPr>
          <w:lang w:val="en-AU" w:eastAsia="en-AU" w:bidi="ar-SA"/>
        </w:rPr>
        <w:t xml:space="preserve"> (</w:t>
      </w:r>
      <w:r w:rsidR="003E6531">
        <w:rPr>
          <w:lang w:val="en-AU" w:eastAsia="en-AU" w:bidi="ar-SA"/>
        </w:rPr>
        <w:t>products based on protein substitutes only)</w:t>
      </w:r>
      <w:r>
        <w:rPr>
          <w:lang w:val="en-AU" w:eastAsia="en-AU" w:bidi="ar-SA"/>
        </w:rPr>
        <w:t xml:space="preserve">. </w:t>
      </w:r>
    </w:p>
    <w:p w14:paraId="30C32B1D" w14:textId="1525196D" w:rsidR="00DB3F5B" w:rsidRDefault="00DB3F5B" w:rsidP="000A1C3A">
      <w:pPr>
        <w:tabs>
          <w:tab w:val="left" w:pos="851"/>
        </w:tabs>
        <w:rPr>
          <w:lang w:val="en-AU" w:eastAsia="en-AU" w:bidi="ar-SA"/>
        </w:rPr>
      </w:pPr>
    </w:p>
    <w:p w14:paraId="0B24CBB6" w14:textId="6DA27403" w:rsidR="000A1C3A" w:rsidRPr="00DD1431" w:rsidRDefault="003E6531" w:rsidP="00DD1431">
      <w:pPr>
        <w:tabs>
          <w:tab w:val="left" w:pos="851"/>
        </w:tabs>
        <w:rPr>
          <w:rFonts w:cs="Arial"/>
        </w:rPr>
      </w:pPr>
      <w:r>
        <w:rPr>
          <w:lang w:val="en-AU" w:eastAsia="en-AU" w:bidi="ar-SA"/>
        </w:rPr>
        <w:t xml:space="preserve">However, </w:t>
      </w:r>
      <w:r w:rsidR="00DB3F5B">
        <w:rPr>
          <w:lang w:val="en-AU" w:eastAsia="en-AU" w:bidi="ar-SA"/>
        </w:rPr>
        <w:t>MCTs are used in specific IFPSDU as the addition</w:t>
      </w:r>
      <w:r w:rsidR="00DD1431">
        <w:rPr>
          <w:lang w:val="en-AU" w:eastAsia="en-AU" w:bidi="ar-SA"/>
        </w:rPr>
        <w:t xml:space="preserve"> has</w:t>
      </w:r>
      <w:r w:rsidR="00DB3F5B">
        <w:rPr>
          <w:lang w:val="en-AU" w:eastAsia="en-AU" w:bidi="ar-SA"/>
        </w:rPr>
        <w:t xml:space="preserve"> shown to be beneficial for some infants with severe fat malabsorption (</w:t>
      </w:r>
      <w:r w:rsidR="00DB3F5B" w:rsidRPr="00DB3F5B">
        <w:rPr>
          <w:lang w:val="en-AU" w:eastAsia="en-AU" w:bidi="ar-SA"/>
        </w:rPr>
        <w:t>Delplanque</w:t>
      </w:r>
      <w:r w:rsidR="00C63EE2">
        <w:rPr>
          <w:lang w:val="en-AU" w:eastAsia="en-AU" w:bidi="ar-SA"/>
        </w:rPr>
        <w:t xml:space="preserve"> et al.</w:t>
      </w:r>
      <w:r w:rsidR="00DB3F5B" w:rsidRPr="00DB3F5B">
        <w:rPr>
          <w:lang w:val="en-AU" w:eastAsia="en-AU" w:bidi="ar-SA"/>
        </w:rPr>
        <w:t xml:space="preserve"> 2015)</w:t>
      </w:r>
      <w:r w:rsidR="00DB3F5B">
        <w:rPr>
          <w:lang w:val="en-AU" w:eastAsia="en-AU" w:bidi="ar-SA"/>
        </w:rPr>
        <w:t xml:space="preserve">. This benefit does not apply to healthy infants and therefore does not justify </w:t>
      </w:r>
      <w:r w:rsidR="00DD1431">
        <w:rPr>
          <w:lang w:val="en-AU" w:eastAsia="en-AU" w:bidi="ar-SA"/>
        </w:rPr>
        <w:t>addition</w:t>
      </w:r>
      <w:r w:rsidR="00DB3F5B">
        <w:rPr>
          <w:lang w:val="en-AU" w:eastAsia="en-AU" w:bidi="ar-SA"/>
        </w:rPr>
        <w:t xml:space="preserve"> of MCTs in infant formula.</w:t>
      </w:r>
      <w:r w:rsidR="00DD1431">
        <w:rPr>
          <w:lang w:val="en-AU" w:eastAsia="en-AU" w:bidi="ar-SA"/>
        </w:rPr>
        <w:t xml:space="preserve"> There are also some safety concerns associated with the use of MCTs for longer periods of time in infant diets, such as potential risk of </w:t>
      </w:r>
      <w:r w:rsidR="00DD1431" w:rsidRPr="00DD1431">
        <w:rPr>
          <w:rFonts w:cs="Arial"/>
        </w:rPr>
        <w:t>deficiency of necessary unsaturated fatty acids and some fat-soluble vitamins.</w:t>
      </w:r>
    </w:p>
    <w:p w14:paraId="42689BFA" w14:textId="432C4C2F" w:rsidR="00776154" w:rsidRDefault="00776154" w:rsidP="00776154">
      <w:pPr>
        <w:pStyle w:val="Heading4"/>
        <w:rPr>
          <w:lang w:eastAsia="en-AU"/>
        </w:rPr>
      </w:pPr>
      <w:r>
        <w:rPr>
          <w:lang w:eastAsia="en-AU"/>
        </w:rPr>
        <w:lastRenderedPageBreak/>
        <w:t xml:space="preserve">Proposed </w:t>
      </w:r>
      <w:r w:rsidR="00C30BAC">
        <w:rPr>
          <w:lang w:eastAsia="en-AU"/>
        </w:rPr>
        <w:t>approach</w:t>
      </w:r>
    </w:p>
    <w:p w14:paraId="4234AB6C" w14:textId="35ADDCD7" w:rsidR="00776154" w:rsidRDefault="00776154" w:rsidP="00776154">
      <w:pPr>
        <w:rPr>
          <w:lang w:val="en-AU"/>
        </w:rPr>
      </w:pPr>
      <w:r>
        <w:rPr>
          <w:lang w:val="en-AU" w:eastAsia="en-AU" w:bidi="ar-SA"/>
        </w:rPr>
        <w:t xml:space="preserve">Based </w:t>
      </w:r>
      <w:r w:rsidR="001332E7">
        <w:rPr>
          <w:lang w:val="en-AU"/>
        </w:rPr>
        <w:t xml:space="preserve">on </w:t>
      </w:r>
      <w:r w:rsidR="00781A26" w:rsidRPr="00781A26">
        <w:rPr>
          <w:lang w:val="en-AU"/>
        </w:rPr>
        <w:t>the conclusions of the 2016 nutrition risk assessment</w:t>
      </w:r>
      <w:r w:rsidR="00781A26">
        <w:rPr>
          <w:lang w:val="en-AU"/>
        </w:rPr>
        <w:t xml:space="preserve">, </w:t>
      </w:r>
      <w:r w:rsidR="00DD1431">
        <w:rPr>
          <w:lang w:val="en-AU"/>
        </w:rPr>
        <w:t xml:space="preserve">evidence that the inclusion of MCTs in infant formula </w:t>
      </w:r>
      <w:r w:rsidR="001332E7">
        <w:rPr>
          <w:lang w:val="en-AU"/>
        </w:rPr>
        <w:t xml:space="preserve">does not </w:t>
      </w:r>
      <w:r w:rsidR="00E94C9C">
        <w:rPr>
          <w:lang w:val="en-AU"/>
        </w:rPr>
        <w:t xml:space="preserve">provide </w:t>
      </w:r>
      <w:r w:rsidR="00DD1431">
        <w:rPr>
          <w:lang w:val="en-AU"/>
        </w:rPr>
        <w:t>any benefit to infant health,</w:t>
      </w:r>
      <w:r w:rsidR="00781A26">
        <w:rPr>
          <w:lang w:val="en-AU"/>
        </w:rPr>
        <w:t xml:space="preserve"> and </w:t>
      </w:r>
      <w:r w:rsidR="001332E7">
        <w:rPr>
          <w:lang w:val="en-AU"/>
        </w:rPr>
        <w:t xml:space="preserve">that </w:t>
      </w:r>
      <w:r w:rsidR="003E6531">
        <w:rPr>
          <w:lang w:val="en-AU"/>
        </w:rPr>
        <w:t xml:space="preserve">MCTs </w:t>
      </w:r>
      <w:r w:rsidR="00DD1431">
        <w:rPr>
          <w:lang w:val="en-AU"/>
        </w:rPr>
        <w:t>are not normally present in significant amounts in breast milk</w:t>
      </w:r>
      <w:r w:rsidR="003E6531">
        <w:rPr>
          <w:lang w:val="en-AU"/>
        </w:rPr>
        <w:t>,</w:t>
      </w:r>
      <w:r w:rsidR="00DD1431">
        <w:rPr>
          <w:lang w:val="en-AU"/>
        </w:rPr>
        <w:t xml:space="preserve"> </w:t>
      </w:r>
      <w:r>
        <w:rPr>
          <w:lang w:val="en-AU" w:eastAsia="en-AU" w:bidi="ar-SA"/>
        </w:rPr>
        <w:t>FSANZ proposes to retain the current restrictions on MCTs.</w:t>
      </w:r>
    </w:p>
    <w:p w14:paraId="79A133C2" w14:textId="7A907176" w:rsidR="00776154" w:rsidRDefault="00385AF6" w:rsidP="00C73A77">
      <w:pPr>
        <w:pStyle w:val="Heading3"/>
      </w:pPr>
      <w:bookmarkStart w:id="259" w:name="_Toc73455629"/>
      <w:bookmarkStart w:id="260" w:name="_Toc73624902"/>
      <w:r>
        <w:t>5</w:t>
      </w:r>
      <w:r w:rsidR="00776154">
        <w:t>.6.2</w:t>
      </w:r>
      <w:r w:rsidR="00776154">
        <w:tab/>
        <w:t>T</w:t>
      </w:r>
      <w:r w:rsidR="00776154" w:rsidRPr="009E531B">
        <w:t>rans fatty acids</w:t>
      </w:r>
      <w:bookmarkEnd w:id="259"/>
      <w:bookmarkEnd w:id="260"/>
    </w:p>
    <w:p w14:paraId="384B9E66" w14:textId="024624C6" w:rsidR="00776154" w:rsidRDefault="00776154" w:rsidP="00776154">
      <w:pPr>
        <w:pStyle w:val="Heading4"/>
        <w:rPr>
          <w:lang w:eastAsia="en-AU"/>
        </w:rPr>
      </w:pPr>
      <w:r>
        <w:rPr>
          <w:lang w:eastAsia="en-AU"/>
        </w:rPr>
        <w:t>Current regulation</w:t>
      </w:r>
      <w:r w:rsidR="007A6CD5">
        <w:rPr>
          <w:lang w:eastAsia="en-AU"/>
        </w:rPr>
        <w:t>s</w:t>
      </w:r>
      <w:r>
        <w:rPr>
          <w:lang w:eastAsia="en-AU"/>
        </w:rPr>
        <w:t xml:space="preserve"> </w:t>
      </w:r>
    </w:p>
    <w:p w14:paraId="480891E3" w14:textId="0FF06111" w:rsidR="00776154" w:rsidRDefault="00B76C50" w:rsidP="00776154">
      <w:pPr>
        <w:rPr>
          <w:lang w:val="en-AU" w:eastAsia="en-AU" w:bidi="ar-SA"/>
        </w:rPr>
      </w:pPr>
      <w:r>
        <w:rPr>
          <w:lang w:val="en-AU" w:eastAsia="en-AU" w:bidi="ar-SA"/>
        </w:rPr>
        <w:t>Section S29—8</w:t>
      </w:r>
      <w:r w:rsidR="00776154" w:rsidRPr="00DD5D8A">
        <w:rPr>
          <w:lang w:val="en-AU" w:eastAsia="en-AU" w:bidi="ar-SA"/>
        </w:rPr>
        <w:t xml:space="preserve"> restricts the total </w:t>
      </w:r>
      <w:r w:rsidR="00776154">
        <w:rPr>
          <w:lang w:val="en-AU" w:eastAsia="en-AU" w:bidi="ar-SA"/>
        </w:rPr>
        <w:t>trans fatty acids (</w:t>
      </w:r>
      <w:r w:rsidR="00776154" w:rsidRPr="00DD5D8A">
        <w:rPr>
          <w:lang w:val="en-AU" w:eastAsia="en-AU" w:bidi="ar-SA"/>
        </w:rPr>
        <w:t>TFA</w:t>
      </w:r>
      <w:r w:rsidR="00776154">
        <w:rPr>
          <w:lang w:val="en-AU" w:eastAsia="en-AU" w:bidi="ar-SA"/>
        </w:rPr>
        <w:t>)</w:t>
      </w:r>
      <w:r w:rsidR="00776154" w:rsidRPr="00DD5D8A">
        <w:rPr>
          <w:lang w:val="en-AU" w:eastAsia="en-AU" w:bidi="ar-SA"/>
        </w:rPr>
        <w:t xml:space="preserve"> content of infant formula to a maximum of 4% of the total fatty acids. Codex STAN 72-1981 states that TFA, as endogenous components of milk fat, are allowed up to 3% while the use of commercially hydrogenated oils that may contain industrial TFA</w:t>
      </w:r>
      <w:r w:rsidR="00776154">
        <w:rPr>
          <w:lang w:val="en-AU" w:eastAsia="en-AU" w:bidi="ar-SA"/>
        </w:rPr>
        <w:t xml:space="preserve"> are</w:t>
      </w:r>
      <w:r w:rsidR="00776154" w:rsidRPr="00DD5D8A">
        <w:rPr>
          <w:lang w:val="en-AU" w:eastAsia="en-AU" w:bidi="ar-SA"/>
        </w:rPr>
        <w:t xml:space="preserve"> not permitted in infant formula products.</w:t>
      </w:r>
      <w:r w:rsidR="00776154">
        <w:rPr>
          <w:lang w:val="en-AU" w:eastAsia="en-AU" w:bidi="ar-SA"/>
        </w:rPr>
        <w:t xml:space="preserve"> </w:t>
      </w:r>
      <w:r w:rsidR="001332E7">
        <w:rPr>
          <w:lang w:val="en-AU" w:eastAsia="en-AU" w:bidi="ar-SA"/>
        </w:rPr>
        <w:t>EU 2016/127</w:t>
      </w:r>
      <w:r w:rsidR="00776154">
        <w:rPr>
          <w:lang w:val="en-AU" w:eastAsia="en-AU" w:bidi="ar-SA"/>
        </w:rPr>
        <w:t xml:space="preserve"> restricts trans fatty acid content of infant formula to a maximum of 3% of the total fat content.  </w:t>
      </w:r>
    </w:p>
    <w:p w14:paraId="0BD17B59" w14:textId="77777777" w:rsidR="00776154" w:rsidRDefault="00776154" w:rsidP="00776154">
      <w:pPr>
        <w:pStyle w:val="Heading4"/>
        <w:rPr>
          <w:lang w:eastAsia="en-AU"/>
        </w:rPr>
      </w:pPr>
      <w:r>
        <w:rPr>
          <w:lang w:eastAsia="en-AU"/>
        </w:rPr>
        <w:t>Previous consideration</w:t>
      </w:r>
    </w:p>
    <w:p w14:paraId="7E75BC8D" w14:textId="77777777" w:rsidR="00776154" w:rsidRDefault="00776154" w:rsidP="00776154">
      <w:pPr>
        <w:rPr>
          <w:rFonts w:cs="Arial"/>
        </w:rPr>
      </w:pPr>
      <w:r>
        <w:rPr>
          <w:lang w:val="en-AU" w:eastAsia="en-AU" w:bidi="ar-SA"/>
        </w:rPr>
        <w:t>Regulatory definitions of TFA are not consistent around the world and therefore restrictions on their presence in food products, in general, can vary.</w:t>
      </w:r>
    </w:p>
    <w:p w14:paraId="05CF6869" w14:textId="77777777" w:rsidR="00776154" w:rsidRDefault="00776154" w:rsidP="00776154">
      <w:pPr>
        <w:rPr>
          <w:rFonts w:cs="Arial"/>
        </w:rPr>
      </w:pPr>
    </w:p>
    <w:p w14:paraId="00E528F0" w14:textId="419AD41A" w:rsidR="00776154" w:rsidRDefault="00776154" w:rsidP="00776154">
      <w:pPr>
        <w:rPr>
          <w:lang w:val="en-AU" w:eastAsia="en-AU" w:bidi="ar-SA"/>
        </w:rPr>
      </w:pPr>
      <w:r w:rsidRPr="00C917BF">
        <w:rPr>
          <w:rFonts w:cs="Arial"/>
        </w:rPr>
        <w:t xml:space="preserve">FSANZ has relied on </w:t>
      </w:r>
      <w:r>
        <w:rPr>
          <w:rFonts w:cs="Arial"/>
        </w:rPr>
        <w:t xml:space="preserve">an interpretation </w:t>
      </w:r>
      <w:r w:rsidRPr="00C917BF">
        <w:rPr>
          <w:rFonts w:cs="Arial"/>
        </w:rPr>
        <w:t>to support its view that the definition of TFA in the Code is consistent with Codex.</w:t>
      </w:r>
      <w:r>
        <w:rPr>
          <w:rFonts w:cs="Arial"/>
        </w:rPr>
        <w:t xml:space="preserve"> </w:t>
      </w:r>
      <w:r w:rsidRPr="006F1E94">
        <w:rPr>
          <w:lang w:val="en-AU" w:eastAsia="en-AU" w:bidi="ar-SA"/>
        </w:rPr>
        <w:t xml:space="preserve">TFA are defined </w:t>
      </w:r>
      <w:r>
        <w:rPr>
          <w:lang w:val="en-AU" w:eastAsia="en-AU" w:bidi="ar-SA"/>
        </w:rPr>
        <w:t xml:space="preserve">in </w:t>
      </w:r>
      <w:r>
        <w:t xml:space="preserve">Standard 1.1.2 of </w:t>
      </w:r>
      <w:r>
        <w:rPr>
          <w:lang w:val="en-AU" w:eastAsia="en-AU" w:bidi="ar-SA"/>
        </w:rPr>
        <w:t xml:space="preserve">the Code </w:t>
      </w:r>
      <w:r w:rsidRPr="006F1E94">
        <w:rPr>
          <w:lang w:val="en-AU" w:eastAsia="en-AU" w:bidi="ar-SA"/>
        </w:rPr>
        <w:t xml:space="preserve">as the total of unsaturated fatty acids where one or more of the double bonds are in the </w:t>
      </w:r>
      <w:r w:rsidRPr="006F1E94">
        <w:rPr>
          <w:i/>
          <w:iCs/>
          <w:lang w:val="en-AU" w:eastAsia="en-AU" w:bidi="ar-SA"/>
        </w:rPr>
        <w:t>trans</w:t>
      </w:r>
      <w:r w:rsidRPr="006F1E94">
        <w:rPr>
          <w:lang w:val="en-AU" w:eastAsia="en-AU" w:bidi="ar-SA"/>
        </w:rPr>
        <w:t xml:space="preserve"> configuration</w:t>
      </w:r>
      <w:r>
        <w:rPr>
          <w:lang w:val="en-AU" w:eastAsia="en-AU" w:bidi="ar-SA"/>
        </w:rPr>
        <w:t xml:space="preserve">. Codex </w:t>
      </w:r>
      <w:r w:rsidRPr="00D10272">
        <w:rPr>
          <w:lang w:val="en-AU" w:eastAsia="en-AU" w:bidi="ar-SA"/>
        </w:rPr>
        <w:t>CAC/GL 2-1985</w:t>
      </w:r>
      <w:r>
        <w:rPr>
          <w:lang w:val="en-AU" w:eastAsia="en-AU" w:bidi="ar-SA"/>
        </w:rPr>
        <w:t xml:space="preserve"> (</w:t>
      </w:r>
      <w:r w:rsidRPr="00D10272">
        <w:rPr>
          <w:lang w:val="en-AU" w:eastAsia="en-AU" w:bidi="ar-SA"/>
        </w:rPr>
        <w:t>Guidelin</w:t>
      </w:r>
      <w:r>
        <w:rPr>
          <w:lang w:val="en-AU" w:eastAsia="en-AU" w:bidi="ar-SA"/>
        </w:rPr>
        <w:t>es o</w:t>
      </w:r>
      <w:r w:rsidRPr="00D10272">
        <w:rPr>
          <w:lang w:val="en-AU" w:eastAsia="en-AU" w:bidi="ar-SA"/>
        </w:rPr>
        <w:t>n Nutrition Labelling</w:t>
      </w:r>
      <w:r>
        <w:rPr>
          <w:lang w:val="en-AU" w:eastAsia="en-AU" w:bidi="ar-SA"/>
        </w:rPr>
        <w:t>) has a similar definition for TFA as that in the Code</w:t>
      </w:r>
      <w:r w:rsidR="004A6124">
        <w:rPr>
          <w:lang w:val="en-AU" w:eastAsia="en-AU" w:bidi="ar-SA"/>
        </w:rPr>
        <w:t>, and includes</w:t>
      </w:r>
      <w:r>
        <w:rPr>
          <w:lang w:val="en-AU" w:eastAsia="en-AU" w:bidi="ar-SA"/>
        </w:rPr>
        <w:t xml:space="preserve"> </w:t>
      </w:r>
      <w:r w:rsidRPr="00D10272">
        <w:rPr>
          <w:lang w:val="en-AU" w:eastAsia="en-AU" w:bidi="ar-SA"/>
        </w:rPr>
        <w:t xml:space="preserve">all geometrical isomers of monounsaturated and polyunsaturated fatty acids having non-conjugated, interrupted by at least one methylene group, carbon-carbon double bonds in the </w:t>
      </w:r>
      <w:r w:rsidRPr="00D10272">
        <w:rPr>
          <w:i/>
          <w:iCs/>
          <w:lang w:val="en-AU" w:eastAsia="en-AU" w:bidi="ar-SA"/>
        </w:rPr>
        <w:t>trans</w:t>
      </w:r>
      <w:r w:rsidRPr="00D10272">
        <w:rPr>
          <w:lang w:val="en-AU" w:eastAsia="en-AU" w:bidi="ar-SA"/>
        </w:rPr>
        <w:t xml:space="preserve"> configuration.</w:t>
      </w:r>
    </w:p>
    <w:p w14:paraId="726039C7" w14:textId="77777777" w:rsidR="00776154" w:rsidRDefault="00776154" w:rsidP="00776154">
      <w:pPr>
        <w:rPr>
          <w:lang w:val="en-AU" w:eastAsia="en-AU" w:bidi="ar-SA"/>
        </w:rPr>
      </w:pPr>
    </w:p>
    <w:p w14:paraId="70958924" w14:textId="77777777" w:rsidR="00776154" w:rsidRDefault="00776154" w:rsidP="00776154">
      <w:pPr>
        <w:rPr>
          <w:lang w:val="en-AU" w:eastAsia="en-AU" w:bidi="ar-SA"/>
        </w:rPr>
      </w:pPr>
      <w:r>
        <w:rPr>
          <w:rFonts w:eastAsia="Arial Unicode MS"/>
          <w:szCs w:val="22"/>
          <w:lang w:val="en-AU" w:bidi="ar-SA"/>
        </w:rPr>
        <w:t xml:space="preserve">The reason for the non-zero specification in both the Code and Codex is to allow for TFA that are naturally present in the milk of ruminant animals. </w:t>
      </w:r>
      <w:r>
        <w:rPr>
          <w:lang w:val="en-AU" w:eastAsia="en-AU" w:bidi="ar-SA"/>
        </w:rPr>
        <w:t xml:space="preserve">TFA </w:t>
      </w:r>
      <w:r w:rsidRPr="001E5EE2">
        <w:rPr>
          <w:lang w:val="en-AU" w:eastAsia="en-AU" w:bidi="ar-SA"/>
        </w:rPr>
        <w:t>occur naturally in foods</w:t>
      </w:r>
      <w:r>
        <w:rPr>
          <w:lang w:val="en-AU" w:eastAsia="en-AU" w:bidi="ar-SA"/>
        </w:rPr>
        <w:t>, including milk and dairy products,</w:t>
      </w:r>
      <w:r w:rsidRPr="001E5EE2">
        <w:rPr>
          <w:lang w:val="en-AU" w:eastAsia="en-AU" w:bidi="ar-SA"/>
        </w:rPr>
        <w:t xml:space="preserve"> and can be formed or ad</w:t>
      </w:r>
      <w:r>
        <w:rPr>
          <w:lang w:val="en-AU" w:eastAsia="en-AU" w:bidi="ar-SA"/>
        </w:rPr>
        <w:t>ded to foods during manufacturing or processing.</w:t>
      </w:r>
    </w:p>
    <w:p w14:paraId="33BB2D94" w14:textId="77777777" w:rsidR="00776154" w:rsidRDefault="00776154" w:rsidP="00776154">
      <w:pPr>
        <w:rPr>
          <w:lang w:val="en-AU" w:eastAsia="en-AU" w:bidi="ar-SA"/>
        </w:rPr>
      </w:pPr>
    </w:p>
    <w:p w14:paraId="2ED05837" w14:textId="77777777" w:rsidR="00776154" w:rsidRPr="00A06BC2" w:rsidRDefault="00776154" w:rsidP="00776154">
      <w:pPr>
        <w:rPr>
          <w:lang w:val="en-AU" w:eastAsia="en-AU" w:bidi="ar-SA"/>
        </w:rPr>
      </w:pPr>
      <w:r w:rsidRPr="00A06BC2">
        <w:rPr>
          <w:lang w:val="en-AU" w:eastAsia="en-AU" w:bidi="ar-SA"/>
        </w:rPr>
        <w:t xml:space="preserve">FSANZ’s preliminary view was to either: </w:t>
      </w:r>
    </w:p>
    <w:p w14:paraId="09D4FA78" w14:textId="77777777" w:rsidR="00776154" w:rsidRPr="00A06BC2" w:rsidRDefault="00776154" w:rsidP="006557D4">
      <w:pPr>
        <w:pStyle w:val="ListParagraph"/>
        <w:numPr>
          <w:ilvl w:val="0"/>
          <w:numId w:val="10"/>
        </w:numPr>
        <w:ind w:left="567" w:hanging="567"/>
        <w:rPr>
          <w:lang w:val="en-AU" w:eastAsia="en-AU" w:bidi="ar-SA"/>
        </w:rPr>
      </w:pPr>
      <w:r w:rsidRPr="00A06BC2">
        <w:rPr>
          <w:lang w:val="en-AU" w:eastAsia="en-AU" w:bidi="ar-SA"/>
        </w:rPr>
        <w:t>maintain the restriction on the total (i.e. naturally-occurring and added) TFA at a maximum of 4% of the total fatty acids, or</w:t>
      </w:r>
    </w:p>
    <w:p w14:paraId="4A9981D2" w14:textId="77777777" w:rsidR="00776154" w:rsidRPr="00A06BC2" w:rsidRDefault="00776154" w:rsidP="006557D4">
      <w:pPr>
        <w:pStyle w:val="ListParagraph"/>
        <w:numPr>
          <w:ilvl w:val="0"/>
          <w:numId w:val="10"/>
        </w:numPr>
        <w:ind w:left="567" w:hanging="567"/>
        <w:rPr>
          <w:lang w:val="en-AU" w:eastAsia="en-AU" w:bidi="ar-SA"/>
        </w:rPr>
      </w:pPr>
      <w:r w:rsidRPr="00A06BC2">
        <w:rPr>
          <w:lang w:val="en-AU" w:eastAsia="en-AU" w:bidi="ar-SA"/>
        </w:rPr>
        <w:t>lower the maximum proportion of naturally-occurring TFA to 3% of the total fatty acids to align with Codex. This option will require further alignment with Codex by prohibiting the use of hydrogenated fats from any other source if they may contain TFA</w:t>
      </w:r>
      <w:r>
        <w:rPr>
          <w:lang w:val="en-AU" w:eastAsia="en-AU" w:bidi="ar-SA"/>
        </w:rPr>
        <w:t>.</w:t>
      </w:r>
    </w:p>
    <w:p w14:paraId="7E161FEA" w14:textId="02B5B9EA" w:rsidR="00776154" w:rsidRDefault="00D86C99" w:rsidP="00776154">
      <w:pPr>
        <w:pStyle w:val="Heading4"/>
        <w:rPr>
          <w:lang w:eastAsia="en-AU"/>
        </w:rPr>
      </w:pPr>
      <w:r>
        <w:rPr>
          <w:lang w:eastAsia="en-AU"/>
        </w:rPr>
        <w:t>Stakeholder views</w:t>
      </w:r>
    </w:p>
    <w:p w14:paraId="31D350EA" w14:textId="73DB60C8" w:rsidR="00776154" w:rsidRDefault="00D50B21" w:rsidP="00776154">
      <w:pPr>
        <w:rPr>
          <w:lang w:val="en-AU" w:eastAsia="en-AU" w:bidi="ar-SA"/>
        </w:rPr>
      </w:pPr>
      <w:r>
        <w:rPr>
          <w:lang w:val="en-AU" w:eastAsia="en-AU" w:bidi="ar-SA"/>
        </w:rPr>
        <w:t>Six submitters (</w:t>
      </w:r>
      <w:r w:rsidR="004A6124">
        <w:rPr>
          <w:lang w:val="en-AU" w:eastAsia="en-AU" w:bidi="ar-SA"/>
        </w:rPr>
        <w:t>one</w:t>
      </w:r>
      <w:r>
        <w:rPr>
          <w:lang w:val="en-AU" w:eastAsia="en-AU" w:bidi="ar-SA"/>
        </w:rPr>
        <w:t xml:space="preserve"> government, </w:t>
      </w:r>
      <w:r w:rsidR="004A6124">
        <w:rPr>
          <w:lang w:val="en-AU" w:eastAsia="en-AU" w:bidi="ar-SA"/>
        </w:rPr>
        <w:t>five</w:t>
      </w:r>
      <w:r>
        <w:rPr>
          <w:lang w:val="en-AU" w:eastAsia="en-AU" w:bidi="ar-SA"/>
        </w:rPr>
        <w:t xml:space="preserve"> industry) comment</w:t>
      </w:r>
      <w:r w:rsidR="004A6124">
        <w:rPr>
          <w:lang w:val="en-AU" w:eastAsia="en-AU" w:bidi="ar-SA"/>
        </w:rPr>
        <w:t>ed</w:t>
      </w:r>
      <w:r>
        <w:rPr>
          <w:lang w:val="en-AU" w:eastAsia="en-AU" w:bidi="ar-SA"/>
        </w:rPr>
        <w:t xml:space="preserve"> on the </w:t>
      </w:r>
      <w:r w:rsidR="00776154">
        <w:rPr>
          <w:lang w:val="en-AU" w:eastAsia="en-AU" w:bidi="ar-SA"/>
        </w:rPr>
        <w:t xml:space="preserve">issues around TFA. One </w:t>
      </w:r>
      <w:r>
        <w:rPr>
          <w:lang w:val="en-AU" w:eastAsia="en-AU" w:bidi="ar-SA"/>
        </w:rPr>
        <w:t xml:space="preserve">government </w:t>
      </w:r>
      <w:r w:rsidR="00776154">
        <w:rPr>
          <w:lang w:val="en-AU" w:eastAsia="en-AU" w:bidi="ar-SA"/>
        </w:rPr>
        <w:t xml:space="preserve">submitter supported the lowering the maximum TFA amount to 3% of total fatty acids. </w:t>
      </w:r>
      <w:r w:rsidR="009A2D5C">
        <w:rPr>
          <w:lang w:val="en-AU" w:eastAsia="en-AU" w:bidi="ar-SA"/>
        </w:rPr>
        <w:t>Industry submitters</w:t>
      </w:r>
      <w:r w:rsidR="00776154">
        <w:rPr>
          <w:lang w:val="en-AU" w:eastAsia="en-AU" w:bidi="ar-SA"/>
        </w:rPr>
        <w:t xml:space="preserve"> did not support this option due to the d</w:t>
      </w:r>
      <w:r w:rsidR="00776154" w:rsidRPr="00A06BC2">
        <w:rPr>
          <w:lang w:val="en-AU" w:eastAsia="en-AU" w:bidi="ar-SA"/>
        </w:rPr>
        <w:t>ifferences in definitions used</w:t>
      </w:r>
      <w:r w:rsidR="00776154">
        <w:rPr>
          <w:lang w:val="en-AU" w:eastAsia="en-AU" w:bidi="ar-SA"/>
        </w:rPr>
        <w:t xml:space="preserve"> by Codex and the Code and because the maximum of 3</w:t>
      </w:r>
      <w:r w:rsidR="00776154" w:rsidRPr="00A06BC2">
        <w:rPr>
          <w:lang w:val="en-AU" w:eastAsia="en-AU" w:bidi="ar-SA"/>
        </w:rPr>
        <w:t xml:space="preserve">% </w:t>
      </w:r>
      <w:r w:rsidR="00776154">
        <w:rPr>
          <w:lang w:val="en-AU" w:eastAsia="en-AU" w:bidi="ar-SA"/>
        </w:rPr>
        <w:t xml:space="preserve">of total fatty acids </w:t>
      </w:r>
      <w:r w:rsidR="00776154" w:rsidRPr="00A06BC2">
        <w:rPr>
          <w:lang w:val="en-AU" w:eastAsia="en-AU" w:bidi="ar-SA"/>
        </w:rPr>
        <w:t>would limit the amounts of milk fats that could be used in manufacture</w:t>
      </w:r>
      <w:r w:rsidR="00776154">
        <w:rPr>
          <w:lang w:val="en-AU" w:eastAsia="en-AU" w:bidi="ar-SA"/>
        </w:rPr>
        <w:t>.</w:t>
      </w:r>
    </w:p>
    <w:p w14:paraId="12D3F30F" w14:textId="5A4C9C21" w:rsidR="00776154" w:rsidRPr="003720F2" w:rsidRDefault="004A6124" w:rsidP="00776154">
      <w:pPr>
        <w:pStyle w:val="Heading4"/>
        <w:rPr>
          <w:lang w:eastAsia="en-AU"/>
        </w:rPr>
      </w:pPr>
      <w:r>
        <w:rPr>
          <w:lang w:eastAsia="en-AU"/>
        </w:rPr>
        <w:t>Nutrition r</w:t>
      </w:r>
      <w:r w:rsidR="00776154">
        <w:rPr>
          <w:lang w:eastAsia="en-AU"/>
        </w:rPr>
        <w:t>isk assessment</w:t>
      </w:r>
    </w:p>
    <w:p w14:paraId="682035F4" w14:textId="14F3D0FC" w:rsidR="00776154" w:rsidRDefault="00776154" w:rsidP="00776154">
      <w:pPr>
        <w:rPr>
          <w:lang w:eastAsia="en-AU"/>
        </w:rPr>
      </w:pPr>
      <w:r>
        <w:rPr>
          <w:lang w:eastAsia="en-AU"/>
        </w:rPr>
        <w:t xml:space="preserve">No further </w:t>
      </w:r>
      <w:r w:rsidR="004A6124">
        <w:rPr>
          <w:lang w:eastAsia="en-AU"/>
        </w:rPr>
        <w:t xml:space="preserve">nutrition </w:t>
      </w:r>
      <w:r>
        <w:rPr>
          <w:lang w:eastAsia="en-AU"/>
        </w:rPr>
        <w:t>risk assessment was considered on this issue.</w:t>
      </w:r>
    </w:p>
    <w:p w14:paraId="36C2B1A0" w14:textId="77777777" w:rsidR="00776154" w:rsidRPr="003565F5" w:rsidRDefault="00776154" w:rsidP="00776154">
      <w:pPr>
        <w:pStyle w:val="Heading4"/>
        <w:rPr>
          <w:lang w:eastAsia="en-AU"/>
        </w:rPr>
      </w:pPr>
      <w:r>
        <w:rPr>
          <w:lang w:eastAsia="en-AU"/>
        </w:rPr>
        <w:lastRenderedPageBreak/>
        <w:t>Options and discussion</w:t>
      </w:r>
    </w:p>
    <w:p w14:paraId="662514C0" w14:textId="3CBB9C12" w:rsidR="00776154" w:rsidRPr="00A77696" w:rsidRDefault="00776154" w:rsidP="00776154">
      <w:pPr>
        <w:rPr>
          <w:lang w:val="en-AU" w:eastAsia="en-AU" w:bidi="ar-SA"/>
        </w:rPr>
      </w:pPr>
      <w:r>
        <w:rPr>
          <w:lang w:val="en-AU" w:eastAsia="en-AU" w:bidi="ar-SA"/>
        </w:rPr>
        <w:t>T</w:t>
      </w:r>
      <w:r w:rsidRPr="00A77696">
        <w:rPr>
          <w:lang w:val="en-AU" w:eastAsia="en-AU" w:bidi="ar-SA"/>
        </w:rPr>
        <w:t xml:space="preserve">he Codex definition for TFA excludes the classification of </w:t>
      </w:r>
      <w:r>
        <w:rPr>
          <w:lang w:val="en-AU" w:eastAsia="en-AU" w:bidi="ar-SA"/>
        </w:rPr>
        <w:t xml:space="preserve">conjugated linoleic acid (CLA) </w:t>
      </w:r>
      <w:r w:rsidRPr="00A77696">
        <w:rPr>
          <w:lang w:val="en-AU" w:eastAsia="en-AU" w:bidi="ar-SA"/>
        </w:rPr>
        <w:t>as a TFA. CLA</w:t>
      </w:r>
      <w:r>
        <w:rPr>
          <w:lang w:val="en-AU" w:eastAsia="en-AU" w:bidi="ar-SA"/>
        </w:rPr>
        <w:t xml:space="preserve"> is a conjugated polyunsaturated fat that</w:t>
      </w:r>
      <w:r w:rsidRPr="00A77696">
        <w:rPr>
          <w:lang w:val="en-AU" w:eastAsia="en-AU" w:bidi="ar-SA"/>
        </w:rPr>
        <w:t xml:space="preserve"> is a natural component of milk fat</w:t>
      </w:r>
      <w:r>
        <w:rPr>
          <w:lang w:val="en-AU" w:eastAsia="en-AU" w:bidi="ar-SA"/>
        </w:rPr>
        <w:t xml:space="preserve"> in dairy and human milk. Adoption of the Codex restriction of TFA at a maximum of 3% without also adopting the Codex definition for TFA would restrict the amount of milk fat that could be used as a fat source. Therefore, the existing restriction for the maximum amount of TFA at 4% of total fatty acids</w:t>
      </w:r>
      <w:r w:rsidR="00E94C9C">
        <w:rPr>
          <w:lang w:val="en-AU" w:eastAsia="en-AU" w:bidi="ar-SA"/>
        </w:rPr>
        <w:t xml:space="preserve"> in</w:t>
      </w:r>
      <w:r>
        <w:rPr>
          <w:lang w:val="en-AU" w:eastAsia="en-AU" w:bidi="ar-SA"/>
        </w:rPr>
        <w:t xml:space="preserve"> the Code is appropriate.</w:t>
      </w:r>
    </w:p>
    <w:p w14:paraId="3799EA7C" w14:textId="4A783BA7" w:rsidR="00776154" w:rsidRDefault="00776154" w:rsidP="00776154">
      <w:pPr>
        <w:pStyle w:val="Heading4"/>
        <w:rPr>
          <w:lang w:eastAsia="en-AU"/>
        </w:rPr>
      </w:pPr>
      <w:r>
        <w:rPr>
          <w:lang w:eastAsia="en-AU"/>
        </w:rPr>
        <w:t xml:space="preserve">Proposed </w:t>
      </w:r>
      <w:r w:rsidR="00C30BAC">
        <w:rPr>
          <w:lang w:eastAsia="en-AU"/>
        </w:rPr>
        <w:t>approach</w:t>
      </w:r>
    </w:p>
    <w:p w14:paraId="26C55DA2" w14:textId="570525CF" w:rsidR="00776154" w:rsidRPr="005270AB" w:rsidRDefault="00776154" w:rsidP="00776154">
      <w:pPr>
        <w:rPr>
          <w:lang w:val="en-AU" w:eastAsia="en-AU" w:bidi="ar-SA"/>
        </w:rPr>
      </w:pPr>
      <w:r w:rsidRPr="003565F5">
        <w:rPr>
          <w:lang w:eastAsia="en-AU" w:bidi="ar-SA"/>
        </w:rPr>
        <w:t xml:space="preserve">Aligning with Codex STAN 72-1981 for TFA would require a change in the definition of TFA in the Code. FSANZ considers this to be out of scope for this proposal. </w:t>
      </w:r>
      <w:r>
        <w:rPr>
          <w:lang w:val="en-AU" w:eastAsia="en-AU" w:bidi="ar-SA"/>
        </w:rPr>
        <w:t>The proposed option is to retain the current restriction for TFA at 4% of total fatty acids.</w:t>
      </w:r>
    </w:p>
    <w:p w14:paraId="7CA5C75F" w14:textId="7912CFA5" w:rsidR="00776154" w:rsidRDefault="00385AF6" w:rsidP="00C73A77">
      <w:pPr>
        <w:pStyle w:val="Heading3"/>
      </w:pPr>
      <w:bookmarkStart w:id="261" w:name="_Toc73455630"/>
      <w:bookmarkStart w:id="262" w:name="_Toc73624903"/>
      <w:r>
        <w:t>5</w:t>
      </w:r>
      <w:r w:rsidR="00776154">
        <w:t>.6.3</w:t>
      </w:r>
      <w:r w:rsidR="00776154">
        <w:tab/>
        <w:t>Phospholipids</w:t>
      </w:r>
      <w:bookmarkEnd w:id="261"/>
      <w:bookmarkEnd w:id="262"/>
    </w:p>
    <w:p w14:paraId="7EDE7833" w14:textId="1FE1A326" w:rsidR="00776154" w:rsidRDefault="00776154" w:rsidP="00776154">
      <w:pPr>
        <w:pStyle w:val="Heading4"/>
        <w:rPr>
          <w:lang w:eastAsia="en-AU"/>
        </w:rPr>
      </w:pPr>
      <w:r>
        <w:rPr>
          <w:lang w:eastAsia="en-AU"/>
        </w:rPr>
        <w:t>Current regulation</w:t>
      </w:r>
      <w:r w:rsidR="007A6CD5">
        <w:rPr>
          <w:lang w:eastAsia="en-AU"/>
        </w:rPr>
        <w:t>s</w:t>
      </w:r>
    </w:p>
    <w:p w14:paraId="37B643EC" w14:textId="210E5B05" w:rsidR="00776154" w:rsidRDefault="00776154" w:rsidP="00776154">
      <w:pPr>
        <w:rPr>
          <w:lang w:val="en-AU" w:eastAsia="en-AU" w:bidi="ar-SA"/>
        </w:rPr>
      </w:pPr>
      <w:r w:rsidRPr="00C25EC4">
        <w:rPr>
          <w:lang w:val="en-AU" w:eastAsia="en-AU" w:bidi="ar-SA"/>
        </w:rPr>
        <w:t xml:space="preserve">Standard 2.9.1 does not </w:t>
      </w:r>
      <w:r w:rsidR="000117FF">
        <w:rPr>
          <w:lang w:val="en-AU" w:eastAsia="en-AU" w:bidi="ar-SA"/>
        </w:rPr>
        <w:t>set</w:t>
      </w:r>
      <w:r w:rsidRPr="00C25EC4">
        <w:rPr>
          <w:lang w:val="en-AU" w:eastAsia="en-AU" w:bidi="ar-SA"/>
        </w:rPr>
        <w:t xml:space="preserve"> a maximum </w:t>
      </w:r>
      <w:r>
        <w:rPr>
          <w:lang w:val="en-AU" w:eastAsia="en-AU" w:bidi="ar-SA"/>
        </w:rPr>
        <w:t>amount for phospholipids (PL) in infant formula products, whereas Codex STAN 72-1981</w:t>
      </w:r>
      <w:r w:rsidRPr="00577335">
        <w:rPr>
          <w:lang w:val="en-AU" w:eastAsia="en-AU" w:bidi="ar-SA"/>
        </w:rPr>
        <w:t xml:space="preserve"> </w:t>
      </w:r>
      <w:r w:rsidR="008107DE">
        <w:rPr>
          <w:lang w:val="en-AU" w:eastAsia="en-AU" w:bidi="ar-SA"/>
        </w:rPr>
        <w:t>states that t</w:t>
      </w:r>
      <w:r w:rsidR="008107DE">
        <w:t>he total content of phospholipids should not exceed 72 mg/100 kJ</w:t>
      </w:r>
      <w:r>
        <w:rPr>
          <w:lang w:val="en-AU" w:eastAsia="en-AU" w:bidi="ar-SA"/>
        </w:rPr>
        <w:t xml:space="preserve"> (equivalent to 2 g/L)</w:t>
      </w:r>
      <w:r w:rsidR="008107DE">
        <w:rPr>
          <w:lang w:val="en-AU" w:eastAsia="en-AU" w:bidi="ar-SA"/>
        </w:rPr>
        <w:t xml:space="preserve">. </w:t>
      </w:r>
      <w:r w:rsidR="004A6124">
        <w:rPr>
          <w:lang w:val="en-AU" w:eastAsia="en-AU" w:bidi="ar-SA"/>
        </w:rPr>
        <w:t>EU 2016/127</w:t>
      </w:r>
      <w:r w:rsidR="008107DE">
        <w:rPr>
          <w:lang w:val="en-AU" w:eastAsia="en-AU" w:bidi="ar-SA"/>
        </w:rPr>
        <w:t xml:space="preserve"> specifies that the amount of PL shall not exceed 2 g/L</w:t>
      </w:r>
      <w:r>
        <w:rPr>
          <w:lang w:val="en-AU" w:eastAsia="en-AU" w:bidi="ar-SA"/>
        </w:rPr>
        <w:t xml:space="preserve">. </w:t>
      </w:r>
    </w:p>
    <w:p w14:paraId="66589743" w14:textId="77777777" w:rsidR="00776154" w:rsidRDefault="00776154" w:rsidP="00776154">
      <w:pPr>
        <w:rPr>
          <w:lang w:val="en-AU" w:eastAsia="en-AU" w:bidi="ar-SA"/>
        </w:rPr>
      </w:pPr>
    </w:p>
    <w:p w14:paraId="6FAFE012" w14:textId="2E74DDA8" w:rsidR="00776154" w:rsidRDefault="00776154" w:rsidP="00776154">
      <w:pPr>
        <w:rPr>
          <w:lang w:val="en-AU" w:eastAsia="en-AU" w:bidi="ar-SA"/>
        </w:rPr>
      </w:pPr>
      <w:r>
        <w:rPr>
          <w:lang w:val="en-AU" w:eastAsia="en-AU" w:bidi="ar-SA"/>
        </w:rPr>
        <w:t>Schedule 15 of the Code also permits the use of lecithin (which is a source of PL) as food additive emulsifier at 5 g/L in infant formula products.</w:t>
      </w:r>
      <w:r w:rsidR="002D4D98">
        <w:rPr>
          <w:lang w:val="en-AU" w:eastAsia="en-AU" w:bidi="ar-SA"/>
        </w:rPr>
        <w:t xml:space="preserve"> Codex STAN 72-1981 also permits use of lecithin as an emulsifier to at 5 g/L in all types of infant formula. </w:t>
      </w:r>
    </w:p>
    <w:p w14:paraId="4934009C" w14:textId="77777777" w:rsidR="00776154" w:rsidRDefault="00776154" w:rsidP="00776154">
      <w:pPr>
        <w:pStyle w:val="Heading4"/>
        <w:rPr>
          <w:lang w:eastAsia="en-AU"/>
        </w:rPr>
      </w:pPr>
      <w:r>
        <w:rPr>
          <w:lang w:eastAsia="en-AU"/>
        </w:rPr>
        <w:t>Previous consideration</w:t>
      </w:r>
    </w:p>
    <w:p w14:paraId="6B083411" w14:textId="4D8ACA38" w:rsidR="00776154" w:rsidRDefault="00776154" w:rsidP="00776154">
      <w:pPr>
        <w:rPr>
          <w:lang w:val="en-AU" w:eastAsia="en-AU" w:bidi="ar-SA"/>
        </w:rPr>
      </w:pPr>
      <w:r>
        <w:rPr>
          <w:lang w:val="en-AU" w:eastAsia="en-AU" w:bidi="ar-SA"/>
        </w:rPr>
        <w:t>PL</w:t>
      </w:r>
      <w:r w:rsidRPr="003F1158">
        <w:rPr>
          <w:lang w:val="en-AU" w:eastAsia="en-AU" w:bidi="ar-SA"/>
        </w:rPr>
        <w:t xml:space="preserve"> are added as a source of LC</w:t>
      </w:r>
      <w:r w:rsidR="0048005E">
        <w:rPr>
          <w:lang w:val="en-AU" w:eastAsia="en-AU" w:bidi="ar-SA"/>
        </w:rPr>
        <w:t>-</w:t>
      </w:r>
      <w:r w:rsidRPr="003F1158">
        <w:rPr>
          <w:lang w:val="en-AU" w:eastAsia="en-AU" w:bidi="ar-SA"/>
        </w:rPr>
        <w:t>PUFA (</w:t>
      </w:r>
      <w:r>
        <w:rPr>
          <w:lang w:val="en-AU" w:eastAsia="en-AU" w:bidi="ar-SA"/>
        </w:rPr>
        <w:t>i.e. as a nutritive substance</w:t>
      </w:r>
      <w:r w:rsidR="00051374">
        <w:rPr>
          <w:lang w:val="en-AU" w:eastAsia="en-AU" w:bidi="ar-SA"/>
        </w:rPr>
        <w:t>)</w:t>
      </w:r>
      <w:r w:rsidR="001075C4">
        <w:rPr>
          <w:lang w:val="en-AU" w:eastAsia="en-AU" w:bidi="ar-SA"/>
        </w:rPr>
        <w:t xml:space="preserve">. PL can also </w:t>
      </w:r>
      <w:r w:rsidR="00051374">
        <w:rPr>
          <w:lang w:val="en-AU" w:eastAsia="en-AU" w:bidi="ar-SA"/>
        </w:rPr>
        <w:t>be present a</w:t>
      </w:r>
      <w:r>
        <w:rPr>
          <w:lang w:val="en-AU" w:eastAsia="en-AU" w:bidi="ar-SA"/>
        </w:rPr>
        <w:t>s a component of lecithin which is a</w:t>
      </w:r>
      <w:r w:rsidRPr="004F2FFA">
        <w:rPr>
          <w:lang w:val="en-AU" w:eastAsia="en-AU" w:bidi="ar-SA"/>
        </w:rPr>
        <w:t xml:space="preserve"> processing aid or food additive</w:t>
      </w:r>
      <w:r>
        <w:rPr>
          <w:lang w:val="en-AU" w:eastAsia="en-AU" w:bidi="ar-SA"/>
        </w:rPr>
        <w:t xml:space="preserve"> emulsifier</w:t>
      </w:r>
      <w:r w:rsidR="00A80B4C">
        <w:rPr>
          <w:lang w:val="en-AU" w:eastAsia="en-AU" w:bidi="ar-SA"/>
        </w:rPr>
        <w:t>. L</w:t>
      </w:r>
      <w:r w:rsidR="004A5EF0">
        <w:rPr>
          <w:lang w:val="en-AU" w:eastAsia="en-AU" w:bidi="ar-SA"/>
        </w:rPr>
        <w:t xml:space="preserve">ecithin </w:t>
      </w:r>
      <w:r w:rsidR="00A80B4C">
        <w:rPr>
          <w:lang w:val="en-AU" w:eastAsia="en-AU" w:bidi="ar-SA"/>
        </w:rPr>
        <w:t xml:space="preserve">derived from soy </w:t>
      </w:r>
      <w:r>
        <w:rPr>
          <w:lang w:val="en-AU" w:eastAsia="en-AU" w:bidi="ar-SA"/>
        </w:rPr>
        <w:t xml:space="preserve">contains PL at a range of </w:t>
      </w:r>
      <w:r w:rsidRPr="00AF5DCA">
        <w:rPr>
          <w:lang w:val="en-AU" w:eastAsia="en-AU" w:bidi="ar-SA"/>
        </w:rPr>
        <w:t>65-75%</w:t>
      </w:r>
      <w:r>
        <w:rPr>
          <w:rStyle w:val="CommentReference"/>
        </w:rPr>
        <w:t xml:space="preserve">. </w:t>
      </w:r>
      <w:r w:rsidRPr="008166B4">
        <w:rPr>
          <w:lang w:val="en-AU" w:eastAsia="en-AU" w:bidi="ar-SA"/>
        </w:rPr>
        <w:t>There</w:t>
      </w:r>
      <w:r>
        <w:rPr>
          <w:lang w:val="en-AU" w:eastAsia="en-AU" w:bidi="ar-SA"/>
        </w:rPr>
        <w:t>fore,</w:t>
      </w:r>
      <w:r w:rsidR="00A80B4C">
        <w:rPr>
          <w:lang w:val="en-AU" w:eastAsia="en-AU" w:bidi="ar-SA"/>
        </w:rPr>
        <w:t xml:space="preserve"> soy</w:t>
      </w:r>
      <w:r>
        <w:rPr>
          <w:lang w:val="en-AU" w:eastAsia="en-AU" w:bidi="ar-SA"/>
        </w:rPr>
        <w:t xml:space="preserve"> lecithin </w:t>
      </w:r>
      <w:r w:rsidR="00051374">
        <w:rPr>
          <w:lang w:val="en-AU" w:eastAsia="en-AU" w:bidi="ar-SA"/>
        </w:rPr>
        <w:t xml:space="preserve">added </w:t>
      </w:r>
      <w:r w:rsidR="00A80B4C">
        <w:rPr>
          <w:lang w:val="en-AU" w:eastAsia="en-AU" w:bidi="ar-SA"/>
        </w:rPr>
        <w:t xml:space="preserve">to infant formula </w:t>
      </w:r>
      <w:r>
        <w:rPr>
          <w:lang w:val="en-AU" w:eastAsia="en-AU" w:bidi="ar-SA"/>
        </w:rPr>
        <w:t>at 5 g/L (</w:t>
      </w:r>
      <w:r w:rsidR="00A80B4C">
        <w:rPr>
          <w:lang w:val="en-AU" w:eastAsia="en-AU" w:bidi="ar-SA"/>
        </w:rPr>
        <w:t xml:space="preserve">the </w:t>
      </w:r>
      <w:r>
        <w:rPr>
          <w:lang w:val="en-AU" w:eastAsia="en-AU" w:bidi="ar-SA"/>
        </w:rPr>
        <w:t>Schedule 15</w:t>
      </w:r>
      <w:r w:rsidR="00051374">
        <w:rPr>
          <w:lang w:val="en-AU" w:eastAsia="en-AU" w:bidi="ar-SA"/>
        </w:rPr>
        <w:t xml:space="preserve"> maximum</w:t>
      </w:r>
      <w:r>
        <w:rPr>
          <w:lang w:val="en-AU" w:eastAsia="en-AU" w:bidi="ar-SA"/>
        </w:rPr>
        <w:t xml:space="preserve">) </w:t>
      </w:r>
      <w:r w:rsidR="001075C4">
        <w:rPr>
          <w:lang w:val="en-AU" w:eastAsia="en-AU" w:bidi="ar-SA"/>
        </w:rPr>
        <w:t>c</w:t>
      </w:r>
      <w:r>
        <w:rPr>
          <w:lang w:val="en-AU" w:eastAsia="en-AU" w:bidi="ar-SA"/>
        </w:rPr>
        <w:t xml:space="preserve">ould add approximately 3.75 g/L of PL which </w:t>
      </w:r>
      <w:r w:rsidR="0086665C">
        <w:rPr>
          <w:lang w:val="en-AU" w:eastAsia="en-AU" w:bidi="ar-SA"/>
        </w:rPr>
        <w:t xml:space="preserve">would </w:t>
      </w:r>
      <w:r>
        <w:rPr>
          <w:lang w:val="en-AU" w:eastAsia="en-AU" w:bidi="ar-SA"/>
        </w:rPr>
        <w:t xml:space="preserve">exceed the maximum PL amount in </w:t>
      </w:r>
      <w:r w:rsidRPr="00AF5DCA">
        <w:rPr>
          <w:lang w:val="en-AU" w:eastAsia="en-AU" w:bidi="ar-SA"/>
        </w:rPr>
        <w:t>Codex STAN 72-1981</w:t>
      </w:r>
      <w:r>
        <w:rPr>
          <w:lang w:val="en-AU" w:eastAsia="en-AU" w:bidi="ar-SA"/>
        </w:rPr>
        <w:t xml:space="preserve"> (2 g/L).</w:t>
      </w:r>
    </w:p>
    <w:p w14:paraId="607C9312" w14:textId="1370CC06" w:rsidR="00664CE3" w:rsidRDefault="00664CE3" w:rsidP="00776154">
      <w:pPr>
        <w:rPr>
          <w:lang w:val="en-AU" w:eastAsia="en-AU" w:bidi="ar-SA"/>
        </w:rPr>
      </w:pPr>
    </w:p>
    <w:p w14:paraId="694FCAEF" w14:textId="3E8EB277" w:rsidR="00664CE3" w:rsidRDefault="00664CE3" w:rsidP="00776154">
      <w:pPr>
        <w:rPr>
          <w:lang w:val="en-AU" w:eastAsia="en-AU" w:bidi="ar-SA"/>
        </w:rPr>
      </w:pPr>
      <w:r>
        <w:t>The 2016 nutrition assessment considered that given the potential bioactivity of PLs, the lack of adequate safety data, and unknown biological activity of certain types of PL in infants the amount of PL in infant formula should not exceed the amount that normally occurs in breast or cow’s milk (i.e. approximately 0.25 g/L).</w:t>
      </w:r>
    </w:p>
    <w:p w14:paraId="34C25062" w14:textId="77777777" w:rsidR="00776154" w:rsidRDefault="00776154" w:rsidP="00776154">
      <w:pPr>
        <w:rPr>
          <w:lang w:val="en-AU" w:eastAsia="en-AU" w:bidi="ar-SA"/>
        </w:rPr>
      </w:pPr>
    </w:p>
    <w:p w14:paraId="1D92A222" w14:textId="5BBFB83C" w:rsidR="00776154" w:rsidRDefault="008107DE" w:rsidP="00776154">
      <w:pPr>
        <w:rPr>
          <w:lang w:val="en-AU" w:eastAsia="en-AU" w:bidi="ar-SA"/>
        </w:rPr>
      </w:pPr>
      <w:r>
        <w:rPr>
          <w:lang w:val="en-AU" w:eastAsia="en-AU" w:bidi="ar-SA"/>
        </w:rPr>
        <w:t>On this basis, t</w:t>
      </w:r>
      <w:r w:rsidR="00776154">
        <w:rPr>
          <w:lang w:val="en-AU" w:eastAsia="en-AU" w:bidi="ar-SA"/>
        </w:rPr>
        <w:t xml:space="preserve">he 2016 Consultation paper considered restricting </w:t>
      </w:r>
      <w:r w:rsidR="001075C4">
        <w:rPr>
          <w:lang w:val="en-AU" w:eastAsia="en-AU" w:bidi="ar-SA"/>
        </w:rPr>
        <w:t xml:space="preserve">the </w:t>
      </w:r>
      <w:r w:rsidR="00776154" w:rsidRPr="00E86F54">
        <w:rPr>
          <w:lang w:val="en-AU" w:eastAsia="en-AU" w:bidi="ar-SA"/>
        </w:rPr>
        <w:t xml:space="preserve">total </w:t>
      </w:r>
      <w:r w:rsidR="00051374">
        <w:rPr>
          <w:lang w:val="en-AU" w:eastAsia="en-AU" w:bidi="ar-SA"/>
        </w:rPr>
        <w:t xml:space="preserve">amount of </w:t>
      </w:r>
      <w:r w:rsidR="00776154">
        <w:rPr>
          <w:lang w:val="en-AU" w:eastAsia="en-AU" w:bidi="ar-SA"/>
        </w:rPr>
        <w:t>PL</w:t>
      </w:r>
      <w:r w:rsidR="00776154" w:rsidRPr="00E86F54">
        <w:rPr>
          <w:lang w:val="en-AU" w:eastAsia="en-AU" w:bidi="ar-SA"/>
        </w:rPr>
        <w:t xml:space="preserve"> </w:t>
      </w:r>
      <w:r w:rsidR="00776154">
        <w:rPr>
          <w:lang w:val="en-AU" w:eastAsia="en-AU" w:bidi="ar-SA"/>
        </w:rPr>
        <w:t xml:space="preserve">was appropriate </w:t>
      </w:r>
      <w:r w:rsidR="00776154" w:rsidRPr="00E86F54">
        <w:rPr>
          <w:lang w:val="en-AU" w:eastAsia="en-AU" w:bidi="ar-SA"/>
        </w:rPr>
        <w:t xml:space="preserve">but that more information </w:t>
      </w:r>
      <w:r w:rsidR="00051374">
        <w:rPr>
          <w:lang w:val="en-AU" w:eastAsia="en-AU" w:bidi="ar-SA"/>
        </w:rPr>
        <w:t>wa</w:t>
      </w:r>
      <w:r w:rsidR="00776154" w:rsidRPr="00E86F54">
        <w:rPr>
          <w:lang w:val="en-AU" w:eastAsia="en-AU" w:bidi="ar-SA"/>
        </w:rPr>
        <w:t xml:space="preserve">s needed before a maximum could be established. Any final maximum amount needs to take account of </w:t>
      </w:r>
      <w:r w:rsidR="0086665C">
        <w:rPr>
          <w:lang w:val="en-AU" w:eastAsia="en-AU" w:bidi="ar-SA"/>
        </w:rPr>
        <w:t xml:space="preserve">PL amounts derived from </w:t>
      </w:r>
      <w:r w:rsidR="00776154" w:rsidRPr="00E86F54">
        <w:rPr>
          <w:lang w:val="en-AU" w:eastAsia="en-AU" w:bidi="ar-SA"/>
        </w:rPr>
        <w:t xml:space="preserve">lecithin in infant formula. </w:t>
      </w:r>
      <w:r w:rsidR="00776154">
        <w:rPr>
          <w:lang w:val="en-AU" w:eastAsia="en-AU" w:bidi="ar-SA"/>
        </w:rPr>
        <w:t>F</w:t>
      </w:r>
      <w:r w:rsidR="00776154" w:rsidRPr="00E86F54">
        <w:rPr>
          <w:lang w:val="en-AU" w:eastAsia="en-AU" w:bidi="ar-SA"/>
        </w:rPr>
        <w:t>urther input</w:t>
      </w:r>
      <w:r w:rsidR="00776154">
        <w:rPr>
          <w:lang w:val="en-AU" w:eastAsia="en-AU" w:bidi="ar-SA"/>
        </w:rPr>
        <w:t xml:space="preserve"> was sought</w:t>
      </w:r>
      <w:r w:rsidR="00776154" w:rsidRPr="00E86F54">
        <w:rPr>
          <w:lang w:val="en-AU" w:eastAsia="en-AU" w:bidi="ar-SA"/>
        </w:rPr>
        <w:t xml:space="preserve"> from stakeholders</w:t>
      </w:r>
      <w:r w:rsidR="00776154">
        <w:rPr>
          <w:lang w:val="en-AU" w:eastAsia="en-AU" w:bidi="ar-SA"/>
        </w:rPr>
        <w:t>.</w:t>
      </w:r>
    </w:p>
    <w:p w14:paraId="1D62C6B9" w14:textId="306E6324" w:rsidR="00776154" w:rsidRDefault="00D86C99" w:rsidP="00776154">
      <w:pPr>
        <w:pStyle w:val="Heading4"/>
        <w:rPr>
          <w:lang w:eastAsia="en-AU"/>
        </w:rPr>
      </w:pPr>
      <w:r>
        <w:rPr>
          <w:lang w:eastAsia="en-AU"/>
        </w:rPr>
        <w:t>Stakeholder views</w:t>
      </w:r>
    </w:p>
    <w:p w14:paraId="716E6EE9" w14:textId="14F16EA4" w:rsidR="00776154" w:rsidRDefault="00776154" w:rsidP="00776154">
      <w:r>
        <w:rPr>
          <w:lang w:val="en-AU" w:eastAsia="en-AU" w:bidi="ar-SA"/>
        </w:rPr>
        <w:t>Nine submitters (</w:t>
      </w:r>
      <w:r w:rsidR="0061382B">
        <w:rPr>
          <w:lang w:val="en-AU" w:eastAsia="en-AU" w:bidi="ar-SA"/>
        </w:rPr>
        <w:t>three</w:t>
      </w:r>
      <w:r>
        <w:rPr>
          <w:lang w:val="en-AU" w:eastAsia="en-AU" w:bidi="ar-SA"/>
        </w:rPr>
        <w:t xml:space="preserve"> government, </w:t>
      </w:r>
      <w:r w:rsidR="0061382B">
        <w:rPr>
          <w:lang w:val="en-AU" w:eastAsia="en-AU" w:bidi="ar-SA"/>
        </w:rPr>
        <w:t>six</w:t>
      </w:r>
      <w:r>
        <w:rPr>
          <w:lang w:val="en-AU" w:eastAsia="en-AU" w:bidi="ar-SA"/>
        </w:rPr>
        <w:t xml:space="preserve"> industry) commented on this issue</w:t>
      </w:r>
      <w:r w:rsidR="008410B2">
        <w:rPr>
          <w:lang w:val="en-AU" w:eastAsia="en-AU" w:bidi="ar-SA"/>
        </w:rPr>
        <w:t xml:space="preserve"> (Table 5.9)</w:t>
      </w:r>
      <w:r>
        <w:rPr>
          <w:lang w:val="en-AU" w:eastAsia="en-AU" w:bidi="ar-SA"/>
        </w:rPr>
        <w:t xml:space="preserve">. Government stakeholders supported restriction of total </w:t>
      </w:r>
      <w:r w:rsidR="004A6124">
        <w:rPr>
          <w:lang w:val="en-AU" w:eastAsia="en-AU" w:bidi="ar-SA"/>
        </w:rPr>
        <w:t xml:space="preserve">PL </w:t>
      </w:r>
      <w:r>
        <w:rPr>
          <w:lang w:val="en-AU" w:eastAsia="en-AU" w:bidi="ar-SA"/>
        </w:rPr>
        <w:t>and industry stakeholders supported the current approach of no maximum limit for PL. However, if a maximum is nee</w:t>
      </w:r>
      <w:r w:rsidR="00B720B5">
        <w:rPr>
          <w:lang w:val="en-AU" w:eastAsia="en-AU" w:bidi="ar-SA"/>
        </w:rPr>
        <w:t xml:space="preserve">ded, some industry submitters supported </w:t>
      </w:r>
      <w:r>
        <w:rPr>
          <w:lang w:val="en-AU" w:eastAsia="en-AU" w:bidi="ar-SA"/>
        </w:rPr>
        <w:t xml:space="preserve">alignment with Codex STAN 72-1981 and </w:t>
      </w:r>
      <w:r w:rsidR="004A6124">
        <w:rPr>
          <w:lang w:val="en-AU" w:eastAsia="en-AU" w:bidi="ar-SA"/>
        </w:rPr>
        <w:t>EU 2016/127</w:t>
      </w:r>
      <w:r>
        <w:rPr>
          <w:lang w:val="en-AU" w:eastAsia="en-AU" w:bidi="ar-SA"/>
        </w:rPr>
        <w:t xml:space="preserve">. </w:t>
      </w:r>
    </w:p>
    <w:p w14:paraId="34A1DA54" w14:textId="77777777" w:rsidR="00776154" w:rsidRDefault="00776154" w:rsidP="00776154">
      <w:pPr>
        <w:rPr>
          <w:lang w:val="en-AU" w:eastAsia="en-AU" w:bidi="ar-SA"/>
        </w:rPr>
      </w:pPr>
    </w:p>
    <w:p w14:paraId="4041A1C1" w14:textId="3A3D78F0" w:rsidR="00776154" w:rsidRPr="003D19E8" w:rsidRDefault="00776154" w:rsidP="00E9515E">
      <w:pPr>
        <w:pStyle w:val="FSTitle"/>
        <w:rPr>
          <w:lang w:val="en-AU" w:eastAsia="en-AU" w:bidi="ar-SA"/>
        </w:rPr>
      </w:pPr>
      <w:bookmarkStart w:id="263" w:name="_Toc74061239"/>
      <w:r>
        <w:rPr>
          <w:lang w:val="en-AU" w:eastAsia="en-AU" w:bidi="ar-SA"/>
        </w:rPr>
        <w:lastRenderedPageBreak/>
        <w:t xml:space="preserve">Table </w:t>
      </w:r>
      <w:r w:rsidR="00385AF6">
        <w:rPr>
          <w:lang w:val="en-AU" w:eastAsia="en-AU" w:bidi="ar-SA"/>
        </w:rPr>
        <w:t>5.</w:t>
      </w:r>
      <w:r w:rsidR="008410B2">
        <w:rPr>
          <w:lang w:val="en-AU" w:eastAsia="en-AU" w:bidi="ar-SA"/>
        </w:rPr>
        <w:t>9</w:t>
      </w:r>
      <w:r w:rsidR="00113BD1">
        <w:rPr>
          <w:lang w:val="en-AU" w:eastAsia="en-AU" w:bidi="ar-SA"/>
        </w:rPr>
        <w:tab/>
      </w:r>
      <w:r>
        <w:rPr>
          <w:lang w:val="en-AU" w:eastAsia="en-AU" w:bidi="ar-SA"/>
        </w:rPr>
        <w:t>Su</w:t>
      </w:r>
      <w:r w:rsidR="008410B2">
        <w:rPr>
          <w:lang w:val="en-AU" w:eastAsia="en-AU" w:bidi="ar-SA"/>
        </w:rPr>
        <w:t>bmitter comments on the maximum amount of phospholipids</w:t>
      </w:r>
      <w:bookmarkEnd w:id="263"/>
      <w:r w:rsidR="008410B2">
        <w:rPr>
          <w:lang w:val="en-AU" w:eastAsia="en-AU" w:bidi="ar-SA"/>
        </w:rPr>
        <w:t xml:space="preserve"> </w:t>
      </w:r>
    </w:p>
    <w:tbl>
      <w:tblPr>
        <w:tblStyle w:val="MediumShading1-Accent3"/>
        <w:tblW w:w="9497" w:type="dxa"/>
        <w:tblLook w:val="04A0" w:firstRow="1" w:lastRow="0" w:firstColumn="1" w:lastColumn="0" w:noHBand="0" w:noVBand="1"/>
        <w:tblCaption w:val="Table 5.6.3.1  Summary of submissions - PL"/>
        <w:tblDescription w:val="This table summarises the number of submissions regarding PL to the previous Consultation papers for Proposal P1028."/>
      </w:tblPr>
      <w:tblGrid>
        <w:gridCol w:w="4952"/>
        <w:gridCol w:w="1559"/>
        <w:gridCol w:w="2986"/>
      </w:tblGrid>
      <w:tr w:rsidR="00776154" w14:paraId="4A15BD0A" w14:textId="77777777" w:rsidTr="008410B2">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952" w:type="dxa"/>
            <w:vAlign w:val="center"/>
          </w:tcPr>
          <w:p w14:paraId="30E74FC4" w14:textId="3B51D81E" w:rsidR="00776154" w:rsidRPr="008410B2" w:rsidRDefault="00843305" w:rsidP="008410B2">
            <w:pPr>
              <w:ind w:right="472"/>
              <w:jc w:val="center"/>
              <w:rPr>
                <w:color w:val="auto"/>
                <w:szCs w:val="20"/>
              </w:rPr>
            </w:pPr>
            <w:r w:rsidRPr="008410B2">
              <w:rPr>
                <w:color w:val="auto"/>
                <w:szCs w:val="20"/>
              </w:rPr>
              <w:t>Comment</w:t>
            </w:r>
          </w:p>
        </w:tc>
        <w:tc>
          <w:tcPr>
            <w:tcW w:w="1559" w:type="dxa"/>
            <w:vAlign w:val="center"/>
          </w:tcPr>
          <w:p w14:paraId="34EBE633" w14:textId="77777777" w:rsidR="00776154" w:rsidRPr="008410B2" w:rsidRDefault="00776154" w:rsidP="008410B2">
            <w:pPr>
              <w:ind w:left="28" w:hanging="28"/>
              <w:jc w:val="center"/>
              <w:cnfStyle w:val="100000000000" w:firstRow="1" w:lastRow="0" w:firstColumn="0" w:lastColumn="0" w:oddVBand="0" w:evenVBand="0" w:oddHBand="0" w:evenHBand="0" w:firstRowFirstColumn="0" w:firstRowLastColumn="0" w:lastRowFirstColumn="0" w:lastRowLastColumn="0"/>
              <w:rPr>
                <w:color w:val="auto"/>
                <w:szCs w:val="20"/>
              </w:rPr>
            </w:pPr>
            <w:r w:rsidRPr="008410B2">
              <w:rPr>
                <w:color w:val="auto"/>
                <w:szCs w:val="20"/>
              </w:rPr>
              <w:t>Raised by</w:t>
            </w:r>
          </w:p>
        </w:tc>
        <w:tc>
          <w:tcPr>
            <w:tcW w:w="2986" w:type="dxa"/>
            <w:vAlign w:val="center"/>
          </w:tcPr>
          <w:p w14:paraId="58EAFDC1" w14:textId="77777777" w:rsidR="00776154" w:rsidRPr="008410B2" w:rsidRDefault="00776154" w:rsidP="008410B2">
            <w:pPr>
              <w:ind w:right="183"/>
              <w:jc w:val="center"/>
              <w:cnfStyle w:val="100000000000" w:firstRow="1" w:lastRow="0" w:firstColumn="0" w:lastColumn="0" w:oddVBand="0" w:evenVBand="0" w:oddHBand="0" w:evenHBand="0" w:firstRowFirstColumn="0" w:firstRowLastColumn="0" w:lastRowFirstColumn="0" w:lastRowLastColumn="0"/>
              <w:rPr>
                <w:color w:val="auto"/>
                <w:szCs w:val="20"/>
              </w:rPr>
            </w:pPr>
            <w:r w:rsidRPr="008410B2">
              <w:rPr>
                <w:color w:val="auto"/>
                <w:szCs w:val="20"/>
              </w:rPr>
              <w:t>FSANZ response</w:t>
            </w:r>
          </w:p>
        </w:tc>
      </w:tr>
      <w:tr w:rsidR="00776154" w14:paraId="6C0A7945" w14:textId="77777777" w:rsidTr="008410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2" w:type="dxa"/>
          </w:tcPr>
          <w:p w14:paraId="3F020000" w14:textId="3BEC349A" w:rsidR="00776154" w:rsidRPr="001458E1" w:rsidRDefault="00C757F5" w:rsidP="00C757F5">
            <w:pPr>
              <w:autoSpaceDE w:val="0"/>
              <w:autoSpaceDN w:val="0"/>
              <w:adjustRightInd w:val="0"/>
              <w:rPr>
                <w:b w:val="0"/>
              </w:rPr>
            </w:pPr>
            <w:r>
              <w:rPr>
                <w:b w:val="0"/>
              </w:rPr>
              <w:t>Do not support a specified</w:t>
            </w:r>
            <w:r w:rsidR="00776154">
              <w:rPr>
                <w:b w:val="0"/>
              </w:rPr>
              <w:t xml:space="preserve"> maximum based on lack of evidence that there are safety concerns, and if maximum is applied, </w:t>
            </w:r>
            <w:r w:rsidR="00776154" w:rsidRPr="007B620C">
              <w:rPr>
                <w:b w:val="0"/>
              </w:rPr>
              <w:t>additional testing and compliance costs</w:t>
            </w:r>
            <w:r w:rsidR="00776154">
              <w:rPr>
                <w:b w:val="0"/>
              </w:rPr>
              <w:t xml:space="preserve"> </w:t>
            </w:r>
            <w:r w:rsidR="00776154" w:rsidRPr="007B620C">
              <w:rPr>
                <w:b w:val="0"/>
              </w:rPr>
              <w:t>ultimately reflected in the price of formula products</w:t>
            </w:r>
            <w:r w:rsidR="00776154">
              <w:rPr>
                <w:b w:val="0"/>
              </w:rPr>
              <w:t>.</w:t>
            </w:r>
          </w:p>
        </w:tc>
        <w:tc>
          <w:tcPr>
            <w:tcW w:w="1559" w:type="dxa"/>
          </w:tcPr>
          <w:p w14:paraId="4AC6D1E5" w14:textId="77777777" w:rsidR="00776154" w:rsidRPr="000778D6" w:rsidRDefault="00776154" w:rsidP="00776154">
            <w:pPr>
              <w:ind w:left="28" w:hanging="28"/>
              <w:cnfStyle w:val="000000100000" w:firstRow="0" w:lastRow="0" w:firstColumn="0" w:lastColumn="0" w:oddVBand="0" w:evenVBand="0" w:oddHBand="1" w:evenHBand="0" w:firstRowFirstColumn="0" w:firstRowLastColumn="0" w:lastRowFirstColumn="0" w:lastRowLastColumn="0"/>
            </w:pPr>
            <w:r>
              <w:t>Industry (4)</w:t>
            </w:r>
          </w:p>
        </w:tc>
        <w:tc>
          <w:tcPr>
            <w:tcW w:w="2986" w:type="dxa"/>
          </w:tcPr>
          <w:p w14:paraId="486F2C7C" w14:textId="223935C8" w:rsidR="00776154" w:rsidRPr="001458E1" w:rsidRDefault="00776154" w:rsidP="00776154">
            <w:pPr>
              <w:ind w:left="34"/>
              <w:cnfStyle w:val="000000100000" w:firstRow="0" w:lastRow="0" w:firstColumn="0" w:lastColumn="0" w:oddVBand="0" w:evenVBand="0" w:oddHBand="1" w:evenHBand="0" w:firstRowFirstColumn="0" w:firstRowLastColumn="0" w:lastRowFirstColumn="0" w:lastRowLastColumn="0"/>
              <w:rPr>
                <w:szCs w:val="20"/>
                <w:lang w:eastAsia="en-AU"/>
              </w:rPr>
            </w:pPr>
            <w:r>
              <w:rPr>
                <w:szCs w:val="20"/>
                <w:lang w:eastAsia="en-AU"/>
              </w:rPr>
              <w:t>See Options and discussion</w:t>
            </w:r>
            <w:r w:rsidR="00DD1431">
              <w:rPr>
                <w:szCs w:val="20"/>
                <w:lang w:eastAsia="en-AU"/>
              </w:rPr>
              <w:t>.</w:t>
            </w:r>
          </w:p>
        </w:tc>
      </w:tr>
      <w:tr w:rsidR="00776154" w14:paraId="70E541A6" w14:textId="77777777" w:rsidTr="008410B2">
        <w:trPr>
          <w:cnfStyle w:val="000000010000" w:firstRow="0" w:lastRow="0" w:firstColumn="0" w:lastColumn="0" w:oddVBand="0" w:evenVBand="0" w:oddHBand="0" w:evenHBand="1" w:firstRowFirstColumn="0" w:firstRowLastColumn="0" w:lastRowFirstColumn="0" w:lastRowLastColumn="0"/>
          <w:trHeight w:val="641"/>
        </w:trPr>
        <w:tc>
          <w:tcPr>
            <w:cnfStyle w:val="001000000000" w:firstRow="0" w:lastRow="0" w:firstColumn="1" w:lastColumn="0" w:oddVBand="0" w:evenVBand="0" w:oddHBand="0" w:evenHBand="0" w:firstRowFirstColumn="0" w:firstRowLastColumn="0" w:lastRowFirstColumn="0" w:lastRowLastColumn="0"/>
            <w:tcW w:w="4952" w:type="dxa"/>
          </w:tcPr>
          <w:p w14:paraId="68DB3F4E" w14:textId="269BC2EC" w:rsidR="00776154" w:rsidRPr="0088180A" w:rsidRDefault="00776154" w:rsidP="004A6124">
            <w:pPr>
              <w:rPr>
                <w:b w:val="0"/>
                <w:szCs w:val="20"/>
                <w:lang w:val="en-AU" w:eastAsia="en-AU" w:bidi="ar-SA"/>
              </w:rPr>
            </w:pPr>
            <w:r>
              <w:rPr>
                <w:b w:val="0"/>
                <w:szCs w:val="20"/>
                <w:lang w:val="en-AU" w:eastAsia="en-AU" w:bidi="ar-SA"/>
              </w:rPr>
              <w:t xml:space="preserve">If specified maximum is needed, support alignment with </w:t>
            </w:r>
            <w:r w:rsidRPr="007B620C">
              <w:rPr>
                <w:b w:val="0"/>
                <w:szCs w:val="20"/>
              </w:rPr>
              <w:t xml:space="preserve">Codex STAN 72-1981 </w:t>
            </w:r>
            <w:r>
              <w:rPr>
                <w:b w:val="0"/>
                <w:szCs w:val="20"/>
              </w:rPr>
              <w:t xml:space="preserve">and EU </w:t>
            </w:r>
            <w:r w:rsidR="004A6124">
              <w:rPr>
                <w:b w:val="0"/>
                <w:szCs w:val="20"/>
              </w:rPr>
              <w:t xml:space="preserve">2016/127 </w:t>
            </w:r>
            <w:r>
              <w:rPr>
                <w:b w:val="0"/>
                <w:szCs w:val="20"/>
              </w:rPr>
              <w:t>(</w:t>
            </w:r>
            <w:r w:rsidRPr="007B620C">
              <w:rPr>
                <w:b w:val="0"/>
                <w:szCs w:val="20"/>
              </w:rPr>
              <w:t>2</w:t>
            </w:r>
            <w:r w:rsidR="004A6124">
              <w:rPr>
                <w:b w:val="0"/>
                <w:szCs w:val="20"/>
              </w:rPr>
              <w:t xml:space="preserve"> </w:t>
            </w:r>
            <w:r w:rsidRPr="007B620C">
              <w:rPr>
                <w:b w:val="0"/>
                <w:szCs w:val="20"/>
              </w:rPr>
              <w:t>g/L</w:t>
            </w:r>
            <w:r>
              <w:rPr>
                <w:b w:val="0"/>
                <w:szCs w:val="20"/>
              </w:rPr>
              <w:t>)</w:t>
            </w:r>
            <w:r w:rsidRPr="007B620C">
              <w:rPr>
                <w:b w:val="0"/>
                <w:szCs w:val="20"/>
              </w:rPr>
              <w:t xml:space="preserve"> </w:t>
            </w:r>
          </w:p>
        </w:tc>
        <w:tc>
          <w:tcPr>
            <w:tcW w:w="1559" w:type="dxa"/>
          </w:tcPr>
          <w:p w14:paraId="3E187B43" w14:textId="77777777" w:rsidR="00776154" w:rsidRDefault="00776154" w:rsidP="00776154">
            <w:pPr>
              <w:ind w:left="28" w:hanging="28"/>
              <w:cnfStyle w:val="000000010000" w:firstRow="0" w:lastRow="0" w:firstColumn="0" w:lastColumn="0" w:oddVBand="0" w:evenVBand="0" w:oddHBand="0" w:evenHBand="1" w:firstRowFirstColumn="0" w:firstRowLastColumn="0" w:lastRowFirstColumn="0" w:lastRowLastColumn="0"/>
            </w:pPr>
            <w:r>
              <w:t>Industry (2)</w:t>
            </w:r>
          </w:p>
        </w:tc>
        <w:tc>
          <w:tcPr>
            <w:tcW w:w="2986" w:type="dxa"/>
          </w:tcPr>
          <w:p w14:paraId="4C3D90B5" w14:textId="485DADBC" w:rsidR="00776154" w:rsidRPr="001458E1" w:rsidRDefault="00776154" w:rsidP="00776154">
            <w:pPr>
              <w:ind w:left="34"/>
              <w:cnfStyle w:val="000000010000" w:firstRow="0" w:lastRow="0" w:firstColumn="0" w:lastColumn="0" w:oddVBand="0" w:evenVBand="0" w:oddHBand="0" w:evenHBand="1" w:firstRowFirstColumn="0" w:firstRowLastColumn="0" w:lastRowFirstColumn="0" w:lastRowLastColumn="0"/>
              <w:rPr>
                <w:szCs w:val="20"/>
                <w:lang w:eastAsia="en-AU"/>
              </w:rPr>
            </w:pPr>
            <w:r w:rsidRPr="00DB6763">
              <w:rPr>
                <w:szCs w:val="20"/>
                <w:lang w:eastAsia="en-AU"/>
              </w:rPr>
              <w:t>See Options and discussion</w:t>
            </w:r>
            <w:r w:rsidR="00DD1431">
              <w:rPr>
                <w:szCs w:val="20"/>
                <w:lang w:eastAsia="en-AU"/>
              </w:rPr>
              <w:t>.</w:t>
            </w:r>
          </w:p>
        </w:tc>
      </w:tr>
      <w:tr w:rsidR="00776154" w14:paraId="66AAC261" w14:textId="77777777" w:rsidTr="008410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2" w:type="dxa"/>
          </w:tcPr>
          <w:p w14:paraId="26146B9A" w14:textId="0423A226" w:rsidR="00776154" w:rsidRDefault="00776154" w:rsidP="00776154">
            <w:pPr>
              <w:rPr>
                <w:b w:val="0"/>
                <w:lang w:val="en-AU"/>
              </w:rPr>
            </w:pPr>
            <w:r>
              <w:rPr>
                <w:b w:val="0"/>
                <w:lang w:val="en-AU"/>
              </w:rPr>
              <w:t xml:space="preserve">Questions whether a maximum limit will allow for </w:t>
            </w:r>
            <w:r w:rsidRPr="007B620C">
              <w:rPr>
                <w:b w:val="0"/>
                <w:szCs w:val="20"/>
              </w:rPr>
              <w:t xml:space="preserve">composition of soy and </w:t>
            </w:r>
            <w:r>
              <w:rPr>
                <w:b w:val="0"/>
                <w:szCs w:val="20"/>
              </w:rPr>
              <w:t>c</w:t>
            </w:r>
            <w:r w:rsidRPr="007B620C">
              <w:rPr>
                <w:b w:val="0"/>
                <w:szCs w:val="20"/>
              </w:rPr>
              <w:t xml:space="preserve">anola based formulas </w:t>
            </w:r>
            <w:r>
              <w:rPr>
                <w:b w:val="0"/>
                <w:szCs w:val="20"/>
              </w:rPr>
              <w:t>which h</w:t>
            </w:r>
            <w:r w:rsidRPr="007B620C">
              <w:rPr>
                <w:b w:val="0"/>
                <w:szCs w:val="20"/>
              </w:rPr>
              <w:t>ave intrinsically hig</w:t>
            </w:r>
            <w:r>
              <w:rPr>
                <w:b w:val="0"/>
                <w:szCs w:val="20"/>
              </w:rPr>
              <w:t xml:space="preserve">her natural PL levels and would the maximum </w:t>
            </w:r>
            <w:r w:rsidRPr="007B620C">
              <w:rPr>
                <w:b w:val="0"/>
                <w:szCs w:val="20"/>
              </w:rPr>
              <w:t>naturally occurring amounts</w:t>
            </w:r>
            <w:r w:rsidR="004A6124">
              <w:rPr>
                <w:b w:val="0"/>
                <w:szCs w:val="20"/>
              </w:rPr>
              <w:t>.</w:t>
            </w:r>
          </w:p>
        </w:tc>
        <w:tc>
          <w:tcPr>
            <w:tcW w:w="1559" w:type="dxa"/>
          </w:tcPr>
          <w:p w14:paraId="7870B4CE" w14:textId="77777777" w:rsidR="00776154" w:rsidRDefault="00776154" w:rsidP="00776154">
            <w:pPr>
              <w:ind w:left="28" w:hanging="28"/>
              <w:cnfStyle w:val="000000100000" w:firstRow="0" w:lastRow="0" w:firstColumn="0" w:lastColumn="0" w:oddVBand="0" w:evenVBand="0" w:oddHBand="1" w:evenHBand="0" w:firstRowFirstColumn="0" w:firstRowLastColumn="0" w:lastRowFirstColumn="0" w:lastRowLastColumn="0"/>
            </w:pPr>
            <w:r>
              <w:t>Industry (1)</w:t>
            </w:r>
          </w:p>
        </w:tc>
        <w:tc>
          <w:tcPr>
            <w:tcW w:w="2986" w:type="dxa"/>
          </w:tcPr>
          <w:p w14:paraId="0C885ED5" w14:textId="2C224D70" w:rsidR="00776154" w:rsidRPr="001458E1" w:rsidRDefault="008107DE" w:rsidP="008107DE">
            <w:pPr>
              <w:cnfStyle w:val="000000100000" w:firstRow="0" w:lastRow="0" w:firstColumn="0" w:lastColumn="0" w:oddVBand="0" w:evenVBand="0" w:oddHBand="1" w:evenHBand="0" w:firstRowFirstColumn="0" w:firstRowLastColumn="0" w:lastRowFirstColumn="0" w:lastRowLastColumn="0"/>
              <w:rPr>
                <w:szCs w:val="20"/>
                <w:lang w:eastAsia="en-AU"/>
              </w:rPr>
            </w:pPr>
            <w:r w:rsidRPr="00A80B4C">
              <w:rPr>
                <w:szCs w:val="20"/>
              </w:rPr>
              <w:t>In line with international regulations, FSANZ considers that t</w:t>
            </w:r>
            <w:r w:rsidR="00776154" w:rsidRPr="00A80B4C">
              <w:rPr>
                <w:szCs w:val="20"/>
              </w:rPr>
              <w:t xml:space="preserve">he maximum </w:t>
            </w:r>
            <w:r w:rsidR="009428AB" w:rsidRPr="00A80B4C">
              <w:rPr>
                <w:szCs w:val="20"/>
              </w:rPr>
              <w:t xml:space="preserve">PL </w:t>
            </w:r>
            <w:r w:rsidR="00776154" w:rsidRPr="00A80B4C">
              <w:rPr>
                <w:szCs w:val="20"/>
              </w:rPr>
              <w:t>amount would  include all sources of PL and would be applied to all IF</w:t>
            </w:r>
            <w:r w:rsidRPr="00A80B4C">
              <w:rPr>
                <w:szCs w:val="20"/>
              </w:rPr>
              <w:t xml:space="preserve"> products</w:t>
            </w:r>
            <w:r w:rsidR="00776154" w:rsidRPr="00A80B4C">
              <w:rPr>
                <w:szCs w:val="20"/>
              </w:rPr>
              <w:t>.</w:t>
            </w:r>
          </w:p>
        </w:tc>
      </w:tr>
      <w:tr w:rsidR="00776154" w14:paraId="5D175F63" w14:textId="77777777" w:rsidTr="008410B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2" w:type="dxa"/>
          </w:tcPr>
          <w:p w14:paraId="3FEFFB80" w14:textId="489A5AAB" w:rsidR="00776154" w:rsidRPr="005B374A" w:rsidRDefault="00776154" w:rsidP="004A6124">
            <w:pPr>
              <w:rPr>
                <w:b w:val="0"/>
                <w:szCs w:val="20"/>
              </w:rPr>
            </w:pPr>
            <w:r>
              <w:rPr>
                <w:b w:val="0"/>
                <w:szCs w:val="20"/>
              </w:rPr>
              <w:t xml:space="preserve">Support restriction on the amount of PL with </w:t>
            </w:r>
            <w:r w:rsidRPr="004712DF">
              <w:rPr>
                <w:b w:val="0"/>
                <w:szCs w:val="20"/>
              </w:rPr>
              <w:t>further assessment</w:t>
            </w:r>
            <w:r>
              <w:rPr>
                <w:b w:val="0"/>
                <w:szCs w:val="20"/>
              </w:rPr>
              <w:t xml:space="preserve"> to </w:t>
            </w:r>
            <w:r w:rsidRPr="005B374A">
              <w:rPr>
                <w:b w:val="0"/>
                <w:szCs w:val="20"/>
              </w:rPr>
              <w:t>consider the appropriate maximum level</w:t>
            </w:r>
            <w:r>
              <w:rPr>
                <w:b w:val="0"/>
                <w:szCs w:val="20"/>
              </w:rPr>
              <w:t xml:space="preserve">. Noting that PL </w:t>
            </w:r>
            <w:r w:rsidRPr="004712DF">
              <w:rPr>
                <w:b w:val="0"/>
                <w:szCs w:val="20"/>
              </w:rPr>
              <w:t xml:space="preserve">can </w:t>
            </w:r>
            <w:r w:rsidRPr="005B374A">
              <w:rPr>
                <w:b w:val="0"/>
                <w:szCs w:val="20"/>
              </w:rPr>
              <w:t>be sources of other nutrients, (serine or choline</w:t>
            </w:r>
            <w:r>
              <w:rPr>
                <w:b w:val="0"/>
                <w:szCs w:val="20"/>
              </w:rPr>
              <w:t xml:space="preserve">), </w:t>
            </w:r>
            <w:r w:rsidRPr="004712DF">
              <w:rPr>
                <w:b w:val="0"/>
                <w:szCs w:val="20"/>
              </w:rPr>
              <w:t xml:space="preserve">it is important that any permissions for </w:t>
            </w:r>
            <w:r w:rsidR="004A6124">
              <w:rPr>
                <w:b w:val="0"/>
                <w:szCs w:val="20"/>
              </w:rPr>
              <w:t>PL</w:t>
            </w:r>
            <w:r w:rsidR="004A6124" w:rsidRPr="004712DF">
              <w:rPr>
                <w:b w:val="0"/>
                <w:szCs w:val="20"/>
              </w:rPr>
              <w:t xml:space="preserve"> </w:t>
            </w:r>
            <w:r w:rsidRPr="004712DF">
              <w:rPr>
                <w:b w:val="0"/>
                <w:szCs w:val="20"/>
              </w:rPr>
              <w:t>are clear</w:t>
            </w:r>
            <w:r>
              <w:rPr>
                <w:b w:val="0"/>
                <w:szCs w:val="20"/>
              </w:rPr>
              <w:t xml:space="preserve"> with regard to </w:t>
            </w:r>
            <w:r w:rsidRPr="004712DF">
              <w:rPr>
                <w:b w:val="0"/>
                <w:szCs w:val="20"/>
              </w:rPr>
              <w:t>how contribu</w:t>
            </w:r>
            <w:r>
              <w:rPr>
                <w:b w:val="0"/>
                <w:szCs w:val="20"/>
              </w:rPr>
              <w:t xml:space="preserve">tions to other nutrient levels </w:t>
            </w:r>
            <w:r w:rsidRPr="004712DF">
              <w:rPr>
                <w:b w:val="0"/>
                <w:szCs w:val="20"/>
              </w:rPr>
              <w:t xml:space="preserve">are calculated. </w:t>
            </w:r>
            <w:r>
              <w:rPr>
                <w:b w:val="0"/>
                <w:szCs w:val="20"/>
              </w:rPr>
              <w:t xml:space="preserve">Clarification on PL amounts depending on the source ingredient is also needed. </w:t>
            </w:r>
            <w:r>
              <w:rPr>
                <w:szCs w:val="20"/>
              </w:rPr>
              <w:t xml:space="preserve"> </w:t>
            </w:r>
          </w:p>
        </w:tc>
        <w:tc>
          <w:tcPr>
            <w:tcW w:w="1559" w:type="dxa"/>
          </w:tcPr>
          <w:p w14:paraId="7490256E" w14:textId="77777777" w:rsidR="00776154" w:rsidRDefault="00776154" w:rsidP="00776154">
            <w:pPr>
              <w:ind w:left="28" w:hanging="28"/>
              <w:cnfStyle w:val="000000010000" w:firstRow="0" w:lastRow="0" w:firstColumn="0" w:lastColumn="0" w:oddVBand="0" w:evenVBand="0" w:oddHBand="0" w:evenHBand="1" w:firstRowFirstColumn="0" w:firstRowLastColumn="0" w:lastRowFirstColumn="0" w:lastRowLastColumn="0"/>
            </w:pPr>
            <w:r>
              <w:t>Government (1)</w:t>
            </w:r>
          </w:p>
        </w:tc>
        <w:tc>
          <w:tcPr>
            <w:tcW w:w="2986" w:type="dxa"/>
          </w:tcPr>
          <w:p w14:paraId="58F8D52F" w14:textId="05D53D6B" w:rsidR="00776154" w:rsidRPr="005B374A" w:rsidRDefault="00776154" w:rsidP="00776154">
            <w:pPr>
              <w:ind w:left="34"/>
              <w:cnfStyle w:val="000000010000" w:firstRow="0" w:lastRow="0" w:firstColumn="0" w:lastColumn="0" w:oddVBand="0" w:evenVBand="0" w:oddHBand="0" w:evenHBand="1" w:firstRowFirstColumn="0" w:firstRowLastColumn="0" w:lastRowFirstColumn="0" w:lastRowLastColumn="0"/>
              <w:rPr>
                <w:szCs w:val="20"/>
                <w:lang w:eastAsia="en-AU"/>
              </w:rPr>
            </w:pPr>
            <w:r w:rsidRPr="005B374A">
              <w:rPr>
                <w:szCs w:val="20"/>
                <w:lang w:eastAsia="en-AU"/>
              </w:rPr>
              <w:t>See Options and discussion</w:t>
            </w:r>
            <w:r w:rsidR="00DD1431">
              <w:rPr>
                <w:szCs w:val="20"/>
                <w:lang w:eastAsia="en-AU"/>
              </w:rPr>
              <w:t>.</w:t>
            </w:r>
          </w:p>
        </w:tc>
      </w:tr>
      <w:tr w:rsidR="00776154" w14:paraId="6D539231" w14:textId="77777777" w:rsidTr="008410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2" w:type="dxa"/>
          </w:tcPr>
          <w:p w14:paraId="64B347B5" w14:textId="63771AA0" w:rsidR="00776154" w:rsidRPr="004712DF" w:rsidRDefault="00776154" w:rsidP="004A6124">
            <w:pPr>
              <w:rPr>
                <w:b w:val="0"/>
                <w:szCs w:val="20"/>
              </w:rPr>
            </w:pPr>
            <w:r>
              <w:rPr>
                <w:b w:val="0"/>
                <w:szCs w:val="20"/>
              </w:rPr>
              <w:t>Support alignment with Codex STAN 72-1981 but noted that PL</w:t>
            </w:r>
            <w:r w:rsidRPr="004712DF">
              <w:rPr>
                <w:b w:val="0"/>
                <w:szCs w:val="20"/>
              </w:rPr>
              <w:t xml:space="preserve"> should not exceed the amount that normally occurs in breast or</w:t>
            </w:r>
            <w:r>
              <w:rPr>
                <w:b w:val="0"/>
                <w:szCs w:val="20"/>
              </w:rPr>
              <w:t xml:space="preserve"> </w:t>
            </w:r>
            <w:r w:rsidRPr="004712DF">
              <w:rPr>
                <w:b w:val="0"/>
                <w:szCs w:val="20"/>
              </w:rPr>
              <w:t>cow’s milk (</w:t>
            </w:r>
            <w:r>
              <w:rPr>
                <w:b w:val="0"/>
                <w:szCs w:val="20"/>
              </w:rPr>
              <w:t>0.1</w:t>
            </w:r>
            <w:r w:rsidR="004A6124">
              <w:rPr>
                <w:b w:val="0"/>
                <w:szCs w:val="20"/>
              </w:rPr>
              <w:t>–</w:t>
            </w:r>
            <w:r w:rsidRPr="00DB6763">
              <w:rPr>
                <w:b w:val="0"/>
                <w:szCs w:val="20"/>
              </w:rPr>
              <w:t>0.2 g/</w:t>
            </w:r>
            <w:r w:rsidRPr="005B374A">
              <w:rPr>
                <w:b w:val="0"/>
                <w:szCs w:val="20"/>
              </w:rPr>
              <w:t>L)</w:t>
            </w:r>
            <w:r>
              <w:rPr>
                <w:b w:val="0"/>
                <w:szCs w:val="20"/>
              </w:rPr>
              <w:t xml:space="preserve"> </w:t>
            </w:r>
            <w:r w:rsidRPr="004712DF">
              <w:rPr>
                <w:b w:val="0"/>
                <w:szCs w:val="20"/>
              </w:rPr>
              <w:t>due to their potential bioactivity, lack of safety data</w:t>
            </w:r>
            <w:r>
              <w:rPr>
                <w:b w:val="0"/>
                <w:szCs w:val="20"/>
              </w:rPr>
              <w:t xml:space="preserve"> </w:t>
            </w:r>
            <w:r w:rsidRPr="004712DF">
              <w:rPr>
                <w:b w:val="0"/>
                <w:szCs w:val="20"/>
              </w:rPr>
              <w:t xml:space="preserve">and insufficient evidence of their benefit. </w:t>
            </w:r>
          </w:p>
        </w:tc>
        <w:tc>
          <w:tcPr>
            <w:tcW w:w="1559" w:type="dxa"/>
          </w:tcPr>
          <w:p w14:paraId="4CD2D66D" w14:textId="77777777" w:rsidR="00776154" w:rsidRDefault="00776154" w:rsidP="00776154">
            <w:pPr>
              <w:ind w:left="28" w:hanging="28"/>
              <w:cnfStyle w:val="000000100000" w:firstRow="0" w:lastRow="0" w:firstColumn="0" w:lastColumn="0" w:oddVBand="0" w:evenVBand="0" w:oddHBand="1" w:evenHBand="0" w:firstRowFirstColumn="0" w:firstRowLastColumn="0" w:lastRowFirstColumn="0" w:lastRowLastColumn="0"/>
            </w:pPr>
            <w:r>
              <w:t xml:space="preserve">Government (2) </w:t>
            </w:r>
          </w:p>
        </w:tc>
        <w:tc>
          <w:tcPr>
            <w:tcW w:w="2986" w:type="dxa"/>
          </w:tcPr>
          <w:p w14:paraId="4F78EE1C" w14:textId="7250D1E7" w:rsidR="00776154" w:rsidRDefault="00776154" w:rsidP="00776154">
            <w:pPr>
              <w:ind w:left="34"/>
              <w:cnfStyle w:val="000000100000" w:firstRow="0" w:lastRow="0" w:firstColumn="0" w:lastColumn="0" w:oddVBand="0" w:evenVBand="0" w:oddHBand="1" w:evenHBand="0" w:firstRowFirstColumn="0" w:firstRowLastColumn="0" w:lastRowFirstColumn="0" w:lastRowLastColumn="0"/>
              <w:rPr>
                <w:szCs w:val="20"/>
                <w:lang w:eastAsia="en-AU"/>
              </w:rPr>
            </w:pPr>
            <w:r w:rsidRPr="005B374A">
              <w:rPr>
                <w:szCs w:val="20"/>
                <w:lang w:eastAsia="en-AU"/>
              </w:rPr>
              <w:t>See Options and discussion</w:t>
            </w:r>
            <w:r w:rsidR="00DD1431">
              <w:rPr>
                <w:szCs w:val="20"/>
                <w:lang w:eastAsia="en-AU"/>
              </w:rPr>
              <w:t>.</w:t>
            </w:r>
          </w:p>
        </w:tc>
      </w:tr>
    </w:tbl>
    <w:p w14:paraId="3A1C62D4" w14:textId="39F584A7" w:rsidR="00776154" w:rsidRDefault="004A6124" w:rsidP="00776154">
      <w:pPr>
        <w:pStyle w:val="Heading4"/>
        <w:rPr>
          <w:lang w:eastAsia="en-AU"/>
        </w:rPr>
      </w:pPr>
      <w:r>
        <w:rPr>
          <w:lang w:eastAsia="en-AU"/>
        </w:rPr>
        <w:t>Nutrition r</w:t>
      </w:r>
      <w:r w:rsidR="00776154">
        <w:rPr>
          <w:lang w:eastAsia="en-AU"/>
        </w:rPr>
        <w:t>isk assessment</w:t>
      </w:r>
    </w:p>
    <w:p w14:paraId="3840039A" w14:textId="77777777" w:rsidR="00D90E3F" w:rsidRDefault="00D90E3F" w:rsidP="00D90E3F">
      <w:pPr>
        <w:rPr>
          <w:lang w:val="en-AU" w:eastAsia="en-AU" w:bidi="ar-SA"/>
        </w:rPr>
      </w:pPr>
      <w:r>
        <w:rPr>
          <w:lang w:val="en-AU" w:eastAsia="en-AU" w:bidi="ar-SA"/>
        </w:rPr>
        <w:t xml:space="preserve">No further nutrition risk assessment has been considered on this issue. </w:t>
      </w:r>
    </w:p>
    <w:p w14:paraId="000D9202" w14:textId="38F3E50C" w:rsidR="00776154" w:rsidRPr="00D15DE5" w:rsidRDefault="00776154" w:rsidP="00D15DE5">
      <w:pPr>
        <w:pStyle w:val="Heading4"/>
        <w:ind w:left="0" w:firstLine="0"/>
        <w:rPr>
          <w:lang w:eastAsia="en-AU"/>
        </w:rPr>
      </w:pPr>
      <w:r>
        <w:rPr>
          <w:lang w:eastAsia="en-AU"/>
        </w:rPr>
        <w:t>Options and discussion</w:t>
      </w:r>
    </w:p>
    <w:p w14:paraId="23A6F779" w14:textId="3ECE96E9" w:rsidR="00776154" w:rsidRDefault="00776154" w:rsidP="00776154">
      <w:pPr>
        <w:rPr>
          <w:lang w:val="en-AU" w:eastAsia="en-AU" w:bidi="ar-SA"/>
        </w:rPr>
      </w:pPr>
      <w:r w:rsidRPr="00901BF8">
        <w:rPr>
          <w:lang w:val="en-AU" w:eastAsia="en-AU" w:bidi="ar-SA"/>
        </w:rPr>
        <w:t xml:space="preserve">International opinion, standards and regulations </w:t>
      </w:r>
      <w:r w:rsidR="009E081D">
        <w:rPr>
          <w:lang w:val="en-AU" w:eastAsia="en-AU" w:bidi="ar-SA"/>
        </w:rPr>
        <w:t xml:space="preserve">on maximum PL levels vary </w:t>
      </w:r>
      <w:r>
        <w:rPr>
          <w:lang w:val="en-AU" w:eastAsia="en-AU" w:bidi="ar-SA"/>
        </w:rPr>
        <w:t xml:space="preserve">depending on whether </w:t>
      </w:r>
      <w:r w:rsidR="00BB7EE0">
        <w:rPr>
          <w:lang w:val="en-AU" w:eastAsia="en-AU" w:bidi="ar-SA"/>
        </w:rPr>
        <w:t xml:space="preserve">PL is present </w:t>
      </w:r>
      <w:r>
        <w:rPr>
          <w:lang w:val="en-AU" w:eastAsia="en-AU" w:bidi="ar-SA"/>
        </w:rPr>
        <w:t>as a nutritive substance or as</w:t>
      </w:r>
      <w:r w:rsidR="00BB7EE0">
        <w:rPr>
          <w:lang w:val="en-AU" w:eastAsia="en-AU" w:bidi="ar-SA"/>
        </w:rPr>
        <w:t xml:space="preserve"> the</w:t>
      </w:r>
      <w:r>
        <w:rPr>
          <w:lang w:val="en-AU" w:eastAsia="en-AU" w:bidi="ar-SA"/>
        </w:rPr>
        <w:t xml:space="preserve"> food additive/processing aid lecithin (Table </w:t>
      </w:r>
      <w:r w:rsidR="00385AF6">
        <w:rPr>
          <w:lang w:val="en-AU" w:eastAsia="en-AU" w:bidi="ar-SA"/>
        </w:rPr>
        <w:t>5</w:t>
      </w:r>
      <w:r w:rsidR="00F24147">
        <w:rPr>
          <w:lang w:val="en-AU" w:eastAsia="en-AU" w:bidi="ar-SA"/>
        </w:rPr>
        <w:t>.</w:t>
      </w:r>
      <w:r w:rsidR="008410B2">
        <w:rPr>
          <w:lang w:val="en-AU" w:eastAsia="en-AU" w:bidi="ar-SA"/>
        </w:rPr>
        <w:t>10</w:t>
      </w:r>
      <w:r>
        <w:rPr>
          <w:lang w:val="en-AU" w:eastAsia="en-AU" w:bidi="ar-SA"/>
        </w:rPr>
        <w:t xml:space="preserve">). For PL as a nutritive substance, there is alignment across </w:t>
      </w:r>
      <w:r w:rsidR="005B2BF2">
        <w:rPr>
          <w:lang w:val="en-AU" w:eastAsia="en-AU" w:bidi="ar-SA"/>
        </w:rPr>
        <w:t xml:space="preserve">expert panel </w:t>
      </w:r>
      <w:r>
        <w:rPr>
          <w:lang w:val="en-AU" w:eastAsia="en-AU" w:bidi="ar-SA"/>
        </w:rPr>
        <w:t xml:space="preserve">recommendations, Codex </w:t>
      </w:r>
      <w:r w:rsidR="00F24147">
        <w:rPr>
          <w:lang w:val="en-AU" w:eastAsia="en-AU" w:bidi="ar-SA"/>
        </w:rPr>
        <w:t>STAN 72-1982</w:t>
      </w:r>
      <w:r>
        <w:rPr>
          <w:lang w:val="en-AU" w:eastAsia="en-AU" w:bidi="ar-SA"/>
        </w:rPr>
        <w:t xml:space="preserve"> and </w:t>
      </w:r>
      <w:r w:rsidR="00F24147">
        <w:rPr>
          <w:lang w:val="en-AU" w:eastAsia="en-AU" w:bidi="ar-SA"/>
        </w:rPr>
        <w:t>EU 2016/127</w:t>
      </w:r>
      <w:r w:rsidR="005B2BF2">
        <w:rPr>
          <w:lang w:val="en-AU" w:eastAsia="en-AU" w:bidi="ar-SA"/>
        </w:rPr>
        <w:t>, although t</w:t>
      </w:r>
      <w:r>
        <w:rPr>
          <w:lang w:val="en-AU" w:eastAsia="en-AU" w:bidi="ar-SA"/>
        </w:rPr>
        <w:t xml:space="preserve">he justification </w:t>
      </w:r>
      <w:r w:rsidR="00C757F5">
        <w:rPr>
          <w:lang w:val="en-AU" w:eastAsia="en-AU" w:bidi="ar-SA"/>
        </w:rPr>
        <w:t xml:space="preserve">for this </w:t>
      </w:r>
      <w:r w:rsidR="0013751C">
        <w:rPr>
          <w:lang w:val="en-AU" w:eastAsia="en-AU" w:bidi="ar-SA"/>
        </w:rPr>
        <w:t xml:space="preserve">amount has </w:t>
      </w:r>
      <w:r w:rsidR="005B2BF2">
        <w:rPr>
          <w:lang w:val="en-AU" w:eastAsia="en-AU" w:bidi="ar-SA"/>
        </w:rPr>
        <w:t xml:space="preserve">not </w:t>
      </w:r>
      <w:r w:rsidR="0013751C">
        <w:rPr>
          <w:lang w:val="en-AU" w:eastAsia="en-AU" w:bidi="ar-SA"/>
        </w:rPr>
        <w:t xml:space="preserve">been </w:t>
      </w:r>
      <w:r w:rsidR="005B2BF2">
        <w:rPr>
          <w:lang w:val="en-AU" w:eastAsia="en-AU" w:bidi="ar-SA"/>
        </w:rPr>
        <w:t xml:space="preserve">clearly </w:t>
      </w:r>
      <w:r w:rsidR="0013751C">
        <w:rPr>
          <w:lang w:val="en-AU" w:eastAsia="en-AU" w:bidi="ar-SA"/>
        </w:rPr>
        <w:t>reported</w:t>
      </w:r>
      <w:r>
        <w:rPr>
          <w:lang w:val="en-AU" w:eastAsia="en-AU" w:bidi="ar-SA"/>
        </w:rPr>
        <w:t>.</w:t>
      </w:r>
      <w:r w:rsidR="005B2BF2" w:rsidRPr="005B2BF2">
        <w:rPr>
          <w:lang w:val="en-AU" w:eastAsia="en-AU" w:bidi="ar-SA"/>
        </w:rPr>
        <w:t xml:space="preserve"> </w:t>
      </w:r>
    </w:p>
    <w:p w14:paraId="57709EE5" w14:textId="77777777" w:rsidR="00D15DE5" w:rsidRDefault="00D15DE5" w:rsidP="00776154">
      <w:pPr>
        <w:rPr>
          <w:lang w:val="en-AU" w:eastAsia="en-AU" w:bidi="ar-SA"/>
        </w:rPr>
      </w:pPr>
    </w:p>
    <w:p w14:paraId="53270336" w14:textId="0D7B8F24" w:rsidR="00D15DE5" w:rsidRDefault="00D15DE5" w:rsidP="00D15DE5">
      <w:pPr>
        <w:rPr>
          <w:lang w:val="en-AU" w:eastAsia="en-AU" w:bidi="ar-SA"/>
        </w:rPr>
      </w:pPr>
      <w:r>
        <w:t xml:space="preserve">Regarding lecithin, FSANZ has not conducted nutrition risk assessment for the use of lecithin in infant formula or conducted a review to determine whether there is a history of safe use up to the permitted maximum level in Schedule 15 (5 g/L for all foods). </w:t>
      </w:r>
      <w:r>
        <w:rPr>
          <w:lang w:val="en-AU" w:eastAsia="en-AU" w:bidi="ar-SA"/>
        </w:rPr>
        <w:t>EFSA re-evaluated the safety of lecithins as a food additive in foods for infants and concluded that lecithin up to a maximum permitted level of 1 g/L does not raise safety concerns (EFSA 2020).</w:t>
      </w:r>
    </w:p>
    <w:p w14:paraId="24E25494" w14:textId="77777777" w:rsidR="00D15DE5" w:rsidRDefault="00D15DE5" w:rsidP="00776154">
      <w:pPr>
        <w:rPr>
          <w:lang w:val="en-AU" w:eastAsia="en-AU" w:bidi="ar-SA"/>
        </w:rPr>
      </w:pPr>
    </w:p>
    <w:p w14:paraId="005E79D3" w14:textId="3F0DEA0B" w:rsidR="0013751C" w:rsidRDefault="009E081D" w:rsidP="00776154">
      <w:pPr>
        <w:rPr>
          <w:lang w:val="en-AU" w:eastAsia="en-AU" w:bidi="ar-SA"/>
        </w:rPr>
      </w:pPr>
      <w:r w:rsidRPr="0013751C">
        <w:t>Regulation (EC) No 1333/2008</w:t>
      </w:r>
      <w:r w:rsidR="00776154">
        <w:rPr>
          <w:lang w:val="en-AU" w:eastAsia="en-AU" w:bidi="ar-SA"/>
        </w:rPr>
        <w:t xml:space="preserve"> sets a maximum of 1 g/L lecithin whereas the infant formula regulation (EU 2016/127) sets a maximum for PL of 2 g/L.</w:t>
      </w:r>
      <w:r w:rsidR="00D15DE5">
        <w:rPr>
          <w:lang w:val="en-AU" w:eastAsia="en-AU" w:bidi="ar-SA"/>
        </w:rPr>
        <w:t xml:space="preserve"> If soy</w:t>
      </w:r>
      <w:r w:rsidR="00BB7EE0">
        <w:rPr>
          <w:lang w:val="en-AU" w:eastAsia="en-AU" w:bidi="ar-SA"/>
        </w:rPr>
        <w:t xml:space="preserve"> lecithin</w:t>
      </w:r>
      <w:r w:rsidR="0064756F">
        <w:rPr>
          <w:lang w:val="en-AU" w:eastAsia="en-AU" w:bidi="ar-SA"/>
        </w:rPr>
        <w:t xml:space="preserve"> </w:t>
      </w:r>
      <w:r w:rsidR="00D15DE5">
        <w:rPr>
          <w:lang w:val="en-AU" w:eastAsia="en-AU" w:bidi="ar-SA"/>
        </w:rPr>
        <w:t xml:space="preserve">(which </w:t>
      </w:r>
      <w:r w:rsidR="0013751C">
        <w:rPr>
          <w:lang w:val="en-AU" w:eastAsia="en-AU" w:bidi="ar-SA"/>
        </w:rPr>
        <w:t>is reported to be 65-75% PL and higher</w:t>
      </w:r>
      <w:r w:rsidR="00D15DE5">
        <w:rPr>
          <w:lang w:val="en-AU" w:eastAsia="en-AU" w:bidi="ar-SA"/>
        </w:rPr>
        <w:t xml:space="preserve"> compared to other sources of lecithin) </w:t>
      </w:r>
      <w:r w:rsidR="0064756F">
        <w:rPr>
          <w:lang w:val="en-AU" w:eastAsia="en-AU" w:bidi="ar-SA"/>
        </w:rPr>
        <w:t>was used at 1 g/L</w:t>
      </w:r>
      <w:r w:rsidR="00BB7EE0">
        <w:rPr>
          <w:lang w:val="en-AU" w:eastAsia="en-AU" w:bidi="ar-SA"/>
        </w:rPr>
        <w:t xml:space="preserve">, the </w:t>
      </w:r>
      <w:r w:rsidR="00776154">
        <w:rPr>
          <w:lang w:val="en-AU" w:eastAsia="en-AU" w:bidi="ar-SA"/>
        </w:rPr>
        <w:t>maximum amount of PL in infant formula would be</w:t>
      </w:r>
      <w:r w:rsidR="00BB7EE0">
        <w:rPr>
          <w:lang w:val="en-AU" w:eastAsia="en-AU" w:bidi="ar-SA"/>
        </w:rPr>
        <w:t xml:space="preserve"> expected to be in the range of 0.65-0.75 g/L</w:t>
      </w:r>
      <w:r w:rsidR="0013751C">
        <w:rPr>
          <w:lang w:val="en-AU" w:eastAsia="en-AU" w:bidi="ar-SA"/>
        </w:rPr>
        <w:t xml:space="preserve">, </w:t>
      </w:r>
      <w:r w:rsidR="0064756F">
        <w:rPr>
          <w:lang w:val="en-AU" w:eastAsia="en-AU" w:bidi="ar-SA"/>
        </w:rPr>
        <w:t>well below the maximum permitted</w:t>
      </w:r>
      <w:r w:rsidR="0013751C">
        <w:rPr>
          <w:lang w:val="en-AU" w:eastAsia="en-AU" w:bidi="ar-SA"/>
        </w:rPr>
        <w:t xml:space="preserve"> level for PL under EU 2016/127</w:t>
      </w:r>
      <w:r w:rsidR="0064756F">
        <w:rPr>
          <w:lang w:val="en-AU" w:eastAsia="en-AU" w:bidi="ar-SA"/>
        </w:rPr>
        <w:t>.</w:t>
      </w:r>
      <w:r w:rsidR="00BB7EE0">
        <w:rPr>
          <w:lang w:val="en-AU" w:eastAsia="en-AU" w:bidi="ar-SA"/>
        </w:rPr>
        <w:t xml:space="preserve"> </w:t>
      </w:r>
    </w:p>
    <w:p w14:paraId="1AB69D71" w14:textId="77777777" w:rsidR="0013751C" w:rsidRDefault="0013751C" w:rsidP="00776154">
      <w:pPr>
        <w:rPr>
          <w:lang w:val="en-AU" w:eastAsia="en-AU" w:bidi="ar-SA"/>
        </w:rPr>
      </w:pPr>
    </w:p>
    <w:p w14:paraId="168C98AD" w14:textId="5E7A2E39" w:rsidR="00776154" w:rsidRDefault="009E081D" w:rsidP="00776154">
      <w:pPr>
        <w:rPr>
          <w:lang w:val="en-AU" w:eastAsia="en-AU" w:bidi="ar-SA"/>
        </w:rPr>
      </w:pPr>
      <w:r>
        <w:rPr>
          <w:lang w:val="en-AU" w:eastAsia="en-AU" w:bidi="ar-SA"/>
        </w:rPr>
        <w:lastRenderedPageBreak/>
        <w:t xml:space="preserve">We noted in the FSANZ 2016 assessment that </w:t>
      </w:r>
      <w:r w:rsidRPr="009E081D">
        <w:rPr>
          <w:lang w:val="en-AU" w:eastAsia="en-AU" w:bidi="ar-SA"/>
        </w:rPr>
        <w:t xml:space="preserve">that soy lecithin added at 5 g/L would add about 3.75 g/L of PL which exceeds the maximum PL amount in Codex STAN 72-1981 </w:t>
      </w:r>
      <w:r w:rsidR="0013751C">
        <w:rPr>
          <w:lang w:val="en-AU" w:eastAsia="en-AU" w:bidi="ar-SA"/>
        </w:rPr>
        <w:t>and EU 2016/127</w:t>
      </w:r>
      <w:r w:rsidRPr="009E081D">
        <w:rPr>
          <w:lang w:val="en-AU" w:eastAsia="en-AU" w:bidi="ar-SA"/>
        </w:rPr>
        <w:t>.</w:t>
      </w:r>
    </w:p>
    <w:p w14:paraId="2D9D5499" w14:textId="4BE09CA2" w:rsidR="00D15DE5" w:rsidRDefault="00D15DE5" w:rsidP="00776154">
      <w:pPr>
        <w:rPr>
          <w:lang w:val="en-AU" w:eastAsia="en-AU" w:bidi="ar-SA"/>
        </w:rPr>
      </w:pPr>
    </w:p>
    <w:p w14:paraId="02E5CECB" w14:textId="16FC96EF" w:rsidR="00D15DE5" w:rsidRDefault="00D15DE5" w:rsidP="00776154">
      <w:r>
        <w:rPr>
          <w:lang w:val="en-AU" w:eastAsia="en-AU" w:bidi="ar-SA"/>
        </w:rPr>
        <w:t xml:space="preserve">FSANZ notes that based on industry supplied data, the 2020 EFSA review reported the total phospholipid content in formula using soy lecithin and sunflower lecithin was </w:t>
      </w:r>
      <w:r>
        <w:t xml:space="preserve">239.7 </w:t>
      </w:r>
      <w:r>
        <w:rPr>
          <w:rFonts w:ascii="Times New Roman" w:hAnsi="Times New Roman"/>
        </w:rPr>
        <w:t>±</w:t>
      </w:r>
      <w:r>
        <w:t xml:space="preserve"> 216.7 202.3 </w:t>
      </w:r>
      <w:r>
        <w:rPr>
          <w:rFonts w:ascii="Times New Roman" w:hAnsi="Times New Roman"/>
        </w:rPr>
        <w:t>±</w:t>
      </w:r>
      <w:r>
        <w:t xml:space="preserve"> 182.9</w:t>
      </w:r>
      <w:r w:rsidR="0013751C">
        <w:t xml:space="preserve"> mg/L</w:t>
      </w:r>
      <w:r>
        <w:t xml:space="preserve">, respectively, </w:t>
      </w:r>
      <w:r w:rsidR="0013751C">
        <w:t xml:space="preserve">which is </w:t>
      </w:r>
      <w:r>
        <w:rPr>
          <w:lang w:val="en-AU" w:eastAsia="en-AU" w:bidi="ar-SA"/>
        </w:rPr>
        <w:t>compar</w:t>
      </w:r>
      <w:r w:rsidR="0013751C">
        <w:rPr>
          <w:lang w:val="en-AU" w:eastAsia="en-AU" w:bidi="ar-SA"/>
        </w:rPr>
        <w:t xml:space="preserve">able to that </w:t>
      </w:r>
      <w:r>
        <w:t>reported for mature human milk</w:t>
      </w:r>
      <w:r w:rsidR="0013751C">
        <w:t xml:space="preserve"> (248 </w:t>
      </w:r>
      <w:r w:rsidR="0013751C">
        <w:rPr>
          <w:rFonts w:ascii="Times New Roman" w:hAnsi="Times New Roman"/>
        </w:rPr>
        <w:t>±</w:t>
      </w:r>
      <w:r w:rsidR="0013751C">
        <w:t xml:space="preserve"> 91 mg/L)</w:t>
      </w:r>
      <w:r>
        <w:t xml:space="preserve">. </w:t>
      </w:r>
      <w:r w:rsidR="00B720B5">
        <w:t>This indicates that soy lecithin used in infant formulas manufactured in the European market is consistent with human milk PL content and is able to meet the EU 2016/127 restriction on PL amounts.</w:t>
      </w:r>
    </w:p>
    <w:p w14:paraId="733717CD" w14:textId="77777777" w:rsidR="00C757F5" w:rsidRDefault="00C757F5" w:rsidP="00776154">
      <w:pPr>
        <w:rPr>
          <w:lang w:val="en-AU" w:eastAsia="en-AU" w:bidi="ar-SA"/>
        </w:rPr>
      </w:pPr>
    </w:p>
    <w:p w14:paraId="523A4570" w14:textId="77CFE4F5" w:rsidR="00776154" w:rsidRDefault="00776154" w:rsidP="00776154">
      <w:pPr>
        <w:rPr>
          <w:lang w:val="en-AU" w:eastAsia="en-AU" w:bidi="ar-SA"/>
        </w:rPr>
      </w:pPr>
    </w:p>
    <w:p w14:paraId="2086BDDE" w14:textId="5A1B1AFD" w:rsidR="00776154" w:rsidRDefault="00776154" w:rsidP="00E9515E">
      <w:pPr>
        <w:pStyle w:val="FSTitle"/>
        <w:rPr>
          <w:lang w:val="en-AU" w:eastAsia="en-AU" w:bidi="ar-SA"/>
        </w:rPr>
      </w:pPr>
      <w:bookmarkStart w:id="264" w:name="_Toc74061240"/>
      <w:r>
        <w:rPr>
          <w:lang w:val="en-AU" w:eastAsia="en-AU" w:bidi="ar-SA"/>
        </w:rPr>
        <w:t xml:space="preserve">Table </w:t>
      </w:r>
      <w:r w:rsidR="00385AF6">
        <w:rPr>
          <w:lang w:val="en-AU" w:eastAsia="en-AU" w:bidi="ar-SA"/>
        </w:rPr>
        <w:t>5</w:t>
      </w:r>
      <w:r w:rsidR="008410B2">
        <w:rPr>
          <w:lang w:val="en-AU" w:eastAsia="en-AU" w:bidi="ar-SA"/>
        </w:rPr>
        <w:t>.10</w:t>
      </w:r>
      <w:r w:rsidR="008410B2">
        <w:rPr>
          <w:lang w:val="en-AU" w:eastAsia="en-AU" w:bidi="ar-SA"/>
        </w:rPr>
        <w:tab/>
      </w:r>
      <w:r w:rsidR="00542980">
        <w:rPr>
          <w:lang w:val="en-AU" w:eastAsia="en-AU" w:bidi="ar-SA"/>
        </w:rPr>
        <w:t>M</w:t>
      </w:r>
      <w:r>
        <w:rPr>
          <w:lang w:val="en-AU" w:eastAsia="en-AU" w:bidi="ar-SA"/>
        </w:rPr>
        <w:t xml:space="preserve">aximum </w:t>
      </w:r>
      <w:r w:rsidR="00F24147">
        <w:rPr>
          <w:lang w:val="en-AU" w:eastAsia="en-AU" w:bidi="ar-SA"/>
        </w:rPr>
        <w:t xml:space="preserve">permitted </w:t>
      </w:r>
      <w:r>
        <w:rPr>
          <w:lang w:val="en-AU" w:eastAsia="en-AU" w:bidi="ar-SA"/>
        </w:rPr>
        <w:t>amounts of lecithin and PL</w:t>
      </w:r>
      <w:bookmarkEnd w:id="264"/>
    </w:p>
    <w:tbl>
      <w:tblPr>
        <w:tblStyle w:val="GridTable4-Accent1"/>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5.6.3.2 Summary of maximum permitted amounts of lecithin and PL "/>
        <w:tblDescription w:val="This table summarises the permitted maximum for lecithin and PL in varrying standards and regulations. "/>
      </w:tblPr>
      <w:tblGrid>
        <w:gridCol w:w="4957"/>
        <w:gridCol w:w="1984"/>
        <w:gridCol w:w="2268"/>
      </w:tblGrid>
      <w:tr w:rsidR="00776154" w:rsidRPr="00D0004D" w14:paraId="007725F4" w14:textId="77777777" w:rsidTr="00241E23">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957" w:type="dxa"/>
            <w:tcBorders>
              <w:top w:val="none" w:sz="0" w:space="0" w:color="auto"/>
              <w:left w:val="none" w:sz="0" w:space="0" w:color="auto"/>
              <w:bottom w:val="none" w:sz="0" w:space="0" w:color="auto"/>
              <w:right w:val="none" w:sz="0" w:space="0" w:color="auto"/>
            </w:tcBorders>
            <w:shd w:val="clear" w:color="auto" w:fill="E5DFEC" w:themeFill="accent4" w:themeFillTint="33"/>
            <w:vAlign w:val="center"/>
          </w:tcPr>
          <w:p w14:paraId="6C2EC1DE" w14:textId="77777777" w:rsidR="00776154" w:rsidRPr="001C24DD" w:rsidRDefault="00776154" w:rsidP="00776154">
            <w:pPr>
              <w:rPr>
                <w:color w:val="auto"/>
                <w:szCs w:val="20"/>
              </w:rPr>
            </w:pPr>
            <w:r w:rsidRPr="001C24DD">
              <w:rPr>
                <w:color w:val="auto"/>
                <w:szCs w:val="20"/>
              </w:rPr>
              <w:t>Standard, Regulation or Recommendation</w:t>
            </w:r>
          </w:p>
        </w:tc>
        <w:tc>
          <w:tcPr>
            <w:tcW w:w="1984" w:type="dxa"/>
            <w:tcBorders>
              <w:top w:val="none" w:sz="0" w:space="0" w:color="auto"/>
              <w:left w:val="none" w:sz="0" w:space="0" w:color="auto"/>
              <w:bottom w:val="none" w:sz="0" w:space="0" w:color="auto"/>
              <w:right w:val="none" w:sz="0" w:space="0" w:color="auto"/>
            </w:tcBorders>
            <w:shd w:val="clear" w:color="auto" w:fill="DBE5F1" w:themeFill="accent1" w:themeFillTint="33"/>
            <w:vAlign w:val="center"/>
          </w:tcPr>
          <w:p w14:paraId="58D041C8" w14:textId="77777777" w:rsidR="00776154" w:rsidRPr="001C24DD" w:rsidRDefault="00776154" w:rsidP="00776154">
            <w:pPr>
              <w:jc w:val="center"/>
              <w:cnfStyle w:val="100000000000" w:firstRow="1" w:lastRow="0" w:firstColumn="0" w:lastColumn="0" w:oddVBand="0" w:evenVBand="0" w:oddHBand="0" w:evenHBand="0" w:firstRowFirstColumn="0" w:firstRowLastColumn="0" w:lastRowFirstColumn="0" w:lastRowLastColumn="0"/>
              <w:rPr>
                <w:color w:val="auto"/>
                <w:szCs w:val="20"/>
              </w:rPr>
            </w:pPr>
            <w:r w:rsidRPr="001C24DD">
              <w:rPr>
                <w:color w:val="auto"/>
                <w:szCs w:val="20"/>
              </w:rPr>
              <w:t>Lecithin</w:t>
            </w:r>
          </w:p>
          <w:p w14:paraId="4878714B" w14:textId="77777777" w:rsidR="00776154" w:rsidRPr="001C24DD" w:rsidRDefault="00776154" w:rsidP="00776154">
            <w:pPr>
              <w:jc w:val="center"/>
              <w:cnfStyle w:val="100000000000" w:firstRow="1" w:lastRow="0" w:firstColumn="0" w:lastColumn="0" w:oddVBand="0" w:evenVBand="0" w:oddHBand="0" w:evenHBand="0" w:firstRowFirstColumn="0" w:firstRowLastColumn="0" w:lastRowFirstColumn="0" w:lastRowLastColumn="0"/>
              <w:rPr>
                <w:color w:val="auto"/>
                <w:szCs w:val="20"/>
              </w:rPr>
            </w:pPr>
            <w:r w:rsidRPr="001C24DD">
              <w:rPr>
                <w:color w:val="auto"/>
                <w:szCs w:val="20"/>
              </w:rPr>
              <w:t>(i.e. food additive)</w:t>
            </w:r>
          </w:p>
        </w:tc>
        <w:tc>
          <w:tcPr>
            <w:tcW w:w="2268" w:type="dxa"/>
            <w:tcBorders>
              <w:top w:val="none" w:sz="0" w:space="0" w:color="auto"/>
              <w:left w:val="none" w:sz="0" w:space="0" w:color="auto"/>
              <w:bottom w:val="none" w:sz="0" w:space="0" w:color="auto"/>
              <w:right w:val="none" w:sz="0" w:space="0" w:color="auto"/>
            </w:tcBorders>
            <w:shd w:val="clear" w:color="auto" w:fill="EAF1DD" w:themeFill="accent3" w:themeFillTint="33"/>
            <w:vAlign w:val="center"/>
          </w:tcPr>
          <w:p w14:paraId="4F9F29B4" w14:textId="77777777" w:rsidR="00776154" w:rsidRPr="001C24DD" w:rsidRDefault="00776154" w:rsidP="00776154">
            <w:pPr>
              <w:jc w:val="center"/>
              <w:cnfStyle w:val="100000000000" w:firstRow="1" w:lastRow="0" w:firstColumn="0" w:lastColumn="0" w:oddVBand="0" w:evenVBand="0" w:oddHBand="0" w:evenHBand="0" w:firstRowFirstColumn="0" w:firstRowLastColumn="0" w:lastRowFirstColumn="0" w:lastRowLastColumn="0"/>
              <w:rPr>
                <w:color w:val="auto"/>
                <w:szCs w:val="20"/>
              </w:rPr>
            </w:pPr>
            <w:r w:rsidRPr="001C24DD">
              <w:rPr>
                <w:color w:val="auto"/>
                <w:szCs w:val="20"/>
              </w:rPr>
              <w:t>Phospholipids</w:t>
            </w:r>
          </w:p>
          <w:p w14:paraId="280FC7F7" w14:textId="77777777" w:rsidR="00776154" w:rsidRPr="001C24DD" w:rsidRDefault="00776154" w:rsidP="00776154">
            <w:pPr>
              <w:jc w:val="center"/>
              <w:cnfStyle w:val="100000000000" w:firstRow="1" w:lastRow="0" w:firstColumn="0" w:lastColumn="0" w:oddVBand="0" w:evenVBand="0" w:oddHBand="0" w:evenHBand="0" w:firstRowFirstColumn="0" w:firstRowLastColumn="0" w:lastRowFirstColumn="0" w:lastRowLastColumn="0"/>
              <w:rPr>
                <w:color w:val="auto"/>
                <w:szCs w:val="20"/>
              </w:rPr>
            </w:pPr>
            <w:r w:rsidRPr="001C24DD">
              <w:rPr>
                <w:color w:val="auto"/>
                <w:szCs w:val="20"/>
              </w:rPr>
              <w:t>(i.e. nutritive substance)</w:t>
            </w:r>
          </w:p>
        </w:tc>
      </w:tr>
      <w:tr w:rsidR="00776154" w:rsidRPr="00D0004D" w14:paraId="451A2AE5" w14:textId="77777777" w:rsidTr="00241E2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957" w:type="dxa"/>
            <w:shd w:val="clear" w:color="auto" w:fill="F2F2F2" w:themeFill="background1" w:themeFillShade="F2"/>
            <w:vAlign w:val="center"/>
          </w:tcPr>
          <w:p w14:paraId="75F79F3C" w14:textId="77777777" w:rsidR="00776154" w:rsidRPr="009D07D4" w:rsidRDefault="00776154" w:rsidP="00776154">
            <w:pPr>
              <w:rPr>
                <w:b w:val="0"/>
                <w:szCs w:val="20"/>
              </w:rPr>
            </w:pPr>
            <w:r w:rsidRPr="009D07D4">
              <w:rPr>
                <w:b w:val="0"/>
                <w:szCs w:val="20"/>
              </w:rPr>
              <w:t xml:space="preserve">EC SCF 2003 </w:t>
            </w:r>
          </w:p>
        </w:tc>
        <w:tc>
          <w:tcPr>
            <w:tcW w:w="4252" w:type="dxa"/>
            <w:gridSpan w:val="2"/>
            <w:shd w:val="clear" w:color="auto" w:fill="F2F2F2" w:themeFill="background1" w:themeFillShade="F2"/>
            <w:vAlign w:val="center"/>
          </w:tcPr>
          <w:p w14:paraId="37A4B756" w14:textId="77777777" w:rsidR="00776154" w:rsidRPr="00D0004D" w:rsidRDefault="00776154" w:rsidP="00776154">
            <w:pPr>
              <w:jc w:val="center"/>
              <w:cnfStyle w:val="000000100000" w:firstRow="0" w:lastRow="0" w:firstColumn="0" w:lastColumn="0" w:oddVBand="0" w:evenVBand="0" w:oddHBand="1" w:evenHBand="0" w:firstRowFirstColumn="0" w:firstRowLastColumn="0" w:lastRowFirstColumn="0" w:lastRowLastColumn="0"/>
              <w:rPr>
                <w:szCs w:val="20"/>
              </w:rPr>
            </w:pPr>
            <w:r>
              <w:rPr>
                <w:szCs w:val="20"/>
              </w:rPr>
              <w:t>1 g/L</w:t>
            </w:r>
            <w:r w:rsidRPr="00901BF8">
              <w:rPr>
                <w:szCs w:val="20"/>
                <w:vertAlign w:val="superscript"/>
              </w:rPr>
              <w:t>1</w:t>
            </w:r>
          </w:p>
        </w:tc>
      </w:tr>
      <w:tr w:rsidR="00776154" w:rsidRPr="00D0004D" w14:paraId="0DD879E7" w14:textId="77777777" w:rsidTr="00241E23">
        <w:trPr>
          <w:trHeight w:val="454"/>
        </w:trPr>
        <w:tc>
          <w:tcPr>
            <w:cnfStyle w:val="001000000000" w:firstRow="0" w:lastRow="0" w:firstColumn="1" w:lastColumn="0" w:oddVBand="0" w:evenVBand="0" w:oddHBand="0" w:evenHBand="0" w:firstRowFirstColumn="0" w:firstRowLastColumn="0" w:lastRowFirstColumn="0" w:lastRowLastColumn="0"/>
            <w:tcW w:w="4957" w:type="dxa"/>
            <w:vAlign w:val="center"/>
          </w:tcPr>
          <w:p w14:paraId="17EC6611" w14:textId="77777777" w:rsidR="00776154" w:rsidRPr="009D07D4" w:rsidRDefault="00776154" w:rsidP="00776154">
            <w:pPr>
              <w:rPr>
                <w:b w:val="0"/>
                <w:szCs w:val="20"/>
              </w:rPr>
            </w:pPr>
            <w:r w:rsidRPr="009D07D4">
              <w:rPr>
                <w:b w:val="0"/>
                <w:szCs w:val="20"/>
              </w:rPr>
              <w:t>ESPGHAN 2005</w:t>
            </w:r>
          </w:p>
        </w:tc>
        <w:tc>
          <w:tcPr>
            <w:tcW w:w="1984" w:type="dxa"/>
            <w:vAlign w:val="center"/>
          </w:tcPr>
          <w:p w14:paraId="6314499B" w14:textId="77777777" w:rsidR="00776154" w:rsidRPr="00D0004D" w:rsidRDefault="00776154" w:rsidP="00776154">
            <w:pPr>
              <w:jc w:val="center"/>
              <w:cnfStyle w:val="000000000000" w:firstRow="0" w:lastRow="0" w:firstColumn="0" w:lastColumn="0" w:oddVBand="0" w:evenVBand="0" w:oddHBand="0" w:evenHBand="0" w:firstRowFirstColumn="0" w:firstRowLastColumn="0" w:lastRowFirstColumn="0" w:lastRowLastColumn="0"/>
              <w:rPr>
                <w:szCs w:val="20"/>
              </w:rPr>
            </w:pPr>
            <w:r>
              <w:rPr>
                <w:szCs w:val="20"/>
              </w:rPr>
              <w:t>N.A.</w:t>
            </w:r>
          </w:p>
        </w:tc>
        <w:tc>
          <w:tcPr>
            <w:tcW w:w="2268" w:type="dxa"/>
            <w:vAlign w:val="center"/>
          </w:tcPr>
          <w:p w14:paraId="1C589853" w14:textId="290B6B88" w:rsidR="00776154" w:rsidRPr="00D0004D" w:rsidRDefault="00776154" w:rsidP="00F24147">
            <w:pPr>
              <w:jc w:val="center"/>
              <w:cnfStyle w:val="000000000000" w:firstRow="0" w:lastRow="0" w:firstColumn="0" w:lastColumn="0" w:oddVBand="0" w:evenVBand="0" w:oddHBand="0" w:evenHBand="0" w:firstRowFirstColumn="0" w:firstRowLastColumn="0" w:lastRowFirstColumn="0" w:lastRowLastColumn="0"/>
              <w:rPr>
                <w:szCs w:val="20"/>
              </w:rPr>
            </w:pPr>
            <w:r>
              <w:rPr>
                <w:szCs w:val="20"/>
              </w:rPr>
              <w:t>72 mg/100 kJ (2 g/L)</w:t>
            </w:r>
          </w:p>
        </w:tc>
      </w:tr>
      <w:tr w:rsidR="00776154" w:rsidRPr="00D0004D" w14:paraId="5AF58BB2" w14:textId="77777777" w:rsidTr="00241E2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957" w:type="dxa"/>
            <w:shd w:val="clear" w:color="auto" w:fill="F2F2F2"/>
            <w:vAlign w:val="center"/>
          </w:tcPr>
          <w:p w14:paraId="6DFDA41D" w14:textId="77777777" w:rsidR="00776154" w:rsidRPr="009D07D4" w:rsidRDefault="00776154" w:rsidP="00776154">
            <w:pPr>
              <w:rPr>
                <w:b w:val="0"/>
                <w:szCs w:val="20"/>
              </w:rPr>
            </w:pPr>
            <w:r w:rsidRPr="009D07D4">
              <w:rPr>
                <w:b w:val="0"/>
                <w:szCs w:val="20"/>
              </w:rPr>
              <w:t>Codex STAN 72-1981</w:t>
            </w:r>
          </w:p>
        </w:tc>
        <w:tc>
          <w:tcPr>
            <w:tcW w:w="1984" w:type="dxa"/>
            <w:shd w:val="clear" w:color="auto" w:fill="F2F2F2" w:themeFill="background1" w:themeFillShade="F2"/>
            <w:vAlign w:val="center"/>
          </w:tcPr>
          <w:p w14:paraId="368DE372" w14:textId="77777777" w:rsidR="00776154" w:rsidRPr="00D0004D" w:rsidRDefault="00776154" w:rsidP="00776154">
            <w:pPr>
              <w:jc w:val="center"/>
              <w:cnfStyle w:val="000000100000" w:firstRow="0" w:lastRow="0" w:firstColumn="0" w:lastColumn="0" w:oddVBand="0" w:evenVBand="0" w:oddHBand="1" w:evenHBand="0" w:firstRowFirstColumn="0" w:firstRowLastColumn="0" w:lastRowFirstColumn="0" w:lastRowLastColumn="0"/>
              <w:rPr>
                <w:szCs w:val="20"/>
              </w:rPr>
            </w:pPr>
            <w:r>
              <w:rPr>
                <w:szCs w:val="20"/>
              </w:rPr>
              <w:t>5 g/L</w:t>
            </w:r>
          </w:p>
        </w:tc>
        <w:tc>
          <w:tcPr>
            <w:tcW w:w="2268" w:type="dxa"/>
            <w:shd w:val="clear" w:color="auto" w:fill="F2F2F2" w:themeFill="background1" w:themeFillShade="F2"/>
            <w:vAlign w:val="center"/>
          </w:tcPr>
          <w:p w14:paraId="7C5B7071" w14:textId="77777777" w:rsidR="00776154" w:rsidRPr="00D0004D" w:rsidRDefault="00776154" w:rsidP="00776154">
            <w:pPr>
              <w:jc w:val="center"/>
              <w:cnfStyle w:val="000000100000" w:firstRow="0" w:lastRow="0" w:firstColumn="0" w:lastColumn="0" w:oddVBand="0" w:evenVBand="0" w:oddHBand="1" w:evenHBand="0" w:firstRowFirstColumn="0" w:firstRowLastColumn="0" w:lastRowFirstColumn="0" w:lastRowLastColumn="0"/>
              <w:rPr>
                <w:szCs w:val="20"/>
              </w:rPr>
            </w:pPr>
            <w:r>
              <w:rPr>
                <w:szCs w:val="20"/>
              </w:rPr>
              <w:t>72 mg/100 kJ (2 g/L)</w:t>
            </w:r>
          </w:p>
        </w:tc>
      </w:tr>
      <w:tr w:rsidR="00776154" w:rsidRPr="00D0004D" w14:paraId="6FE19856" w14:textId="77777777" w:rsidTr="00241E23">
        <w:trPr>
          <w:trHeight w:val="454"/>
        </w:trPr>
        <w:tc>
          <w:tcPr>
            <w:cnfStyle w:val="001000000000" w:firstRow="0" w:lastRow="0" w:firstColumn="1" w:lastColumn="0" w:oddVBand="0" w:evenVBand="0" w:oddHBand="0" w:evenHBand="0" w:firstRowFirstColumn="0" w:firstRowLastColumn="0" w:lastRowFirstColumn="0" w:lastRowLastColumn="0"/>
            <w:tcW w:w="4957" w:type="dxa"/>
            <w:vAlign w:val="center"/>
          </w:tcPr>
          <w:p w14:paraId="18FD1431" w14:textId="6CECA528" w:rsidR="00776154" w:rsidRPr="009D07D4" w:rsidRDefault="00241E23" w:rsidP="00241E23">
            <w:pPr>
              <w:rPr>
                <w:b w:val="0"/>
                <w:szCs w:val="20"/>
              </w:rPr>
            </w:pPr>
            <w:r>
              <w:rPr>
                <w:b w:val="0"/>
                <w:szCs w:val="20"/>
              </w:rPr>
              <w:t xml:space="preserve">The Code  – </w:t>
            </w:r>
            <w:r w:rsidR="00776154">
              <w:rPr>
                <w:b w:val="0"/>
                <w:szCs w:val="20"/>
              </w:rPr>
              <w:t>Standard 2.9.1</w:t>
            </w:r>
          </w:p>
        </w:tc>
        <w:tc>
          <w:tcPr>
            <w:tcW w:w="1984" w:type="dxa"/>
            <w:vAlign w:val="center"/>
          </w:tcPr>
          <w:p w14:paraId="4FB62EBA" w14:textId="0B052C05" w:rsidR="00776154" w:rsidRPr="00D0004D" w:rsidRDefault="000117FF" w:rsidP="00776154">
            <w:pPr>
              <w:jc w:val="center"/>
              <w:cnfStyle w:val="000000000000" w:firstRow="0" w:lastRow="0" w:firstColumn="0" w:lastColumn="0" w:oddVBand="0" w:evenVBand="0" w:oddHBand="0" w:evenHBand="0" w:firstRowFirstColumn="0" w:firstRowLastColumn="0" w:lastRowFirstColumn="0" w:lastRowLastColumn="0"/>
              <w:rPr>
                <w:szCs w:val="20"/>
              </w:rPr>
            </w:pPr>
            <w:r>
              <w:rPr>
                <w:szCs w:val="20"/>
              </w:rPr>
              <w:t xml:space="preserve">N.A. </w:t>
            </w:r>
          </w:p>
        </w:tc>
        <w:tc>
          <w:tcPr>
            <w:tcW w:w="2268" w:type="dxa"/>
            <w:vAlign w:val="center"/>
          </w:tcPr>
          <w:p w14:paraId="1B2B86DD" w14:textId="77777777" w:rsidR="00776154" w:rsidRPr="00D0004D" w:rsidRDefault="00776154" w:rsidP="00776154">
            <w:pPr>
              <w:jc w:val="center"/>
              <w:cnfStyle w:val="000000000000" w:firstRow="0" w:lastRow="0" w:firstColumn="0" w:lastColumn="0" w:oddVBand="0" w:evenVBand="0" w:oddHBand="0" w:evenHBand="0" w:firstRowFirstColumn="0" w:firstRowLastColumn="0" w:lastRowFirstColumn="0" w:lastRowLastColumn="0"/>
              <w:rPr>
                <w:szCs w:val="20"/>
              </w:rPr>
            </w:pPr>
            <w:r>
              <w:rPr>
                <w:szCs w:val="20"/>
              </w:rPr>
              <w:t>No maximum defined</w:t>
            </w:r>
          </w:p>
        </w:tc>
      </w:tr>
      <w:tr w:rsidR="000117FF" w:rsidRPr="00D0004D" w14:paraId="5567B538" w14:textId="77777777" w:rsidTr="00241E2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957" w:type="dxa"/>
            <w:shd w:val="clear" w:color="auto" w:fill="F2F2F2"/>
            <w:vAlign w:val="center"/>
          </w:tcPr>
          <w:p w14:paraId="444C6466" w14:textId="77777777" w:rsidR="00241E23" w:rsidRDefault="000117FF" w:rsidP="00776154">
            <w:pPr>
              <w:rPr>
                <w:b w:val="0"/>
                <w:szCs w:val="20"/>
              </w:rPr>
            </w:pPr>
            <w:r>
              <w:rPr>
                <w:b w:val="0"/>
                <w:szCs w:val="20"/>
              </w:rPr>
              <w:t>The Code – Schedule 15</w:t>
            </w:r>
          </w:p>
          <w:p w14:paraId="58C38942" w14:textId="272E79C0" w:rsidR="000117FF" w:rsidRPr="00241E23" w:rsidRDefault="009E081D" w:rsidP="00241E23">
            <w:pPr>
              <w:rPr>
                <w:b w:val="0"/>
                <w:szCs w:val="20"/>
              </w:rPr>
            </w:pPr>
            <w:r w:rsidRPr="00241E23">
              <w:rPr>
                <w:b w:val="0"/>
                <w:szCs w:val="20"/>
              </w:rPr>
              <w:t>(</w:t>
            </w:r>
            <w:r w:rsidR="00241E23" w:rsidRPr="00241E23">
              <w:rPr>
                <w:b w:val="0"/>
                <w:szCs w:val="20"/>
              </w:rPr>
              <w:t>Substances that may be used as food additives)</w:t>
            </w:r>
            <w:r w:rsidR="00241E23" w:rsidRPr="00241E23">
              <w:rPr>
                <w:rFonts w:ascii="Segoe UI" w:hAnsi="Segoe UI" w:cs="Segoe UI"/>
                <w:b w:val="0"/>
                <w:vanish/>
                <w:color w:val="444444"/>
                <w:szCs w:val="20"/>
              </w:rPr>
              <w:t>Substances that may be used as food additives</w:t>
            </w:r>
          </w:p>
        </w:tc>
        <w:tc>
          <w:tcPr>
            <w:tcW w:w="1984" w:type="dxa"/>
            <w:shd w:val="clear" w:color="auto" w:fill="F2F2F2"/>
            <w:vAlign w:val="center"/>
          </w:tcPr>
          <w:p w14:paraId="60757F38" w14:textId="5BD7BCDF" w:rsidR="000117FF" w:rsidRDefault="000117FF" w:rsidP="00776154">
            <w:pPr>
              <w:jc w:val="center"/>
              <w:cnfStyle w:val="000000100000" w:firstRow="0" w:lastRow="0" w:firstColumn="0" w:lastColumn="0" w:oddVBand="0" w:evenVBand="0" w:oddHBand="1" w:evenHBand="0" w:firstRowFirstColumn="0" w:firstRowLastColumn="0" w:lastRowFirstColumn="0" w:lastRowLastColumn="0"/>
              <w:rPr>
                <w:szCs w:val="20"/>
              </w:rPr>
            </w:pPr>
            <w:r>
              <w:rPr>
                <w:szCs w:val="20"/>
              </w:rPr>
              <w:t>5 g/L</w:t>
            </w:r>
          </w:p>
        </w:tc>
        <w:tc>
          <w:tcPr>
            <w:tcW w:w="2268" w:type="dxa"/>
            <w:shd w:val="clear" w:color="auto" w:fill="F2F2F2"/>
            <w:vAlign w:val="center"/>
          </w:tcPr>
          <w:p w14:paraId="169E63CF" w14:textId="2D422E62" w:rsidR="000117FF" w:rsidRDefault="000117FF" w:rsidP="00776154">
            <w:pPr>
              <w:jc w:val="center"/>
              <w:cnfStyle w:val="000000100000" w:firstRow="0" w:lastRow="0" w:firstColumn="0" w:lastColumn="0" w:oddVBand="0" w:evenVBand="0" w:oddHBand="1" w:evenHBand="0" w:firstRowFirstColumn="0" w:firstRowLastColumn="0" w:lastRowFirstColumn="0" w:lastRowLastColumn="0"/>
              <w:rPr>
                <w:szCs w:val="20"/>
              </w:rPr>
            </w:pPr>
            <w:r>
              <w:rPr>
                <w:szCs w:val="20"/>
              </w:rPr>
              <w:t>N.A.</w:t>
            </w:r>
          </w:p>
        </w:tc>
      </w:tr>
      <w:tr w:rsidR="00961CF5" w:rsidRPr="00D0004D" w14:paraId="2D96794E" w14:textId="77777777" w:rsidTr="00241E23">
        <w:trPr>
          <w:trHeight w:val="454"/>
        </w:trPr>
        <w:tc>
          <w:tcPr>
            <w:cnfStyle w:val="001000000000" w:firstRow="0" w:lastRow="0" w:firstColumn="1" w:lastColumn="0" w:oddVBand="0" w:evenVBand="0" w:oddHBand="0" w:evenHBand="0" w:firstRowFirstColumn="0" w:firstRowLastColumn="0" w:lastRowFirstColumn="0" w:lastRowLastColumn="0"/>
            <w:tcW w:w="4957" w:type="dxa"/>
            <w:shd w:val="clear" w:color="auto" w:fill="FFFFFF" w:themeFill="background1"/>
            <w:vAlign w:val="center"/>
          </w:tcPr>
          <w:p w14:paraId="0ABE78BE" w14:textId="77777777" w:rsidR="009E081D" w:rsidRDefault="00A70402" w:rsidP="00961CF5">
            <w:pPr>
              <w:rPr>
                <w:b w:val="0"/>
              </w:rPr>
            </w:pPr>
            <w:r w:rsidRPr="00A70402">
              <w:rPr>
                <w:b w:val="0"/>
              </w:rPr>
              <w:t>Regulation (EC) No 1333/2008</w:t>
            </w:r>
            <w:r>
              <w:rPr>
                <w:b w:val="0"/>
              </w:rPr>
              <w:t xml:space="preserve"> </w:t>
            </w:r>
          </w:p>
          <w:p w14:paraId="5B3F736F" w14:textId="281DA78C" w:rsidR="00961CF5" w:rsidRDefault="009E081D" w:rsidP="00961CF5">
            <w:pPr>
              <w:rPr>
                <w:b w:val="0"/>
                <w:szCs w:val="20"/>
              </w:rPr>
            </w:pPr>
            <w:r>
              <w:rPr>
                <w:b w:val="0"/>
              </w:rPr>
              <w:t>(food additive regulation)</w:t>
            </w:r>
          </w:p>
        </w:tc>
        <w:tc>
          <w:tcPr>
            <w:tcW w:w="1984" w:type="dxa"/>
            <w:shd w:val="clear" w:color="auto" w:fill="FFFFFF" w:themeFill="background1"/>
            <w:vAlign w:val="center"/>
          </w:tcPr>
          <w:p w14:paraId="2C3C5FA3" w14:textId="00045E25" w:rsidR="00961CF5" w:rsidRDefault="00961CF5" w:rsidP="00961CF5">
            <w:pPr>
              <w:jc w:val="center"/>
              <w:cnfStyle w:val="000000000000" w:firstRow="0" w:lastRow="0" w:firstColumn="0" w:lastColumn="0" w:oddVBand="0" w:evenVBand="0" w:oddHBand="0" w:evenHBand="0" w:firstRowFirstColumn="0" w:firstRowLastColumn="0" w:lastRowFirstColumn="0" w:lastRowLastColumn="0"/>
              <w:rPr>
                <w:szCs w:val="20"/>
              </w:rPr>
            </w:pPr>
            <w:r>
              <w:rPr>
                <w:szCs w:val="20"/>
              </w:rPr>
              <w:t>1 g/L</w:t>
            </w:r>
          </w:p>
        </w:tc>
        <w:tc>
          <w:tcPr>
            <w:tcW w:w="2268" w:type="dxa"/>
            <w:shd w:val="clear" w:color="auto" w:fill="FFFFFF" w:themeFill="background1"/>
            <w:vAlign w:val="center"/>
          </w:tcPr>
          <w:p w14:paraId="232DC2CA" w14:textId="26CBD27E" w:rsidR="00961CF5" w:rsidRDefault="00961CF5" w:rsidP="00961CF5">
            <w:pPr>
              <w:jc w:val="center"/>
              <w:cnfStyle w:val="000000000000" w:firstRow="0" w:lastRow="0" w:firstColumn="0" w:lastColumn="0" w:oddVBand="0" w:evenVBand="0" w:oddHBand="0" w:evenHBand="0" w:firstRowFirstColumn="0" w:firstRowLastColumn="0" w:lastRowFirstColumn="0" w:lastRowLastColumn="0"/>
              <w:rPr>
                <w:szCs w:val="20"/>
              </w:rPr>
            </w:pPr>
            <w:r>
              <w:rPr>
                <w:szCs w:val="20"/>
              </w:rPr>
              <w:t>N.A.</w:t>
            </w:r>
          </w:p>
        </w:tc>
      </w:tr>
      <w:tr w:rsidR="00961CF5" w:rsidRPr="00D0004D" w14:paraId="2E55D6B6" w14:textId="77777777" w:rsidTr="00241E2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957" w:type="dxa"/>
            <w:shd w:val="clear" w:color="auto" w:fill="F2F2F2"/>
            <w:vAlign w:val="center"/>
          </w:tcPr>
          <w:p w14:paraId="3C9E0318" w14:textId="24D3901E" w:rsidR="00961CF5" w:rsidRPr="009D07D4" w:rsidRDefault="00961CF5" w:rsidP="00961CF5">
            <w:pPr>
              <w:rPr>
                <w:b w:val="0"/>
                <w:szCs w:val="20"/>
              </w:rPr>
            </w:pPr>
            <w:r>
              <w:rPr>
                <w:b w:val="0"/>
                <w:szCs w:val="20"/>
              </w:rPr>
              <w:t xml:space="preserve">EU 2016/127 </w:t>
            </w:r>
          </w:p>
        </w:tc>
        <w:tc>
          <w:tcPr>
            <w:tcW w:w="1984" w:type="dxa"/>
            <w:shd w:val="clear" w:color="auto" w:fill="F2F2F2"/>
            <w:vAlign w:val="center"/>
          </w:tcPr>
          <w:p w14:paraId="14E98045" w14:textId="77777777" w:rsidR="00961CF5" w:rsidRDefault="00961CF5" w:rsidP="00961CF5">
            <w:pPr>
              <w:jc w:val="center"/>
              <w:cnfStyle w:val="000000100000" w:firstRow="0" w:lastRow="0" w:firstColumn="0" w:lastColumn="0" w:oddVBand="0" w:evenVBand="0" w:oddHBand="1" w:evenHBand="0" w:firstRowFirstColumn="0" w:firstRowLastColumn="0" w:lastRowFirstColumn="0" w:lastRowLastColumn="0"/>
              <w:rPr>
                <w:szCs w:val="20"/>
              </w:rPr>
            </w:pPr>
            <w:r>
              <w:rPr>
                <w:szCs w:val="20"/>
              </w:rPr>
              <w:t>N.A.</w:t>
            </w:r>
          </w:p>
        </w:tc>
        <w:tc>
          <w:tcPr>
            <w:tcW w:w="2268" w:type="dxa"/>
            <w:shd w:val="clear" w:color="auto" w:fill="F2F2F2"/>
            <w:vAlign w:val="center"/>
          </w:tcPr>
          <w:p w14:paraId="5CEA94A8" w14:textId="77777777" w:rsidR="00961CF5" w:rsidRDefault="00961CF5" w:rsidP="00961CF5">
            <w:pPr>
              <w:jc w:val="center"/>
              <w:cnfStyle w:val="000000100000" w:firstRow="0" w:lastRow="0" w:firstColumn="0" w:lastColumn="0" w:oddVBand="0" w:evenVBand="0" w:oddHBand="1" w:evenHBand="0" w:firstRowFirstColumn="0" w:firstRowLastColumn="0" w:lastRowFirstColumn="0" w:lastRowLastColumn="0"/>
              <w:rPr>
                <w:szCs w:val="20"/>
              </w:rPr>
            </w:pPr>
            <w:r>
              <w:rPr>
                <w:szCs w:val="20"/>
              </w:rPr>
              <w:t>2 g/L</w:t>
            </w:r>
          </w:p>
        </w:tc>
      </w:tr>
      <w:tr w:rsidR="00961CF5" w:rsidRPr="00D0004D" w14:paraId="0DED24DA" w14:textId="77777777" w:rsidTr="00241E23">
        <w:trPr>
          <w:trHeight w:val="454"/>
        </w:trPr>
        <w:tc>
          <w:tcPr>
            <w:cnfStyle w:val="001000000000" w:firstRow="0" w:lastRow="0" w:firstColumn="1" w:lastColumn="0" w:oddVBand="0" w:evenVBand="0" w:oddHBand="0" w:evenHBand="0" w:firstRowFirstColumn="0" w:firstRowLastColumn="0" w:lastRowFirstColumn="0" w:lastRowLastColumn="0"/>
            <w:tcW w:w="4957" w:type="dxa"/>
            <w:vAlign w:val="center"/>
          </w:tcPr>
          <w:p w14:paraId="17AE3AC0" w14:textId="4DDC2ED9" w:rsidR="00961CF5" w:rsidRDefault="00961CF5" w:rsidP="00961CF5">
            <w:pPr>
              <w:rPr>
                <w:b w:val="0"/>
                <w:szCs w:val="20"/>
              </w:rPr>
            </w:pPr>
            <w:r w:rsidRPr="009D07D4">
              <w:rPr>
                <w:b w:val="0"/>
                <w:szCs w:val="20"/>
              </w:rPr>
              <w:t>EFSA 20</w:t>
            </w:r>
            <w:r w:rsidR="00A70402">
              <w:rPr>
                <w:b w:val="0"/>
                <w:szCs w:val="20"/>
              </w:rPr>
              <w:t>20</w:t>
            </w:r>
            <w:r>
              <w:rPr>
                <w:b w:val="0"/>
                <w:szCs w:val="20"/>
              </w:rPr>
              <w:t xml:space="preserve"> (</w:t>
            </w:r>
            <w:r w:rsidR="00241E23">
              <w:rPr>
                <w:b w:val="0"/>
                <w:szCs w:val="20"/>
              </w:rPr>
              <w:t xml:space="preserve">Re-evaluation of lecithins </w:t>
            </w:r>
            <w:r>
              <w:rPr>
                <w:b w:val="0"/>
                <w:szCs w:val="20"/>
              </w:rPr>
              <w:t>as a food additive)</w:t>
            </w:r>
            <w:r w:rsidRPr="009D07D4">
              <w:rPr>
                <w:b w:val="0"/>
                <w:szCs w:val="20"/>
              </w:rPr>
              <w:t xml:space="preserve"> </w:t>
            </w:r>
          </w:p>
        </w:tc>
        <w:tc>
          <w:tcPr>
            <w:tcW w:w="1984" w:type="dxa"/>
            <w:vAlign w:val="center"/>
          </w:tcPr>
          <w:p w14:paraId="1210A707" w14:textId="1C56C6CD" w:rsidR="00961CF5" w:rsidRDefault="00961CF5" w:rsidP="00961CF5">
            <w:pPr>
              <w:jc w:val="center"/>
              <w:cnfStyle w:val="000000000000" w:firstRow="0" w:lastRow="0" w:firstColumn="0" w:lastColumn="0" w:oddVBand="0" w:evenVBand="0" w:oddHBand="0" w:evenHBand="0" w:firstRowFirstColumn="0" w:firstRowLastColumn="0" w:lastRowFirstColumn="0" w:lastRowLastColumn="0"/>
              <w:rPr>
                <w:szCs w:val="20"/>
              </w:rPr>
            </w:pPr>
            <w:r>
              <w:rPr>
                <w:szCs w:val="20"/>
              </w:rPr>
              <w:t>1 g/L</w:t>
            </w:r>
          </w:p>
        </w:tc>
        <w:tc>
          <w:tcPr>
            <w:tcW w:w="2268" w:type="dxa"/>
            <w:vAlign w:val="center"/>
          </w:tcPr>
          <w:p w14:paraId="23E471C4" w14:textId="7D574C4D" w:rsidR="00961CF5" w:rsidRDefault="00961CF5" w:rsidP="00961CF5">
            <w:pPr>
              <w:jc w:val="center"/>
              <w:cnfStyle w:val="000000000000" w:firstRow="0" w:lastRow="0" w:firstColumn="0" w:lastColumn="0" w:oddVBand="0" w:evenVBand="0" w:oddHBand="0" w:evenHBand="0" w:firstRowFirstColumn="0" w:firstRowLastColumn="0" w:lastRowFirstColumn="0" w:lastRowLastColumn="0"/>
              <w:rPr>
                <w:szCs w:val="20"/>
              </w:rPr>
            </w:pPr>
            <w:r>
              <w:rPr>
                <w:szCs w:val="20"/>
              </w:rPr>
              <w:t>N.A.</w:t>
            </w:r>
          </w:p>
        </w:tc>
      </w:tr>
    </w:tbl>
    <w:p w14:paraId="2E1ACA40" w14:textId="4A3D1C05" w:rsidR="00776154" w:rsidRPr="001C24DD" w:rsidRDefault="00776154" w:rsidP="00776154">
      <w:pPr>
        <w:rPr>
          <w:i/>
          <w:sz w:val="18"/>
          <w:szCs w:val="20"/>
          <w:lang w:val="en-AU" w:eastAsia="en-AU" w:bidi="ar-SA"/>
        </w:rPr>
      </w:pPr>
      <w:r w:rsidRPr="001C24DD">
        <w:rPr>
          <w:i/>
          <w:sz w:val="18"/>
          <w:szCs w:val="20"/>
          <w:vertAlign w:val="superscript"/>
          <w:lang w:val="en-AU" w:eastAsia="en-AU" w:bidi="ar-SA"/>
        </w:rPr>
        <w:t xml:space="preserve">1 </w:t>
      </w:r>
      <w:r w:rsidRPr="001C24DD">
        <w:rPr>
          <w:i/>
          <w:sz w:val="18"/>
          <w:szCs w:val="20"/>
          <w:lang w:val="en-AU" w:eastAsia="en-AU" w:bidi="ar-SA"/>
        </w:rPr>
        <w:t xml:space="preserve">Applies whether </w:t>
      </w:r>
      <w:r w:rsidRPr="001C24DD">
        <w:rPr>
          <w:i/>
          <w:sz w:val="18"/>
          <w:szCs w:val="20"/>
          <w:lang w:eastAsia="en-AU" w:bidi="ar-SA"/>
        </w:rPr>
        <w:t>addition is for technological or nutritional purpose.</w:t>
      </w:r>
      <w:r w:rsidR="00B720B5">
        <w:rPr>
          <w:i/>
          <w:sz w:val="18"/>
          <w:szCs w:val="20"/>
          <w:lang w:eastAsia="en-AU" w:bidi="ar-SA"/>
        </w:rPr>
        <w:t xml:space="preserve"> N.A. = not applicable.</w:t>
      </w:r>
    </w:p>
    <w:p w14:paraId="61630785" w14:textId="382324FE" w:rsidR="00C757F5" w:rsidRDefault="00C757F5" w:rsidP="00776154">
      <w:pPr>
        <w:rPr>
          <w:lang w:val="en-AU" w:eastAsia="en-AU" w:bidi="ar-SA"/>
        </w:rPr>
      </w:pPr>
    </w:p>
    <w:p w14:paraId="6F7B76B8" w14:textId="076D9642" w:rsidR="004A0C4D" w:rsidRDefault="00125669" w:rsidP="00776154">
      <w:pPr>
        <w:rPr>
          <w:lang w:val="en-AU" w:eastAsia="en-AU" w:bidi="ar-SA"/>
        </w:rPr>
      </w:pPr>
      <w:r>
        <w:rPr>
          <w:lang w:val="en-AU" w:eastAsia="en-AU" w:bidi="ar-SA"/>
        </w:rPr>
        <w:t>Three</w:t>
      </w:r>
      <w:r w:rsidR="004A0C4D">
        <w:rPr>
          <w:lang w:val="en-AU" w:eastAsia="en-AU" w:bidi="ar-SA"/>
        </w:rPr>
        <w:t xml:space="preserve"> </w:t>
      </w:r>
      <w:r>
        <w:rPr>
          <w:lang w:val="en-AU" w:eastAsia="en-AU" w:bidi="ar-SA"/>
        </w:rPr>
        <w:t>options</w:t>
      </w:r>
      <w:r w:rsidR="004A0C4D">
        <w:rPr>
          <w:lang w:val="en-AU" w:eastAsia="en-AU" w:bidi="ar-SA"/>
        </w:rPr>
        <w:t xml:space="preserve"> would provide clarity on the maximum PL amount and </w:t>
      </w:r>
      <w:r>
        <w:rPr>
          <w:lang w:val="en-AU" w:eastAsia="en-AU" w:bidi="ar-SA"/>
        </w:rPr>
        <w:t xml:space="preserve">align with </w:t>
      </w:r>
      <w:r w:rsidR="004A0C4D">
        <w:rPr>
          <w:lang w:val="en-AU" w:eastAsia="en-AU" w:bidi="ar-SA"/>
        </w:rPr>
        <w:t>international regulations and recommendations:</w:t>
      </w:r>
    </w:p>
    <w:p w14:paraId="381DFB3D" w14:textId="0250D613" w:rsidR="004A0C4D" w:rsidRDefault="004A0C4D" w:rsidP="004A0C4D">
      <w:pPr>
        <w:ind w:left="567" w:hanging="567"/>
        <w:rPr>
          <w:lang w:val="en-AU" w:eastAsia="en-AU" w:bidi="ar-SA"/>
        </w:rPr>
      </w:pPr>
      <w:r>
        <w:rPr>
          <w:lang w:val="en-AU" w:eastAsia="en-AU" w:bidi="ar-SA"/>
        </w:rPr>
        <w:t>(1)</w:t>
      </w:r>
      <w:r>
        <w:rPr>
          <w:lang w:val="en-AU" w:eastAsia="en-AU" w:bidi="ar-SA"/>
        </w:rPr>
        <w:tab/>
        <w:t>Restrict the PL content to 2 g/L, or</w:t>
      </w:r>
    </w:p>
    <w:p w14:paraId="552B85B6" w14:textId="5B86AC67" w:rsidR="004A0C4D" w:rsidRDefault="004A0C4D" w:rsidP="004A0C4D">
      <w:pPr>
        <w:ind w:left="567" w:hanging="567"/>
        <w:rPr>
          <w:lang w:val="en-AU" w:eastAsia="en-AU" w:bidi="ar-SA"/>
        </w:rPr>
      </w:pPr>
      <w:r>
        <w:rPr>
          <w:lang w:val="en-AU" w:eastAsia="en-AU" w:bidi="ar-SA"/>
        </w:rPr>
        <w:t>(2)</w:t>
      </w:r>
      <w:r>
        <w:rPr>
          <w:lang w:val="en-AU" w:eastAsia="en-AU" w:bidi="ar-SA"/>
        </w:rPr>
        <w:tab/>
        <w:t xml:space="preserve">Restrict the lecithin content to 1 g/L for infant formula </w:t>
      </w:r>
      <w:r w:rsidR="00125669">
        <w:rPr>
          <w:lang w:val="en-AU" w:eastAsia="en-AU" w:bidi="ar-SA"/>
        </w:rPr>
        <w:t xml:space="preserve">product, or </w:t>
      </w:r>
    </w:p>
    <w:p w14:paraId="5890C867" w14:textId="0032AA85" w:rsidR="00125669" w:rsidRDefault="00125669" w:rsidP="004A0C4D">
      <w:pPr>
        <w:ind w:left="567" w:hanging="567"/>
        <w:rPr>
          <w:lang w:val="en-AU" w:eastAsia="en-AU" w:bidi="ar-SA"/>
        </w:rPr>
      </w:pPr>
      <w:r>
        <w:rPr>
          <w:lang w:val="en-AU" w:eastAsia="en-AU" w:bidi="ar-SA"/>
        </w:rPr>
        <w:t>(3)</w:t>
      </w:r>
      <w:r>
        <w:rPr>
          <w:lang w:val="en-AU" w:eastAsia="en-AU" w:bidi="ar-SA"/>
        </w:rPr>
        <w:tab/>
        <w:t xml:space="preserve">Both (1) and (2) </w:t>
      </w:r>
    </w:p>
    <w:p w14:paraId="14DD0866" w14:textId="692066AC" w:rsidR="004A0C4D" w:rsidRDefault="004A0C4D" w:rsidP="00776154">
      <w:pPr>
        <w:rPr>
          <w:lang w:val="en-AU" w:eastAsia="en-AU" w:bidi="ar-SA"/>
        </w:rPr>
      </w:pPr>
    </w:p>
    <w:p w14:paraId="552E5447" w14:textId="5C486FC7" w:rsidR="00125669" w:rsidRDefault="00125669" w:rsidP="004A0C4D">
      <w:pPr>
        <w:rPr>
          <w:lang w:val="en-AU"/>
        </w:rPr>
      </w:pPr>
      <w:r>
        <w:rPr>
          <w:lang w:val="en-AU" w:eastAsia="en-AU" w:bidi="ar-SA"/>
        </w:rPr>
        <w:t xml:space="preserve">Option 3 would provide the most clarity for the PL maximum. However, </w:t>
      </w:r>
      <w:r w:rsidR="00534669">
        <w:rPr>
          <w:lang w:val="en-AU"/>
        </w:rPr>
        <w:t>s</w:t>
      </w:r>
      <w:r w:rsidR="004A0C4D" w:rsidRPr="00241E23">
        <w:rPr>
          <w:lang w:val="en-AU"/>
        </w:rPr>
        <w:t>ection 1.1.1—10(6)</w:t>
      </w:r>
      <w:r w:rsidR="004A0C4D">
        <w:rPr>
          <w:lang w:val="en-AU"/>
        </w:rPr>
        <w:t xml:space="preserve"> </w:t>
      </w:r>
      <w:r w:rsidR="004A0C4D" w:rsidRPr="00241E23">
        <w:rPr>
          <w:lang w:val="en-AU"/>
        </w:rPr>
        <w:t xml:space="preserve"> (</w:t>
      </w:r>
      <w:r w:rsidR="004A0C4D" w:rsidRPr="00241E23">
        <w:rPr>
          <w:i/>
          <w:lang w:val="en-AU"/>
        </w:rPr>
        <w:t>Requirements relating to food for sale</w:t>
      </w:r>
      <w:r w:rsidR="004A0C4D" w:rsidRPr="00241E23">
        <w:rPr>
          <w:lang w:val="en-AU"/>
        </w:rPr>
        <w:t xml:space="preserve">) includes the following notes in relation to substances added to foods: </w:t>
      </w:r>
    </w:p>
    <w:p w14:paraId="1BA0BF44" w14:textId="77777777" w:rsidR="008F7473" w:rsidRPr="00241E23" w:rsidRDefault="008F7473" w:rsidP="004A0C4D">
      <w:pPr>
        <w:rPr>
          <w:lang w:val="en-AU"/>
        </w:rPr>
      </w:pPr>
    </w:p>
    <w:p w14:paraId="6CB36CDF" w14:textId="77777777" w:rsidR="004A0C4D" w:rsidRPr="00EC13E9" w:rsidRDefault="004A0C4D" w:rsidP="004A0C4D">
      <w:pPr>
        <w:ind w:left="567"/>
        <w:rPr>
          <w:b/>
          <w:i/>
          <w:sz w:val="20"/>
          <w:szCs w:val="20"/>
          <w:lang w:val="en-AU" w:eastAsia="en-AU" w:bidi="ar-SA"/>
        </w:rPr>
      </w:pPr>
      <w:r w:rsidRPr="00EC13E9">
        <w:rPr>
          <w:b/>
          <w:i/>
          <w:sz w:val="20"/>
          <w:szCs w:val="20"/>
          <w:lang w:val="en-AU" w:eastAsia="en-AU" w:bidi="ar-SA"/>
        </w:rPr>
        <w:t>Note 2:</w:t>
      </w:r>
    </w:p>
    <w:p w14:paraId="3A64881F" w14:textId="77777777" w:rsidR="004A0C4D" w:rsidRDefault="004A0C4D" w:rsidP="004A0C4D">
      <w:pPr>
        <w:ind w:left="567"/>
        <w:rPr>
          <w:i/>
          <w:sz w:val="20"/>
          <w:szCs w:val="20"/>
          <w:lang w:eastAsia="en-AU" w:bidi="ar-SA"/>
        </w:rPr>
      </w:pPr>
      <w:r w:rsidRPr="00EC13E9">
        <w:rPr>
          <w:i/>
          <w:sz w:val="20"/>
          <w:szCs w:val="20"/>
          <w:lang w:eastAsia="en-AU" w:bidi="ar-SA"/>
        </w:rPr>
        <w:t>There is an overlap between some of these categories. For example, some substances may be used as a food additive or as a nutritive substance. For such substances, there will be different provisions permitting use of the substance for different purposes.</w:t>
      </w:r>
    </w:p>
    <w:p w14:paraId="3DC6D053" w14:textId="77777777" w:rsidR="004A0C4D" w:rsidRPr="00EC13E9" w:rsidRDefault="004A0C4D" w:rsidP="004A0C4D">
      <w:pPr>
        <w:ind w:left="567"/>
        <w:rPr>
          <w:i/>
          <w:sz w:val="20"/>
          <w:szCs w:val="20"/>
          <w:lang w:eastAsia="en-AU" w:bidi="ar-SA"/>
        </w:rPr>
      </w:pPr>
    </w:p>
    <w:p w14:paraId="0F32C96F" w14:textId="77777777" w:rsidR="004A0C4D" w:rsidRPr="00EC13E9" w:rsidRDefault="004A0C4D" w:rsidP="004A0C4D">
      <w:pPr>
        <w:ind w:left="567"/>
        <w:rPr>
          <w:b/>
          <w:i/>
          <w:sz w:val="20"/>
          <w:szCs w:val="20"/>
          <w:lang w:val="en-AU" w:eastAsia="en-AU" w:bidi="ar-SA"/>
        </w:rPr>
      </w:pPr>
      <w:r w:rsidRPr="00EC13E9">
        <w:rPr>
          <w:b/>
          <w:i/>
          <w:sz w:val="20"/>
          <w:szCs w:val="20"/>
          <w:lang w:val="en-AU" w:eastAsia="en-AU" w:bidi="ar-SA"/>
        </w:rPr>
        <w:t>Note 3:</w:t>
      </w:r>
    </w:p>
    <w:p w14:paraId="2A667387" w14:textId="322F8153" w:rsidR="004A0C4D" w:rsidRDefault="004A0C4D" w:rsidP="004A0C4D">
      <w:pPr>
        <w:ind w:left="567"/>
        <w:rPr>
          <w:i/>
          <w:sz w:val="20"/>
          <w:szCs w:val="20"/>
          <w:lang w:eastAsia="en-AU" w:bidi="ar-SA"/>
        </w:rPr>
      </w:pPr>
      <w:r w:rsidRPr="00EC13E9">
        <w:rPr>
          <w:i/>
          <w:sz w:val="20"/>
          <w:szCs w:val="20"/>
          <w:lang w:eastAsia="en-AU" w:bidi="ar-SA"/>
        </w:rPr>
        <w:t>In some cases, a provision refers to the total amount of a substance added to a food. In these cases, the total amount applies irrespective of whether the substance was used as a food additive, used as a processing aid or used as a nutritive substance.</w:t>
      </w:r>
    </w:p>
    <w:p w14:paraId="63812784" w14:textId="77777777" w:rsidR="008F7473" w:rsidRPr="00EC13E9" w:rsidRDefault="008F7473" w:rsidP="004A0C4D">
      <w:pPr>
        <w:ind w:left="567"/>
        <w:rPr>
          <w:i/>
          <w:sz w:val="20"/>
          <w:szCs w:val="20"/>
          <w:lang w:eastAsia="en-AU" w:bidi="ar-SA"/>
        </w:rPr>
      </w:pPr>
    </w:p>
    <w:p w14:paraId="251B8DEF" w14:textId="60FB23E1" w:rsidR="00125669" w:rsidRDefault="00125669" w:rsidP="00776154">
      <w:pPr>
        <w:rPr>
          <w:lang w:val="en-AU" w:eastAsia="en-AU" w:bidi="ar-SA"/>
        </w:rPr>
      </w:pPr>
      <w:r>
        <w:rPr>
          <w:lang w:val="en-AU" w:eastAsia="en-AU" w:bidi="ar-SA"/>
        </w:rPr>
        <w:t xml:space="preserve">If a specified maximum PL of 2 g/L is the most appropriate approach (Option 1), any inconsistency in the Code would also </w:t>
      </w:r>
      <w:r w:rsidR="008F7808">
        <w:rPr>
          <w:lang w:val="en-AU" w:eastAsia="en-AU" w:bidi="ar-SA"/>
        </w:rPr>
        <w:t xml:space="preserve">need to </w:t>
      </w:r>
      <w:r>
        <w:rPr>
          <w:lang w:val="en-AU" w:eastAsia="en-AU" w:bidi="ar-SA"/>
        </w:rPr>
        <w:t>be addressed (e.g. a condition applied to the Schedule 15 permission for lecithin).</w:t>
      </w:r>
    </w:p>
    <w:p w14:paraId="124DA2E9" w14:textId="40F5C0AB" w:rsidR="008107DE" w:rsidRDefault="00776154" w:rsidP="00776154">
      <w:pPr>
        <w:rPr>
          <w:lang w:val="en-AU" w:eastAsia="en-AU" w:bidi="ar-SA"/>
        </w:rPr>
      </w:pPr>
      <w:r w:rsidRPr="001E5EFE">
        <w:rPr>
          <w:lang w:val="en-AU" w:eastAsia="en-AU" w:bidi="ar-SA"/>
        </w:rPr>
        <w:lastRenderedPageBreak/>
        <w:t xml:space="preserve">Phosphotidylcholine is a component of lecithin which when hydrolysed produces choline. The </w:t>
      </w:r>
      <w:r w:rsidR="00241E23">
        <w:rPr>
          <w:lang w:val="en-AU" w:eastAsia="en-AU" w:bidi="ar-SA"/>
        </w:rPr>
        <w:t xml:space="preserve">2020 </w:t>
      </w:r>
      <w:r w:rsidRPr="001E5EFE">
        <w:rPr>
          <w:lang w:val="en-AU" w:eastAsia="en-AU" w:bidi="ar-SA"/>
        </w:rPr>
        <w:t xml:space="preserve">EFSA evaluation of lecithin as a food additive also considered the contribution of lecithin to choline intakes. The appropriate levels of choline in infant formula, including that derived from added lecithin is discussed in section </w:t>
      </w:r>
      <w:r w:rsidR="001C24DD">
        <w:rPr>
          <w:lang w:val="en-AU" w:eastAsia="en-AU" w:bidi="ar-SA"/>
        </w:rPr>
        <w:t>7</w:t>
      </w:r>
      <w:r w:rsidR="00F24147">
        <w:rPr>
          <w:lang w:val="en-AU" w:eastAsia="en-AU" w:bidi="ar-SA"/>
        </w:rPr>
        <w:t>.1</w:t>
      </w:r>
      <w:r w:rsidRPr="001E5EFE">
        <w:rPr>
          <w:lang w:val="en-AU" w:eastAsia="en-AU" w:bidi="ar-SA"/>
        </w:rPr>
        <w:t>.</w:t>
      </w:r>
    </w:p>
    <w:p w14:paraId="6C97B5EA" w14:textId="2F31DBA5" w:rsidR="00776154" w:rsidRDefault="00776154" w:rsidP="00776154">
      <w:pPr>
        <w:pStyle w:val="Heading4"/>
        <w:rPr>
          <w:lang w:eastAsia="en-AU"/>
        </w:rPr>
      </w:pPr>
      <w:r>
        <w:rPr>
          <w:lang w:eastAsia="en-AU"/>
        </w:rPr>
        <w:t xml:space="preserve">Proposed </w:t>
      </w:r>
      <w:r w:rsidR="00C30BAC">
        <w:rPr>
          <w:lang w:eastAsia="en-AU"/>
        </w:rPr>
        <w:t>approach</w:t>
      </w:r>
    </w:p>
    <w:p w14:paraId="72E3E6EA" w14:textId="3DE52F1F" w:rsidR="0086665C" w:rsidRDefault="00776154" w:rsidP="00776154">
      <w:pPr>
        <w:rPr>
          <w:lang w:val="en-AU" w:eastAsia="en-AU" w:bidi="ar-SA"/>
        </w:rPr>
      </w:pPr>
      <w:r>
        <w:rPr>
          <w:lang w:val="en-AU" w:eastAsia="en-AU" w:bidi="ar-SA"/>
        </w:rPr>
        <w:t xml:space="preserve">FSANZ proposes </w:t>
      </w:r>
      <w:r w:rsidR="008F7473">
        <w:rPr>
          <w:lang w:val="en-AU" w:eastAsia="en-AU" w:bidi="ar-SA"/>
        </w:rPr>
        <w:t xml:space="preserve">to </w:t>
      </w:r>
      <w:r>
        <w:rPr>
          <w:lang w:val="en-AU" w:eastAsia="en-AU" w:bidi="ar-SA"/>
        </w:rPr>
        <w:t>set the maximum permitted amount</w:t>
      </w:r>
      <w:r w:rsidR="006178E8">
        <w:rPr>
          <w:lang w:val="en-AU" w:eastAsia="en-AU" w:bidi="ar-SA"/>
        </w:rPr>
        <w:t xml:space="preserve"> of PL as 2 g/L (72 mg/100 kJ) and the maximum lecithin amount to 1 g/L (Option 3).</w:t>
      </w:r>
      <w:r>
        <w:rPr>
          <w:lang w:val="en-AU" w:eastAsia="en-AU" w:bidi="ar-SA"/>
        </w:rPr>
        <w:t xml:space="preserve"> </w:t>
      </w:r>
      <w:r w:rsidR="0013751C">
        <w:rPr>
          <w:lang w:val="en-AU" w:eastAsia="en-AU" w:bidi="ar-SA"/>
        </w:rPr>
        <w:t>This approach</w:t>
      </w:r>
      <w:r w:rsidR="006178E8">
        <w:rPr>
          <w:lang w:val="en-AU" w:eastAsia="en-AU" w:bidi="ar-SA"/>
        </w:rPr>
        <w:t xml:space="preserve"> provides alignment with the most recently reviewed international regulations (EU 2016/127</w:t>
      </w:r>
      <w:r w:rsidR="008F7473">
        <w:rPr>
          <w:lang w:val="en-AU" w:eastAsia="en-AU" w:bidi="ar-SA"/>
        </w:rPr>
        <w:t>)</w:t>
      </w:r>
      <w:r w:rsidR="006178E8">
        <w:rPr>
          <w:lang w:val="en-AU" w:eastAsia="en-AU" w:bidi="ar-SA"/>
        </w:rPr>
        <w:t xml:space="preserve"> and provides the most clarity for PL amounts in the Code. We</w:t>
      </w:r>
      <w:r w:rsidR="00A80B4C">
        <w:rPr>
          <w:lang w:val="en-AU" w:eastAsia="en-AU" w:bidi="ar-SA"/>
        </w:rPr>
        <w:t xml:space="preserve"> request information (including quantitative evidence)</w:t>
      </w:r>
      <w:r w:rsidR="006178E8">
        <w:rPr>
          <w:lang w:val="en-AU" w:eastAsia="en-AU" w:bidi="ar-SA"/>
        </w:rPr>
        <w:t xml:space="preserve"> about this approach, particularly from manufacturers that </w:t>
      </w:r>
      <w:r w:rsidR="00A80B4C">
        <w:rPr>
          <w:lang w:val="en-AU" w:eastAsia="en-AU" w:bidi="ar-SA"/>
        </w:rPr>
        <w:t xml:space="preserve">may </w:t>
      </w:r>
      <w:r w:rsidR="00A80B4C">
        <w:rPr>
          <w:szCs w:val="20"/>
          <w:lang w:eastAsia="en-AU"/>
        </w:rPr>
        <w:t>be disproportionately impacted by the</w:t>
      </w:r>
      <w:r w:rsidR="006178E8">
        <w:rPr>
          <w:szCs w:val="20"/>
          <w:lang w:eastAsia="en-AU"/>
        </w:rPr>
        <w:t>se</w:t>
      </w:r>
      <w:r w:rsidR="00A80B4C">
        <w:rPr>
          <w:szCs w:val="20"/>
          <w:lang w:eastAsia="en-AU"/>
        </w:rPr>
        <w:t xml:space="preserve"> restriction</w:t>
      </w:r>
      <w:r w:rsidR="006178E8">
        <w:rPr>
          <w:szCs w:val="20"/>
          <w:lang w:eastAsia="en-AU"/>
        </w:rPr>
        <w:t>s</w:t>
      </w:r>
      <w:r w:rsidR="00A80B4C">
        <w:rPr>
          <w:szCs w:val="20"/>
          <w:lang w:eastAsia="en-AU"/>
        </w:rPr>
        <w:t xml:space="preserve">. </w:t>
      </w:r>
    </w:p>
    <w:p w14:paraId="6B708324" w14:textId="0E4F657D" w:rsidR="00776154" w:rsidRDefault="00AC57F6" w:rsidP="00C73A77">
      <w:pPr>
        <w:pStyle w:val="Heading3"/>
      </w:pPr>
      <w:bookmarkStart w:id="265" w:name="_Toc73455631"/>
      <w:bookmarkStart w:id="266" w:name="_Toc73624904"/>
      <w:r>
        <w:t>5</w:t>
      </w:r>
      <w:r w:rsidR="00776154">
        <w:t>.6.4</w:t>
      </w:r>
      <w:r w:rsidR="00776154">
        <w:tab/>
        <w:t>Other fatty acids: myristic, lauric and erucic acids</w:t>
      </w:r>
      <w:bookmarkEnd w:id="265"/>
      <w:bookmarkEnd w:id="266"/>
    </w:p>
    <w:p w14:paraId="5663E07B" w14:textId="4019E77A" w:rsidR="00776154" w:rsidRDefault="00776154" w:rsidP="00776154">
      <w:pPr>
        <w:pStyle w:val="Heading4"/>
        <w:rPr>
          <w:lang w:eastAsia="en-AU"/>
        </w:rPr>
      </w:pPr>
      <w:r>
        <w:rPr>
          <w:lang w:eastAsia="en-AU"/>
        </w:rPr>
        <w:t>Current regulation</w:t>
      </w:r>
      <w:r w:rsidR="007A6CD5">
        <w:rPr>
          <w:lang w:eastAsia="en-AU"/>
        </w:rPr>
        <w:t>s</w:t>
      </w:r>
    </w:p>
    <w:p w14:paraId="50A7B7CF" w14:textId="49D6E342" w:rsidR="00776154" w:rsidRDefault="00651CEA" w:rsidP="00776154">
      <w:pPr>
        <w:rPr>
          <w:rFonts w:eastAsia="Arial Unicode MS"/>
          <w:szCs w:val="22"/>
          <w:lang w:val="en-AU" w:bidi="ar-SA"/>
        </w:rPr>
      </w:pPr>
      <w:r>
        <w:rPr>
          <w:rFonts w:eastAsia="Arial Unicode MS"/>
          <w:szCs w:val="22"/>
          <w:lang w:val="en-AU" w:bidi="ar-SA"/>
        </w:rPr>
        <w:t>Section S29—8</w:t>
      </w:r>
      <w:r w:rsidR="00776154">
        <w:rPr>
          <w:rFonts w:eastAsia="Arial Unicode MS"/>
          <w:szCs w:val="22"/>
          <w:lang w:val="en-AU" w:bidi="ar-SA"/>
        </w:rPr>
        <w:t xml:space="preserve">, Codex Stan 72-1981 and EU </w:t>
      </w:r>
      <w:r w:rsidR="0061382B">
        <w:rPr>
          <w:rFonts w:eastAsia="Arial Unicode MS"/>
          <w:szCs w:val="22"/>
          <w:lang w:val="en-AU" w:bidi="ar-SA"/>
        </w:rPr>
        <w:t xml:space="preserve">2016/127 </w:t>
      </w:r>
      <w:r w:rsidR="00776154">
        <w:rPr>
          <w:rFonts w:eastAsia="Arial Unicode MS"/>
          <w:szCs w:val="22"/>
          <w:lang w:val="en-AU" w:bidi="ar-SA"/>
        </w:rPr>
        <w:t>permit erucic acid at a maximum of 1% of total FA.</w:t>
      </w:r>
    </w:p>
    <w:p w14:paraId="4D4353F8" w14:textId="77777777" w:rsidR="00776154" w:rsidRDefault="00776154" w:rsidP="00776154">
      <w:pPr>
        <w:rPr>
          <w:rFonts w:eastAsia="Arial Unicode MS"/>
          <w:szCs w:val="22"/>
          <w:lang w:val="en-AU" w:bidi="ar-SA"/>
        </w:rPr>
      </w:pPr>
    </w:p>
    <w:p w14:paraId="2AF92DC8" w14:textId="76E92F13" w:rsidR="00776154" w:rsidRDefault="00776154" w:rsidP="00776154">
      <w:pPr>
        <w:rPr>
          <w:rFonts w:eastAsia="Arial Unicode MS"/>
          <w:szCs w:val="22"/>
          <w:lang w:val="en-AU" w:bidi="ar-SA"/>
        </w:rPr>
      </w:pPr>
      <w:r>
        <w:rPr>
          <w:rFonts w:eastAsia="Arial Unicode MS"/>
          <w:szCs w:val="22"/>
          <w:lang w:val="en-AU" w:bidi="ar-SA"/>
        </w:rPr>
        <w:t xml:space="preserve">Myristic and lauric acid do not have permissions in Standard 2.9.1 or EU </w:t>
      </w:r>
      <w:r w:rsidR="0061382B">
        <w:rPr>
          <w:rFonts w:eastAsia="Arial Unicode MS"/>
          <w:szCs w:val="22"/>
          <w:lang w:val="en-AU" w:bidi="ar-SA"/>
        </w:rPr>
        <w:t>2016/127</w:t>
      </w:r>
      <w:r>
        <w:rPr>
          <w:rFonts w:eastAsia="Arial Unicode MS"/>
          <w:szCs w:val="22"/>
          <w:lang w:val="en-AU" w:bidi="ar-SA"/>
        </w:rPr>
        <w:t xml:space="preserve">. However, Codex </w:t>
      </w:r>
      <w:r w:rsidR="0061382B">
        <w:rPr>
          <w:rFonts w:eastAsia="Arial Unicode MS"/>
          <w:szCs w:val="22"/>
          <w:lang w:val="en-AU" w:bidi="ar-SA"/>
        </w:rPr>
        <w:t xml:space="preserve">STAN </w:t>
      </w:r>
      <w:r>
        <w:rPr>
          <w:rFonts w:eastAsia="Arial Unicode MS"/>
          <w:szCs w:val="22"/>
          <w:lang w:val="en-AU" w:bidi="ar-SA"/>
        </w:rPr>
        <w:t>72-1981 permits both fatty acids at</w:t>
      </w:r>
      <w:r w:rsidR="0061382B">
        <w:rPr>
          <w:rFonts w:eastAsia="Arial Unicode MS"/>
          <w:szCs w:val="22"/>
          <w:lang w:val="en-AU" w:bidi="ar-SA"/>
        </w:rPr>
        <w:t xml:space="preserve"> a maximum of</w:t>
      </w:r>
      <w:r>
        <w:rPr>
          <w:rFonts w:eastAsia="Arial Unicode MS"/>
          <w:szCs w:val="22"/>
          <w:lang w:val="en-AU" w:bidi="ar-SA"/>
        </w:rPr>
        <w:t xml:space="preserve"> 20% of total FA content</w:t>
      </w:r>
      <w:r w:rsidR="0061382B">
        <w:rPr>
          <w:rFonts w:eastAsia="Arial Unicode MS"/>
          <w:szCs w:val="22"/>
          <w:lang w:val="en-AU" w:bidi="ar-SA"/>
        </w:rPr>
        <w:t xml:space="preserve"> combined</w:t>
      </w:r>
      <w:r>
        <w:rPr>
          <w:rFonts w:eastAsia="Arial Unicode MS"/>
          <w:szCs w:val="22"/>
          <w:lang w:val="en-AU" w:bidi="ar-SA"/>
        </w:rPr>
        <w:t xml:space="preserve">. </w:t>
      </w:r>
    </w:p>
    <w:p w14:paraId="345E1F95" w14:textId="77777777" w:rsidR="00776154" w:rsidRDefault="00776154" w:rsidP="00776154">
      <w:pPr>
        <w:pStyle w:val="Heading4"/>
        <w:rPr>
          <w:lang w:eastAsia="en-AU"/>
        </w:rPr>
      </w:pPr>
      <w:r>
        <w:rPr>
          <w:lang w:eastAsia="en-AU"/>
        </w:rPr>
        <w:t>Previous consideration</w:t>
      </w:r>
    </w:p>
    <w:p w14:paraId="19EE6D60" w14:textId="68D31D7B" w:rsidR="00776154" w:rsidRDefault="00776154" w:rsidP="00776154">
      <w:r w:rsidRPr="00FD6238">
        <w:t xml:space="preserve">Both </w:t>
      </w:r>
      <w:r w:rsidR="00651CEA">
        <w:t>section S29—8</w:t>
      </w:r>
      <w:r w:rsidRPr="00FD6238">
        <w:t xml:space="preserve"> and Codex specify that erucic acid (22:1n-9) should not be present at more than 1% of the total fatty acid content in infant formula. As the Code is currently aligned with Codex on this po</w:t>
      </w:r>
      <w:r>
        <w:t>int, FSANZ’s preliminary view in 2016 was</w:t>
      </w:r>
      <w:r w:rsidRPr="00FD6238">
        <w:t xml:space="preserve"> to retain the limit on erucic acid. Feedback received through previous consultation has supported this option.</w:t>
      </w:r>
    </w:p>
    <w:p w14:paraId="6AE6B1F9" w14:textId="77777777" w:rsidR="00776154" w:rsidRPr="004302FC" w:rsidRDefault="00776154" w:rsidP="00776154">
      <w:pPr>
        <w:rPr>
          <w:lang w:val="en-AU" w:eastAsia="en-AU" w:bidi="ar-SA"/>
        </w:rPr>
      </w:pPr>
    </w:p>
    <w:p w14:paraId="2F467CD8" w14:textId="0EA48DF0" w:rsidR="00776154" w:rsidRPr="00FD6238" w:rsidRDefault="00776154" w:rsidP="00776154">
      <w:r w:rsidRPr="00FD6238">
        <w:t xml:space="preserve">FSANZ </w:t>
      </w:r>
      <w:r>
        <w:t>also considered</w:t>
      </w:r>
      <w:r w:rsidRPr="00FD6238">
        <w:t xml:space="preserve"> it appropriate to maintain no restriction on the levels of myristic (14:0) and lauric (12:0) acids in Standard 2.9.1. This view is in line with the recent expert opinion on the safety of these fatty acids in </w:t>
      </w:r>
      <w:r w:rsidR="00AC57F6">
        <w:t>infant formula.</w:t>
      </w:r>
      <w:r w:rsidRPr="00FD6238">
        <w:t xml:space="preserve"> Although this approach is inconsistent with Codex, it is less restrictive for innovation and trade. Feedback received through our previous consultations has supported this approach.</w:t>
      </w:r>
    </w:p>
    <w:p w14:paraId="3E3026C9" w14:textId="2059AF30" w:rsidR="00776154" w:rsidRDefault="00D86C99" w:rsidP="00776154">
      <w:pPr>
        <w:pStyle w:val="Heading4"/>
        <w:rPr>
          <w:lang w:eastAsia="en-AU"/>
        </w:rPr>
      </w:pPr>
      <w:r>
        <w:rPr>
          <w:lang w:eastAsia="en-AU"/>
        </w:rPr>
        <w:t>Stakeholder views</w:t>
      </w:r>
    </w:p>
    <w:p w14:paraId="584CCF53" w14:textId="360BB196" w:rsidR="00776154" w:rsidRDefault="00776154" w:rsidP="00776154">
      <w:pPr>
        <w:rPr>
          <w:lang w:val="en-AU" w:eastAsia="en-AU" w:bidi="ar-SA"/>
        </w:rPr>
      </w:pPr>
      <w:r>
        <w:rPr>
          <w:lang w:val="en-AU" w:eastAsia="en-AU" w:bidi="ar-SA"/>
        </w:rPr>
        <w:t xml:space="preserve">One industry submitter supported FSANZ’s preliminary view to retain the current maximum for </w:t>
      </w:r>
      <w:r w:rsidR="0061382B">
        <w:rPr>
          <w:lang w:val="en-AU" w:eastAsia="en-AU" w:bidi="ar-SA"/>
        </w:rPr>
        <w:t xml:space="preserve">erucic </w:t>
      </w:r>
      <w:r>
        <w:rPr>
          <w:lang w:val="en-AU" w:eastAsia="en-AU" w:bidi="ar-SA"/>
        </w:rPr>
        <w:t xml:space="preserve">acid. </w:t>
      </w:r>
    </w:p>
    <w:p w14:paraId="15BA88FC" w14:textId="77777777" w:rsidR="00776154" w:rsidRDefault="00776154" w:rsidP="00776154">
      <w:pPr>
        <w:rPr>
          <w:lang w:val="en-AU" w:eastAsia="en-AU" w:bidi="ar-SA"/>
        </w:rPr>
      </w:pPr>
    </w:p>
    <w:p w14:paraId="3025D941" w14:textId="77777777" w:rsidR="00776154" w:rsidRDefault="00776154" w:rsidP="00776154">
      <w:pPr>
        <w:rPr>
          <w:lang w:val="en-AU" w:eastAsia="en-AU" w:bidi="ar-SA"/>
        </w:rPr>
      </w:pPr>
      <w:r>
        <w:rPr>
          <w:lang w:val="en-AU" w:eastAsia="en-AU" w:bidi="ar-SA"/>
        </w:rPr>
        <w:t>Two industry submitters supported FSANZ’s preliminary view to maintain no restriction on the levels of myristic and lauric acid.</w:t>
      </w:r>
    </w:p>
    <w:p w14:paraId="370C64CF" w14:textId="7508A874" w:rsidR="00776154" w:rsidRDefault="0061382B" w:rsidP="00776154">
      <w:pPr>
        <w:pStyle w:val="Heading4"/>
        <w:rPr>
          <w:lang w:eastAsia="en-AU"/>
        </w:rPr>
      </w:pPr>
      <w:r>
        <w:rPr>
          <w:lang w:eastAsia="en-AU"/>
        </w:rPr>
        <w:t>Nutrition r</w:t>
      </w:r>
      <w:r w:rsidR="00776154">
        <w:rPr>
          <w:lang w:eastAsia="en-AU"/>
        </w:rPr>
        <w:t>isk assessment</w:t>
      </w:r>
    </w:p>
    <w:p w14:paraId="71843D00" w14:textId="1A8904E1" w:rsidR="00776154" w:rsidRDefault="00776154" w:rsidP="00776154">
      <w:pPr>
        <w:rPr>
          <w:lang w:val="en-AU" w:eastAsia="en-AU" w:bidi="ar-SA"/>
        </w:rPr>
      </w:pPr>
      <w:r>
        <w:rPr>
          <w:lang w:val="en-AU" w:eastAsia="en-AU" w:bidi="ar-SA"/>
        </w:rPr>
        <w:t xml:space="preserve">No further </w:t>
      </w:r>
      <w:r w:rsidR="0061382B">
        <w:rPr>
          <w:lang w:val="en-AU" w:eastAsia="en-AU" w:bidi="ar-SA"/>
        </w:rPr>
        <w:t xml:space="preserve">nutrition </w:t>
      </w:r>
      <w:r>
        <w:rPr>
          <w:lang w:val="en-AU" w:eastAsia="en-AU" w:bidi="ar-SA"/>
        </w:rPr>
        <w:t xml:space="preserve">risk assessment has been considered on this issue. </w:t>
      </w:r>
    </w:p>
    <w:p w14:paraId="7925271A" w14:textId="1C3EF146" w:rsidR="00776154" w:rsidRDefault="00776154" w:rsidP="00776154">
      <w:pPr>
        <w:pStyle w:val="Heading4"/>
        <w:rPr>
          <w:lang w:eastAsia="en-AU"/>
        </w:rPr>
      </w:pPr>
      <w:r>
        <w:rPr>
          <w:lang w:eastAsia="en-AU"/>
        </w:rPr>
        <w:t xml:space="preserve">Proposed </w:t>
      </w:r>
      <w:r w:rsidR="00C30BAC">
        <w:rPr>
          <w:lang w:eastAsia="en-AU"/>
        </w:rPr>
        <w:t>approach</w:t>
      </w:r>
    </w:p>
    <w:p w14:paraId="215A0543" w14:textId="77777777" w:rsidR="00776154" w:rsidRDefault="00776154" w:rsidP="00776154">
      <w:pPr>
        <w:rPr>
          <w:lang w:val="en-AU" w:eastAsia="en-AU" w:bidi="ar-SA"/>
        </w:rPr>
      </w:pPr>
      <w:r>
        <w:rPr>
          <w:lang w:val="en-AU" w:eastAsia="en-AU" w:bidi="ar-SA"/>
        </w:rPr>
        <w:t xml:space="preserve">The proposed options for </w:t>
      </w:r>
      <w:r w:rsidRPr="00DD5D8A">
        <w:rPr>
          <w:lang w:val="en-AU" w:eastAsia="en-AU" w:bidi="ar-SA"/>
        </w:rPr>
        <w:t>myristic, lauric and eruci</w:t>
      </w:r>
      <w:r>
        <w:rPr>
          <w:lang w:val="en-AU" w:eastAsia="en-AU" w:bidi="ar-SA"/>
        </w:rPr>
        <w:t>c acids are unchanged from the views on these topics in the 2016 Consultation paper. FSANZ proposes to retain the current restrictions in Standard 2.9.1 for these fatty acids.</w:t>
      </w:r>
    </w:p>
    <w:p w14:paraId="158895B6" w14:textId="77777777" w:rsidR="00776154" w:rsidRDefault="00776154" w:rsidP="00776154">
      <w:pPr>
        <w:rPr>
          <w:lang w:val="en-AU" w:eastAsia="en-AU" w:bidi="ar-SA"/>
        </w:rPr>
      </w:pPr>
    </w:p>
    <w:p w14:paraId="33E42DB3" w14:textId="5A068B58" w:rsidR="00776154" w:rsidRPr="00205F7E" w:rsidRDefault="00AC57F6" w:rsidP="00776154">
      <w:pPr>
        <w:pStyle w:val="Heading1"/>
      </w:pPr>
      <w:bookmarkStart w:id="267" w:name="_Toc412794114"/>
      <w:bookmarkStart w:id="268" w:name="_Toc419280144"/>
      <w:bookmarkStart w:id="269" w:name="_Toc427310823"/>
      <w:bookmarkStart w:id="270" w:name="_Toc431488474"/>
      <w:bookmarkStart w:id="271" w:name="_Toc432434653"/>
      <w:bookmarkStart w:id="272" w:name="_Toc437858788"/>
      <w:bookmarkStart w:id="273" w:name="_Toc440462458"/>
      <w:bookmarkStart w:id="274" w:name="_Toc440470855"/>
      <w:bookmarkStart w:id="275" w:name="_Toc73455632"/>
      <w:bookmarkStart w:id="276" w:name="_Toc73624905"/>
      <w:bookmarkStart w:id="277" w:name="_Toc76138285"/>
      <w:bookmarkEnd w:id="241"/>
      <w:bookmarkEnd w:id="242"/>
      <w:bookmarkEnd w:id="243"/>
      <w:r>
        <w:t>6</w:t>
      </w:r>
      <w:r w:rsidR="00776154" w:rsidRPr="00205F7E">
        <w:tab/>
        <w:t>Carbohydrate</w:t>
      </w:r>
      <w:bookmarkEnd w:id="267"/>
      <w:bookmarkEnd w:id="268"/>
      <w:bookmarkEnd w:id="269"/>
      <w:bookmarkEnd w:id="270"/>
      <w:bookmarkEnd w:id="271"/>
      <w:bookmarkEnd w:id="272"/>
      <w:bookmarkEnd w:id="273"/>
      <w:bookmarkEnd w:id="274"/>
      <w:bookmarkEnd w:id="275"/>
      <w:bookmarkEnd w:id="276"/>
      <w:bookmarkEnd w:id="277"/>
    </w:p>
    <w:p w14:paraId="62B46446" w14:textId="2714871B" w:rsidR="00776154" w:rsidRDefault="00776154" w:rsidP="00776154">
      <w:pPr>
        <w:rPr>
          <w:lang w:bidi="ar-SA"/>
        </w:rPr>
      </w:pPr>
      <w:r>
        <w:rPr>
          <w:lang w:bidi="ar-SA"/>
        </w:rPr>
        <w:t xml:space="preserve">Carbohydrate is a </w:t>
      </w:r>
      <w:r w:rsidR="0061382B">
        <w:rPr>
          <w:lang w:bidi="ar-SA"/>
        </w:rPr>
        <w:t xml:space="preserve">significant </w:t>
      </w:r>
      <w:r>
        <w:rPr>
          <w:lang w:bidi="ar-SA"/>
        </w:rPr>
        <w:t xml:space="preserve">energy source in infant formula. </w:t>
      </w:r>
      <w:r w:rsidR="0061382B">
        <w:rPr>
          <w:lang w:bidi="ar-SA"/>
        </w:rPr>
        <w:t xml:space="preserve">Some carbohydrates </w:t>
      </w:r>
      <w:r>
        <w:rPr>
          <w:lang w:bidi="ar-SA"/>
        </w:rPr>
        <w:t xml:space="preserve">have other physiological functions such as probiotic effects. Regulation of carbohydrate in infant formula requires consideration of definitions and calculations relevant to carbohydrate identity, dietary fibre, carbohydrate source, and the permitted range for total carbohydrate content.  </w:t>
      </w:r>
    </w:p>
    <w:p w14:paraId="3D77B3E3" w14:textId="2B16D8AE" w:rsidR="00776154" w:rsidRDefault="00AC57F6" w:rsidP="00776154">
      <w:pPr>
        <w:pStyle w:val="Heading2"/>
        <w:ind w:left="0" w:firstLine="0"/>
      </w:pPr>
      <w:bookmarkStart w:id="278" w:name="_Toc73455633"/>
      <w:bookmarkStart w:id="279" w:name="_Toc73624906"/>
      <w:bookmarkStart w:id="280" w:name="_Toc76138286"/>
      <w:bookmarkStart w:id="281" w:name="_Toc437858789"/>
      <w:bookmarkStart w:id="282" w:name="_Toc440462459"/>
      <w:bookmarkStart w:id="283" w:name="_Toc440470856"/>
      <w:r>
        <w:t>6</w:t>
      </w:r>
      <w:r w:rsidR="00776154">
        <w:t>.1</w:t>
      </w:r>
      <w:r w:rsidR="00776154">
        <w:tab/>
        <w:t>Definitions and calculations relevant to carbohydrate identity</w:t>
      </w:r>
      <w:bookmarkEnd w:id="278"/>
      <w:bookmarkEnd w:id="279"/>
      <w:bookmarkEnd w:id="280"/>
      <w:r w:rsidR="00776154">
        <w:t xml:space="preserve"> </w:t>
      </w:r>
      <w:bookmarkEnd w:id="281"/>
      <w:bookmarkEnd w:id="282"/>
      <w:bookmarkEnd w:id="283"/>
    </w:p>
    <w:p w14:paraId="343CD8DE" w14:textId="77777777" w:rsidR="00776154" w:rsidRDefault="00776154" w:rsidP="00776154">
      <w:pPr>
        <w:pStyle w:val="Heading4"/>
        <w:rPr>
          <w:lang w:eastAsia="en-AU"/>
        </w:rPr>
      </w:pPr>
      <w:r>
        <w:rPr>
          <w:lang w:eastAsia="en-AU"/>
        </w:rPr>
        <w:t>Current regulations</w:t>
      </w:r>
    </w:p>
    <w:p w14:paraId="1D58887A" w14:textId="26E13D8F" w:rsidR="00776154" w:rsidRDefault="00776154" w:rsidP="00776154">
      <w:pPr>
        <w:rPr>
          <w:szCs w:val="22"/>
          <w:lang w:val="en-AU"/>
        </w:rPr>
      </w:pPr>
      <w:r>
        <w:rPr>
          <w:szCs w:val="22"/>
          <w:lang w:val="en-AU"/>
        </w:rPr>
        <w:t xml:space="preserve">Identification of carbohydrate types, such as available and unavailable carbohydrate, are not defined in Standard 2.9.1 and Codex STAN 72-1981. Instead the Code sets out definitions for carbohydrates for foods (including in infant formula) in Standard 1.1.2. Similarly, Codex definitions are covered in the </w:t>
      </w:r>
      <w:r>
        <w:t xml:space="preserve">the </w:t>
      </w:r>
      <w:r w:rsidRPr="00DB55DC">
        <w:rPr>
          <w:i/>
        </w:rPr>
        <w:t xml:space="preserve">Codex </w:t>
      </w:r>
      <w:r w:rsidRPr="00733323">
        <w:rPr>
          <w:i/>
        </w:rPr>
        <w:t>Guidelines on Nutrition Labelling</w:t>
      </w:r>
      <w:r w:rsidRPr="0057340D">
        <w:t xml:space="preserve"> (CAC/GL 2-1985)</w:t>
      </w:r>
      <w:r>
        <w:t>.</w:t>
      </w:r>
      <w:r w:rsidRPr="00A523CA">
        <w:rPr>
          <w:szCs w:val="22"/>
          <w:lang w:val="en-AU"/>
        </w:rPr>
        <w:t xml:space="preserve"> </w:t>
      </w:r>
      <w:r>
        <w:rPr>
          <w:szCs w:val="22"/>
          <w:lang w:val="en-AU"/>
        </w:rPr>
        <w:t>T</w:t>
      </w:r>
      <w:r w:rsidRPr="00A523CA">
        <w:rPr>
          <w:lang w:val="en-AU"/>
        </w:rPr>
        <w:t xml:space="preserve">he Code and Codex carbohydrate definitions are set out in Table </w:t>
      </w:r>
      <w:r w:rsidR="00AC57F6">
        <w:rPr>
          <w:lang w:val="en-AU"/>
        </w:rPr>
        <w:t>6</w:t>
      </w:r>
      <w:r w:rsidR="0061382B">
        <w:rPr>
          <w:lang w:val="en-AU"/>
        </w:rPr>
        <w:t>.1</w:t>
      </w:r>
      <w:r w:rsidRPr="00A523CA">
        <w:rPr>
          <w:lang w:val="en-AU"/>
        </w:rPr>
        <w:t>.</w:t>
      </w:r>
    </w:p>
    <w:p w14:paraId="68788344" w14:textId="77777777" w:rsidR="00776154" w:rsidRDefault="00776154" w:rsidP="00776154">
      <w:pPr>
        <w:rPr>
          <w:szCs w:val="22"/>
          <w:lang w:val="en-AU"/>
        </w:rPr>
      </w:pPr>
    </w:p>
    <w:p w14:paraId="3A291318" w14:textId="77777777" w:rsidR="00776154" w:rsidRDefault="00776154" w:rsidP="00776154">
      <w:pPr>
        <w:rPr>
          <w:szCs w:val="22"/>
          <w:lang w:val="en-AU"/>
        </w:rPr>
      </w:pPr>
    </w:p>
    <w:p w14:paraId="54CE5775" w14:textId="1F1EB498" w:rsidR="00776154" w:rsidRDefault="00776154" w:rsidP="00E9515E">
      <w:pPr>
        <w:pStyle w:val="FSTitle"/>
        <w:rPr>
          <w:lang w:val="en-AU" w:eastAsia="en-AU" w:bidi="ar-SA"/>
        </w:rPr>
      </w:pPr>
      <w:bookmarkStart w:id="284" w:name="_Toc74061241"/>
      <w:r>
        <w:rPr>
          <w:lang w:val="en-AU" w:eastAsia="en-AU" w:bidi="ar-SA"/>
        </w:rPr>
        <w:t xml:space="preserve">Table </w:t>
      </w:r>
      <w:r w:rsidR="008410B2">
        <w:rPr>
          <w:lang w:val="en-AU" w:eastAsia="en-AU" w:bidi="ar-SA"/>
        </w:rPr>
        <w:t>6.1</w:t>
      </w:r>
      <w:r w:rsidR="008410B2">
        <w:rPr>
          <w:lang w:val="en-AU" w:eastAsia="en-AU" w:bidi="ar-SA"/>
        </w:rPr>
        <w:tab/>
      </w:r>
      <w:r>
        <w:rPr>
          <w:lang w:val="en-AU" w:eastAsia="en-AU" w:bidi="ar-SA"/>
        </w:rPr>
        <w:t>Definitions for carbohydrates</w:t>
      </w:r>
      <w:bookmarkEnd w:id="284"/>
      <w:r>
        <w:rPr>
          <w:lang w:val="en-AU" w:eastAsia="en-AU" w:bidi="ar-SA"/>
        </w:rPr>
        <w:t xml:space="preserve"> </w:t>
      </w:r>
    </w:p>
    <w:tbl>
      <w:tblPr>
        <w:tblStyle w:val="MediumShading1-Accent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6.1. Definitions for carbohydrates "/>
        <w:tblDescription w:val="This table summarises the definitions for carbohydrates within the Code and Codex."/>
      </w:tblPr>
      <w:tblGrid>
        <w:gridCol w:w="1428"/>
        <w:gridCol w:w="3245"/>
        <w:gridCol w:w="4343"/>
      </w:tblGrid>
      <w:tr w:rsidR="00776154" w:rsidRPr="00D0004D" w14:paraId="0A9C671E" w14:textId="77777777" w:rsidTr="008410B2">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428" w:type="dxa"/>
            <w:tcBorders>
              <w:top w:val="none" w:sz="0" w:space="0" w:color="auto"/>
              <w:left w:val="none" w:sz="0" w:space="0" w:color="auto"/>
              <w:bottom w:val="none" w:sz="0" w:space="0" w:color="auto"/>
              <w:right w:val="none" w:sz="0" w:space="0" w:color="auto"/>
            </w:tcBorders>
            <w:shd w:val="clear" w:color="auto" w:fill="E5DFEC" w:themeFill="accent4" w:themeFillTint="33"/>
            <w:vAlign w:val="center"/>
          </w:tcPr>
          <w:p w14:paraId="0AFE183F" w14:textId="1520C054" w:rsidR="00776154" w:rsidRPr="001C24DD" w:rsidRDefault="00776154" w:rsidP="00DD1431">
            <w:pPr>
              <w:jc w:val="center"/>
              <w:rPr>
                <w:rFonts w:cs="Arial"/>
                <w:color w:val="auto"/>
                <w:szCs w:val="20"/>
              </w:rPr>
            </w:pPr>
            <w:r w:rsidRPr="001C24DD">
              <w:rPr>
                <w:rFonts w:cs="Arial"/>
                <w:color w:val="auto"/>
                <w:szCs w:val="20"/>
              </w:rPr>
              <w:t>Term</w:t>
            </w:r>
          </w:p>
        </w:tc>
        <w:tc>
          <w:tcPr>
            <w:tcW w:w="3245" w:type="dxa"/>
            <w:tcBorders>
              <w:top w:val="none" w:sz="0" w:space="0" w:color="auto"/>
              <w:left w:val="none" w:sz="0" w:space="0" w:color="auto"/>
              <w:bottom w:val="none" w:sz="0" w:space="0" w:color="auto"/>
              <w:right w:val="none" w:sz="0" w:space="0" w:color="auto"/>
            </w:tcBorders>
            <w:shd w:val="clear" w:color="auto" w:fill="DBE5F1" w:themeFill="accent1" w:themeFillTint="33"/>
            <w:vAlign w:val="center"/>
          </w:tcPr>
          <w:p w14:paraId="50F4DC36" w14:textId="77777777" w:rsidR="00776154" w:rsidRPr="001C24DD" w:rsidRDefault="00776154" w:rsidP="00DD1431">
            <w:pPr>
              <w:jc w:val="center"/>
              <w:cnfStyle w:val="100000000000" w:firstRow="1" w:lastRow="0" w:firstColumn="0" w:lastColumn="0" w:oddVBand="0" w:evenVBand="0" w:oddHBand="0" w:evenHBand="0" w:firstRowFirstColumn="0" w:firstRowLastColumn="0" w:lastRowFirstColumn="0" w:lastRowLastColumn="0"/>
              <w:rPr>
                <w:rFonts w:cs="Arial"/>
                <w:color w:val="auto"/>
                <w:szCs w:val="20"/>
              </w:rPr>
            </w:pPr>
            <w:r w:rsidRPr="001C24DD">
              <w:rPr>
                <w:rFonts w:cs="Arial"/>
                <w:color w:val="auto"/>
                <w:szCs w:val="20"/>
              </w:rPr>
              <w:t>Code definition</w:t>
            </w:r>
            <w:r w:rsidRPr="001C24DD">
              <w:rPr>
                <w:rFonts w:cs="Arial"/>
                <w:color w:val="auto"/>
                <w:szCs w:val="20"/>
                <w:vertAlign w:val="superscript"/>
              </w:rPr>
              <w:t>1</w:t>
            </w:r>
          </w:p>
        </w:tc>
        <w:tc>
          <w:tcPr>
            <w:tcW w:w="4343" w:type="dxa"/>
            <w:tcBorders>
              <w:top w:val="none" w:sz="0" w:space="0" w:color="auto"/>
              <w:left w:val="none" w:sz="0" w:space="0" w:color="auto"/>
              <w:bottom w:val="none" w:sz="0" w:space="0" w:color="auto"/>
              <w:right w:val="none" w:sz="0" w:space="0" w:color="auto"/>
            </w:tcBorders>
            <w:shd w:val="clear" w:color="auto" w:fill="EAF1DD" w:themeFill="accent3" w:themeFillTint="33"/>
            <w:vAlign w:val="center"/>
          </w:tcPr>
          <w:p w14:paraId="5CB0EDB7" w14:textId="77777777" w:rsidR="00776154" w:rsidRPr="001C24DD" w:rsidRDefault="00776154" w:rsidP="00DD1431">
            <w:pPr>
              <w:jc w:val="center"/>
              <w:cnfStyle w:val="100000000000" w:firstRow="1" w:lastRow="0" w:firstColumn="0" w:lastColumn="0" w:oddVBand="0" w:evenVBand="0" w:oddHBand="0" w:evenHBand="0" w:firstRowFirstColumn="0" w:firstRowLastColumn="0" w:lastRowFirstColumn="0" w:lastRowLastColumn="0"/>
              <w:rPr>
                <w:rFonts w:cs="Arial"/>
                <w:color w:val="auto"/>
                <w:szCs w:val="20"/>
              </w:rPr>
            </w:pPr>
            <w:r w:rsidRPr="001C24DD">
              <w:rPr>
                <w:rFonts w:cs="Arial"/>
                <w:color w:val="auto"/>
                <w:szCs w:val="20"/>
              </w:rPr>
              <w:t>Codex definition</w:t>
            </w:r>
            <w:r w:rsidRPr="001C24DD">
              <w:rPr>
                <w:rFonts w:cs="Arial"/>
                <w:color w:val="auto"/>
                <w:szCs w:val="20"/>
                <w:vertAlign w:val="superscript"/>
              </w:rPr>
              <w:t>2</w:t>
            </w:r>
          </w:p>
        </w:tc>
      </w:tr>
      <w:tr w:rsidR="00776154" w:rsidRPr="00D0004D" w14:paraId="28EF9D05" w14:textId="77777777" w:rsidTr="008410B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428" w:type="dxa"/>
            <w:tcBorders>
              <w:right w:val="none" w:sz="0" w:space="0" w:color="auto"/>
            </w:tcBorders>
            <w:shd w:val="clear" w:color="auto" w:fill="F2F2F2" w:themeFill="background1" w:themeFillShade="F2"/>
          </w:tcPr>
          <w:p w14:paraId="2D2C9103" w14:textId="77777777" w:rsidR="00776154" w:rsidRPr="00DD1431" w:rsidRDefault="00776154" w:rsidP="00776154">
            <w:pPr>
              <w:rPr>
                <w:rFonts w:cs="Arial"/>
                <w:b w:val="0"/>
                <w:szCs w:val="20"/>
              </w:rPr>
            </w:pPr>
            <w:r w:rsidRPr="00DD1431">
              <w:rPr>
                <w:rFonts w:cs="Arial"/>
                <w:b w:val="0"/>
                <w:szCs w:val="20"/>
              </w:rPr>
              <w:t>Carbohydrate</w:t>
            </w:r>
          </w:p>
        </w:tc>
        <w:tc>
          <w:tcPr>
            <w:tcW w:w="3245" w:type="dxa"/>
            <w:tcBorders>
              <w:left w:val="none" w:sz="0" w:space="0" w:color="auto"/>
              <w:right w:val="none" w:sz="0" w:space="0" w:color="auto"/>
            </w:tcBorders>
            <w:shd w:val="clear" w:color="auto" w:fill="F2F2F2" w:themeFill="background1" w:themeFillShade="F2"/>
          </w:tcPr>
          <w:p w14:paraId="21C3F2E3" w14:textId="77777777" w:rsidR="00776154" w:rsidRPr="00DD1431" w:rsidRDefault="00776154" w:rsidP="00776154">
            <w:pPr>
              <w:cnfStyle w:val="000000100000" w:firstRow="0" w:lastRow="0" w:firstColumn="0" w:lastColumn="0" w:oddVBand="0" w:evenVBand="0" w:oddHBand="1" w:evenHBand="0" w:firstRowFirstColumn="0" w:firstRowLastColumn="0" w:lastRowFirstColumn="0" w:lastRowLastColumn="0"/>
              <w:rPr>
                <w:rFonts w:cs="Arial"/>
                <w:szCs w:val="20"/>
              </w:rPr>
            </w:pPr>
            <w:r w:rsidRPr="00DD1431">
              <w:rPr>
                <w:rFonts w:cs="Arial"/>
                <w:szCs w:val="20"/>
              </w:rPr>
              <w:t>Available carbohydrate or *available carbohydrate by difference</w:t>
            </w:r>
          </w:p>
        </w:tc>
        <w:tc>
          <w:tcPr>
            <w:tcW w:w="4343" w:type="dxa"/>
            <w:tcBorders>
              <w:left w:val="none" w:sz="0" w:space="0" w:color="auto"/>
            </w:tcBorders>
            <w:shd w:val="clear" w:color="auto" w:fill="F2F2F2" w:themeFill="background1" w:themeFillShade="F2"/>
          </w:tcPr>
          <w:p w14:paraId="7549BD49" w14:textId="77777777" w:rsidR="00776154" w:rsidRPr="00DD1431" w:rsidRDefault="00776154" w:rsidP="00776154">
            <w:pPr>
              <w:cnfStyle w:val="000000100000" w:firstRow="0" w:lastRow="0" w:firstColumn="0" w:lastColumn="0" w:oddVBand="0" w:evenVBand="0" w:oddHBand="1" w:evenHBand="0" w:firstRowFirstColumn="0" w:firstRowLastColumn="0" w:lastRowFirstColumn="0" w:lastRowLastColumn="0"/>
              <w:rPr>
                <w:rFonts w:cs="Arial"/>
                <w:szCs w:val="20"/>
              </w:rPr>
            </w:pPr>
            <w:r w:rsidRPr="00DD1431">
              <w:rPr>
                <w:rFonts w:cs="Arial"/>
                <w:szCs w:val="20"/>
              </w:rPr>
              <w:t>Not defined</w:t>
            </w:r>
          </w:p>
        </w:tc>
      </w:tr>
      <w:tr w:rsidR="00776154" w:rsidRPr="00D0004D" w14:paraId="055B922D" w14:textId="77777777" w:rsidTr="008410B2">
        <w:trPr>
          <w:cnfStyle w:val="000000010000" w:firstRow="0" w:lastRow="0" w:firstColumn="0" w:lastColumn="0" w:oddVBand="0" w:evenVBand="0" w:oddHBand="0" w:evenHBand="1"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428" w:type="dxa"/>
            <w:tcBorders>
              <w:right w:val="none" w:sz="0" w:space="0" w:color="auto"/>
            </w:tcBorders>
          </w:tcPr>
          <w:p w14:paraId="0B679A44" w14:textId="77777777" w:rsidR="00776154" w:rsidRPr="00DD1431" w:rsidRDefault="00776154" w:rsidP="00776154">
            <w:pPr>
              <w:rPr>
                <w:rFonts w:cs="Arial"/>
                <w:b w:val="0"/>
                <w:szCs w:val="20"/>
              </w:rPr>
            </w:pPr>
            <w:r w:rsidRPr="00DD1431">
              <w:rPr>
                <w:rFonts w:cs="Arial"/>
                <w:b w:val="0"/>
                <w:szCs w:val="20"/>
              </w:rPr>
              <w:t xml:space="preserve">Available carbohydrate </w:t>
            </w:r>
          </w:p>
        </w:tc>
        <w:tc>
          <w:tcPr>
            <w:tcW w:w="3245" w:type="dxa"/>
            <w:tcBorders>
              <w:left w:val="none" w:sz="0" w:space="0" w:color="auto"/>
              <w:right w:val="none" w:sz="0" w:space="0" w:color="auto"/>
            </w:tcBorders>
          </w:tcPr>
          <w:p w14:paraId="2095E731" w14:textId="77777777" w:rsidR="00776154" w:rsidRPr="00DD1431" w:rsidRDefault="00776154" w:rsidP="00776154">
            <w:pPr>
              <w:cnfStyle w:val="000000010000" w:firstRow="0" w:lastRow="0" w:firstColumn="0" w:lastColumn="0" w:oddVBand="0" w:evenVBand="0" w:oddHBand="0" w:evenHBand="1" w:firstRowFirstColumn="0" w:firstRowLastColumn="0" w:lastRowFirstColumn="0" w:lastRowLastColumn="0"/>
              <w:rPr>
                <w:rFonts w:cs="Arial"/>
                <w:szCs w:val="20"/>
              </w:rPr>
            </w:pPr>
            <w:r w:rsidRPr="00DD1431">
              <w:rPr>
                <w:rFonts w:cs="Arial"/>
                <w:szCs w:val="20"/>
              </w:rPr>
              <w:t>Available carbohydrate calculated in accordance with section S11—3 (See section 7.3)</w:t>
            </w:r>
          </w:p>
        </w:tc>
        <w:tc>
          <w:tcPr>
            <w:tcW w:w="4343" w:type="dxa"/>
            <w:tcBorders>
              <w:left w:val="none" w:sz="0" w:space="0" w:color="auto"/>
            </w:tcBorders>
          </w:tcPr>
          <w:p w14:paraId="31D2F707" w14:textId="77777777" w:rsidR="00776154" w:rsidRPr="00DD1431" w:rsidRDefault="00776154" w:rsidP="00776154">
            <w:pPr>
              <w:cnfStyle w:val="000000010000" w:firstRow="0" w:lastRow="0" w:firstColumn="0" w:lastColumn="0" w:oddVBand="0" w:evenVBand="0" w:oddHBand="0" w:evenHBand="1" w:firstRowFirstColumn="0" w:firstRowLastColumn="0" w:lastRowFirstColumn="0" w:lastRowLastColumn="0"/>
              <w:rPr>
                <w:rFonts w:cs="Arial"/>
                <w:szCs w:val="20"/>
              </w:rPr>
            </w:pPr>
            <w:r w:rsidRPr="00DD1431">
              <w:rPr>
                <w:rFonts w:cs="Arial"/>
                <w:szCs w:val="20"/>
              </w:rPr>
              <w:t>Dietary carbohydrate excluding dietary fibre</w:t>
            </w:r>
          </w:p>
        </w:tc>
      </w:tr>
      <w:tr w:rsidR="00776154" w:rsidRPr="00D0004D" w14:paraId="29C6B5CD" w14:textId="77777777" w:rsidTr="008410B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428" w:type="dxa"/>
            <w:tcBorders>
              <w:right w:val="none" w:sz="0" w:space="0" w:color="auto"/>
            </w:tcBorders>
            <w:shd w:val="clear" w:color="auto" w:fill="F2F2F2" w:themeFill="background1" w:themeFillShade="F2"/>
          </w:tcPr>
          <w:p w14:paraId="25037887" w14:textId="77777777" w:rsidR="00776154" w:rsidRPr="00DD1431" w:rsidRDefault="00776154" w:rsidP="00776154">
            <w:pPr>
              <w:rPr>
                <w:rFonts w:cs="Arial"/>
                <w:b w:val="0"/>
                <w:szCs w:val="20"/>
              </w:rPr>
            </w:pPr>
            <w:r w:rsidRPr="00DD1431">
              <w:rPr>
                <w:rFonts w:cs="Arial"/>
                <w:b w:val="0"/>
                <w:szCs w:val="20"/>
              </w:rPr>
              <w:t xml:space="preserve">Available carbohydrate by difference </w:t>
            </w:r>
          </w:p>
        </w:tc>
        <w:tc>
          <w:tcPr>
            <w:tcW w:w="3245" w:type="dxa"/>
            <w:tcBorders>
              <w:left w:val="none" w:sz="0" w:space="0" w:color="auto"/>
              <w:right w:val="none" w:sz="0" w:space="0" w:color="auto"/>
            </w:tcBorders>
            <w:shd w:val="clear" w:color="auto" w:fill="F2F2F2" w:themeFill="background1" w:themeFillShade="F2"/>
          </w:tcPr>
          <w:p w14:paraId="1133A505" w14:textId="6780B9B4" w:rsidR="00776154" w:rsidRPr="00DD1431" w:rsidRDefault="00776154" w:rsidP="00D63F6F">
            <w:pPr>
              <w:cnfStyle w:val="000000100000" w:firstRow="0" w:lastRow="0" w:firstColumn="0" w:lastColumn="0" w:oddVBand="0" w:evenVBand="0" w:oddHBand="1" w:evenHBand="0" w:firstRowFirstColumn="0" w:firstRowLastColumn="0" w:lastRowFirstColumn="0" w:lastRowLastColumn="0"/>
              <w:rPr>
                <w:rFonts w:cs="Arial"/>
                <w:szCs w:val="20"/>
              </w:rPr>
            </w:pPr>
            <w:r w:rsidRPr="00DD1431">
              <w:rPr>
                <w:rFonts w:cs="Arial"/>
                <w:color w:val="000000"/>
                <w:szCs w:val="20"/>
                <w:lang w:bidi="ar-SA"/>
              </w:rPr>
              <w:t xml:space="preserve">Available carbohydrate by difference calculated in accordance with section S11—3. </w:t>
            </w:r>
          </w:p>
        </w:tc>
        <w:tc>
          <w:tcPr>
            <w:tcW w:w="4343" w:type="dxa"/>
            <w:tcBorders>
              <w:left w:val="none" w:sz="0" w:space="0" w:color="auto"/>
            </w:tcBorders>
            <w:shd w:val="clear" w:color="auto" w:fill="F2F2F2" w:themeFill="background1" w:themeFillShade="F2"/>
          </w:tcPr>
          <w:p w14:paraId="054E595B" w14:textId="77777777" w:rsidR="00776154" w:rsidRPr="00DD1431" w:rsidRDefault="00776154" w:rsidP="00776154">
            <w:pPr>
              <w:cnfStyle w:val="000000100000" w:firstRow="0" w:lastRow="0" w:firstColumn="0" w:lastColumn="0" w:oddVBand="0" w:evenVBand="0" w:oddHBand="1" w:evenHBand="0" w:firstRowFirstColumn="0" w:firstRowLastColumn="0" w:lastRowFirstColumn="0" w:lastRowLastColumn="0"/>
              <w:rPr>
                <w:rFonts w:cs="Arial"/>
                <w:szCs w:val="20"/>
              </w:rPr>
            </w:pPr>
            <w:r w:rsidRPr="00DD1431">
              <w:rPr>
                <w:rFonts w:cs="Arial"/>
                <w:szCs w:val="20"/>
              </w:rPr>
              <w:t>Not defined</w:t>
            </w:r>
          </w:p>
        </w:tc>
      </w:tr>
      <w:tr w:rsidR="00776154" w:rsidRPr="00D0004D" w14:paraId="21FD5F76" w14:textId="77777777" w:rsidTr="008410B2">
        <w:trPr>
          <w:cnfStyle w:val="000000010000" w:firstRow="0" w:lastRow="0" w:firstColumn="0" w:lastColumn="0" w:oddVBand="0" w:evenVBand="0" w:oddHBand="0" w:evenHBand="1"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428" w:type="dxa"/>
            <w:tcBorders>
              <w:right w:val="none" w:sz="0" w:space="0" w:color="auto"/>
            </w:tcBorders>
          </w:tcPr>
          <w:p w14:paraId="473946B9" w14:textId="77777777" w:rsidR="00776154" w:rsidRPr="00DD1431" w:rsidRDefault="00776154" w:rsidP="00776154">
            <w:pPr>
              <w:rPr>
                <w:rFonts w:cs="Arial"/>
                <w:b w:val="0"/>
                <w:szCs w:val="20"/>
              </w:rPr>
            </w:pPr>
            <w:r w:rsidRPr="00DD1431">
              <w:rPr>
                <w:rFonts w:cs="Arial"/>
                <w:b w:val="0"/>
                <w:szCs w:val="20"/>
              </w:rPr>
              <w:t>Dietary fibre</w:t>
            </w:r>
          </w:p>
        </w:tc>
        <w:tc>
          <w:tcPr>
            <w:tcW w:w="3245" w:type="dxa"/>
            <w:tcBorders>
              <w:left w:val="none" w:sz="0" w:space="0" w:color="auto"/>
              <w:right w:val="none" w:sz="0" w:space="0" w:color="auto"/>
            </w:tcBorders>
          </w:tcPr>
          <w:p w14:paraId="6ED3890D" w14:textId="0F8074FC" w:rsidR="00776154" w:rsidRPr="00DD1431" w:rsidRDefault="00776154" w:rsidP="00A35350">
            <w:pPr>
              <w:cnfStyle w:val="000000010000" w:firstRow="0" w:lastRow="0" w:firstColumn="0" w:lastColumn="0" w:oddVBand="0" w:evenVBand="0" w:oddHBand="0" w:evenHBand="1" w:firstRowFirstColumn="0" w:firstRowLastColumn="0" w:lastRowFirstColumn="0" w:lastRowLastColumn="0"/>
              <w:rPr>
                <w:rFonts w:cs="Arial"/>
                <w:szCs w:val="20"/>
              </w:rPr>
            </w:pPr>
            <w:r w:rsidRPr="00DD1431">
              <w:rPr>
                <w:rFonts w:cs="Arial"/>
                <w:szCs w:val="20"/>
              </w:rPr>
              <w:t>The fraction of the edible part of plants or their extracts, or synthetic analogues that is resistant to digestion and absorption in the small intestine, usually with complete or partial fermentation in the large intestine; and promotes one or more of the following beneficial physiological effects: laxation; reduction in blood cholesterol; modulation of blood glucose. It includes polysaccharides or oligosaccharides that have a degree of polymerisation greater than 2; and lignins</w:t>
            </w:r>
            <w:r w:rsidR="00A35350">
              <w:rPr>
                <w:rFonts w:cs="Arial"/>
                <w:szCs w:val="20"/>
              </w:rPr>
              <w:t>.</w:t>
            </w:r>
          </w:p>
        </w:tc>
        <w:tc>
          <w:tcPr>
            <w:tcW w:w="4343" w:type="dxa"/>
            <w:tcBorders>
              <w:left w:val="none" w:sz="0" w:space="0" w:color="auto"/>
            </w:tcBorders>
          </w:tcPr>
          <w:p w14:paraId="443DBA2C" w14:textId="77777777" w:rsidR="00776154" w:rsidRPr="00DD1431" w:rsidRDefault="00776154" w:rsidP="00776154">
            <w:pPr>
              <w:cnfStyle w:val="000000010000" w:firstRow="0" w:lastRow="0" w:firstColumn="0" w:lastColumn="0" w:oddVBand="0" w:evenVBand="0" w:oddHBand="0" w:evenHBand="1" w:firstRowFirstColumn="0" w:firstRowLastColumn="0" w:lastRowFirstColumn="0" w:lastRowLastColumn="0"/>
              <w:rPr>
                <w:rFonts w:cs="Arial"/>
                <w:szCs w:val="20"/>
              </w:rPr>
            </w:pPr>
            <w:r w:rsidRPr="00DD1431">
              <w:rPr>
                <w:rFonts w:cs="Arial"/>
                <w:szCs w:val="20"/>
              </w:rPr>
              <w:t>Carbohydrate polymers with ten or more monomeric units , which are not hydrolysed by the endogenous enzymes in the small intestine of humans and belong to the following categories:</w:t>
            </w:r>
          </w:p>
          <w:p w14:paraId="0F1C0CF8" w14:textId="115AB0C8" w:rsidR="00776154" w:rsidRPr="00DD1431" w:rsidRDefault="00A35350" w:rsidP="00774FC6">
            <w:pPr>
              <w:pStyle w:val="ListParagraph"/>
              <w:numPr>
                <w:ilvl w:val="0"/>
                <w:numId w:val="12"/>
              </w:numPr>
              <w:ind w:left="207" w:hanging="230"/>
              <w:cnfStyle w:val="000000010000" w:firstRow="0" w:lastRow="0" w:firstColumn="0" w:lastColumn="0" w:oddVBand="0" w:evenVBand="0" w:oddHBand="0" w:evenHBand="1" w:firstRowFirstColumn="0" w:firstRowLastColumn="0" w:lastRowFirstColumn="0" w:lastRowLastColumn="0"/>
              <w:rPr>
                <w:rFonts w:cs="Arial"/>
                <w:szCs w:val="20"/>
              </w:rPr>
            </w:pPr>
            <w:r>
              <w:rPr>
                <w:rFonts w:cs="Arial"/>
                <w:szCs w:val="20"/>
              </w:rPr>
              <w:t>e</w:t>
            </w:r>
            <w:r w:rsidR="00776154" w:rsidRPr="00DD1431">
              <w:rPr>
                <w:rFonts w:cs="Arial"/>
                <w:szCs w:val="20"/>
              </w:rPr>
              <w:t>dible carbohydrate polymers naturally occurring in the food as consumed,</w:t>
            </w:r>
          </w:p>
          <w:p w14:paraId="422A378C" w14:textId="77777777" w:rsidR="00776154" w:rsidRPr="00DD1431" w:rsidRDefault="00776154" w:rsidP="00774FC6">
            <w:pPr>
              <w:pStyle w:val="ListParagraph"/>
              <w:numPr>
                <w:ilvl w:val="0"/>
                <w:numId w:val="12"/>
              </w:numPr>
              <w:ind w:left="207" w:hanging="230"/>
              <w:cnfStyle w:val="000000010000" w:firstRow="0" w:lastRow="0" w:firstColumn="0" w:lastColumn="0" w:oddVBand="0" w:evenVBand="0" w:oddHBand="0" w:evenHBand="1" w:firstRowFirstColumn="0" w:firstRowLastColumn="0" w:lastRowFirstColumn="0" w:lastRowLastColumn="0"/>
              <w:rPr>
                <w:rFonts w:cs="Arial"/>
                <w:szCs w:val="20"/>
              </w:rPr>
            </w:pPr>
            <w:r w:rsidRPr="00DD1431">
              <w:rPr>
                <w:rFonts w:cs="Arial"/>
                <w:szCs w:val="20"/>
              </w:rPr>
              <w:t>carbohydrate polymers, which have been obtained from food raw material by physical, enzymatic or chemical means and which have been shown to have a physiological effect of benefit to health as demonstrated by generally accepted scientific evidence to competent authorities,</w:t>
            </w:r>
          </w:p>
          <w:p w14:paraId="68A1CB33" w14:textId="6D046AE5" w:rsidR="00776154" w:rsidRPr="00DD1431" w:rsidRDefault="00776154" w:rsidP="00774FC6">
            <w:pPr>
              <w:pStyle w:val="ListParagraph"/>
              <w:numPr>
                <w:ilvl w:val="0"/>
                <w:numId w:val="12"/>
              </w:numPr>
              <w:ind w:left="207" w:hanging="230"/>
              <w:cnfStyle w:val="000000010000" w:firstRow="0" w:lastRow="0" w:firstColumn="0" w:lastColumn="0" w:oddVBand="0" w:evenVBand="0" w:oddHBand="0" w:evenHBand="1" w:firstRowFirstColumn="0" w:firstRowLastColumn="0" w:lastRowFirstColumn="0" w:lastRowLastColumn="0"/>
              <w:rPr>
                <w:rFonts w:cs="Arial"/>
                <w:szCs w:val="20"/>
              </w:rPr>
            </w:pPr>
            <w:r w:rsidRPr="00DD1431">
              <w:rPr>
                <w:rFonts w:cs="Arial"/>
                <w:szCs w:val="20"/>
              </w:rPr>
              <w:t>synthetic carbohydrate polymers which have been shown to have a physiological effect of benefit to health as demonstrated by generally accepted scientific evidence to competent authorities</w:t>
            </w:r>
            <w:r w:rsidR="00A35350">
              <w:rPr>
                <w:rFonts w:cs="Arial"/>
                <w:szCs w:val="20"/>
              </w:rPr>
              <w:t>.</w:t>
            </w:r>
          </w:p>
        </w:tc>
      </w:tr>
    </w:tbl>
    <w:p w14:paraId="1043F5FB" w14:textId="288BC560" w:rsidR="00776154" w:rsidRPr="001C24DD" w:rsidRDefault="00776154" w:rsidP="00776154">
      <w:pPr>
        <w:rPr>
          <w:i/>
          <w:sz w:val="18"/>
          <w:szCs w:val="18"/>
          <w:lang w:val="en-AU"/>
        </w:rPr>
      </w:pPr>
      <w:r w:rsidRPr="001C24DD">
        <w:rPr>
          <w:i/>
          <w:sz w:val="18"/>
          <w:szCs w:val="18"/>
          <w:vertAlign w:val="superscript"/>
          <w:lang w:val="en-AU"/>
        </w:rPr>
        <w:t>1</w:t>
      </w:r>
      <w:r w:rsidRPr="001C24DD">
        <w:rPr>
          <w:i/>
          <w:sz w:val="18"/>
          <w:szCs w:val="18"/>
          <w:lang w:val="en-AU"/>
        </w:rPr>
        <w:t xml:space="preserve"> Standard 1.1.2</w:t>
      </w:r>
    </w:p>
    <w:p w14:paraId="7902C6E7" w14:textId="77777777" w:rsidR="008410B2" w:rsidRDefault="00776154" w:rsidP="008410B2">
      <w:pPr>
        <w:rPr>
          <w:i/>
          <w:sz w:val="18"/>
          <w:szCs w:val="18"/>
        </w:rPr>
      </w:pPr>
      <w:r w:rsidRPr="001C24DD">
        <w:rPr>
          <w:i/>
          <w:sz w:val="18"/>
          <w:szCs w:val="18"/>
          <w:vertAlign w:val="superscript"/>
          <w:lang w:val="en-AU"/>
        </w:rPr>
        <w:t>2</w:t>
      </w:r>
      <w:r w:rsidRPr="001C24DD">
        <w:rPr>
          <w:i/>
          <w:sz w:val="18"/>
          <w:szCs w:val="18"/>
          <w:lang w:val="en-AU"/>
        </w:rPr>
        <w:t xml:space="preserve"> </w:t>
      </w:r>
      <w:r w:rsidRPr="001C24DD">
        <w:rPr>
          <w:i/>
          <w:sz w:val="18"/>
          <w:szCs w:val="18"/>
        </w:rPr>
        <w:t>Codex Guidelines on Nutrition Labelling (CAC/GL 2-1985)</w:t>
      </w:r>
    </w:p>
    <w:p w14:paraId="610D5ED6" w14:textId="77777777" w:rsidR="0028502F" w:rsidRDefault="0028502F" w:rsidP="008410B2">
      <w:pPr>
        <w:pStyle w:val="Heading4"/>
      </w:pPr>
    </w:p>
    <w:p w14:paraId="3C4DC786" w14:textId="77777777" w:rsidR="0028502F" w:rsidRDefault="0028502F" w:rsidP="0028502F">
      <w:pPr>
        <w:rPr>
          <w:szCs w:val="22"/>
          <w:lang w:val="en-AU"/>
        </w:rPr>
      </w:pPr>
      <w:r>
        <w:rPr>
          <w:szCs w:val="22"/>
          <w:lang w:val="en-AU"/>
        </w:rPr>
        <w:t>Previously, s</w:t>
      </w:r>
      <w:r w:rsidRPr="006C6116">
        <w:rPr>
          <w:szCs w:val="22"/>
          <w:lang w:val="en-AU"/>
        </w:rPr>
        <w:t xml:space="preserve">everal definitions relevant </w:t>
      </w:r>
      <w:r>
        <w:rPr>
          <w:szCs w:val="22"/>
          <w:lang w:val="en-AU"/>
        </w:rPr>
        <w:t xml:space="preserve">to </w:t>
      </w:r>
      <w:r w:rsidRPr="006C6116">
        <w:rPr>
          <w:szCs w:val="22"/>
          <w:lang w:val="en-AU"/>
        </w:rPr>
        <w:t xml:space="preserve">Standard 2.9.1 were located across different standards in the Code. </w:t>
      </w:r>
      <w:r>
        <w:rPr>
          <w:szCs w:val="22"/>
          <w:lang w:val="en-AU"/>
        </w:rPr>
        <w:t xml:space="preserve">Standard 1.1.2 in the Code now sets out definitions for </w:t>
      </w:r>
      <w:r w:rsidRPr="00AA3A30">
        <w:rPr>
          <w:szCs w:val="22"/>
          <w:lang w:val="en-AU"/>
        </w:rPr>
        <w:t>‘carbohydrate’, ‘available carbohydrate’ and ‘</w:t>
      </w:r>
      <w:r>
        <w:rPr>
          <w:szCs w:val="22"/>
          <w:lang w:val="en-AU"/>
        </w:rPr>
        <w:t xml:space="preserve">available </w:t>
      </w:r>
      <w:r w:rsidRPr="00AA3A30">
        <w:rPr>
          <w:szCs w:val="22"/>
          <w:lang w:val="en-AU"/>
        </w:rPr>
        <w:t xml:space="preserve">carbohydrate by difference’ </w:t>
      </w:r>
      <w:r>
        <w:rPr>
          <w:szCs w:val="22"/>
          <w:lang w:val="en-AU"/>
        </w:rPr>
        <w:t>which a</w:t>
      </w:r>
      <w:r w:rsidRPr="006C6116">
        <w:rPr>
          <w:szCs w:val="22"/>
          <w:lang w:val="en-AU"/>
        </w:rPr>
        <w:t>pply throughout the Code. This clarifies previous confusion about whether definitions locat</w:t>
      </w:r>
      <w:r>
        <w:rPr>
          <w:szCs w:val="22"/>
          <w:lang w:val="en-AU"/>
        </w:rPr>
        <w:t xml:space="preserve">ed in other standards applied </w:t>
      </w:r>
      <w:r w:rsidRPr="006C6116">
        <w:rPr>
          <w:szCs w:val="22"/>
          <w:lang w:val="en-AU"/>
        </w:rPr>
        <w:t>to Standard 2.9.1.</w:t>
      </w:r>
    </w:p>
    <w:p w14:paraId="0EEC2418" w14:textId="77777777" w:rsidR="0028502F" w:rsidRDefault="0028502F" w:rsidP="0028502F">
      <w:pPr>
        <w:rPr>
          <w:szCs w:val="22"/>
          <w:lang w:val="en-AU"/>
        </w:rPr>
      </w:pPr>
    </w:p>
    <w:p w14:paraId="143159FA" w14:textId="77777777" w:rsidR="0028502F" w:rsidRDefault="0028502F" w:rsidP="0028502F">
      <w:pPr>
        <w:rPr>
          <w:szCs w:val="22"/>
          <w:lang w:val="en-AU"/>
        </w:rPr>
      </w:pPr>
      <w:r>
        <w:rPr>
          <w:szCs w:val="22"/>
          <w:lang w:val="en-AU"/>
        </w:rPr>
        <w:t>Schedule 11 sets out the calculation for energy content, available carbohydrate, and available carbohydrate by difference for the nutrition information panel. Energy factors for carbohydrate (excludes unavailable carbohydrate) and unavailable carbohydrate (includes dietary fibre) are prescribed as 17 kJ/g and 8 kJ/g, respectively. Codex STAN 72-1981 does not include energy factors and CAC/GL 2-1985 lists a carbohydrate energy factor (17 kJ/g).</w:t>
      </w:r>
    </w:p>
    <w:p w14:paraId="312D6AB2" w14:textId="222526A8" w:rsidR="00776154" w:rsidRDefault="00776154" w:rsidP="008410B2">
      <w:pPr>
        <w:pStyle w:val="Heading4"/>
      </w:pPr>
      <w:r>
        <w:t xml:space="preserve">Previous consideration </w:t>
      </w:r>
    </w:p>
    <w:p w14:paraId="36630355" w14:textId="7EAD4C45" w:rsidR="00776154" w:rsidRDefault="00776154" w:rsidP="00776154">
      <w:pPr>
        <w:keepNext/>
        <w:keepLines/>
        <w:rPr>
          <w:szCs w:val="22"/>
          <w:lang w:val="en-AU"/>
        </w:rPr>
      </w:pPr>
      <w:r>
        <w:rPr>
          <w:lang w:val="en-AU" w:eastAsia="en-AU"/>
        </w:rPr>
        <w:t xml:space="preserve">FSANZ’s preliminary view was that definitions in the Code are appropriate for infant formula. FSANZ considered that the classification of carbohydrates as available or unavailable was best left to manufacturers. Energy factors were considered to be appropriate as specified in Schedule 11. </w:t>
      </w:r>
    </w:p>
    <w:p w14:paraId="0F83B776" w14:textId="608451E5" w:rsidR="00776154" w:rsidRDefault="00143572" w:rsidP="00776154">
      <w:pPr>
        <w:pStyle w:val="Heading4"/>
      </w:pPr>
      <w:r>
        <w:t>Stakeholder views</w:t>
      </w:r>
    </w:p>
    <w:p w14:paraId="4B21ECB4" w14:textId="11814600" w:rsidR="00776154" w:rsidRDefault="00776154" w:rsidP="00776154">
      <w:pPr>
        <w:rPr>
          <w:szCs w:val="22"/>
          <w:lang w:val="en-AU"/>
        </w:rPr>
      </w:pPr>
      <w:r>
        <w:rPr>
          <w:szCs w:val="22"/>
          <w:lang w:val="en-AU"/>
        </w:rPr>
        <w:t>Three submitters (</w:t>
      </w:r>
      <w:r w:rsidR="0048005E">
        <w:rPr>
          <w:szCs w:val="22"/>
          <w:lang w:val="en-AU"/>
        </w:rPr>
        <w:t>one</w:t>
      </w:r>
      <w:r>
        <w:rPr>
          <w:szCs w:val="22"/>
          <w:lang w:val="en-AU"/>
        </w:rPr>
        <w:t xml:space="preserve"> government, </w:t>
      </w:r>
      <w:r w:rsidR="0048005E">
        <w:rPr>
          <w:szCs w:val="22"/>
          <w:lang w:val="en-AU"/>
        </w:rPr>
        <w:t>two</w:t>
      </w:r>
      <w:r>
        <w:rPr>
          <w:szCs w:val="22"/>
          <w:lang w:val="en-AU"/>
        </w:rPr>
        <w:t xml:space="preserve"> industry) commented on the definitions to the type of carbohydrates. All supported FSANZ’s preliminary considerations.</w:t>
      </w:r>
    </w:p>
    <w:p w14:paraId="6F829020" w14:textId="066DAD01" w:rsidR="00776154" w:rsidRDefault="00A35350" w:rsidP="00776154">
      <w:pPr>
        <w:pStyle w:val="Heading4"/>
      </w:pPr>
      <w:r>
        <w:t>Nutrition r</w:t>
      </w:r>
      <w:r w:rsidR="00776154">
        <w:t xml:space="preserve">isk assessment </w:t>
      </w:r>
    </w:p>
    <w:p w14:paraId="7EE01A8D" w14:textId="130F35CC" w:rsidR="00776154" w:rsidRDefault="00776154" w:rsidP="00776154">
      <w:pPr>
        <w:rPr>
          <w:lang w:val="en-AU" w:eastAsia="en-AU" w:bidi="ar-SA"/>
        </w:rPr>
      </w:pPr>
      <w:r>
        <w:rPr>
          <w:lang w:val="en-AU" w:eastAsia="en-AU" w:bidi="ar-SA"/>
        </w:rPr>
        <w:t>No further</w:t>
      </w:r>
      <w:r w:rsidR="00A35350">
        <w:rPr>
          <w:lang w:val="en-AU" w:eastAsia="en-AU" w:bidi="ar-SA"/>
        </w:rPr>
        <w:t xml:space="preserve"> nutrition</w:t>
      </w:r>
      <w:r>
        <w:rPr>
          <w:lang w:val="en-AU" w:eastAsia="en-AU" w:bidi="ar-SA"/>
        </w:rPr>
        <w:t xml:space="preserve"> risk assessment has been considered on this issue. </w:t>
      </w:r>
    </w:p>
    <w:p w14:paraId="76678808" w14:textId="075911A2" w:rsidR="00776154" w:rsidRDefault="00776154" w:rsidP="00776154">
      <w:pPr>
        <w:pStyle w:val="Heading4"/>
      </w:pPr>
      <w:r>
        <w:t xml:space="preserve"> Proposed </w:t>
      </w:r>
      <w:r w:rsidR="00C30BAC">
        <w:t>approach</w:t>
      </w:r>
      <w:r>
        <w:t xml:space="preserve"> </w:t>
      </w:r>
    </w:p>
    <w:p w14:paraId="22275852" w14:textId="6753E0A0" w:rsidR="00774FC6" w:rsidRDefault="00774FC6" w:rsidP="00776154">
      <w:pPr>
        <w:rPr>
          <w:szCs w:val="22"/>
          <w:lang w:val="en-AU"/>
        </w:rPr>
      </w:pPr>
      <w:r w:rsidRPr="00774FC6">
        <w:rPr>
          <w:szCs w:val="22"/>
        </w:rPr>
        <w:t xml:space="preserve">There are no proposed options as </w:t>
      </w:r>
      <w:r w:rsidRPr="00774FC6">
        <w:rPr>
          <w:szCs w:val="22"/>
          <w:lang w:val="en-AU"/>
        </w:rPr>
        <w:t>Standard 1.1.2 now sets out definitions for ‘carbohydrate’, ‘available carbohydrate’ and ‘carbohydrate by difference’ used throughout the Code.</w:t>
      </w:r>
    </w:p>
    <w:p w14:paraId="6A85C705" w14:textId="43C4FFB4" w:rsidR="00776154" w:rsidRDefault="00AC57F6" w:rsidP="00776154">
      <w:pPr>
        <w:pStyle w:val="Heading2"/>
      </w:pPr>
      <w:bookmarkStart w:id="285" w:name="_Toc73455634"/>
      <w:bookmarkStart w:id="286" w:name="_Toc73624907"/>
      <w:bookmarkStart w:id="287" w:name="_Toc76138287"/>
      <w:r>
        <w:t>6</w:t>
      </w:r>
      <w:r w:rsidR="00776154">
        <w:t>.2</w:t>
      </w:r>
      <w:r w:rsidR="00776154">
        <w:tab/>
        <w:t>Dietary fibre</w:t>
      </w:r>
      <w:bookmarkEnd w:id="285"/>
      <w:bookmarkEnd w:id="286"/>
      <w:bookmarkEnd w:id="287"/>
      <w:r w:rsidR="00776154">
        <w:t xml:space="preserve"> </w:t>
      </w:r>
    </w:p>
    <w:p w14:paraId="2930EFBF" w14:textId="77777777" w:rsidR="00776154" w:rsidRDefault="00776154" w:rsidP="00776154">
      <w:pPr>
        <w:pStyle w:val="Heading4"/>
        <w:rPr>
          <w:lang w:eastAsia="en-AU"/>
        </w:rPr>
      </w:pPr>
      <w:r>
        <w:rPr>
          <w:lang w:eastAsia="en-AU"/>
        </w:rPr>
        <w:t xml:space="preserve">Current regulations </w:t>
      </w:r>
    </w:p>
    <w:p w14:paraId="556A3F90" w14:textId="0E0773C8" w:rsidR="00776154" w:rsidRPr="00D32B25" w:rsidRDefault="00776154" w:rsidP="00776154">
      <w:pPr>
        <w:rPr>
          <w:rFonts w:eastAsia="Arial Unicode MS"/>
          <w:szCs w:val="22"/>
          <w:lang w:val="en-AU" w:bidi="ar-SA"/>
        </w:rPr>
      </w:pPr>
      <w:r>
        <w:rPr>
          <w:rFonts w:eastAsia="Arial Unicode MS"/>
          <w:szCs w:val="22"/>
          <w:lang w:val="en-AU" w:bidi="ar-SA"/>
        </w:rPr>
        <w:t xml:space="preserve">Standard 2.9.1 does not include requirements for dietary fibre other than permissions for specific oligosaccharides (see below). Dietary fibre is defined in the Code in Standard 1.1.2. Codex STAN 72-1981 does not define dietary fibre but a definition is listed in the Codex Guidelines on Nutrition Labelling </w:t>
      </w:r>
      <w:r w:rsidRPr="00CE28F3">
        <w:rPr>
          <w:rFonts w:eastAsia="Arial Unicode MS"/>
          <w:szCs w:val="22"/>
          <w:lang w:val="en-AU" w:bidi="ar-SA"/>
        </w:rPr>
        <w:t>(</w:t>
      </w:r>
      <w:r w:rsidRPr="00A60BB7">
        <w:rPr>
          <w:rFonts w:eastAsia="Arial Unicode MS"/>
          <w:szCs w:val="22"/>
          <w:lang w:val="en-AU" w:bidi="ar-SA"/>
        </w:rPr>
        <w:t xml:space="preserve">Table </w:t>
      </w:r>
      <w:r w:rsidR="00AC57F6" w:rsidRPr="00A60BB7">
        <w:rPr>
          <w:rFonts w:eastAsia="Arial Unicode MS"/>
          <w:szCs w:val="22"/>
          <w:lang w:val="en-AU" w:bidi="ar-SA"/>
        </w:rPr>
        <w:t>6.1</w:t>
      </w:r>
      <w:r w:rsidRPr="00CE28F3">
        <w:rPr>
          <w:rFonts w:eastAsia="Arial Unicode MS"/>
          <w:szCs w:val="22"/>
          <w:lang w:val="en-AU" w:bidi="ar-SA"/>
        </w:rPr>
        <w:t xml:space="preserve">). </w:t>
      </w:r>
      <w:r>
        <w:rPr>
          <w:rFonts w:eastAsia="Arial Unicode MS"/>
          <w:szCs w:val="22"/>
          <w:lang w:val="en-AU" w:bidi="ar-SA"/>
        </w:rPr>
        <w:t xml:space="preserve">Mainly, dietary fibre </w:t>
      </w:r>
      <w:r>
        <w:rPr>
          <w:rFonts w:eastAsia="Arial Unicode MS"/>
          <w:szCs w:val="22"/>
          <w:lang w:bidi="ar-SA"/>
        </w:rPr>
        <w:t xml:space="preserve">includes polysaccharides and oligosaccharides that are </w:t>
      </w:r>
      <w:r w:rsidRPr="00D32B25">
        <w:rPr>
          <w:i/>
        </w:rPr>
        <w:t>largely</w:t>
      </w:r>
      <w:r w:rsidRPr="00D32B25">
        <w:t xml:space="preserve"> undigested in the small intestine and undergo colonic fermentation by microorganisms to yield short chain fatty acids.</w:t>
      </w:r>
      <w:r w:rsidRPr="00D32B25">
        <w:rPr>
          <w:rFonts w:eastAsia="Arial Unicode MS"/>
          <w:szCs w:val="22"/>
          <w:lang w:val="en-AU" w:bidi="ar-SA"/>
        </w:rPr>
        <w:t xml:space="preserve"> According to this description, these oligosaccharides (and possibly other carbohydrates such as </w:t>
      </w:r>
      <w:r w:rsidRPr="00D32B25">
        <w:t>dried glucose syrup</w:t>
      </w:r>
      <w:r w:rsidRPr="00D32B25">
        <w:rPr>
          <w:lang w:val="en-AU" w:eastAsia="en-AU"/>
        </w:rPr>
        <w:t xml:space="preserve"> and </w:t>
      </w:r>
      <w:r w:rsidRPr="00D32B25">
        <w:rPr>
          <w:szCs w:val="22"/>
        </w:rPr>
        <w:t xml:space="preserve">maltodextrins) </w:t>
      </w:r>
      <w:r w:rsidRPr="00D32B25">
        <w:rPr>
          <w:rFonts w:eastAsia="Arial Unicode MS"/>
          <w:szCs w:val="22"/>
          <w:lang w:val="en-AU" w:bidi="ar-SA"/>
        </w:rPr>
        <w:t xml:space="preserve">may comprise both unavailable and available carbohydrates. </w:t>
      </w:r>
    </w:p>
    <w:p w14:paraId="68155499" w14:textId="77777777" w:rsidR="00776154" w:rsidRPr="006228AA" w:rsidRDefault="00776154" w:rsidP="00776154">
      <w:pPr>
        <w:rPr>
          <w:rFonts w:eastAsia="Arial Unicode MS"/>
          <w:szCs w:val="22"/>
          <w:lang w:val="en-AU" w:bidi="ar-SA"/>
        </w:rPr>
      </w:pPr>
    </w:p>
    <w:p w14:paraId="155B50E5" w14:textId="39C2E8AC" w:rsidR="00776154" w:rsidRDefault="00776154" w:rsidP="00776154">
      <w:pPr>
        <w:rPr>
          <w:rFonts w:eastAsia="Arial Unicode MS"/>
          <w:szCs w:val="22"/>
          <w:lang w:val="en-AU" w:bidi="ar-SA"/>
        </w:rPr>
      </w:pPr>
      <w:r>
        <w:rPr>
          <w:rFonts w:eastAsia="Arial Unicode MS"/>
          <w:szCs w:val="22"/>
          <w:lang w:val="en-AU" w:bidi="ar-SA"/>
        </w:rPr>
        <w:t>Standard 2.9.1</w:t>
      </w:r>
      <w:r w:rsidRPr="00140CCF">
        <w:rPr>
          <w:rFonts w:eastAsia="Arial Unicode MS"/>
          <w:szCs w:val="22"/>
          <w:lang w:val="en-AU" w:bidi="ar-SA"/>
        </w:rPr>
        <w:t xml:space="preserve"> permits optional addition of </w:t>
      </w:r>
      <w:r>
        <w:rPr>
          <w:rFonts w:eastAsia="Arial Unicode MS"/>
          <w:szCs w:val="22"/>
          <w:lang w:val="en-AU" w:bidi="ar-SA"/>
        </w:rPr>
        <w:t>inulin-type fructans and galacto-oligosaccharides, with several other oligosaccharides currently being assessed for permissions as optional ingredients (</w:t>
      </w:r>
      <w:r w:rsidR="00267260">
        <w:rPr>
          <w:rFonts w:eastAsia="Arial Unicode MS"/>
          <w:szCs w:val="22"/>
          <w:lang w:val="en-AU" w:bidi="ar-SA"/>
        </w:rPr>
        <w:t>FSANZ 2020</w:t>
      </w:r>
      <w:r>
        <w:rPr>
          <w:rFonts w:eastAsia="Arial Unicode MS"/>
          <w:szCs w:val="22"/>
          <w:lang w:val="en-AU" w:bidi="ar-SA"/>
        </w:rPr>
        <w:t>).</w:t>
      </w:r>
      <w:r w:rsidRPr="00140CCF">
        <w:rPr>
          <w:rFonts w:eastAsia="Arial Unicode MS"/>
          <w:szCs w:val="22"/>
          <w:lang w:val="en-AU" w:bidi="ar-SA"/>
        </w:rPr>
        <w:t xml:space="preserve"> </w:t>
      </w:r>
      <w:r w:rsidRPr="009C4E77">
        <w:rPr>
          <w:szCs w:val="22"/>
        </w:rPr>
        <w:t xml:space="preserve">Codex STAN 72-1981 </w:t>
      </w:r>
      <w:r>
        <w:rPr>
          <w:szCs w:val="22"/>
          <w:lang w:val="en-AU" w:eastAsia="en-AU"/>
        </w:rPr>
        <w:t>has no</w:t>
      </w:r>
      <w:r w:rsidRPr="009C4E77">
        <w:rPr>
          <w:szCs w:val="22"/>
          <w:lang w:val="en-AU" w:eastAsia="en-AU"/>
        </w:rPr>
        <w:t xml:space="preserve"> provisions for the addition of </w:t>
      </w:r>
      <w:r>
        <w:rPr>
          <w:szCs w:val="22"/>
          <w:lang w:val="en-AU" w:eastAsia="en-AU"/>
        </w:rPr>
        <w:t xml:space="preserve">specific </w:t>
      </w:r>
      <w:r w:rsidRPr="009C4E77">
        <w:rPr>
          <w:szCs w:val="22"/>
          <w:lang w:val="en-AU" w:eastAsia="en-AU"/>
        </w:rPr>
        <w:t xml:space="preserve">oligosaccharides </w:t>
      </w:r>
      <w:r>
        <w:rPr>
          <w:szCs w:val="22"/>
          <w:lang w:val="en-AU" w:eastAsia="en-AU"/>
        </w:rPr>
        <w:t xml:space="preserve">but includes </w:t>
      </w:r>
      <w:r w:rsidRPr="009C4E77">
        <w:rPr>
          <w:szCs w:val="22"/>
          <w:lang w:val="en-AU" w:eastAsia="en-AU"/>
        </w:rPr>
        <w:t xml:space="preserve">permissions for optional </w:t>
      </w:r>
      <w:r w:rsidRPr="00925AB0">
        <w:rPr>
          <w:szCs w:val="22"/>
          <w:lang w:val="en-AU" w:eastAsia="en-AU"/>
        </w:rPr>
        <w:t xml:space="preserve">ingredients that can be added </w:t>
      </w:r>
      <w:r w:rsidRPr="00925AB0">
        <w:rPr>
          <w:szCs w:val="22"/>
        </w:rPr>
        <w:t>in order to provide substances ordinarily found in human milk and to ensure that the formulation is suitable as the sole source of nutrition for the infant or to provide other benefits that are similar to outcomes of populations of breastfed babies</w:t>
      </w:r>
      <w:r w:rsidRPr="00925AB0">
        <w:rPr>
          <w:szCs w:val="22"/>
          <w:lang w:val="en-AU" w:eastAsia="en-AU"/>
        </w:rPr>
        <w:t>.</w:t>
      </w:r>
      <w:r w:rsidRPr="003119F5">
        <w:rPr>
          <w:rFonts w:eastAsia="Arial Unicode MS"/>
          <w:szCs w:val="22"/>
          <w:lang w:val="en-AU" w:bidi="ar-SA"/>
        </w:rPr>
        <w:t xml:space="preserve"> </w:t>
      </w:r>
    </w:p>
    <w:p w14:paraId="54D9B2B0" w14:textId="77777777" w:rsidR="00776154" w:rsidRPr="0034225C" w:rsidRDefault="00776154" w:rsidP="00776154">
      <w:pPr>
        <w:pStyle w:val="Heading4"/>
      </w:pPr>
      <w:r>
        <w:rPr>
          <w:lang w:eastAsia="en-AU"/>
        </w:rPr>
        <w:lastRenderedPageBreak/>
        <w:t xml:space="preserve">Previous consideration </w:t>
      </w:r>
    </w:p>
    <w:p w14:paraId="3EA8F3A9" w14:textId="0A092329" w:rsidR="00776154" w:rsidRPr="00D23828" w:rsidRDefault="00776154" w:rsidP="00776154">
      <w:pPr>
        <w:keepNext/>
        <w:keepLines/>
        <w:rPr>
          <w:lang w:val="en-AU" w:eastAsia="en-AU"/>
        </w:rPr>
      </w:pPr>
      <w:r>
        <w:rPr>
          <w:lang w:val="en-AU" w:eastAsia="en-AU"/>
        </w:rPr>
        <w:t xml:space="preserve">FSANZ did not have a preliminary view on dietary fibre. </w:t>
      </w:r>
      <w:r w:rsidRPr="00D23828">
        <w:rPr>
          <w:lang w:val="en-AU" w:eastAsia="en-AU"/>
        </w:rPr>
        <w:t xml:space="preserve">We </w:t>
      </w:r>
      <w:r>
        <w:rPr>
          <w:lang w:val="en-AU" w:eastAsia="en-AU"/>
        </w:rPr>
        <w:t xml:space="preserve">noted that inulin-type fructans </w:t>
      </w:r>
      <w:r w:rsidRPr="00D23828">
        <w:rPr>
          <w:lang w:val="en-AU" w:eastAsia="en-AU"/>
        </w:rPr>
        <w:t>are permitted in infant formula products</w:t>
      </w:r>
      <w:r>
        <w:rPr>
          <w:lang w:val="en-AU" w:eastAsia="en-AU"/>
        </w:rPr>
        <w:t>. These substances</w:t>
      </w:r>
      <w:r w:rsidRPr="00D23828">
        <w:rPr>
          <w:lang w:val="en-AU" w:eastAsia="en-AU"/>
        </w:rPr>
        <w:t xml:space="preserve"> have </w:t>
      </w:r>
      <w:r w:rsidR="00A35350">
        <w:rPr>
          <w:lang w:val="en-AU" w:eastAsia="en-AU"/>
        </w:rPr>
        <w:t xml:space="preserve">a </w:t>
      </w:r>
      <w:r w:rsidRPr="00D23828">
        <w:rPr>
          <w:lang w:val="en-AU" w:eastAsia="en-AU"/>
        </w:rPr>
        <w:t xml:space="preserve">prescribed method of analysis </w:t>
      </w:r>
      <w:r>
        <w:rPr>
          <w:lang w:val="en-AU" w:eastAsia="en-AU"/>
        </w:rPr>
        <w:t xml:space="preserve">in Schedule 11 </w:t>
      </w:r>
      <w:r w:rsidRPr="00D23828">
        <w:rPr>
          <w:lang w:eastAsia="en-AU"/>
        </w:rPr>
        <w:t>(</w:t>
      </w:r>
      <w:r w:rsidR="00BE5CC1">
        <w:rPr>
          <w:lang w:eastAsia="en-AU"/>
        </w:rPr>
        <w:t xml:space="preserve">section </w:t>
      </w:r>
      <w:r w:rsidRPr="00D23828">
        <w:rPr>
          <w:lang w:eastAsia="en-AU"/>
        </w:rPr>
        <w:t xml:space="preserve">S11–4) </w:t>
      </w:r>
      <w:r w:rsidRPr="00D23828">
        <w:rPr>
          <w:lang w:val="en-AU" w:eastAsia="en-AU"/>
        </w:rPr>
        <w:t>when identified as a dietary fibre</w:t>
      </w:r>
      <w:r>
        <w:rPr>
          <w:lang w:val="en-AU" w:eastAsia="en-AU"/>
        </w:rPr>
        <w:t xml:space="preserve"> but these are n</w:t>
      </w:r>
      <w:r w:rsidRPr="00D23828">
        <w:rPr>
          <w:lang w:val="en-AU" w:eastAsia="en-AU"/>
        </w:rPr>
        <w:t xml:space="preserve">ot applicable to Standard 2.9.1. </w:t>
      </w:r>
      <w:r w:rsidRPr="00D23828">
        <w:rPr>
          <w:lang w:eastAsia="en-AU"/>
        </w:rPr>
        <w:t xml:space="preserve">Whether the concept of dietary fibre or its prescribed methods of analysis are relevant to infant formula is an open question.   </w:t>
      </w:r>
    </w:p>
    <w:p w14:paraId="72987F8C" w14:textId="235B247E" w:rsidR="00776154" w:rsidRDefault="00143572" w:rsidP="00776154">
      <w:pPr>
        <w:pStyle w:val="Heading4"/>
      </w:pPr>
      <w:r>
        <w:t>Stakeholder views</w:t>
      </w:r>
    </w:p>
    <w:p w14:paraId="5F61FFF0" w14:textId="4110CE10" w:rsidR="00776154" w:rsidRPr="000417B1" w:rsidRDefault="00776154" w:rsidP="00776154">
      <w:pPr>
        <w:keepNext/>
        <w:keepLines/>
        <w:rPr>
          <w:lang w:val="en-AU" w:eastAsia="en-AU"/>
        </w:rPr>
      </w:pPr>
      <w:r>
        <w:rPr>
          <w:lang w:val="en-AU" w:bidi="ar-SA"/>
        </w:rPr>
        <w:t>Four submitters (</w:t>
      </w:r>
      <w:r w:rsidR="0048005E">
        <w:rPr>
          <w:lang w:val="en-AU" w:bidi="ar-SA"/>
        </w:rPr>
        <w:t>two</w:t>
      </w:r>
      <w:r>
        <w:rPr>
          <w:lang w:val="en-AU" w:bidi="ar-SA"/>
        </w:rPr>
        <w:t xml:space="preserve"> government, </w:t>
      </w:r>
      <w:r w:rsidR="0048005E">
        <w:rPr>
          <w:lang w:val="en-AU" w:bidi="ar-SA"/>
        </w:rPr>
        <w:t>two</w:t>
      </w:r>
      <w:r>
        <w:rPr>
          <w:lang w:val="en-AU" w:bidi="ar-SA"/>
        </w:rPr>
        <w:t xml:space="preserve"> industry) commented on </w:t>
      </w:r>
      <w:r>
        <w:rPr>
          <w:lang w:val="en-AU" w:eastAsia="en-AU"/>
        </w:rPr>
        <w:t xml:space="preserve">whether the concept of dietary fibre or its prescribed methods of analysis should be relevant to infant formula. Government submitters indicated that more information was required, and industry submitters either supported alignment with Codex (which is already the case) or supported extension of the concept of dietary fibre and its prescribed methods of analysis to infant formula. </w:t>
      </w:r>
    </w:p>
    <w:p w14:paraId="4DA4918C" w14:textId="04F0552E" w:rsidR="00776154" w:rsidRDefault="00A35350" w:rsidP="00776154">
      <w:pPr>
        <w:pStyle w:val="Heading4"/>
      </w:pPr>
      <w:r>
        <w:t>Nutrition r</w:t>
      </w:r>
      <w:r w:rsidR="00776154">
        <w:t xml:space="preserve">isk assessment </w:t>
      </w:r>
    </w:p>
    <w:p w14:paraId="3D708F43" w14:textId="714B285C" w:rsidR="00776154" w:rsidRDefault="00776154" w:rsidP="00776154">
      <w:pPr>
        <w:rPr>
          <w:lang w:val="en-AU" w:eastAsia="en-AU" w:bidi="ar-SA"/>
        </w:rPr>
      </w:pPr>
      <w:r>
        <w:rPr>
          <w:lang w:val="en-AU" w:eastAsia="en-AU" w:bidi="ar-SA"/>
        </w:rPr>
        <w:t xml:space="preserve">No further </w:t>
      </w:r>
      <w:r w:rsidR="00A35350">
        <w:rPr>
          <w:lang w:val="en-AU" w:eastAsia="en-AU" w:bidi="ar-SA"/>
        </w:rPr>
        <w:t xml:space="preserve">nutrition </w:t>
      </w:r>
      <w:r>
        <w:rPr>
          <w:lang w:val="en-AU" w:eastAsia="en-AU" w:bidi="ar-SA"/>
        </w:rPr>
        <w:t xml:space="preserve">risk assessment has been considered on this issue. </w:t>
      </w:r>
    </w:p>
    <w:p w14:paraId="2234CA4B" w14:textId="77777777" w:rsidR="00776154" w:rsidRDefault="00776154" w:rsidP="00776154">
      <w:pPr>
        <w:pStyle w:val="Heading4"/>
        <w:rPr>
          <w:lang w:eastAsia="en-AU"/>
        </w:rPr>
      </w:pPr>
      <w:r>
        <w:rPr>
          <w:lang w:eastAsia="en-AU"/>
        </w:rPr>
        <w:t>Options and discussion</w:t>
      </w:r>
    </w:p>
    <w:p w14:paraId="5E4167A0" w14:textId="369D240A" w:rsidR="00776154" w:rsidRPr="00950877" w:rsidRDefault="00776154" w:rsidP="00776154">
      <w:pPr>
        <w:rPr>
          <w:lang w:val="en-AU" w:bidi="ar-SA"/>
        </w:rPr>
      </w:pPr>
      <w:r w:rsidRPr="00950877">
        <w:rPr>
          <w:rFonts w:eastAsia="Arial Unicode MS"/>
          <w:szCs w:val="22"/>
          <w:lang w:val="en-AU" w:bidi="ar-SA"/>
        </w:rPr>
        <w:t xml:space="preserve">Dietary fibre as defined in Standard </w:t>
      </w:r>
      <w:r w:rsidR="00FF580D">
        <w:rPr>
          <w:rFonts w:eastAsia="Arial Unicode MS"/>
          <w:szCs w:val="22"/>
          <w:lang w:val="en-AU" w:bidi="ar-SA"/>
        </w:rPr>
        <w:t>1.1.2</w:t>
      </w:r>
      <w:r w:rsidRPr="00950877">
        <w:rPr>
          <w:rFonts w:eastAsia="Arial Unicode MS"/>
          <w:szCs w:val="22"/>
          <w:lang w:val="en-AU" w:bidi="ar-SA"/>
        </w:rPr>
        <w:t xml:space="preserve"> inc</w:t>
      </w:r>
      <w:r w:rsidR="00A35350">
        <w:rPr>
          <w:rFonts w:eastAsia="Arial Unicode MS"/>
          <w:szCs w:val="22"/>
          <w:lang w:val="en-AU" w:bidi="ar-SA"/>
        </w:rPr>
        <w:t>l</w:t>
      </w:r>
      <w:r w:rsidRPr="00950877">
        <w:rPr>
          <w:rFonts w:eastAsia="Arial Unicode MS"/>
          <w:szCs w:val="22"/>
          <w:lang w:val="en-AU" w:bidi="ar-SA"/>
        </w:rPr>
        <w:t xml:space="preserve">udes </w:t>
      </w:r>
      <w:r w:rsidRPr="00950877">
        <w:rPr>
          <w:lang w:val="en-AU" w:bidi="ar-SA"/>
        </w:rPr>
        <w:t xml:space="preserve">polysaccharides and oligosaccharides that are plant-derived or synthetic analogues that perform one or more of the listed physiological effects (see Table </w:t>
      </w:r>
      <w:r w:rsidR="00AC57F6">
        <w:rPr>
          <w:lang w:val="en-AU" w:bidi="ar-SA"/>
        </w:rPr>
        <w:t>6.1</w:t>
      </w:r>
      <w:r w:rsidRPr="00950877">
        <w:rPr>
          <w:lang w:val="en-AU" w:bidi="ar-SA"/>
        </w:rPr>
        <w:t xml:space="preserve">) and some inulin-type fructans. Whereas, some oligosaccharides used in infant formula products do not meet part (a) of the dietary fibre definition because they are derived from animal sources or are synthetic analogues such as galacto-oligosaccharides and other GM-produced oligosaccharides subject to current applications to FSANZ. This definitional differentiation relates to the need to standardise calculation of the energy content of infant formula products and to be clear about the application of energy factors for animal derived oligosaccharides. </w:t>
      </w:r>
      <w:r w:rsidR="00FF580D">
        <w:rPr>
          <w:lang w:val="en-AU" w:bidi="ar-SA"/>
        </w:rPr>
        <w:t xml:space="preserve">Subsection </w:t>
      </w:r>
      <w:r w:rsidRPr="00950877">
        <w:rPr>
          <w:lang w:val="en-AU" w:bidi="ar-SA"/>
        </w:rPr>
        <w:t>S11—2(2) sets out the en</w:t>
      </w:r>
      <w:r w:rsidR="00A32B82">
        <w:rPr>
          <w:lang w:val="en-AU" w:bidi="ar-SA"/>
        </w:rPr>
        <w:t xml:space="preserve">ergy factors for carbohydrates: </w:t>
      </w:r>
      <w:r w:rsidRPr="00950877">
        <w:rPr>
          <w:szCs w:val="22"/>
          <w:lang w:val="en-AU"/>
        </w:rPr>
        <w:t>17 kJ/g for carbohydrate (exclud</w:t>
      </w:r>
      <w:r w:rsidR="00A32B82">
        <w:rPr>
          <w:szCs w:val="22"/>
          <w:lang w:val="en-AU"/>
        </w:rPr>
        <w:t xml:space="preserve">es </w:t>
      </w:r>
      <w:r w:rsidRPr="00950877">
        <w:rPr>
          <w:szCs w:val="22"/>
          <w:lang w:val="en-AU"/>
        </w:rPr>
        <w:t>unavailable carbohydrate) and 8 kJ/g for unavailable carbohydrate (includ</w:t>
      </w:r>
      <w:r w:rsidR="00A32B82">
        <w:rPr>
          <w:szCs w:val="22"/>
          <w:lang w:val="en-AU"/>
        </w:rPr>
        <w:t>es dietary fibre)</w:t>
      </w:r>
      <w:r w:rsidRPr="00950877">
        <w:rPr>
          <w:szCs w:val="22"/>
          <w:lang w:val="en-AU"/>
        </w:rPr>
        <w:t>.</w:t>
      </w:r>
    </w:p>
    <w:p w14:paraId="0E3150CD" w14:textId="77777777" w:rsidR="00776154" w:rsidRPr="00950877" w:rsidRDefault="00776154" w:rsidP="00776154">
      <w:pPr>
        <w:rPr>
          <w:lang w:val="en-AU" w:bidi="ar-SA"/>
        </w:rPr>
      </w:pPr>
    </w:p>
    <w:p w14:paraId="14F57CA0" w14:textId="51EB59EF" w:rsidR="00776154" w:rsidRPr="00950877" w:rsidRDefault="00776154" w:rsidP="00776154">
      <w:pPr>
        <w:rPr>
          <w:lang w:val="en-AU" w:bidi="ar-SA"/>
        </w:rPr>
      </w:pPr>
      <w:r w:rsidRPr="00950877">
        <w:rPr>
          <w:lang w:val="en-AU" w:bidi="ar-SA"/>
        </w:rPr>
        <w:t xml:space="preserve">Depending on their structure, oligosaccharides in infant formula products could be classified as either available or unavailable carbohydrates (including dietary fibre) or both. It is FSANZ’s expectation that all companies will apply the energy factors for available and unavailable carbohydrates in </w:t>
      </w:r>
      <w:r w:rsidR="00FF580D">
        <w:rPr>
          <w:lang w:val="en-AU" w:bidi="ar-SA"/>
        </w:rPr>
        <w:t xml:space="preserve">subsection </w:t>
      </w:r>
      <w:r w:rsidRPr="00950877">
        <w:rPr>
          <w:lang w:val="en-AU" w:bidi="ar-SA"/>
        </w:rPr>
        <w:t>S11—2(2) to their products and to apply both factors in accordance with the proportion of oligosaccharides directly absorbed in the small intestine.</w:t>
      </w:r>
    </w:p>
    <w:p w14:paraId="28BAC9C9" w14:textId="77777777" w:rsidR="00776154" w:rsidRDefault="00776154" w:rsidP="00776154">
      <w:pPr>
        <w:rPr>
          <w:lang w:val="en-AU" w:bidi="ar-SA"/>
        </w:rPr>
      </w:pPr>
    </w:p>
    <w:p w14:paraId="20DBFEAF" w14:textId="579D05CB" w:rsidR="00776154" w:rsidRDefault="00776154" w:rsidP="00776154">
      <w:pPr>
        <w:rPr>
          <w:lang w:val="en-AU" w:bidi="ar-SA"/>
        </w:rPr>
      </w:pPr>
      <w:r>
        <w:rPr>
          <w:lang w:val="en-AU" w:bidi="ar-SA"/>
        </w:rPr>
        <w:t xml:space="preserve">The ANZ </w:t>
      </w:r>
      <w:r w:rsidRPr="00A16064">
        <w:rPr>
          <w:lang w:val="en-AU" w:bidi="ar-SA"/>
        </w:rPr>
        <w:t>NRV (2006) determined</w:t>
      </w:r>
      <w:r>
        <w:rPr>
          <w:lang w:val="en-AU" w:bidi="ar-SA"/>
        </w:rPr>
        <w:t xml:space="preserve"> that as human milk contained no dietary fibre, no AI could be set. This conclusion predates the current situation where dietary fibre in the form of oligosaccharides </w:t>
      </w:r>
      <w:r w:rsidR="00A35350">
        <w:rPr>
          <w:lang w:val="en-AU" w:bidi="ar-SA"/>
        </w:rPr>
        <w:t xml:space="preserve">is </w:t>
      </w:r>
      <w:r>
        <w:rPr>
          <w:lang w:val="en-AU" w:bidi="ar-SA"/>
        </w:rPr>
        <w:t>considered to be</w:t>
      </w:r>
      <w:r w:rsidR="00A35350">
        <w:rPr>
          <w:lang w:val="en-AU" w:bidi="ar-SA"/>
        </w:rPr>
        <w:t xml:space="preserve"> an</w:t>
      </w:r>
      <w:r>
        <w:rPr>
          <w:lang w:val="en-AU" w:bidi="ar-SA"/>
        </w:rPr>
        <w:t xml:space="preserve"> important component of human milk.</w:t>
      </w:r>
    </w:p>
    <w:p w14:paraId="32C6512C" w14:textId="77777777" w:rsidR="00776154" w:rsidRDefault="00776154" w:rsidP="00776154">
      <w:pPr>
        <w:rPr>
          <w:lang w:val="en-AU" w:bidi="ar-SA"/>
        </w:rPr>
      </w:pPr>
    </w:p>
    <w:p w14:paraId="7D24D767" w14:textId="6533F481" w:rsidR="00776154" w:rsidRDefault="00776154" w:rsidP="00776154">
      <w:pPr>
        <w:rPr>
          <w:lang w:val="en-AU" w:bidi="ar-SA"/>
        </w:rPr>
      </w:pPr>
      <w:r>
        <w:rPr>
          <w:lang w:val="en-AU" w:bidi="ar-SA"/>
        </w:rPr>
        <w:t>Since the last review of the infant formula standard substances which fall within the definition of dietary fibre have been approved to be added to infant formula as optional ingredients. These substances include inulin-derived substances and galacto-oligosaccharides (P306) and s</w:t>
      </w:r>
      <w:r w:rsidR="00A35350">
        <w:rPr>
          <w:lang w:val="en-AU" w:bidi="ar-SA"/>
        </w:rPr>
        <w:t xml:space="preserve">hort </w:t>
      </w:r>
      <w:r>
        <w:rPr>
          <w:lang w:val="en-AU" w:bidi="ar-SA"/>
        </w:rPr>
        <w:t>c</w:t>
      </w:r>
      <w:r w:rsidR="00A35350">
        <w:rPr>
          <w:lang w:val="en-AU" w:bidi="ar-SA"/>
        </w:rPr>
        <w:t>hain</w:t>
      </w:r>
      <w:r>
        <w:rPr>
          <w:lang w:val="en-AU" w:bidi="ar-SA"/>
        </w:rPr>
        <w:t xml:space="preserve"> fructo-oligosaccharides (A1055), and most recently </w:t>
      </w:r>
      <w:r w:rsidR="00CE28F3" w:rsidRPr="00CE28F3">
        <w:rPr>
          <w:lang w:val="en-AU" w:bidi="ar-SA"/>
        </w:rPr>
        <w:t>2′-</w:t>
      </w:r>
      <w:r w:rsidR="00CE28F3">
        <w:rPr>
          <w:lang w:val="en-AU" w:bidi="ar-SA"/>
        </w:rPr>
        <w:t>O-</w:t>
      </w:r>
      <w:r w:rsidR="00CE28F3" w:rsidRPr="00CE28F3">
        <w:rPr>
          <w:lang w:val="en-AU" w:bidi="ar-SA"/>
        </w:rPr>
        <w:t>Fucosyllactose</w:t>
      </w:r>
      <w:r w:rsidR="00CE28F3">
        <w:rPr>
          <w:rFonts w:ascii="Arial Unicode MS" w:hAnsi="Arial Unicode MS"/>
          <w:color w:val="444444"/>
          <w:sz w:val="21"/>
          <w:szCs w:val="21"/>
          <w:lang w:eastAsia="en-GB"/>
        </w:rPr>
        <w:t xml:space="preserve"> </w:t>
      </w:r>
      <w:r>
        <w:rPr>
          <w:lang w:val="en-AU" w:bidi="ar-SA"/>
        </w:rPr>
        <w:t>and</w:t>
      </w:r>
      <w:r w:rsidR="00CE28F3">
        <w:rPr>
          <w:lang w:val="en-AU" w:bidi="ar-SA"/>
        </w:rPr>
        <w:t xml:space="preserve"> lacto-N-neotetraose</w:t>
      </w:r>
      <w:r>
        <w:rPr>
          <w:lang w:val="en-AU" w:bidi="ar-SA"/>
        </w:rPr>
        <w:t xml:space="preserve"> (A1155). </w:t>
      </w:r>
      <w:r w:rsidRPr="0038118A">
        <w:rPr>
          <w:lang w:val="en-AU" w:bidi="ar-SA"/>
        </w:rPr>
        <w:t>In these cases, FSANZ considered that it was not appropriate to prescribe methods of analysis. This is consistent with other specifications in the Code (Schedule 3) where methods of analysis are not prescribed</w:t>
      </w:r>
      <w:r>
        <w:rPr>
          <w:lang w:val="en-AU" w:bidi="ar-SA"/>
        </w:rPr>
        <w:t xml:space="preserve">. </w:t>
      </w:r>
    </w:p>
    <w:p w14:paraId="09688322" w14:textId="77777777" w:rsidR="00776154" w:rsidRDefault="00776154" w:rsidP="00776154">
      <w:pPr>
        <w:rPr>
          <w:lang w:val="en-AU" w:bidi="ar-SA"/>
        </w:rPr>
      </w:pPr>
    </w:p>
    <w:p w14:paraId="097B5472" w14:textId="0D53F758" w:rsidR="00776154" w:rsidRDefault="00776154" w:rsidP="00776154">
      <w:pPr>
        <w:rPr>
          <w:lang w:val="en-AU" w:bidi="ar-SA"/>
        </w:rPr>
      </w:pPr>
      <w:r>
        <w:rPr>
          <w:lang w:val="en-AU" w:bidi="ar-SA"/>
        </w:rPr>
        <w:lastRenderedPageBreak/>
        <w:t>AOAC methods of analysis for some dietary fibre substances are published (</w:t>
      </w:r>
      <w:r w:rsidRPr="00267260">
        <w:rPr>
          <w:rFonts w:ascii="Helvetica" w:hAnsi="Helvetica"/>
          <w:sz w:val="21"/>
          <w:szCs w:val="21"/>
        </w:rPr>
        <w:t>Stephen et al 2017</w:t>
      </w:r>
      <w:r>
        <w:rPr>
          <w:rFonts w:ascii="Helvetica" w:hAnsi="Helvetica"/>
          <w:color w:val="333333"/>
          <w:sz w:val="21"/>
          <w:szCs w:val="21"/>
        </w:rPr>
        <w:t>)</w:t>
      </w:r>
      <w:r>
        <w:rPr>
          <w:lang w:val="en-AU" w:bidi="ar-SA"/>
        </w:rPr>
        <w:t>. For new permissions of dietary fibre substances added to infant formula products, applications provided to FSANZ include methodological information that the dietary fibre can be appropriately quantified. Prescribing these methods of analysis in the Code would limit future improvement of methods for detection and quantitative measurement (see submitter comments to A1155 1</w:t>
      </w:r>
      <w:r w:rsidRPr="0080144A">
        <w:rPr>
          <w:vertAlign w:val="superscript"/>
          <w:lang w:val="en-AU" w:bidi="ar-SA"/>
        </w:rPr>
        <w:t>st</w:t>
      </w:r>
      <w:r w:rsidR="00267260">
        <w:rPr>
          <w:lang w:val="en-AU" w:bidi="ar-SA"/>
        </w:rPr>
        <w:t xml:space="preserve"> CFS)</w:t>
      </w:r>
      <w:r>
        <w:rPr>
          <w:lang w:val="en-AU" w:bidi="ar-SA"/>
        </w:rPr>
        <w:t>.</w:t>
      </w:r>
    </w:p>
    <w:p w14:paraId="5B634984" w14:textId="77777777" w:rsidR="00776154" w:rsidRDefault="00776154" w:rsidP="00776154">
      <w:pPr>
        <w:rPr>
          <w:lang w:val="en-AU" w:bidi="ar-SA"/>
        </w:rPr>
      </w:pPr>
    </w:p>
    <w:p w14:paraId="0B083E53" w14:textId="3C7EB8A1" w:rsidR="00776154" w:rsidRDefault="00776154" w:rsidP="00776154">
      <w:pPr>
        <w:rPr>
          <w:lang w:val="en-AU" w:bidi="ar-SA"/>
        </w:rPr>
      </w:pPr>
      <w:r>
        <w:rPr>
          <w:lang w:val="en-AU" w:bidi="ar-SA"/>
        </w:rPr>
        <w:t>EU 2016/127</w:t>
      </w:r>
      <w:r w:rsidR="00A35350">
        <w:rPr>
          <w:lang w:val="en-AU" w:bidi="ar-SA"/>
        </w:rPr>
        <w:t>,</w:t>
      </w:r>
      <w:r>
        <w:rPr>
          <w:lang w:val="en-AU" w:bidi="ar-SA"/>
        </w:rPr>
        <w:t xml:space="preserve"> which permits addition of fructo-oligosaccharides and galacto-oligosaccharides to infant formula products, does not specify methods of analysis for these substances. </w:t>
      </w:r>
    </w:p>
    <w:p w14:paraId="564BA2CF" w14:textId="6F34FE00" w:rsidR="00776154" w:rsidRDefault="00776154" w:rsidP="00776154">
      <w:pPr>
        <w:pStyle w:val="Heading4"/>
      </w:pPr>
      <w:r>
        <w:t xml:space="preserve">Proposed </w:t>
      </w:r>
      <w:r w:rsidR="00C30BAC">
        <w:t>approach</w:t>
      </w:r>
      <w:r>
        <w:t xml:space="preserve"> </w:t>
      </w:r>
    </w:p>
    <w:p w14:paraId="2EB1C2EE" w14:textId="1E639740" w:rsidR="00776154" w:rsidRDefault="00776154" w:rsidP="00776154">
      <w:pPr>
        <w:rPr>
          <w:lang w:val="en-AU" w:bidi="ar-SA"/>
        </w:rPr>
      </w:pPr>
      <w:r>
        <w:rPr>
          <w:lang w:val="en-AU" w:bidi="ar-SA"/>
        </w:rPr>
        <w:t xml:space="preserve">The primary objective of the P1028 proposal is </w:t>
      </w:r>
      <w:r w:rsidR="001E68AB">
        <w:rPr>
          <w:lang w:val="en-AU" w:bidi="ar-SA"/>
        </w:rPr>
        <w:t xml:space="preserve">to </w:t>
      </w:r>
      <w:r>
        <w:rPr>
          <w:lang w:val="en-AU" w:bidi="ar-SA"/>
        </w:rPr>
        <w:t xml:space="preserve">align with international regulations unless safety or other concerns do not support alignment. FSANZ is unaware of safety issues associated with addition of permitted oligosaccharides to infant formula without a prescribed method of analysis for that substance. Currently the Code is aligned with Codex </w:t>
      </w:r>
      <w:r w:rsidR="00F02575">
        <w:rPr>
          <w:lang w:val="en-AU" w:bidi="ar-SA"/>
        </w:rPr>
        <w:t xml:space="preserve">STAN 72-1981 </w:t>
      </w:r>
      <w:r>
        <w:rPr>
          <w:lang w:val="en-AU" w:bidi="ar-SA"/>
        </w:rPr>
        <w:t>and EU</w:t>
      </w:r>
      <w:r w:rsidR="00F02575">
        <w:rPr>
          <w:lang w:val="en-AU" w:bidi="ar-SA"/>
        </w:rPr>
        <w:t xml:space="preserve"> 2016/127</w:t>
      </w:r>
      <w:r>
        <w:rPr>
          <w:lang w:val="en-AU" w:bidi="ar-SA"/>
        </w:rPr>
        <w:t xml:space="preserve"> in </w:t>
      </w:r>
      <w:r w:rsidRPr="00891D7D">
        <w:rPr>
          <w:lang w:val="en-AU" w:bidi="ar-SA"/>
        </w:rPr>
        <w:t xml:space="preserve">not </w:t>
      </w:r>
      <w:r>
        <w:rPr>
          <w:lang w:val="en-AU" w:bidi="ar-SA"/>
        </w:rPr>
        <w:t xml:space="preserve">prescribing methods of analysis for dietary fibre. Therefore no change to the existing requirements is proposed. </w:t>
      </w:r>
    </w:p>
    <w:p w14:paraId="51BFD14B" w14:textId="31BEF2D9" w:rsidR="00776154" w:rsidRDefault="00AC57F6" w:rsidP="00776154">
      <w:pPr>
        <w:pStyle w:val="Heading2"/>
      </w:pPr>
      <w:bookmarkStart w:id="288" w:name="_Toc73455635"/>
      <w:bookmarkStart w:id="289" w:name="_Toc73624908"/>
      <w:bookmarkStart w:id="290" w:name="_Toc76138288"/>
      <w:r>
        <w:t>6</w:t>
      </w:r>
      <w:r w:rsidR="00776154">
        <w:t>.3</w:t>
      </w:r>
      <w:r w:rsidR="00776154">
        <w:tab/>
        <w:t>Carbohydrate source</w:t>
      </w:r>
      <w:bookmarkEnd w:id="288"/>
      <w:bookmarkEnd w:id="289"/>
      <w:bookmarkEnd w:id="290"/>
      <w:r w:rsidR="00776154">
        <w:t xml:space="preserve"> </w:t>
      </w:r>
    </w:p>
    <w:p w14:paraId="46CD03A3" w14:textId="77777777" w:rsidR="00776154" w:rsidRDefault="00776154" w:rsidP="00776154">
      <w:pPr>
        <w:pStyle w:val="Heading4"/>
        <w:rPr>
          <w:lang w:eastAsia="en-AU"/>
        </w:rPr>
      </w:pPr>
      <w:r>
        <w:rPr>
          <w:lang w:eastAsia="en-AU"/>
        </w:rPr>
        <w:t>Current regulations</w:t>
      </w:r>
    </w:p>
    <w:p w14:paraId="42115271" w14:textId="7C88D8BA" w:rsidR="00776154" w:rsidRDefault="00776154" w:rsidP="00776154">
      <w:pPr>
        <w:spacing w:before="120" w:after="120"/>
        <w:rPr>
          <w:rFonts w:cs="Arial"/>
          <w:szCs w:val="22"/>
        </w:rPr>
      </w:pPr>
      <w:r w:rsidRPr="002E6535">
        <w:rPr>
          <w:rFonts w:cs="Arial"/>
          <w:szCs w:val="22"/>
        </w:rPr>
        <w:t xml:space="preserve">Standard 2.9.1 does not include any provisions relating to the source of carbohydrate in infant formula. Codex STAN 72-1981 includes guidance on </w:t>
      </w:r>
      <w:r>
        <w:rPr>
          <w:rFonts w:cs="Arial"/>
          <w:szCs w:val="22"/>
        </w:rPr>
        <w:t xml:space="preserve">carbohydrates </w:t>
      </w:r>
      <w:r w:rsidRPr="002E6535">
        <w:rPr>
          <w:rFonts w:cs="Arial"/>
          <w:szCs w:val="22"/>
        </w:rPr>
        <w:t>to be used (</w:t>
      </w:r>
      <w:r>
        <w:rPr>
          <w:rFonts w:cs="Arial"/>
          <w:szCs w:val="22"/>
        </w:rPr>
        <w:t xml:space="preserve">Box </w:t>
      </w:r>
      <w:r w:rsidR="00AC57F6">
        <w:rPr>
          <w:rFonts w:cs="Arial"/>
          <w:szCs w:val="22"/>
        </w:rPr>
        <w:t>6</w:t>
      </w:r>
      <w:r w:rsidR="008410B2">
        <w:rPr>
          <w:rFonts w:cs="Arial"/>
          <w:szCs w:val="22"/>
        </w:rPr>
        <w:t>.1</w:t>
      </w:r>
      <w:r>
        <w:rPr>
          <w:rFonts w:cs="Arial"/>
          <w:szCs w:val="22"/>
        </w:rPr>
        <w:t>)</w:t>
      </w:r>
      <w:r w:rsidRPr="002E6535">
        <w:rPr>
          <w:rFonts w:cs="Arial"/>
          <w:szCs w:val="22"/>
        </w:rPr>
        <w:t xml:space="preserve">, but this is not mandatory. </w:t>
      </w:r>
    </w:p>
    <w:tbl>
      <w:tblPr>
        <w:tblStyle w:val="TableGrid5"/>
        <w:tblW w:w="5000" w:type="pct"/>
        <w:shd w:val="clear" w:color="auto" w:fill="DAEEF3"/>
        <w:tblLook w:val="04A0" w:firstRow="1" w:lastRow="0" w:firstColumn="1" w:lastColumn="0" w:noHBand="0" w:noVBand="1"/>
      </w:tblPr>
      <w:tblGrid>
        <w:gridCol w:w="9016"/>
      </w:tblGrid>
      <w:tr w:rsidR="00776154" w:rsidRPr="00725EC9" w14:paraId="3BA63FAC" w14:textId="77777777" w:rsidTr="00776154">
        <w:tc>
          <w:tcPr>
            <w:tcW w:w="5000" w:type="pct"/>
            <w:shd w:val="clear" w:color="auto" w:fill="DAEEF3"/>
            <w:tcMar>
              <w:top w:w="113" w:type="dxa"/>
              <w:bottom w:w="113" w:type="dxa"/>
            </w:tcMar>
          </w:tcPr>
          <w:p w14:paraId="2D9484CE" w14:textId="5D0C3EFB" w:rsidR="00776154" w:rsidRPr="00725EC9" w:rsidRDefault="00776154" w:rsidP="00776154">
            <w:pPr>
              <w:jc w:val="both"/>
              <w:rPr>
                <w:b/>
                <w:i/>
              </w:rPr>
            </w:pPr>
            <w:r w:rsidRPr="00725EC9">
              <w:rPr>
                <w:b/>
                <w:i/>
              </w:rPr>
              <w:t xml:space="preserve">Box </w:t>
            </w:r>
            <w:r w:rsidR="00AC57F6">
              <w:rPr>
                <w:b/>
                <w:i/>
              </w:rPr>
              <w:t>6</w:t>
            </w:r>
            <w:r w:rsidR="008410B2">
              <w:rPr>
                <w:b/>
                <w:i/>
              </w:rPr>
              <w:t>.1</w:t>
            </w:r>
            <w:r w:rsidRPr="00725EC9">
              <w:rPr>
                <w:b/>
                <w:i/>
              </w:rPr>
              <w:t>: Codex</w:t>
            </w:r>
            <w:r>
              <w:rPr>
                <w:b/>
                <w:i/>
              </w:rPr>
              <w:t xml:space="preserve"> STAN 72-1981</w:t>
            </w:r>
            <w:r w:rsidRPr="00725EC9">
              <w:rPr>
                <w:b/>
                <w:i/>
              </w:rPr>
              <w:t xml:space="preserve"> guidance on carbohydrates in infant formula</w:t>
            </w:r>
          </w:p>
          <w:p w14:paraId="35B79ED0" w14:textId="77777777" w:rsidR="00776154" w:rsidRDefault="00776154" w:rsidP="00776154">
            <w:pPr>
              <w:jc w:val="both"/>
            </w:pPr>
          </w:p>
          <w:p w14:paraId="60547271" w14:textId="3C06DB14" w:rsidR="00776154" w:rsidRDefault="00776154" w:rsidP="00776154">
            <w:pPr>
              <w:jc w:val="both"/>
            </w:pPr>
            <w:r w:rsidRPr="00725EC9">
              <w:t>Lactose and glucose polymers should be the preferred carbohydrates in formula based on cows’ milk protein and hydrolysed protein. Only precooked and/or gelatinised starches gluten-free by nature may be added to Infant Formula up to 30% of total carbohydrates and up to 2 g/100 m</w:t>
            </w:r>
            <w:r w:rsidR="00B9043C">
              <w:t>L</w:t>
            </w:r>
            <w:r w:rsidRPr="00725EC9">
              <w:t xml:space="preserve">. </w:t>
            </w:r>
          </w:p>
          <w:p w14:paraId="22B753EF" w14:textId="77777777" w:rsidR="00776154" w:rsidRPr="00725EC9" w:rsidRDefault="00776154" w:rsidP="00776154">
            <w:pPr>
              <w:jc w:val="both"/>
            </w:pPr>
          </w:p>
          <w:p w14:paraId="6E1BCD77" w14:textId="77777777" w:rsidR="00776154" w:rsidRPr="00725EC9" w:rsidRDefault="00776154" w:rsidP="00776154">
            <w:pPr>
              <w:jc w:val="both"/>
            </w:pPr>
            <w:r w:rsidRPr="00725EC9">
              <w:t>Sucrose, unless needed, and the addition of fructose as an ingredient should be avoided in infant formula, because of potential life-threatening symptoms in young infants with unrecognised hereditary fructose intolerance.</w:t>
            </w:r>
          </w:p>
        </w:tc>
      </w:tr>
    </w:tbl>
    <w:p w14:paraId="73E5839F" w14:textId="77777777" w:rsidR="00776154" w:rsidRDefault="00776154" w:rsidP="00776154">
      <w:pPr>
        <w:pStyle w:val="Heading4"/>
        <w:rPr>
          <w:lang w:eastAsia="en-AU"/>
        </w:rPr>
      </w:pPr>
      <w:r>
        <w:rPr>
          <w:lang w:eastAsia="en-AU"/>
        </w:rPr>
        <w:t xml:space="preserve">Previous consideration </w:t>
      </w:r>
    </w:p>
    <w:p w14:paraId="46F7584F" w14:textId="1A244547" w:rsidR="00776154" w:rsidRDefault="00776154" w:rsidP="00776154">
      <w:pPr>
        <w:keepNext/>
        <w:keepLines/>
        <w:rPr>
          <w:lang w:val="en-AU" w:eastAsia="en-AU"/>
        </w:rPr>
      </w:pPr>
      <w:r w:rsidRPr="00273E66">
        <w:rPr>
          <w:lang w:val="en-AU" w:eastAsia="en-AU"/>
        </w:rPr>
        <w:t xml:space="preserve">Lactose is the main source of carbohydrate in breast milk. Lactose, </w:t>
      </w:r>
      <w:r w:rsidRPr="00273E66">
        <w:rPr>
          <w:szCs w:val="22"/>
        </w:rPr>
        <w:t xml:space="preserve">maltose, </w:t>
      </w:r>
      <w:r w:rsidRPr="00273E66">
        <w:rPr>
          <w:lang w:val="en-AU" w:eastAsia="en-AU"/>
        </w:rPr>
        <w:t>glucose,</w:t>
      </w:r>
      <w:r w:rsidRPr="00273E66">
        <w:t xml:space="preserve"> dried glucose syrup,</w:t>
      </w:r>
      <w:r w:rsidRPr="00273E66">
        <w:rPr>
          <w:lang w:val="en-AU" w:eastAsia="en-AU"/>
        </w:rPr>
        <w:t xml:space="preserve"> sucrose</w:t>
      </w:r>
      <w:r>
        <w:rPr>
          <w:lang w:val="en-AU" w:eastAsia="en-AU"/>
        </w:rPr>
        <w:t>,</w:t>
      </w:r>
      <w:r w:rsidRPr="00273E66">
        <w:rPr>
          <w:lang w:val="en-AU" w:eastAsia="en-AU"/>
        </w:rPr>
        <w:t xml:space="preserve"> </w:t>
      </w:r>
      <w:r w:rsidRPr="00273E66">
        <w:rPr>
          <w:szCs w:val="22"/>
        </w:rPr>
        <w:t>malto</w:t>
      </w:r>
      <w:r>
        <w:rPr>
          <w:szCs w:val="22"/>
        </w:rPr>
        <w:t>-</w:t>
      </w:r>
      <w:r w:rsidRPr="00273E66">
        <w:rPr>
          <w:szCs w:val="22"/>
        </w:rPr>
        <w:t>dextrins</w:t>
      </w:r>
      <w:r>
        <w:rPr>
          <w:szCs w:val="22"/>
        </w:rPr>
        <w:t>,</w:t>
      </w:r>
      <w:r w:rsidRPr="00273E66">
        <w:rPr>
          <w:lang w:val="en-AU" w:eastAsia="en-AU"/>
        </w:rPr>
        <w:t xml:space="preserve"> and </w:t>
      </w:r>
      <w:r w:rsidRPr="00273E66">
        <w:rPr>
          <w:szCs w:val="22"/>
        </w:rPr>
        <w:t xml:space="preserve">pre-cooked starch and gelatinised starch </w:t>
      </w:r>
      <w:r w:rsidRPr="00273E66">
        <w:rPr>
          <w:lang w:val="en-AU" w:eastAsia="en-AU"/>
        </w:rPr>
        <w:t>(gluten free) are the main carbohydrate</w:t>
      </w:r>
      <w:r>
        <w:rPr>
          <w:lang w:val="en-AU" w:eastAsia="en-AU"/>
        </w:rPr>
        <w:t>s</w:t>
      </w:r>
      <w:r w:rsidRPr="00273E66">
        <w:rPr>
          <w:lang w:val="en-AU" w:eastAsia="en-AU"/>
        </w:rPr>
        <w:t xml:space="preserve"> used in infant formula.</w:t>
      </w:r>
      <w:r>
        <w:rPr>
          <w:lang w:val="en-AU" w:eastAsia="en-AU"/>
        </w:rPr>
        <w:t xml:space="preserve"> </w:t>
      </w:r>
      <w:r w:rsidRPr="00273E66">
        <w:rPr>
          <w:lang w:val="en-AU" w:eastAsia="en-AU"/>
        </w:rPr>
        <w:t>Their use in i</w:t>
      </w:r>
      <w:r>
        <w:rPr>
          <w:lang w:val="en-AU" w:eastAsia="en-AU"/>
        </w:rPr>
        <w:t>n</w:t>
      </w:r>
      <w:r w:rsidRPr="00273E66">
        <w:rPr>
          <w:lang w:val="en-AU" w:eastAsia="en-AU"/>
        </w:rPr>
        <w:t xml:space="preserve">fant formula varies depending on the type </w:t>
      </w:r>
      <w:r>
        <w:rPr>
          <w:lang w:val="en-AU" w:eastAsia="en-AU"/>
        </w:rPr>
        <w:t xml:space="preserve">of </w:t>
      </w:r>
      <w:r w:rsidRPr="00273E66">
        <w:rPr>
          <w:lang w:val="en-AU" w:eastAsia="en-AU"/>
        </w:rPr>
        <w:t xml:space="preserve">protein </w:t>
      </w:r>
      <w:r>
        <w:rPr>
          <w:lang w:val="en-AU" w:eastAsia="en-AU"/>
        </w:rPr>
        <w:t xml:space="preserve">upon which </w:t>
      </w:r>
      <w:r w:rsidRPr="00273E66">
        <w:rPr>
          <w:lang w:val="en-AU" w:eastAsia="en-AU"/>
        </w:rPr>
        <w:t>the formula is based</w:t>
      </w:r>
      <w:r>
        <w:rPr>
          <w:lang w:val="en-AU" w:eastAsia="en-AU"/>
        </w:rPr>
        <w:t>, although this is more relevant to formulas for specific dietary use</w:t>
      </w:r>
      <w:r w:rsidRPr="00273E66">
        <w:rPr>
          <w:lang w:val="en-AU" w:eastAsia="en-AU"/>
        </w:rPr>
        <w:t>. For example sucrose is used in formulas made f</w:t>
      </w:r>
      <w:r>
        <w:rPr>
          <w:lang w:val="en-AU" w:eastAsia="en-AU"/>
        </w:rPr>
        <w:t>r</w:t>
      </w:r>
      <w:r w:rsidRPr="00273E66">
        <w:rPr>
          <w:lang w:val="en-AU" w:eastAsia="en-AU"/>
        </w:rPr>
        <w:t>om protein hydrolysates to mask the bitter taste</w:t>
      </w:r>
      <w:r>
        <w:rPr>
          <w:lang w:val="en-AU" w:eastAsia="en-AU"/>
        </w:rPr>
        <w:t>.</w:t>
      </w:r>
    </w:p>
    <w:p w14:paraId="1A0397C2" w14:textId="77777777" w:rsidR="00776154" w:rsidRDefault="00776154" w:rsidP="00776154">
      <w:pPr>
        <w:keepNext/>
        <w:keepLines/>
        <w:rPr>
          <w:lang w:val="en-AU" w:eastAsia="en-AU"/>
        </w:rPr>
      </w:pPr>
    </w:p>
    <w:p w14:paraId="16E1A4C7" w14:textId="2C1D7C4D" w:rsidR="00776154" w:rsidRDefault="00776154" w:rsidP="00776154">
      <w:r>
        <w:t>T</w:t>
      </w:r>
      <w:r w:rsidRPr="00D47218">
        <w:t>he P93</w:t>
      </w:r>
      <w:r>
        <w:t xml:space="preserve"> </w:t>
      </w:r>
      <w:r w:rsidRPr="00D47218">
        <w:t>assessment</w:t>
      </w:r>
      <w:r w:rsidR="0038118A">
        <w:t xml:space="preserve"> (ANZFA 1999a)</w:t>
      </w:r>
      <w:r w:rsidRPr="00D47218">
        <w:t xml:space="preserve"> considered the suitability of carbohydrate sources and determined that:</w:t>
      </w:r>
    </w:p>
    <w:p w14:paraId="697B1BB7" w14:textId="635867D7" w:rsidR="00776154" w:rsidRDefault="00776154" w:rsidP="00776154">
      <w:pPr>
        <w:pStyle w:val="FSBullet"/>
      </w:pPr>
      <w:r w:rsidRPr="00D47218">
        <w:t>maltodextrin could be permitted for use in all infant formula products</w:t>
      </w:r>
    </w:p>
    <w:p w14:paraId="32E328E0" w14:textId="77777777" w:rsidR="00776154" w:rsidRDefault="00776154" w:rsidP="00776154">
      <w:pPr>
        <w:pStyle w:val="FSBullet"/>
      </w:pPr>
      <w:r w:rsidRPr="00D47218">
        <w:t>sucrose could be permitted for use in formula except pre-term formula</w:t>
      </w:r>
      <w:r>
        <w:t>, in amounts up to 20%</w:t>
      </w:r>
    </w:p>
    <w:p w14:paraId="4FA3FAB5" w14:textId="05F0DA6D" w:rsidR="00776154" w:rsidRDefault="00776154" w:rsidP="00776154">
      <w:pPr>
        <w:pStyle w:val="FSBullet"/>
      </w:pPr>
      <w:r>
        <w:t>h</w:t>
      </w:r>
      <w:r w:rsidRPr="00D47218">
        <w:t xml:space="preserve">igh fructose corn syrup </w:t>
      </w:r>
      <w:r>
        <w:t>should not be</w:t>
      </w:r>
      <w:r w:rsidRPr="00BC799C">
        <w:t xml:space="preserve"> permitted </w:t>
      </w:r>
      <w:r>
        <w:t>in infant formula products</w:t>
      </w:r>
    </w:p>
    <w:p w14:paraId="60D5C9B8" w14:textId="77777777" w:rsidR="00776154" w:rsidRDefault="00776154" w:rsidP="00776154">
      <w:pPr>
        <w:pStyle w:val="FSBullet"/>
      </w:pPr>
      <w:r>
        <w:t>g</w:t>
      </w:r>
      <w:r w:rsidRPr="00BC799C">
        <w:t xml:space="preserve">lucose syrup and dried glucose syrup </w:t>
      </w:r>
      <w:r>
        <w:t xml:space="preserve">could be </w:t>
      </w:r>
      <w:r w:rsidRPr="00BC799C">
        <w:t>permit</w:t>
      </w:r>
      <w:r>
        <w:t>ted in pre-term formula</w:t>
      </w:r>
      <w:r w:rsidRPr="00BC799C">
        <w:t xml:space="preserve"> </w:t>
      </w:r>
    </w:p>
    <w:p w14:paraId="04A87B21" w14:textId="3EECF7C8" w:rsidR="00776154" w:rsidRDefault="00776154" w:rsidP="00776154">
      <w:pPr>
        <w:pStyle w:val="FSBullet"/>
      </w:pPr>
      <w:r>
        <w:lastRenderedPageBreak/>
        <w:t>the origin of s</w:t>
      </w:r>
      <w:r w:rsidRPr="00BC799C">
        <w:t xml:space="preserve">tarch must be declared in the ingredient list. </w:t>
      </w:r>
    </w:p>
    <w:p w14:paraId="23EA9A63" w14:textId="77777777" w:rsidR="000561C3" w:rsidRPr="004A0044" w:rsidRDefault="000561C3" w:rsidP="00731710"/>
    <w:p w14:paraId="5D3D2080" w14:textId="3F4FE5C1" w:rsidR="00776154" w:rsidRDefault="00776154" w:rsidP="00776154">
      <w:pPr>
        <w:pStyle w:val="ListParagraph"/>
        <w:ind w:left="0"/>
      </w:pPr>
      <w:r w:rsidRPr="0091143A">
        <w:rPr>
          <w:rFonts w:cs="Arial"/>
        </w:rPr>
        <w:t>Submitter</w:t>
      </w:r>
      <w:r w:rsidRPr="0091143A">
        <w:rPr>
          <w:lang w:val="en-AU" w:eastAsia="en-AU"/>
        </w:rPr>
        <w:t xml:space="preserve"> comments at the time</w:t>
      </w:r>
      <w:r>
        <w:rPr>
          <w:lang w:val="en-AU" w:eastAsia="en-AU"/>
        </w:rPr>
        <w:t xml:space="preserve"> </w:t>
      </w:r>
      <w:r w:rsidRPr="00382B95">
        <w:rPr>
          <w:lang w:val="en-AU" w:eastAsia="en-AU"/>
        </w:rPr>
        <w:t xml:space="preserve">recommended that </w:t>
      </w:r>
      <w:r>
        <w:rPr>
          <w:lang w:val="en-AU" w:eastAsia="en-AU"/>
        </w:rPr>
        <w:t>the source</w:t>
      </w:r>
      <w:r w:rsidRPr="00382B95">
        <w:rPr>
          <w:lang w:val="en-AU" w:eastAsia="en-AU"/>
        </w:rPr>
        <w:t xml:space="preserve"> of carbohydrate </w:t>
      </w:r>
      <w:r>
        <w:rPr>
          <w:lang w:val="en-AU" w:eastAsia="en-AU"/>
        </w:rPr>
        <w:t xml:space="preserve">in infant formula </w:t>
      </w:r>
      <w:r w:rsidRPr="00382B95">
        <w:rPr>
          <w:lang w:val="en-AU" w:eastAsia="en-AU"/>
        </w:rPr>
        <w:t>should be controlled and that lactose should be the preferred carbohydrate in formula</w:t>
      </w:r>
      <w:r>
        <w:rPr>
          <w:lang w:val="en-AU" w:eastAsia="en-AU"/>
        </w:rPr>
        <w:t>s</w:t>
      </w:r>
      <w:r w:rsidRPr="00382B95">
        <w:rPr>
          <w:lang w:val="en-AU" w:eastAsia="en-AU"/>
        </w:rPr>
        <w:t xml:space="preserve"> that </w:t>
      </w:r>
      <w:r>
        <w:rPr>
          <w:lang w:val="en-AU" w:eastAsia="en-AU"/>
        </w:rPr>
        <w:t>are</w:t>
      </w:r>
      <w:r w:rsidRPr="00382B95">
        <w:rPr>
          <w:lang w:val="en-AU" w:eastAsia="en-AU"/>
        </w:rPr>
        <w:t xml:space="preserve"> not for a special purpose.</w:t>
      </w:r>
      <w:r>
        <w:rPr>
          <w:lang w:val="en-AU" w:eastAsia="en-AU"/>
        </w:rPr>
        <w:t xml:space="preserve"> However at that time, the Codex standard and draft revised Codex standard </w:t>
      </w:r>
      <w:r>
        <w:t xml:space="preserve">did </w:t>
      </w:r>
      <w:r w:rsidRPr="009C640C">
        <w:t>not specif</w:t>
      </w:r>
      <w:r>
        <w:t xml:space="preserve">y carbohydrate sources. Therefore, </w:t>
      </w:r>
      <w:r w:rsidRPr="009C640C">
        <w:t>FSANZ decided not to prescrib</w:t>
      </w:r>
      <w:r>
        <w:t xml:space="preserve">e the source </w:t>
      </w:r>
      <w:r w:rsidRPr="009C640C">
        <w:t xml:space="preserve">in Standard 2.9.1 </w:t>
      </w:r>
      <w:r>
        <w:t xml:space="preserve">on the basis that doing so </w:t>
      </w:r>
      <w:r w:rsidRPr="009C640C">
        <w:t xml:space="preserve">may </w:t>
      </w:r>
      <w:r>
        <w:t xml:space="preserve">have </w:t>
      </w:r>
      <w:r w:rsidRPr="009C640C">
        <w:t>create</w:t>
      </w:r>
      <w:r>
        <w:t>d a</w:t>
      </w:r>
      <w:r w:rsidRPr="009C640C">
        <w:t xml:space="preserve"> trade barrier</w:t>
      </w:r>
      <w:r>
        <w:t xml:space="preserve">. </w:t>
      </w:r>
    </w:p>
    <w:p w14:paraId="0D14A592" w14:textId="77777777" w:rsidR="00776154" w:rsidRDefault="00776154" w:rsidP="00776154">
      <w:pPr>
        <w:keepNext/>
        <w:keepLines/>
        <w:rPr>
          <w:lang w:val="en-AU" w:eastAsia="en-AU"/>
        </w:rPr>
      </w:pPr>
      <w:r>
        <w:rPr>
          <w:lang w:val="en-AU" w:eastAsia="en-AU"/>
        </w:rPr>
        <w:t xml:space="preserve"> </w:t>
      </w:r>
    </w:p>
    <w:p w14:paraId="6C20880F" w14:textId="16125AEC" w:rsidR="00776154" w:rsidRDefault="00776154" w:rsidP="00776154">
      <w:pPr>
        <w:rPr>
          <w:lang w:val="en-AU" w:bidi="ar-SA"/>
        </w:rPr>
      </w:pPr>
      <w:r>
        <w:rPr>
          <w:lang w:val="en-AU" w:bidi="ar-SA"/>
        </w:rPr>
        <w:t>The nutrition assessment for the 2016 C</w:t>
      </w:r>
      <w:r w:rsidR="00B9043C">
        <w:rPr>
          <w:lang w:val="en-AU" w:bidi="ar-SA"/>
        </w:rPr>
        <w:t>onsultation paper</w:t>
      </w:r>
      <w:r>
        <w:rPr>
          <w:lang w:val="en-AU" w:bidi="ar-SA"/>
        </w:rPr>
        <w:t xml:space="preserve"> notes that Codex guidance for source of carbohydrate </w:t>
      </w:r>
      <w:r>
        <w:rPr>
          <w:lang w:val="en-AU" w:eastAsia="en-AU"/>
        </w:rPr>
        <w:t xml:space="preserve">in infant formula </w:t>
      </w:r>
      <w:r>
        <w:rPr>
          <w:lang w:val="en-AU" w:bidi="ar-SA"/>
        </w:rPr>
        <w:t xml:space="preserve">is in line with current expert opinion. </w:t>
      </w:r>
    </w:p>
    <w:p w14:paraId="3710A63B" w14:textId="77777777" w:rsidR="00776154" w:rsidRDefault="00776154" w:rsidP="00776154">
      <w:pPr>
        <w:rPr>
          <w:lang w:val="en-AU" w:bidi="ar-SA"/>
        </w:rPr>
      </w:pPr>
    </w:p>
    <w:p w14:paraId="14C5E5CD" w14:textId="728657AC" w:rsidR="00776154" w:rsidRDefault="00776154" w:rsidP="00776154">
      <w:pPr>
        <w:rPr>
          <w:rFonts w:eastAsia="Arial Unicode MS"/>
          <w:szCs w:val="22"/>
          <w:lang w:val="en-AU" w:bidi="ar-SA"/>
        </w:rPr>
      </w:pPr>
      <w:r w:rsidRPr="00A54BB4">
        <w:rPr>
          <w:lang w:val="en-AU" w:eastAsia="en-AU"/>
        </w:rPr>
        <w:t>The use of ‘prebiotic’</w:t>
      </w:r>
      <w:r>
        <w:rPr>
          <w:lang w:val="en-AU" w:eastAsia="en-AU"/>
        </w:rPr>
        <w:t xml:space="preserve"> carbohydrates </w:t>
      </w:r>
      <w:r w:rsidRPr="00A54BB4">
        <w:rPr>
          <w:lang w:val="en-AU" w:eastAsia="en-AU"/>
        </w:rPr>
        <w:t>(non-digestible carbohydrates) is an area of current research.</w:t>
      </w:r>
      <w:r>
        <w:rPr>
          <w:lang w:val="en-AU" w:eastAsia="en-AU"/>
        </w:rPr>
        <w:t xml:space="preserve"> As mentioned above, </w:t>
      </w:r>
      <w:r w:rsidR="00B9043C">
        <w:rPr>
          <w:lang w:val="en-AU" w:eastAsia="en-AU"/>
        </w:rPr>
        <w:t>inulin-type fructans</w:t>
      </w:r>
      <w:r w:rsidR="00B9043C" w:rsidRPr="00A54BB4">
        <w:rPr>
          <w:rFonts w:eastAsia="Arial Unicode MS"/>
          <w:szCs w:val="22"/>
          <w:lang w:val="en-AU" w:bidi="ar-SA"/>
        </w:rPr>
        <w:t xml:space="preserve"> </w:t>
      </w:r>
      <w:r w:rsidRPr="00A54BB4">
        <w:rPr>
          <w:rFonts w:eastAsia="Arial Unicode MS"/>
          <w:szCs w:val="22"/>
          <w:lang w:val="en-AU" w:bidi="ar-SA"/>
        </w:rPr>
        <w:t xml:space="preserve">and galacto-oligosaccharides are permitted in Standard 2.9.1 </w:t>
      </w:r>
      <w:r>
        <w:rPr>
          <w:rFonts w:eastAsia="Arial Unicode MS"/>
          <w:szCs w:val="22"/>
          <w:lang w:val="en-AU" w:bidi="ar-SA"/>
        </w:rPr>
        <w:t>whereas</w:t>
      </w:r>
      <w:r w:rsidRPr="00A54BB4">
        <w:rPr>
          <w:rFonts w:eastAsia="Arial Unicode MS"/>
          <w:szCs w:val="22"/>
          <w:lang w:val="en-AU" w:bidi="ar-SA"/>
        </w:rPr>
        <w:t xml:space="preserve"> </w:t>
      </w:r>
      <w:r>
        <w:rPr>
          <w:lang w:val="en-AU" w:eastAsia="en-AU"/>
        </w:rPr>
        <w:t>Codex has no specific pro</w:t>
      </w:r>
      <w:r w:rsidRPr="00A54BB4">
        <w:rPr>
          <w:lang w:val="en-AU" w:eastAsia="en-AU"/>
        </w:rPr>
        <w:t xml:space="preserve">visions for the addition of oligosaccharides other than through the permission for optional ingredients. </w:t>
      </w:r>
    </w:p>
    <w:p w14:paraId="070D9E13" w14:textId="77777777" w:rsidR="00776154" w:rsidRDefault="00776154" w:rsidP="00776154">
      <w:pPr>
        <w:rPr>
          <w:rFonts w:eastAsia="Arial Unicode MS"/>
          <w:szCs w:val="22"/>
          <w:lang w:val="en-AU" w:bidi="ar-SA"/>
        </w:rPr>
      </w:pPr>
    </w:p>
    <w:p w14:paraId="30760603" w14:textId="61D64EF2" w:rsidR="00776154" w:rsidRDefault="00776154" w:rsidP="00776154">
      <w:pPr>
        <w:rPr>
          <w:rFonts w:cs="Arial"/>
        </w:rPr>
      </w:pPr>
      <w:r>
        <w:t xml:space="preserve">As </w:t>
      </w:r>
      <w:r w:rsidRPr="006652C4">
        <w:t xml:space="preserve">evidence </w:t>
      </w:r>
      <w:r>
        <w:t xml:space="preserve">was not strong for </w:t>
      </w:r>
      <w:r w:rsidRPr="006652C4">
        <w:t xml:space="preserve">mandatory restrictions on the </w:t>
      </w:r>
      <w:r>
        <w:t>source</w:t>
      </w:r>
      <w:r w:rsidRPr="006652C4">
        <w:t xml:space="preserve"> of </w:t>
      </w:r>
      <w:r>
        <w:t>carbohydrate</w:t>
      </w:r>
      <w:r w:rsidRPr="006652C4">
        <w:t xml:space="preserve"> in infant formula, </w:t>
      </w:r>
      <w:r>
        <w:t>FSANZ’s preliminary view was</w:t>
      </w:r>
      <w:r w:rsidRPr="006652C4">
        <w:t xml:space="preserve"> to maintain the </w:t>
      </w:r>
      <w:r>
        <w:t>current provisions</w:t>
      </w:r>
      <w:r w:rsidRPr="006652C4">
        <w:t xml:space="preserve"> in Standard 2.9.1</w:t>
      </w:r>
      <w:r>
        <w:t xml:space="preserve"> which </w:t>
      </w:r>
      <w:r w:rsidRPr="006652C4">
        <w:t>w</w:t>
      </w:r>
      <w:r>
        <w:t xml:space="preserve">ould </w:t>
      </w:r>
      <w:r w:rsidRPr="006652C4">
        <w:t>not align with</w:t>
      </w:r>
      <w:r>
        <w:t xml:space="preserve"> the</w:t>
      </w:r>
      <w:r w:rsidRPr="006652C4">
        <w:t xml:space="preserve"> Codex </w:t>
      </w:r>
      <w:r>
        <w:t xml:space="preserve">STAN 72-1981 guidance. The 2016 Consultation </w:t>
      </w:r>
      <w:r w:rsidR="00B9043C">
        <w:t>p</w:t>
      </w:r>
      <w:r>
        <w:t>aper sought views from submitters on the source of carbohydrate.</w:t>
      </w:r>
      <w:r>
        <w:rPr>
          <w:rFonts w:cs="Arial"/>
        </w:rPr>
        <w:t xml:space="preserve"> </w:t>
      </w:r>
    </w:p>
    <w:p w14:paraId="3AD16307" w14:textId="4C69D2FF" w:rsidR="00776154" w:rsidRDefault="00143572" w:rsidP="00776154">
      <w:pPr>
        <w:pStyle w:val="Heading4"/>
      </w:pPr>
      <w:r>
        <w:t>Stakeholder views</w:t>
      </w:r>
    </w:p>
    <w:p w14:paraId="0DD0D764" w14:textId="32DFC2C8" w:rsidR="00776154" w:rsidRDefault="00776154" w:rsidP="00776154">
      <w:pPr>
        <w:rPr>
          <w:lang w:val="en-AU" w:bidi="ar-SA"/>
        </w:rPr>
      </w:pPr>
      <w:r>
        <w:rPr>
          <w:lang w:val="en-AU" w:bidi="ar-SA"/>
        </w:rPr>
        <w:t>Ten s</w:t>
      </w:r>
      <w:r w:rsidRPr="0031538B">
        <w:rPr>
          <w:lang w:val="en-AU" w:bidi="ar-SA"/>
        </w:rPr>
        <w:t>ubmitters (</w:t>
      </w:r>
      <w:r w:rsidR="0048005E">
        <w:rPr>
          <w:lang w:val="en-AU" w:bidi="ar-SA"/>
        </w:rPr>
        <w:t>four</w:t>
      </w:r>
      <w:r w:rsidRPr="0031538B">
        <w:rPr>
          <w:lang w:val="en-AU" w:bidi="ar-SA"/>
        </w:rPr>
        <w:t xml:space="preserve"> government</w:t>
      </w:r>
      <w:r>
        <w:rPr>
          <w:lang w:val="en-AU" w:bidi="ar-SA"/>
        </w:rPr>
        <w:t xml:space="preserve">, </w:t>
      </w:r>
      <w:r w:rsidR="0048005E">
        <w:rPr>
          <w:lang w:val="en-AU" w:bidi="ar-SA"/>
        </w:rPr>
        <w:t>six</w:t>
      </w:r>
      <w:r>
        <w:rPr>
          <w:lang w:val="en-AU" w:bidi="ar-SA"/>
        </w:rPr>
        <w:t xml:space="preserve"> </w:t>
      </w:r>
      <w:r w:rsidRPr="0031538B">
        <w:rPr>
          <w:lang w:val="en-AU" w:bidi="ar-SA"/>
        </w:rPr>
        <w:t xml:space="preserve">industry) commented on </w:t>
      </w:r>
      <w:r>
        <w:rPr>
          <w:lang w:val="en-AU" w:bidi="ar-SA"/>
        </w:rPr>
        <w:t xml:space="preserve">carbohydrate source with industry supporting FSANZ’s preliminary view. Industry submissions cited the absence of safety concerns or adverse effects with the current approach, but also indicated that substances such as sucrose are not being used in infant formulas manufactured for the Australian New Zealand market. Government submitters supported consideration of the EFSA </w:t>
      </w:r>
      <w:r w:rsidR="00056097">
        <w:rPr>
          <w:lang w:val="en-AU" w:bidi="ar-SA"/>
        </w:rPr>
        <w:t>(</w:t>
      </w:r>
      <w:r>
        <w:rPr>
          <w:lang w:val="en-AU" w:bidi="ar-SA"/>
        </w:rPr>
        <w:t>2014</w:t>
      </w:r>
      <w:r w:rsidR="00056097">
        <w:rPr>
          <w:lang w:val="en-AU" w:bidi="ar-SA"/>
        </w:rPr>
        <w:t>b)</w:t>
      </w:r>
      <w:r>
        <w:rPr>
          <w:lang w:val="en-AU" w:bidi="ar-SA"/>
        </w:rPr>
        <w:t xml:space="preserve"> opinion and alignment with Codex.</w:t>
      </w:r>
    </w:p>
    <w:p w14:paraId="1FE3D49F" w14:textId="0E726B95" w:rsidR="00776154" w:rsidRDefault="00B9043C" w:rsidP="00776154">
      <w:pPr>
        <w:pStyle w:val="Heading4"/>
      </w:pPr>
      <w:r>
        <w:t>Nutrition r</w:t>
      </w:r>
      <w:r w:rsidR="00776154">
        <w:t xml:space="preserve">isk assessment </w:t>
      </w:r>
    </w:p>
    <w:p w14:paraId="0260A192" w14:textId="58C1A668" w:rsidR="00776154" w:rsidRDefault="00776154" w:rsidP="00776154">
      <w:pPr>
        <w:rPr>
          <w:lang w:val="en-AU" w:eastAsia="en-AU" w:bidi="ar-SA"/>
        </w:rPr>
      </w:pPr>
      <w:r>
        <w:rPr>
          <w:lang w:val="en-AU" w:eastAsia="en-AU" w:bidi="ar-SA"/>
        </w:rPr>
        <w:t xml:space="preserve">No further </w:t>
      </w:r>
      <w:r w:rsidR="00B9043C">
        <w:rPr>
          <w:lang w:val="en-AU" w:eastAsia="en-AU" w:bidi="ar-SA"/>
        </w:rPr>
        <w:t xml:space="preserve">nutrition </w:t>
      </w:r>
      <w:r>
        <w:rPr>
          <w:lang w:val="en-AU" w:eastAsia="en-AU" w:bidi="ar-SA"/>
        </w:rPr>
        <w:t xml:space="preserve">risk assessment has been considered on this issue. </w:t>
      </w:r>
    </w:p>
    <w:p w14:paraId="50230E4B" w14:textId="77777777" w:rsidR="00776154" w:rsidRDefault="00776154" w:rsidP="00776154">
      <w:pPr>
        <w:pStyle w:val="Heading4"/>
      </w:pPr>
      <w:r>
        <w:t>Options and discussion</w:t>
      </w:r>
    </w:p>
    <w:p w14:paraId="6BE82C30" w14:textId="57B59598" w:rsidR="00776154" w:rsidRDefault="00776154" w:rsidP="00776154">
      <w:r>
        <w:t xml:space="preserve">Carbohydrate source refers to available carbohydrates that are a primary energy source in infant formula. The source of carbohydrate does not include permissions for oligosaccharides or other specific carbohydrates that may have physiological functions other than </w:t>
      </w:r>
      <w:r w:rsidR="00B9043C">
        <w:t xml:space="preserve">as an </w:t>
      </w:r>
      <w:r>
        <w:t xml:space="preserve">energy source for the infant. These types of substances do not make up the essential composition of infant formula and therefore require pre-market assessment for permission to be added to infant formula. </w:t>
      </w:r>
    </w:p>
    <w:p w14:paraId="44F40F38" w14:textId="77777777" w:rsidR="00776154" w:rsidRDefault="00776154" w:rsidP="00776154"/>
    <w:p w14:paraId="61F8B2D4" w14:textId="5E693890" w:rsidR="00776154" w:rsidRDefault="00776154" w:rsidP="00776154">
      <w:r>
        <w:t>FSANZ proposes three options regarding provisions for the source of carbohydrate:</w:t>
      </w:r>
    </w:p>
    <w:p w14:paraId="05ABD657" w14:textId="77777777" w:rsidR="00E73C65" w:rsidRDefault="00E73C65" w:rsidP="00776154"/>
    <w:p w14:paraId="1CF166E7" w14:textId="77777777" w:rsidR="00776154" w:rsidRDefault="00776154" w:rsidP="00776154">
      <w:pPr>
        <w:ind w:left="1560" w:hanging="993"/>
      </w:pPr>
      <w:r w:rsidRPr="00AC57F6">
        <w:rPr>
          <w:b/>
        </w:rPr>
        <w:t>Option 1:</w:t>
      </w:r>
      <w:r>
        <w:t xml:space="preserve"> Retain current Standard 2.9.1 (no restrictions on carbohydrate source)</w:t>
      </w:r>
    </w:p>
    <w:p w14:paraId="7405775E" w14:textId="77777777" w:rsidR="00776154" w:rsidRDefault="00776154" w:rsidP="00776154"/>
    <w:p w14:paraId="10C14DFB" w14:textId="77777777" w:rsidR="00776154" w:rsidRDefault="00776154" w:rsidP="00776154">
      <w:pPr>
        <w:ind w:left="1560" w:hanging="993"/>
      </w:pPr>
      <w:r w:rsidRPr="00AC57F6">
        <w:rPr>
          <w:b/>
        </w:rPr>
        <w:t>Option 2:</w:t>
      </w:r>
      <w:r>
        <w:t xml:space="preserve"> Adopt limits on sucrose and fructose that are aligned with Codex STAN 72- 1981 guidance</w:t>
      </w:r>
    </w:p>
    <w:p w14:paraId="62D96156" w14:textId="77777777" w:rsidR="00776154" w:rsidRDefault="00776154" w:rsidP="00776154">
      <w:pPr>
        <w:ind w:left="1560" w:hanging="993"/>
      </w:pPr>
    </w:p>
    <w:p w14:paraId="48780133" w14:textId="079863FA" w:rsidR="00776154" w:rsidRDefault="00776154" w:rsidP="00776154">
      <w:pPr>
        <w:ind w:left="1560" w:hanging="993"/>
      </w:pPr>
      <w:r w:rsidRPr="00AC57F6">
        <w:rPr>
          <w:b/>
        </w:rPr>
        <w:t>Option 3:</w:t>
      </w:r>
      <w:r>
        <w:t xml:space="preserve"> Adopt </w:t>
      </w:r>
      <w:r w:rsidR="00B9043C">
        <w:t xml:space="preserve">guidelines from </w:t>
      </w:r>
      <w:r>
        <w:t xml:space="preserve">EU </w:t>
      </w:r>
      <w:r w:rsidR="00B9043C">
        <w:t xml:space="preserve">2016/127 </w:t>
      </w:r>
      <w:r>
        <w:t xml:space="preserve">and set a list of permitted carbohydrates </w:t>
      </w:r>
    </w:p>
    <w:p w14:paraId="3ED2DD04" w14:textId="77777777" w:rsidR="00776154" w:rsidRDefault="00776154" w:rsidP="00776154"/>
    <w:p w14:paraId="3A75B3FA" w14:textId="5A0CCC6E" w:rsidR="00776154" w:rsidRDefault="00776154" w:rsidP="00776154">
      <w:r>
        <w:lastRenderedPageBreak/>
        <w:t>EU 2016/127</w:t>
      </w:r>
      <w:r>
        <w:rPr>
          <w:rStyle w:val="FootnoteReference"/>
        </w:rPr>
        <w:footnoteReference w:id="9"/>
      </w:r>
      <w:r>
        <w:t xml:space="preserve"> introduced restrictions on carbohydrates which apply</w:t>
      </w:r>
      <w:r w:rsidR="00B9043C">
        <w:t xml:space="preserve"> from</w:t>
      </w:r>
      <w:r>
        <w:t xml:space="preserve"> early 2020. Carbohydrates that can be used are lactose, maltose, sucrose, glucose, glucose syrup or dried glucose syrup, maltodextrins, pre-cooked starch, gelatinised starch. Sucrose and glucose are permitted to be added to infant formulas manufactured from protein hydrolysates and there are additional conditional details on the use of glucose syrup and dried glucose syrup. The EU</w:t>
      </w:r>
      <w:r w:rsidRPr="005A47CB">
        <w:t xml:space="preserve"> requirements </w:t>
      </w:r>
      <w:r>
        <w:t xml:space="preserve">are </w:t>
      </w:r>
      <w:r w:rsidRPr="005A47CB">
        <w:t xml:space="preserve">based on the latest scientific advice of </w:t>
      </w:r>
      <w:r>
        <w:t xml:space="preserve">EFSA </w:t>
      </w:r>
      <w:r w:rsidRPr="005A47CB">
        <w:t xml:space="preserve">in its opinion </w:t>
      </w:r>
      <w:r w:rsidR="008D1246">
        <w:t xml:space="preserve">on </w:t>
      </w:r>
      <w:r w:rsidR="008D1246">
        <w:rPr>
          <w:lang w:val="en-AU" w:bidi="ar-SA"/>
        </w:rPr>
        <w:t xml:space="preserve">infant formula </w:t>
      </w:r>
      <w:r>
        <w:t xml:space="preserve">composition </w:t>
      </w:r>
      <w:r w:rsidRPr="00EB6804">
        <w:t>(EFSA 2014</w:t>
      </w:r>
      <w:r w:rsidR="00056097">
        <w:t>b</w:t>
      </w:r>
      <w:r w:rsidRPr="00EB6804">
        <w:t>). The EFSA opinion is consistent with F</w:t>
      </w:r>
      <w:r>
        <w:t xml:space="preserve">SANZ’s conclusions reported in </w:t>
      </w:r>
      <w:r w:rsidRPr="00EB6804">
        <w:t xml:space="preserve">P93. </w:t>
      </w:r>
    </w:p>
    <w:p w14:paraId="50864946" w14:textId="77777777" w:rsidR="00776154" w:rsidRDefault="00776154" w:rsidP="00776154"/>
    <w:p w14:paraId="4AB5D8E6" w14:textId="77777777" w:rsidR="00776154" w:rsidRDefault="00776154" w:rsidP="00776154">
      <w:r>
        <w:t xml:space="preserve">FSANZ’s initial view was to retain the current conditions in Standard 2.9.1 and not prescribe the source as it would create a trade barrier. Because European requirements for carbohydrate source will change in 2020 this argument is less justified. </w:t>
      </w:r>
    </w:p>
    <w:p w14:paraId="3D4EBA8F" w14:textId="68AA5C3A" w:rsidR="00776154" w:rsidRDefault="00776154" w:rsidP="00776154">
      <w:pPr>
        <w:pStyle w:val="Heading4"/>
      </w:pPr>
      <w:r>
        <w:t xml:space="preserve">Proposed </w:t>
      </w:r>
      <w:r w:rsidR="00C30BAC">
        <w:t>approach</w:t>
      </w:r>
      <w:r>
        <w:t xml:space="preserve"> </w:t>
      </w:r>
    </w:p>
    <w:p w14:paraId="1057D2F9" w14:textId="0E0D973B" w:rsidR="00776154" w:rsidRDefault="00776154" w:rsidP="00776154">
      <w:pPr>
        <w:rPr>
          <w:szCs w:val="22"/>
          <w:lang w:val="en-AU"/>
        </w:rPr>
      </w:pPr>
      <w:r>
        <w:rPr>
          <w:szCs w:val="22"/>
          <w:lang w:val="en-AU"/>
        </w:rPr>
        <w:t>FSANZ proposes to adopt limits on sucrose and fructose that are aligned with Codex STAN 72-1981. This option is supported by safety concerns cited by government submitters, by FSANZ’s s</w:t>
      </w:r>
      <w:r w:rsidR="00AA3A9A">
        <w:rPr>
          <w:szCs w:val="22"/>
          <w:lang w:val="en-AU"/>
        </w:rPr>
        <w:t>afety</w:t>
      </w:r>
      <w:r>
        <w:rPr>
          <w:szCs w:val="22"/>
          <w:lang w:val="en-AU"/>
        </w:rPr>
        <w:t xml:space="preserve"> assessment conducted in 2002, and by international requirements that come into place in 2020 that </w:t>
      </w:r>
      <w:r w:rsidR="001E68AB">
        <w:rPr>
          <w:szCs w:val="22"/>
          <w:lang w:val="en-AU"/>
        </w:rPr>
        <w:t xml:space="preserve">are </w:t>
      </w:r>
      <w:r>
        <w:rPr>
          <w:szCs w:val="22"/>
          <w:lang w:val="en-AU"/>
        </w:rPr>
        <w:t>in line with Codex STAN 72-1981.</w:t>
      </w:r>
    </w:p>
    <w:p w14:paraId="144557D4" w14:textId="7B8AE980" w:rsidR="00776154" w:rsidRDefault="00AC57F6" w:rsidP="00776154">
      <w:pPr>
        <w:pStyle w:val="Heading2"/>
      </w:pPr>
      <w:bookmarkStart w:id="291" w:name="_Toc73455636"/>
      <w:bookmarkStart w:id="292" w:name="_Toc73624909"/>
      <w:bookmarkStart w:id="293" w:name="_Toc76138289"/>
      <w:r>
        <w:t>6.4</w:t>
      </w:r>
      <w:r w:rsidR="00776154">
        <w:tab/>
        <w:t>Permitted range for total carbohydrate content</w:t>
      </w:r>
      <w:bookmarkEnd w:id="291"/>
      <w:bookmarkEnd w:id="292"/>
      <w:bookmarkEnd w:id="293"/>
      <w:r w:rsidR="00776154">
        <w:t xml:space="preserve"> </w:t>
      </w:r>
    </w:p>
    <w:p w14:paraId="43470A6D" w14:textId="40EAF701" w:rsidR="00776154" w:rsidRDefault="00776154" w:rsidP="00776154">
      <w:pPr>
        <w:pStyle w:val="Heading4"/>
        <w:rPr>
          <w:lang w:eastAsia="en-AU"/>
        </w:rPr>
      </w:pPr>
      <w:r>
        <w:rPr>
          <w:lang w:eastAsia="en-AU"/>
        </w:rPr>
        <w:t xml:space="preserve">Current </w:t>
      </w:r>
      <w:r w:rsidR="00B9043C">
        <w:rPr>
          <w:lang w:eastAsia="en-AU"/>
        </w:rPr>
        <w:t>r</w:t>
      </w:r>
      <w:r>
        <w:rPr>
          <w:lang w:eastAsia="en-AU"/>
        </w:rPr>
        <w:t>egulation</w:t>
      </w:r>
      <w:r w:rsidR="00B9043C">
        <w:rPr>
          <w:lang w:eastAsia="en-AU"/>
        </w:rPr>
        <w:t>s</w:t>
      </w:r>
      <w:r>
        <w:rPr>
          <w:lang w:eastAsia="en-AU"/>
        </w:rPr>
        <w:t xml:space="preserve"> </w:t>
      </w:r>
    </w:p>
    <w:p w14:paraId="1767CA19" w14:textId="6F250CC0" w:rsidR="00776154" w:rsidRDefault="00776154" w:rsidP="00776154">
      <w:pPr>
        <w:rPr>
          <w:szCs w:val="22"/>
          <w:lang w:val="en-AU"/>
        </w:rPr>
      </w:pPr>
      <w:r w:rsidRPr="001012B1">
        <w:rPr>
          <w:szCs w:val="22"/>
          <w:lang w:val="en-AU"/>
        </w:rPr>
        <w:t>Standard 2.9.1 does not directly specify a minimum or maximum level of carbohydrate for infant formula as it is indirectly controlled by the regulations on protein, fat and energy content. Codex STAN 72-1981 lists a carbohydrate range of 2.2–3.3 g/100 kJ.</w:t>
      </w:r>
    </w:p>
    <w:p w14:paraId="03C0D40A" w14:textId="77777777" w:rsidR="00776154" w:rsidRDefault="00776154" w:rsidP="00776154">
      <w:pPr>
        <w:pStyle w:val="Heading4"/>
        <w:rPr>
          <w:lang w:eastAsia="en-AU"/>
        </w:rPr>
      </w:pPr>
      <w:r>
        <w:rPr>
          <w:lang w:eastAsia="en-AU"/>
        </w:rPr>
        <w:t xml:space="preserve">Previous consideration </w:t>
      </w:r>
    </w:p>
    <w:p w14:paraId="17932487" w14:textId="044EA13D" w:rsidR="00776154" w:rsidRPr="006B3AB9" w:rsidRDefault="00776154" w:rsidP="00776154">
      <w:pPr>
        <w:keepNext/>
        <w:keepLines/>
        <w:rPr>
          <w:szCs w:val="22"/>
        </w:rPr>
      </w:pPr>
      <w:r>
        <w:rPr>
          <w:lang w:val="en-AU" w:eastAsia="en-AU"/>
        </w:rPr>
        <w:t xml:space="preserve">FSANZ’s preliminary view was that it was </w:t>
      </w:r>
      <w:r w:rsidRPr="001012B1">
        <w:rPr>
          <w:lang w:val="en-AU" w:eastAsia="en-AU"/>
        </w:rPr>
        <w:t>appropriate to retain the current approach by not specifying a minimum and maximum amount for carbohydrate</w:t>
      </w:r>
      <w:r>
        <w:rPr>
          <w:lang w:val="en-AU" w:eastAsia="en-AU"/>
        </w:rPr>
        <w:t xml:space="preserve">. The 2016 Consultation </w:t>
      </w:r>
      <w:r w:rsidR="00B9043C">
        <w:rPr>
          <w:lang w:val="en-AU" w:eastAsia="en-AU"/>
        </w:rPr>
        <w:t>p</w:t>
      </w:r>
      <w:r>
        <w:rPr>
          <w:lang w:val="en-AU" w:eastAsia="en-AU"/>
        </w:rPr>
        <w:t>aper reported calculated carbohydrate amounts based on Standard 2.9.1 provisions for energy, fat, and protein content. This demonstrated that Standard 2.9.1 and Codex STAN 72-19</w:t>
      </w:r>
      <w:r w:rsidR="00B9043C">
        <w:rPr>
          <w:lang w:val="en-AU" w:eastAsia="en-AU"/>
        </w:rPr>
        <w:t>81</w:t>
      </w:r>
      <w:r>
        <w:rPr>
          <w:lang w:val="en-AU" w:eastAsia="en-AU"/>
        </w:rPr>
        <w:t xml:space="preserve"> are </w:t>
      </w:r>
      <w:r>
        <w:rPr>
          <w:szCs w:val="22"/>
        </w:rPr>
        <w:t>effectively aligned for minimum and maximum carbohydrate amounts.</w:t>
      </w:r>
    </w:p>
    <w:p w14:paraId="02ED1EEC" w14:textId="305B0852" w:rsidR="00776154" w:rsidRDefault="00143572" w:rsidP="00776154">
      <w:pPr>
        <w:pStyle w:val="Heading4"/>
      </w:pPr>
      <w:r>
        <w:t>Stakeholder views</w:t>
      </w:r>
    </w:p>
    <w:p w14:paraId="5DC7E8F9" w14:textId="4BA10D63" w:rsidR="00776154" w:rsidRPr="001012B1" w:rsidRDefault="00776154" w:rsidP="00776154">
      <w:pPr>
        <w:rPr>
          <w:lang w:val="en-AU" w:bidi="ar-SA"/>
        </w:rPr>
      </w:pPr>
      <w:r>
        <w:rPr>
          <w:lang w:val="en-AU" w:bidi="ar-SA"/>
        </w:rPr>
        <w:t>Two submitters (</w:t>
      </w:r>
      <w:r w:rsidR="0048005E">
        <w:rPr>
          <w:lang w:val="en-AU" w:bidi="ar-SA"/>
        </w:rPr>
        <w:t>both</w:t>
      </w:r>
      <w:r>
        <w:rPr>
          <w:lang w:val="en-AU" w:bidi="ar-SA"/>
        </w:rPr>
        <w:t xml:space="preserve"> industry) commented on the permitted range for carbohydrate content. Both agreed to retain the current approach in Standard 2.9.1.</w:t>
      </w:r>
    </w:p>
    <w:p w14:paraId="59417CDD" w14:textId="4DCC7492" w:rsidR="00776154" w:rsidRDefault="00B9043C" w:rsidP="00776154">
      <w:pPr>
        <w:pStyle w:val="Heading4"/>
      </w:pPr>
      <w:r>
        <w:t>Nutrition r</w:t>
      </w:r>
      <w:r w:rsidR="00776154">
        <w:t xml:space="preserve">isk assessment </w:t>
      </w:r>
    </w:p>
    <w:p w14:paraId="4060040D" w14:textId="77544248" w:rsidR="00776154" w:rsidRDefault="00776154" w:rsidP="00776154">
      <w:pPr>
        <w:rPr>
          <w:lang w:val="en-AU" w:eastAsia="en-AU" w:bidi="ar-SA"/>
        </w:rPr>
      </w:pPr>
      <w:r>
        <w:rPr>
          <w:lang w:val="en-AU" w:eastAsia="en-AU" w:bidi="ar-SA"/>
        </w:rPr>
        <w:t xml:space="preserve">No further </w:t>
      </w:r>
      <w:r w:rsidR="00B9043C">
        <w:rPr>
          <w:lang w:val="en-AU" w:eastAsia="en-AU" w:bidi="ar-SA"/>
        </w:rPr>
        <w:t xml:space="preserve">nutrition </w:t>
      </w:r>
      <w:r>
        <w:rPr>
          <w:lang w:val="en-AU" w:eastAsia="en-AU" w:bidi="ar-SA"/>
        </w:rPr>
        <w:t xml:space="preserve">risk assessment has been considered on this issue. </w:t>
      </w:r>
    </w:p>
    <w:p w14:paraId="3E88316D" w14:textId="133FF71D" w:rsidR="00776154" w:rsidRDefault="00776154" w:rsidP="00776154">
      <w:pPr>
        <w:pStyle w:val="Heading4"/>
      </w:pPr>
      <w:r>
        <w:t xml:space="preserve">Proposed </w:t>
      </w:r>
      <w:r w:rsidR="00C30BAC">
        <w:t>approach</w:t>
      </w:r>
      <w:r>
        <w:t xml:space="preserve"> </w:t>
      </w:r>
    </w:p>
    <w:p w14:paraId="09DD001D" w14:textId="0F80ACAA" w:rsidR="00776154" w:rsidRDefault="00776154" w:rsidP="00776154">
      <w:pPr>
        <w:rPr>
          <w:szCs w:val="22"/>
          <w:lang w:val="en-AU"/>
        </w:rPr>
      </w:pPr>
      <w:r>
        <w:rPr>
          <w:szCs w:val="22"/>
          <w:lang w:val="en-AU"/>
        </w:rPr>
        <w:t xml:space="preserve">Based on the conclusions from the 2016 </w:t>
      </w:r>
      <w:r w:rsidR="00B9043C">
        <w:rPr>
          <w:szCs w:val="22"/>
          <w:lang w:val="en-AU"/>
        </w:rPr>
        <w:t>Consultation paper</w:t>
      </w:r>
      <w:r w:rsidR="001E68AB">
        <w:rPr>
          <w:szCs w:val="22"/>
          <w:lang w:val="en-AU"/>
        </w:rPr>
        <w:t>,</w:t>
      </w:r>
      <w:r w:rsidR="00B9043C">
        <w:rPr>
          <w:szCs w:val="22"/>
          <w:lang w:val="en-AU"/>
        </w:rPr>
        <w:t xml:space="preserve"> </w:t>
      </w:r>
      <w:r>
        <w:rPr>
          <w:szCs w:val="22"/>
          <w:lang w:val="en-AU"/>
        </w:rPr>
        <w:t xml:space="preserve">FSANZ proposes to retain the current approach in Standard 2.9.1.which does not specify a permitted range for carbohydrate content. </w:t>
      </w:r>
    </w:p>
    <w:p w14:paraId="7E5A0005" w14:textId="65E41CA9" w:rsidR="00776154" w:rsidRDefault="00776154">
      <w:pPr>
        <w:rPr>
          <w:szCs w:val="22"/>
          <w:lang w:val="en-AU"/>
        </w:rPr>
      </w:pPr>
    </w:p>
    <w:p w14:paraId="7B2C6059" w14:textId="77777777" w:rsidR="00916602" w:rsidRDefault="00916602">
      <w:pPr>
        <w:rPr>
          <w:szCs w:val="22"/>
          <w:lang w:val="en-AU"/>
        </w:rPr>
      </w:pPr>
    </w:p>
    <w:p w14:paraId="221E6EF6" w14:textId="23FBA6C7" w:rsidR="00776154" w:rsidRPr="003D7B66" w:rsidRDefault="003D7B66" w:rsidP="00993ABD">
      <w:pPr>
        <w:pStyle w:val="Heading1"/>
      </w:pPr>
      <w:bookmarkStart w:id="294" w:name="_Toc70415474"/>
      <w:bookmarkStart w:id="295" w:name="_Toc73455637"/>
      <w:bookmarkStart w:id="296" w:name="_Toc73624910"/>
      <w:bookmarkStart w:id="297" w:name="_Toc76138290"/>
      <w:bookmarkStart w:id="298" w:name="_Toc432434655"/>
      <w:bookmarkStart w:id="299" w:name="_Toc437858793"/>
      <w:bookmarkStart w:id="300" w:name="_Toc440462463"/>
      <w:bookmarkStart w:id="301" w:name="_Toc440470860"/>
      <w:r w:rsidRPr="003D7B66">
        <w:lastRenderedPageBreak/>
        <w:t>7</w:t>
      </w:r>
      <w:r w:rsidR="00993ABD" w:rsidRPr="003D7B66">
        <w:tab/>
      </w:r>
      <w:r w:rsidR="00776154" w:rsidRPr="003D7B66">
        <w:t>Micronutrients</w:t>
      </w:r>
      <w:bookmarkEnd w:id="294"/>
      <w:bookmarkEnd w:id="295"/>
      <w:bookmarkEnd w:id="296"/>
      <w:bookmarkEnd w:id="297"/>
      <w:r w:rsidR="00776154" w:rsidRPr="003D7B66">
        <w:t xml:space="preserve"> </w:t>
      </w:r>
      <w:bookmarkEnd w:id="298"/>
      <w:bookmarkEnd w:id="299"/>
      <w:bookmarkEnd w:id="300"/>
      <w:bookmarkEnd w:id="301"/>
      <w:r w:rsidR="00776154" w:rsidRPr="003D7B66">
        <w:t xml:space="preserve"> </w:t>
      </w:r>
    </w:p>
    <w:p w14:paraId="208DFF61" w14:textId="67FC3DBD" w:rsidR="00776154" w:rsidRDefault="00AC57F6" w:rsidP="00776154">
      <w:pPr>
        <w:pStyle w:val="Heading2"/>
      </w:pPr>
      <w:bookmarkStart w:id="302" w:name="_Toc70415475"/>
      <w:bookmarkStart w:id="303" w:name="_Toc73455638"/>
      <w:bookmarkStart w:id="304" w:name="_Toc73624911"/>
      <w:bookmarkStart w:id="305" w:name="_Toc76138291"/>
      <w:bookmarkStart w:id="306" w:name="_Toc419280147"/>
      <w:bookmarkStart w:id="307" w:name="_Toc427310826"/>
      <w:bookmarkStart w:id="308" w:name="_Toc431488477"/>
      <w:bookmarkStart w:id="309" w:name="_Toc432434656"/>
      <w:bookmarkStart w:id="310" w:name="_Toc437858794"/>
      <w:bookmarkStart w:id="311" w:name="_Toc440462464"/>
      <w:bookmarkStart w:id="312" w:name="_Toc440470861"/>
      <w:r>
        <w:t>7</w:t>
      </w:r>
      <w:r w:rsidR="00776154" w:rsidRPr="00757725">
        <w:t>.</w:t>
      </w:r>
      <w:r w:rsidR="00776154">
        <w:t>1</w:t>
      </w:r>
      <w:r w:rsidR="00776154" w:rsidRPr="00757725">
        <w:tab/>
      </w:r>
      <w:r w:rsidR="00776154">
        <w:t>Guideline and maximum amounts</w:t>
      </w:r>
      <w:bookmarkEnd w:id="302"/>
      <w:bookmarkEnd w:id="303"/>
      <w:bookmarkEnd w:id="304"/>
      <w:bookmarkEnd w:id="305"/>
      <w:r w:rsidR="00776154">
        <w:t xml:space="preserve"> </w:t>
      </w:r>
      <w:bookmarkEnd w:id="306"/>
      <w:bookmarkEnd w:id="307"/>
      <w:bookmarkEnd w:id="308"/>
      <w:bookmarkEnd w:id="309"/>
      <w:bookmarkEnd w:id="310"/>
      <w:bookmarkEnd w:id="311"/>
      <w:bookmarkEnd w:id="312"/>
    </w:p>
    <w:p w14:paraId="028AFA18" w14:textId="77777777" w:rsidR="00776154" w:rsidRDefault="00776154" w:rsidP="00776154">
      <w:pPr>
        <w:pStyle w:val="Heading4"/>
      </w:pPr>
      <w:bookmarkStart w:id="313" w:name="_Toc442797253"/>
      <w:bookmarkStart w:id="314" w:name="_Toc443466007"/>
      <w:bookmarkStart w:id="315" w:name="_Toc442097333"/>
      <w:bookmarkStart w:id="316" w:name="_Toc442101306"/>
      <w:r w:rsidRPr="00BA1FD9">
        <w:t>Current regulations</w:t>
      </w:r>
    </w:p>
    <w:p w14:paraId="28A913A2" w14:textId="6121BFD1" w:rsidR="00776154" w:rsidRPr="00DF7DDA" w:rsidRDefault="00776154" w:rsidP="00776154">
      <w:pPr>
        <w:keepNext/>
        <w:rPr>
          <w:color w:val="000000" w:themeColor="text1"/>
        </w:rPr>
      </w:pPr>
      <w:r>
        <w:rPr>
          <w:lang w:eastAsia="en-AU"/>
        </w:rPr>
        <w:t>In Standard 2.9.1</w:t>
      </w:r>
      <w:r w:rsidR="00BA0E4A">
        <w:rPr>
          <w:lang w:eastAsia="en-AU"/>
        </w:rPr>
        <w:t>(S29)</w:t>
      </w:r>
      <w:r>
        <w:rPr>
          <w:lang w:eastAsia="en-AU"/>
        </w:rPr>
        <w:t xml:space="preserve"> </w:t>
      </w:r>
      <w:r w:rsidRPr="00DF7DDA">
        <w:rPr>
          <w:lang w:eastAsia="en-AU"/>
        </w:rPr>
        <w:t xml:space="preserve">all nutrients have either a maximum amount or a recommended </w:t>
      </w:r>
      <w:r>
        <w:rPr>
          <w:lang w:eastAsia="en-AU"/>
        </w:rPr>
        <w:t xml:space="preserve">maximum (or </w:t>
      </w:r>
      <w:r w:rsidRPr="00DF7DDA">
        <w:rPr>
          <w:lang w:eastAsia="en-AU"/>
        </w:rPr>
        <w:t>guideline</w:t>
      </w:r>
      <w:r>
        <w:rPr>
          <w:lang w:eastAsia="en-AU"/>
        </w:rPr>
        <w:t>)</w:t>
      </w:r>
      <w:r w:rsidRPr="00DF7DDA">
        <w:rPr>
          <w:lang w:eastAsia="en-AU"/>
        </w:rPr>
        <w:t xml:space="preserve"> amount. Absolute maximum amounts are only prescribed for those vitamins and minerals considered to pose a significant risk to infants if consumed in excess. R</w:t>
      </w:r>
      <w:r w:rsidRPr="00DF7DDA">
        <w:t xml:space="preserve">ecommended maximum amounts (hereafter </w:t>
      </w:r>
      <w:r w:rsidRPr="00DF7DDA">
        <w:rPr>
          <w:color w:val="000000" w:themeColor="text1"/>
        </w:rPr>
        <w:t xml:space="preserve">referred to as </w:t>
      </w:r>
      <w:r w:rsidRPr="00BA55F6">
        <w:rPr>
          <w:lang w:eastAsia="en-AU"/>
        </w:rPr>
        <w:t>GULs</w:t>
      </w:r>
      <w:r w:rsidR="00BA55F6" w:rsidRPr="00BA55F6">
        <w:rPr>
          <w:lang w:eastAsia="en-AU"/>
        </w:rPr>
        <w:t xml:space="preserve"> - </w:t>
      </w:r>
      <w:r w:rsidR="00BA55F6">
        <w:rPr>
          <w:lang w:eastAsia="en-AU"/>
        </w:rPr>
        <w:t>g</w:t>
      </w:r>
      <w:r w:rsidR="00BA55F6" w:rsidRPr="00BA55F6">
        <w:rPr>
          <w:lang w:eastAsia="en-AU"/>
        </w:rPr>
        <w:t>uidance upper level</w:t>
      </w:r>
      <w:r w:rsidRPr="00DF7DDA">
        <w:rPr>
          <w:color w:val="000000" w:themeColor="text1"/>
          <w:lang w:eastAsia="en-AU"/>
        </w:rPr>
        <w:t>)</w:t>
      </w:r>
      <w:r w:rsidRPr="00DF7DDA">
        <w:t xml:space="preserve"> are listed for 14 micronutrients as t</w:t>
      </w:r>
      <w:r w:rsidRPr="00DF7DDA">
        <w:rPr>
          <w:lang w:eastAsia="en-AU"/>
        </w:rPr>
        <w:t>he</w:t>
      </w:r>
      <w:r w:rsidRPr="00DF7DDA">
        <w:t xml:space="preserve"> </w:t>
      </w:r>
      <w:r w:rsidRPr="00DF7DDA">
        <w:rPr>
          <w:lang w:eastAsia="en-AU"/>
        </w:rPr>
        <w:t xml:space="preserve">risk posed by the nutrient was “not of significance on the basis of current scientific knowledge” (ANZFA 1999a). </w:t>
      </w:r>
      <w:r w:rsidRPr="00DF7DDA">
        <w:t>These GULs are not binding and serve</w:t>
      </w:r>
      <w:r w:rsidR="00286BA7">
        <w:t xml:space="preserve"> as guidance for industry in deriving</w:t>
      </w:r>
      <w:r w:rsidRPr="00DF7DDA">
        <w:t xml:space="preserve"> formulations.</w:t>
      </w:r>
      <w:r w:rsidRPr="00DF7DDA">
        <w:rPr>
          <w:color w:val="000000" w:themeColor="text1"/>
        </w:rPr>
        <w:t xml:space="preserve"> </w:t>
      </w:r>
    </w:p>
    <w:p w14:paraId="7962E812" w14:textId="77777777" w:rsidR="00776154" w:rsidRPr="00DF7DDA" w:rsidRDefault="00776154" w:rsidP="00776154">
      <w:pPr>
        <w:rPr>
          <w:color w:val="000000" w:themeColor="text1"/>
        </w:rPr>
      </w:pPr>
    </w:p>
    <w:p w14:paraId="626DF08D" w14:textId="4AB3A358" w:rsidR="00776154" w:rsidRDefault="00776154" w:rsidP="00776154">
      <w:pPr>
        <w:rPr>
          <w:rFonts w:eastAsia="Arial Unicode MS"/>
        </w:rPr>
      </w:pPr>
      <w:r w:rsidRPr="00DF7DDA">
        <w:rPr>
          <w:rFonts w:eastAsia="Arial Unicode MS"/>
        </w:rPr>
        <w:t xml:space="preserve">Codex STAN 72-1981 uses a similar approach, with </w:t>
      </w:r>
      <w:r w:rsidR="0074045F">
        <w:rPr>
          <w:rFonts w:eastAsia="Arial Unicode MS"/>
        </w:rPr>
        <w:t>principles for setting maximum and minimum values set out in Annex II of the Codex standard.</w:t>
      </w:r>
      <w:r w:rsidRPr="00DF7DDA">
        <w:rPr>
          <w:rFonts w:eastAsia="Arial Unicode MS"/>
        </w:rPr>
        <w:t xml:space="preserve"> </w:t>
      </w:r>
      <w:r w:rsidR="00286BA7" w:rsidRPr="00286BA7">
        <w:rPr>
          <w:rFonts w:eastAsia="Arial Unicode MS"/>
        </w:rPr>
        <w:t>GULs are assigned to 20 of the micronutrients in the Standard.</w:t>
      </w:r>
      <w:r w:rsidR="00286BA7" w:rsidRPr="00286BA7">
        <w:rPr>
          <w:rFonts w:eastAsia="Arial Unicode MS"/>
          <w:i/>
        </w:rPr>
        <w:t xml:space="preserve"> </w:t>
      </w:r>
      <w:r w:rsidRPr="00DF7DDA">
        <w:rPr>
          <w:rFonts w:eastAsia="Arial Unicode MS"/>
        </w:rPr>
        <w:t xml:space="preserve">GULs have been assigned where there was insufficient information about </w:t>
      </w:r>
      <w:r w:rsidRPr="00DF7DDA">
        <w:t xml:space="preserve">adverse effects from excessive intakes </w:t>
      </w:r>
      <w:r w:rsidRPr="00DF7DDA">
        <w:rPr>
          <w:rFonts w:eastAsia="Arial Unicode MS"/>
        </w:rPr>
        <w:t xml:space="preserve">for a science-based risk assessment </w:t>
      </w:r>
      <w:r w:rsidRPr="00DF7DDA">
        <w:rPr>
          <w:lang w:bidi="ar-SA"/>
        </w:rPr>
        <w:t xml:space="preserve">to </w:t>
      </w:r>
      <w:r w:rsidRPr="00DF7DDA">
        <w:t>set a mandatory limit</w:t>
      </w:r>
      <w:r w:rsidRPr="00DF7DDA">
        <w:rPr>
          <w:rFonts w:eastAsia="Arial Unicode MS"/>
        </w:rPr>
        <w:t>.</w:t>
      </w:r>
      <w:r>
        <w:rPr>
          <w:rFonts w:eastAsia="Arial Unicode MS"/>
        </w:rPr>
        <w:t xml:space="preserve"> </w:t>
      </w:r>
    </w:p>
    <w:p w14:paraId="2EB22E5C" w14:textId="77777777" w:rsidR="00776154" w:rsidRDefault="00776154" w:rsidP="00776154">
      <w:pPr>
        <w:pStyle w:val="Heading4"/>
      </w:pPr>
      <w:r w:rsidRPr="00BA1FD9">
        <w:t>Previous consideration</w:t>
      </w:r>
    </w:p>
    <w:p w14:paraId="04A950CC" w14:textId="6CC84FF9" w:rsidR="00776154" w:rsidRPr="004E6EA2" w:rsidRDefault="00776154" w:rsidP="00776154">
      <w:r>
        <w:t>The reasons for the use of guideline maximums in the Codex standard and</w:t>
      </w:r>
      <w:r w:rsidR="00327A0F">
        <w:t xml:space="preserve"> Schedule 29</w:t>
      </w:r>
      <w:r>
        <w:t>, and how they are derived, w</w:t>
      </w:r>
      <w:r w:rsidR="00327A0F">
        <w:t>ere</w:t>
      </w:r>
      <w:r>
        <w:t xml:space="preserve"> provided in the 2016 Consultation </w:t>
      </w:r>
      <w:r w:rsidR="00E230C2">
        <w:t>p</w:t>
      </w:r>
      <w:r>
        <w:t xml:space="preserve">aper. </w:t>
      </w:r>
      <w:r w:rsidRPr="004E6EA2">
        <w:t>FSANZ’s view</w:t>
      </w:r>
      <w:r>
        <w:t xml:space="preserve"> in 2016 was</w:t>
      </w:r>
      <w:r w:rsidRPr="004E6EA2">
        <w:t xml:space="preserve"> that</w:t>
      </w:r>
      <w:r>
        <w:t xml:space="preserve"> retaining the GUL in Standard 2.9.1</w:t>
      </w:r>
      <w:r w:rsidR="00BA0E4A">
        <w:t xml:space="preserve"> (S29)</w:t>
      </w:r>
      <w:r w:rsidR="00BA0E4A">
        <w:rPr>
          <w:rStyle w:val="CommentReference"/>
        </w:rPr>
        <w:t xml:space="preserve"> </w:t>
      </w:r>
      <w:r>
        <w:t>or some nutrients was appropriate</w:t>
      </w:r>
      <w:r w:rsidRPr="004E6EA2">
        <w:t>, and for others</w:t>
      </w:r>
      <w:r>
        <w:t xml:space="preserve"> the p</w:t>
      </w:r>
      <w:r w:rsidRPr="004E6EA2">
        <w:t xml:space="preserve">rescribed maximum </w:t>
      </w:r>
      <w:r>
        <w:t xml:space="preserve">should be amended </w:t>
      </w:r>
      <w:r w:rsidRPr="004E6EA2">
        <w:t xml:space="preserve">to a GUL to align with Codex (Table </w:t>
      </w:r>
      <w:r w:rsidR="00AC57F6">
        <w:t>7</w:t>
      </w:r>
      <w:r w:rsidR="008410B2">
        <w:t>.1</w:t>
      </w:r>
      <w:r>
        <w:t>)</w:t>
      </w:r>
      <w:r w:rsidRPr="004E6EA2">
        <w:t xml:space="preserve">. </w:t>
      </w:r>
      <w:r>
        <w:t xml:space="preserve">We sought further </w:t>
      </w:r>
      <w:r w:rsidRPr="004E6EA2">
        <w:t xml:space="preserve">information </w:t>
      </w:r>
      <w:r>
        <w:t>from submitters on f</w:t>
      </w:r>
      <w:r w:rsidRPr="006B36FA">
        <w:t>olate, selenium</w:t>
      </w:r>
      <w:r w:rsidR="00EC0889">
        <w:t>, and phosphorus (</w:t>
      </w:r>
      <w:r>
        <w:t xml:space="preserve">considered in section </w:t>
      </w:r>
      <w:r w:rsidR="00E75493">
        <w:t>7</w:t>
      </w:r>
      <w:r w:rsidR="00E75493" w:rsidRPr="008E307D">
        <w:t>.2.2</w:t>
      </w:r>
      <w:r w:rsidR="00E75493">
        <w:t>, 7</w:t>
      </w:r>
      <w:r w:rsidR="00E75493" w:rsidRPr="00990C5A">
        <w:t>.3.</w:t>
      </w:r>
      <w:r w:rsidR="00D63F6F">
        <w:t>11</w:t>
      </w:r>
      <w:r w:rsidR="00EC0889">
        <w:t xml:space="preserve">, </w:t>
      </w:r>
      <w:r w:rsidR="00E75493">
        <w:t>and 7.4.1</w:t>
      </w:r>
      <w:r w:rsidR="00EC0889">
        <w:t xml:space="preserve">, </w:t>
      </w:r>
      <w:r w:rsidR="00E75493">
        <w:t>respectively</w:t>
      </w:r>
      <w:r w:rsidR="00EC0889">
        <w:t>)</w:t>
      </w:r>
      <w:r>
        <w:t>.</w:t>
      </w:r>
      <w:r w:rsidRPr="004E6EA2">
        <w:t xml:space="preserve"> </w:t>
      </w:r>
    </w:p>
    <w:p w14:paraId="7CC1EAFE" w14:textId="3C3D31BD" w:rsidR="00776154" w:rsidRDefault="00776154" w:rsidP="00776154"/>
    <w:p w14:paraId="12AA00B2" w14:textId="77777777" w:rsidR="0028502F" w:rsidRDefault="0028502F" w:rsidP="00776154"/>
    <w:p w14:paraId="366112B4" w14:textId="3DF516B8" w:rsidR="00776154" w:rsidRDefault="005023EF" w:rsidP="00E9515E">
      <w:pPr>
        <w:pStyle w:val="FSTitle"/>
      </w:pPr>
      <w:bookmarkStart w:id="317" w:name="_Toc74061242"/>
      <w:r>
        <w:t xml:space="preserve">Table </w:t>
      </w:r>
      <w:r w:rsidR="00AC57F6">
        <w:t>7</w:t>
      </w:r>
      <w:r w:rsidR="00E230C2">
        <w:t>.1</w:t>
      </w:r>
      <w:r w:rsidR="008410B2">
        <w:tab/>
      </w:r>
      <w:r w:rsidR="00776154">
        <w:t>Guideline versus mandatory maximums</w:t>
      </w:r>
      <w:bookmarkEnd w:id="317"/>
    </w:p>
    <w:tbl>
      <w:tblPr>
        <w:tblStyle w:val="MediumShading1-Accent3"/>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7.1.1 Guideline versus mandatory maximums"/>
        <w:tblDescription w:val="This table summarises micronutrients maximums and FSANZ proposed approach. "/>
      </w:tblPr>
      <w:tblGrid>
        <w:gridCol w:w="1670"/>
        <w:gridCol w:w="1435"/>
        <w:gridCol w:w="1001"/>
        <w:gridCol w:w="2693"/>
        <w:gridCol w:w="2410"/>
      </w:tblGrid>
      <w:tr w:rsidR="00776154" w:rsidRPr="000A57BA" w14:paraId="1A541E22" w14:textId="77777777" w:rsidTr="00D86D7D">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670" w:type="dxa"/>
            <w:tcBorders>
              <w:top w:val="none" w:sz="0" w:space="0" w:color="auto"/>
              <w:left w:val="none" w:sz="0" w:space="0" w:color="auto"/>
              <w:bottom w:val="none" w:sz="0" w:space="0" w:color="auto"/>
              <w:right w:val="none" w:sz="0" w:space="0" w:color="auto"/>
            </w:tcBorders>
            <w:shd w:val="clear" w:color="auto" w:fill="E5DFEC" w:themeFill="accent4" w:themeFillTint="33"/>
            <w:vAlign w:val="center"/>
          </w:tcPr>
          <w:p w14:paraId="451743C1" w14:textId="77777777" w:rsidR="00776154" w:rsidRPr="001C24DD" w:rsidRDefault="00776154" w:rsidP="001C24DD">
            <w:pPr>
              <w:jc w:val="center"/>
              <w:rPr>
                <w:rFonts w:cs="Arial"/>
                <w:color w:val="auto"/>
                <w:szCs w:val="20"/>
              </w:rPr>
            </w:pPr>
            <w:r w:rsidRPr="001C24DD">
              <w:rPr>
                <w:rFonts w:cs="Arial"/>
                <w:color w:val="auto"/>
                <w:szCs w:val="20"/>
              </w:rPr>
              <w:t>Micronutrient</w:t>
            </w:r>
          </w:p>
        </w:tc>
        <w:tc>
          <w:tcPr>
            <w:tcW w:w="1435" w:type="dxa"/>
            <w:tcBorders>
              <w:top w:val="none" w:sz="0" w:space="0" w:color="auto"/>
              <w:left w:val="none" w:sz="0" w:space="0" w:color="auto"/>
              <w:bottom w:val="none" w:sz="0" w:space="0" w:color="auto"/>
              <w:right w:val="none" w:sz="0" w:space="0" w:color="auto"/>
            </w:tcBorders>
            <w:shd w:val="clear" w:color="auto" w:fill="C6D9F1" w:themeFill="text2" w:themeFillTint="33"/>
            <w:vAlign w:val="center"/>
          </w:tcPr>
          <w:p w14:paraId="288F1E14" w14:textId="7F1BB010" w:rsidR="00776154" w:rsidRPr="001C24DD" w:rsidRDefault="00776154" w:rsidP="001C24DD">
            <w:pPr>
              <w:jc w:val="center"/>
              <w:cnfStyle w:val="100000000000" w:firstRow="1" w:lastRow="0" w:firstColumn="0" w:lastColumn="0" w:oddVBand="0" w:evenVBand="0" w:oddHBand="0" w:evenHBand="0" w:firstRowFirstColumn="0" w:firstRowLastColumn="0" w:lastRowFirstColumn="0" w:lastRowLastColumn="0"/>
              <w:rPr>
                <w:rFonts w:cs="Arial"/>
                <w:color w:val="auto"/>
                <w:szCs w:val="20"/>
              </w:rPr>
            </w:pPr>
            <w:r w:rsidRPr="001C24DD">
              <w:rPr>
                <w:rFonts w:cs="Arial"/>
                <w:color w:val="auto"/>
                <w:szCs w:val="20"/>
              </w:rPr>
              <w:t>Standard 2.9.1</w:t>
            </w:r>
            <w:r w:rsidR="00BA0E4A">
              <w:rPr>
                <w:rFonts w:cs="Arial"/>
                <w:color w:val="auto"/>
                <w:szCs w:val="20"/>
              </w:rPr>
              <w:t xml:space="preserve"> (</w:t>
            </w:r>
            <w:r w:rsidR="006E1B4F">
              <w:rPr>
                <w:rFonts w:cs="Arial"/>
                <w:color w:val="auto"/>
                <w:szCs w:val="20"/>
              </w:rPr>
              <w:t>Schedule 29</w:t>
            </w:r>
            <w:r w:rsidR="00BA0E4A">
              <w:rPr>
                <w:rFonts w:cs="Arial"/>
                <w:color w:val="auto"/>
                <w:szCs w:val="20"/>
              </w:rPr>
              <w:t>)</w:t>
            </w:r>
          </w:p>
        </w:tc>
        <w:tc>
          <w:tcPr>
            <w:tcW w:w="1001" w:type="dxa"/>
            <w:tcBorders>
              <w:top w:val="none" w:sz="0" w:space="0" w:color="auto"/>
              <w:left w:val="none" w:sz="0" w:space="0" w:color="auto"/>
              <w:bottom w:val="none" w:sz="0" w:space="0" w:color="auto"/>
              <w:right w:val="none" w:sz="0" w:space="0" w:color="auto"/>
            </w:tcBorders>
            <w:shd w:val="clear" w:color="auto" w:fill="EAF1DD" w:themeFill="accent3" w:themeFillTint="33"/>
            <w:vAlign w:val="center"/>
          </w:tcPr>
          <w:p w14:paraId="1581AC60" w14:textId="77777777" w:rsidR="00776154" w:rsidRPr="001C24DD" w:rsidRDefault="00776154" w:rsidP="001C24DD">
            <w:pPr>
              <w:jc w:val="center"/>
              <w:cnfStyle w:val="100000000000" w:firstRow="1" w:lastRow="0" w:firstColumn="0" w:lastColumn="0" w:oddVBand="0" w:evenVBand="0" w:oddHBand="0" w:evenHBand="0" w:firstRowFirstColumn="0" w:firstRowLastColumn="0" w:lastRowFirstColumn="0" w:lastRowLastColumn="0"/>
              <w:rPr>
                <w:rFonts w:cs="Arial"/>
                <w:color w:val="auto"/>
                <w:szCs w:val="20"/>
              </w:rPr>
            </w:pPr>
            <w:r w:rsidRPr="001C24DD">
              <w:rPr>
                <w:rFonts w:cs="Arial"/>
                <w:color w:val="auto"/>
                <w:szCs w:val="20"/>
              </w:rPr>
              <w:t>Codex</w:t>
            </w:r>
          </w:p>
        </w:tc>
        <w:tc>
          <w:tcPr>
            <w:tcW w:w="2693" w:type="dxa"/>
            <w:tcBorders>
              <w:top w:val="none" w:sz="0" w:space="0" w:color="auto"/>
              <w:left w:val="none" w:sz="0" w:space="0" w:color="auto"/>
              <w:bottom w:val="none" w:sz="0" w:space="0" w:color="auto"/>
              <w:right w:val="none" w:sz="0" w:space="0" w:color="auto"/>
            </w:tcBorders>
            <w:shd w:val="clear" w:color="auto" w:fill="DAEEF3" w:themeFill="accent5" w:themeFillTint="33"/>
            <w:vAlign w:val="center"/>
          </w:tcPr>
          <w:p w14:paraId="2ABEA0D0" w14:textId="77777777" w:rsidR="00776154" w:rsidRPr="001C24DD" w:rsidRDefault="00776154" w:rsidP="001C24DD">
            <w:pPr>
              <w:jc w:val="center"/>
              <w:cnfStyle w:val="100000000000" w:firstRow="1" w:lastRow="0" w:firstColumn="0" w:lastColumn="0" w:oddVBand="0" w:evenVBand="0" w:oddHBand="0" w:evenHBand="0" w:firstRowFirstColumn="0" w:firstRowLastColumn="0" w:lastRowFirstColumn="0" w:lastRowLastColumn="0"/>
              <w:rPr>
                <w:rFonts w:cs="Arial"/>
                <w:color w:val="auto"/>
                <w:szCs w:val="20"/>
              </w:rPr>
            </w:pPr>
            <w:r w:rsidRPr="001C24DD">
              <w:rPr>
                <w:rFonts w:cs="Arial"/>
                <w:color w:val="auto"/>
                <w:szCs w:val="20"/>
              </w:rPr>
              <w:t>Preliminary view</w:t>
            </w:r>
          </w:p>
          <w:p w14:paraId="6E2C1F68" w14:textId="77777777" w:rsidR="00776154" w:rsidRPr="001C24DD" w:rsidRDefault="00776154" w:rsidP="001C24DD">
            <w:pPr>
              <w:jc w:val="center"/>
              <w:cnfStyle w:val="100000000000" w:firstRow="1" w:lastRow="0" w:firstColumn="0" w:lastColumn="0" w:oddVBand="0" w:evenVBand="0" w:oddHBand="0" w:evenHBand="0" w:firstRowFirstColumn="0" w:firstRowLastColumn="0" w:lastRowFirstColumn="0" w:lastRowLastColumn="0"/>
              <w:rPr>
                <w:rFonts w:cs="Arial"/>
                <w:color w:val="auto"/>
                <w:szCs w:val="20"/>
              </w:rPr>
            </w:pPr>
            <w:r w:rsidRPr="001C24DD">
              <w:rPr>
                <w:rFonts w:cs="Arial"/>
                <w:color w:val="auto"/>
                <w:szCs w:val="20"/>
              </w:rPr>
              <w:t>FSANZ 2016</w:t>
            </w:r>
          </w:p>
        </w:tc>
        <w:tc>
          <w:tcPr>
            <w:tcW w:w="2410" w:type="dxa"/>
            <w:tcBorders>
              <w:top w:val="none" w:sz="0" w:space="0" w:color="auto"/>
              <w:left w:val="none" w:sz="0" w:space="0" w:color="auto"/>
              <w:bottom w:val="none" w:sz="0" w:space="0" w:color="auto"/>
              <w:right w:val="none" w:sz="0" w:space="0" w:color="auto"/>
            </w:tcBorders>
            <w:shd w:val="clear" w:color="auto" w:fill="DDD9C3" w:themeFill="background2" w:themeFillShade="E6"/>
            <w:vAlign w:val="center"/>
          </w:tcPr>
          <w:p w14:paraId="2DBDBC70" w14:textId="77777777" w:rsidR="00776154" w:rsidRPr="001C24DD" w:rsidRDefault="00776154" w:rsidP="001C24DD">
            <w:pPr>
              <w:jc w:val="center"/>
              <w:cnfStyle w:val="100000000000" w:firstRow="1" w:lastRow="0" w:firstColumn="0" w:lastColumn="0" w:oddVBand="0" w:evenVBand="0" w:oddHBand="0" w:evenHBand="0" w:firstRowFirstColumn="0" w:firstRowLastColumn="0" w:lastRowFirstColumn="0" w:lastRowLastColumn="0"/>
              <w:rPr>
                <w:rFonts w:cs="Arial"/>
                <w:color w:val="auto"/>
                <w:szCs w:val="20"/>
              </w:rPr>
            </w:pPr>
            <w:r w:rsidRPr="001C24DD">
              <w:rPr>
                <w:rFonts w:cs="Arial"/>
                <w:color w:val="auto"/>
                <w:szCs w:val="20"/>
              </w:rPr>
              <w:t>Proposed approach</w:t>
            </w:r>
          </w:p>
          <w:p w14:paraId="62F2DEA4" w14:textId="77777777" w:rsidR="00776154" w:rsidRPr="001C24DD" w:rsidRDefault="00776154" w:rsidP="001C24DD">
            <w:pPr>
              <w:jc w:val="center"/>
              <w:cnfStyle w:val="100000000000" w:firstRow="1" w:lastRow="0" w:firstColumn="0" w:lastColumn="0" w:oddVBand="0" w:evenVBand="0" w:oddHBand="0" w:evenHBand="0" w:firstRowFirstColumn="0" w:firstRowLastColumn="0" w:lastRowFirstColumn="0" w:lastRowLastColumn="0"/>
              <w:rPr>
                <w:rFonts w:cs="Arial"/>
                <w:color w:val="auto"/>
                <w:szCs w:val="20"/>
              </w:rPr>
            </w:pPr>
            <w:r w:rsidRPr="001C24DD">
              <w:rPr>
                <w:rFonts w:cs="Arial"/>
                <w:color w:val="auto"/>
                <w:szCs w:val="20"/>
              </w:rPr>
              <w:t>(this CP)</w:t>
            </w:r>
          </w:p>
        </w:tc>
      </w:tr>
      <w:tr w:rsidR="00776154" w:rsidRPr="000A57BA" w14:paraId="4157F140" w14:textId="77777777" w:rsidTr="001C24D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209" w:type="dxa"/>
            <w:gridSpan w:val="5"/>
            <w:shd w:val="clear" w:color="auto" w:fill="F2F2F2" w:themeFill="background1" w:themeFillShade="F2"/>
            <w:vAlign w:val="center"/>
          </w:tcPr>
          <w:p w14:paraId="2814CF0D" w14:textId="77777777" w:rsidR="00776154" w:rsidRPr="000A57BA" w:rsidRDefault="00776154" w:rsidP="00776154">
            <w:pPr>
              <w:rPr>
                <w:rFonts w:cs="Arial"/>
                <w:i/>
                <w:szCs w:val="20"/>
              </w:rPr>
            </w:pPr>
            <w:r w:rsidRPr="000A57BA">
              <w:rPr>
                <w:rFonts w:cs="Arial"/>
                <w:i/>
                <w:szCs w:val="20"/>
              </w:rPr>
              <w:t>Vitamins</w:t>
            </w:r>
          </w:p>
        </w:tc>
      </w:tr>
      <w:tr w:rsidR="00776154" w:rsidRPr="000A57BA" w14:paraId="3E649FCF" w14:textId="77777777" w:rsidTr="001C24DD">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70" w:type="dxa"/>
            <w:tcBorders>
              <w:right w:val="none" w:sz="0" w:space="0" w:color="auto"/>
            </w:tcBorders>
          </w:tcPr>
          <w:p w14:paraId="65CF01AF" w14:textId="77777777" w:rsidR="00776154" w:rsidRPr="000A57BA" w:rsidRDefault="00776154" w:rsidP="00776154">
            <w:pPr>
              <w:rPr>
                <w:rFonts w:cs="Arial"/>
                <w:b w:val="0"/>
                <w:szCs w:val="20"/>
              </w:rPr>
            </w:pPr>
            <w:r w:rsidRPr="000A57BA">
              <w:rPr>
                <w:rFonts w:cs="Arial"/>
                <w:b w:val="0"/>
                <w:szCs w:val="20"/>
              </w:rPr>
              <w:t>Vitamin A</w:t>
            </w:r>
          </w:p>
        </w:tc>
        <w:tc>
          <w:tcPr>
            <w:tcW w:w="1435" w:type="dxa"/>
            <w:tcBorders>
              <w:left w:val="none" w:sz="0" w:space="0" w:color="auto"/>
              <w:right w:val="none" w:sz="0" w:space="0" w:color="auto"/>
            </w:tcBorders>
          </w:tcPr>
          <w:p w14:paraId="518083D2" w14:textId="77777777" w:rsidR="00776154" w:rsidRPr="000A57BA" w:rsidRDefault="00776154" w:rsidP="00776154">
            <w:pPr>
              <w:jc w:val="center"/>
              <w:cnfStyle w:val="000000010000" w:firstRow="0" w:lastRow="0" w:firstColumn="0" w:lastColumn="0" w:oddVBand="0" w:evenVBand="0" w:oddHBand="0" w:evenHBand="1" w:firstRowFirstColumn="0" w:firstRowLastColumn="0" w:lastRowFirstColumn="0" w:lastRowLastColumn="0"/>
              <w:rPr>
                <w:rFonts w:cs="Arial"/>
                <w:szCs w:val="20"/>
              </w:rPr>
            </w:pPr>
            <w:r w:rsidRPr="000A57BA">
              <w:rPr>
                <w:rFonts w:cs="Arial"/>
                <w:szCs w:val="20"/>
              </w:rPr>
              <w:t>Max</w:t>
            </w:r>
          </w:p>
        </w:tc>
        <w:tc>
          <w:tcPr>
            <w:tcW w:w="1001" w:type="dxa"/>
            <w:tcBorders>
              <w:left w:val="none" w:sz="0" w:space="0" w:color="auto"/>
              <w:right w:val="none" w:sz="0" w:space="0" w:color="auto"/>
            </w:tcBorders>
          </w:tcPr>
          <w:p w14:paraId="4A4DE2AF" w14:textId="77777777" w:rsidR="00776154" w:rsidRPr="000A57BA" w:rsidRDefault="00776154" w:rsidP="00776154">
            <w:pPr>
              <w:jc w:val="center"/>
              <w:cnfStyle w:val="000000010000" w:firstRow="0" w:lastRow="0" w:firstColumn="0" w:lastColumn="0" w:oddVBand="0" w:evenVBand="0" w:oddHBand="0" w:evenHBand="1" w:firstRowFirstColumn="0" w:firstRowLastColumn="0" w:lastRowFirstColumn="0" w:lastRowLastColumn="0"/>
              <w:rPr>
                <w:rFonts w:cs="Arial"/>
                <w:szCs w:val="20"/>
              </w:rPr>
            </w:pPr>
            <w:r w:rsidRPr="000A57BA">
              <w:rPr>
                <w:rFonts w:cs="Arial"/>
                <w:szCs w:val="20"/>
              </w:rPr>
              <w:t>Max</w:t>
            </w:r>
          </w:p>
        </w:tc>
        <w:tc>
          <w:tcPr>
            <w:tcW w:w="2693" w:type="dxa"/>
            <w:tcBorders>
              <w:left w:val="none" w:sz="0" w:space="0" w:color="auto"/>
              <w:right w:val="none" w:sz="0" w:space="0" w:color="auto"/>
            </w:tcBorders>
          </w:tcPr>
          <w:p w14:paraId="28FE33C9" w14:textId="77777777" w:rsidR="00776154" w:rsidRPr="000A57BA" w:rsidRDefault="00776154" w:rsidP="00776154">
            <w:pPr>
              <w:cnfStyle w:val="000000010000" w:firstRow="0" w:lastRow="0" w:firstColumn="0" w:lastColumn="0" w:oddVBand="0" w:evenVBand="0" w:oddHBand="0" w:evenHBand="1" w:firstRowFirstColumn="0" w:firstRowLastColumn="0" w:lastRowFirstColumn="0" w:lastRowLastColumn="0"/>
              <w:rPr>
                <w:rFonts w:cs="Arial"/>
                <w:szCs w:val="20"/>
              </w:rPr>
            </w:pPr>
            <w:r w:rsidRPr="000A57BA">
              <w:rPr>
                <w:rFonts w:cs="Arial"/>
                <w:szCs w:val="20"/>
              </w:rPr>
              <w:t>Retain Max</w:t>
            </w:r>
          </w:p>
        </w:tc>
        <w:tc>
          <w:tcPr>
            <w:tcW w:w="2410" w:type="dxa"/>
            <w:tcBorders>
              <w:left w:val="none" w:sz="0" w:space="0" w:color="auto"/>
            </w:tcBorders>
          </w:tcPr>
          <w:p w14:paraId="3B156230" w14:textId="77777777" w:rsidR="00776154" w:rsidRPr="000A57BA" w:rsidRDefault="00776154" w:rsidP="00776154">
            <w:pPr>
              <w:cnfStyle w:val="000000010000" w:firstRow="0" w:lastRow="0" w:firstColumn="0" w:lastColumn="0" w:oddVBand="0" w:evenVBand="0" w:oddHBand="0" w:evenHBand="1" w:firstRowFirstColumn="0" w:firstRowLastColumn="0" w:lastRowFirstColumn="0" w:lastRowLastColumn="0"/>
              <w:rPr>
                <w:rFonts w:cs="Arial"/>
                <w:szCs w:val="20"/>
              </w:rPr>
            </w:pPr>
            <w:r w:rsidRPr="000A57BA">
              <w:rPr>
                <w:rFonts w:cs="Arial"/>
                <w:szCs w:val="20"/>
              </w:rPr>
              <w:t>Retain Max</w:t>
            </w:r>
          </w:p>
        </w:tc>
      </w:tr>
      <w:tr w:rsidR="00776154" w:rsidRPr="000A57BA" w14:paraId="62E910E7" w14:textId="77777777" w:rsidTr="001C24D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70" w:type="dxa"/>
            <w:tcBorders>
              <w:right w:val="none" w:sz="0" w:space="0" w:color="auto"/>
            </w:tcBorders>
            <w:shd w:val="clear" w:color="auto" w:fill="F2F2F2" w:themeFill="background1" w:themeFillShade="F2"/>
          </w:tcPr>
          <w:p w14:paraId="35538FE8" w14:textId="77777777" w:rsidR="00776154" w:rsidRPr="000A57BA" w:rsidRDefault="00776154" w:rsidP="00776154">
            <w:pPr>
              <w:rPr>
                <w:rFonts w:cs="Arial"/>
                <w:b w:val="0"/>
                <w:szCs w:val="20"/>
              </w:rPr>
            </w:pPr>
            <w:r w:rsidRPr="000A57BA">
              <w:rPr>
                <w:rFonts w:cs="Arial"/>
                <w:b w:val="0"/>
                <w:szCs w:val="20"/>
              </w:rPr>
              <w:t>Vitamin D</w:t>
            </w:r>
          </w:p>
        </w:tc>
        <w:tc>
          <w:tcPr>
            <w:tcW w:w="1435" w:type="dxa"/>
            <w:tcBorders>
              <w:left w:val="none" w:sz="0" w:space="0" w:color="auto"/>
              <w:right w:val="none" w:sz="0" w:space="0" w:color="auto"/>
            </w:tcBorders>
            <w:shd w:val="clear" w:color="auto" w:fill="F2F2F2" w:themeFill="background1" w:themeFillShade="F2"/>
          </w:tcPr>
          <w:p w14:paraId="61C48A9A" w14:textId="77777777" w:rsidR="00776154" w:rsidRPr="000A57BA" w:rsidRDefault="00776154" w:rsidP="00776154">
            <w:pPr>
              <w:jc w:val="center"/>
              <w:cnfStyle w:val="000000100000" w:firstRow="0" w:lastRow="0" w:firstColumn="0" w:lastColumn="0" w:oddVBand="0" w:evenVBand="0" w:oddHBand="1" w:evenHBand="0" w:firstRowFirstColumn="0" w:firstRowLastColumn="0" w:lastRowFirstColumn="0" w:lastRowLastColumn="0"/>
              <w:rPr>
                <w:rFonts w:cs="Arial"/>
                <w:szCs w:val="20"/>
              </w:rPr>
            </w:pPr>
            <w:r w:rsidRPr="000A57BA">
              <w:rPr>
                <w:rFonts w:cs="Arial"/>
                <w:szCs w:val="20"/>
              </w:rPr>
              <w:t>Max</w:t>
            </w:r>
          </w:p>
        </w:tc>
        <w:tc>
          <w:tcPr>
            <w:tcW w:w="1001" w:type="dxa"/>
            <w:tcBorders>
              <w:left w:val="none" w:sz="0" w:space="0" w:color="auto"/>
              <w:right w:val="none" w:sz="0" w:space="0" w:color="auto"/>
            </w:tcBorders>
            <w:shd w:val="clear" w:color="auto" w:fill="F2F2F2" w:themeFill="background1" w:themeFillShade="F2"/>
          </w:tcPr>
          <w:p w14:paraId="4C060F2F" w14:textId="77777777" w:rsidR="00776154" w:rsidRPr="000A57BA" w:rsidRDefault="00776154" w:rsidP="00776154">
            <w:pPr>
              <w:jc w:val="center"/>
              <w:cnfStyle w:val="000000100000" w:firstRow="0" w:lastRow="0" w:firstColumn="0" w:lastColumn="0" w:oddVBand="0" w:evenVBand="0" w:oddHBand="1" w:evenHBand="0" w:firstRowFirstColumn="0" w:firstRowLastColumn="0" w:lastRowFirstColumn="0" w:lastRowLastColumn="0"/>
              <w:rPr>
                <w:rFonts w:cs="Arial"/>
                <w:szCs w:val="20"/>
              </w:rPr>
            </w:pPr>
            <w:r w:rsidRPr="000A57BA">
              <w:rPr>
                <w:rFonts w:cs="Arial"/>
                <w:szCs w:val="20"/>
              </w:rPr>
              <w:t>Max</w:t>
            </w:r>
          </w:p>
        </w:tc>
        <w:tc>
          <w:tcPr>
            <w:tcW w:w="2693" w:type="dxa"/>
            <w:tcBorders>
              <w:left w:val="none" w:sz="0" w:space="0" w:color="auto"/>
              <w:right w:val="none" w:sz="0" w:space="0" w:color="auto"/>
            </w:tcBorders>
            <w:shd w:val="clear" w:color="auto" w:fill="F2F2F2" w:themeFill="background1" w:themeFillShade="F2"/>
          </w:tcPr>
          <w:p w14:paraId="1F8164BA" w14:textId="77777777" w:rsidR="00776154" w:rsidRPr="000A57BA" w:rsidRDefault="00776154" w:rsidP="00776154">
            <w:pPr>
              <w:cnfStyle w:val="000000100000" w:firstRow="0" w:lastRow="0" w:firstColumn="0" w:lastColumn="0" w:oddVBand="0" w:evenVBand="0" w:oddHBand="1" w:evenHBand="0" w:firstRowFirstColumn="0" w:firstRowLastColumn="0" w:lastRowFirstColumn="0" w:lastRowLastColumn="0"/>
              <w:rPr>
                <w:rFonts w:cs="Arial"/>
                <w:szCs w:val="20"/>
              </w:rPr>
            </w:pPr>
            <w:r w:rsidRPr="000A57BA">
              <w:rPr>
                <w:rFonts w:cs="Arial"/>
                <w:szCs w:val="20"/>
              </w:rPr>
              <w:t>Retain Max</w:t>
            </w:r>
          </w:p>
        </w:tc>
        <w:tc>
          <w:tcPr>
            <w:tcW w:w="2410" w:type="dxa"/>
            <w:tcBorders>
              <w:left w:val="none" w:sz="0" w:space="0" w:color="auto"/>
            </w:tcBorders>
            <w:shd w:val="clear" w:color="auto" w:fill="F2F2F2" w:themeFill="background1" w:themeFillShade="F2"/>
          </w:tcPr>
          <w:p w14:paraId="42020791" w14:textId="77777777" w:rsidR="00776154" w:rsidRPr="000A57BA" w:rsidRDefault="00776154" w:rsidP="00776154">
            <w:pPr>
              <w:cnfStyle w:val="000000100000" w:firstRow="0" w:lastRow="0" w:firstColumn="0" w:lastColumn="0" w:oddVBand="0" w:evenVBand="0" w:oddHBand="1" w:evenHBand="0" w:firstRowFirstColumn="0" w:firstRowLastColumn="0" w:lastRowFirstColumn="0" w:lastRowLastColumn="0"/>
              <w:rPr>
                <w:rFonts w:cs="Arial"/>
                <w:szCs w:val="20"/>
              </w:rPr>
            </w:pPr>
            <w:r w:rsidRPr="000A57BA">
              <w:rPr>
                <w:rFonts w:cs="Arial"/>
                <w:szCs w:val="20"/>
              </w:rPr>
              <w:t>Retain Max</w:t>
            </w:r>
          </w:p>
        </w:tc>
      </w:tr>
      <w:tr w:rsidR="00776154" w:rsidRPr="000A57BA" w14:paraId="0CF7FE05" w14:textId="77777777" w:rsidTr="001C24DD">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70" w:type="dxa"/>
            <w:tcBorders>
              <w:right w:val="none" w:sz="0" w:space="0" w:color="auto"/>
            </w:tcBorders>
          </w:tcPr>
          <w:p w14:paraId="223A55D8" w14:textId="77777777" w:rsidR="00776154" w:rsidRPr="000A57BA" w:rsidRDefault="00776154" w:rsidP="00776154">
            <w:pPr>
              <w:rPr>
                <w:rFonts w:cs="Arial"/>
                <w:b w:val="0"/>
                <w:szCs w:val="20"/>
              </w:rPr>
            </w:pPr>
            <w:r w:rsidRPr="000A57BA">
              <w:rPr>
                <w:rFonts w:cs="Arial"/>
                <w:b w:val="0"/>
                <w:szCs w:val="20"/>
              </w:rPr>
              <w:t>Vitamin E</w:t>
            </w:r>
          </w:p>
        </w:tc>
        <w:tc>
          <w:tcPr>
            <w:tcW w:w="1435" w:type="dxa"/>
            <w:tcBorders>
              <w:left w:val="none" w:sz="0" w:space="0" w:color="auto"/>
              <w:right w:val="none" w:sz="0" w:space="0" w:color="auto"/>
            </w:tcBorders>
          </w:tcPr>
          <w:p w14:paraId="32FC16D6" w14:textId="77777777" w:rsidR="00776154" w:rsidRPr="000A57BA" w:rsidRDefault="00776154" w:rsidP="00776154">
            <w:pPr>
              <w:jc w:val="center"/>
              <w:cnfStyle w:val="000000010000" w:firstRow="0" w:lastRow="0" w:firstColumn="0" w:lastColumn="0" w:oddVBand="0" w:evenVBand="0" w:oddHBand="0" w:evenHBand="1" w:firstRowFirstColumn="0" w:firstRowLastColumn="0" w:lastRowFirstColumn="0" w:lastRowLastColumn="0"/>
              <w:rPr>
                <w:rFonts w:cs="Arial"/>
                <w:szCs w:val="20"/>
              </w:rPr>
            </w:pPr>
            <w:r w:rsidRPr="000A57BA">
              <w:rPr>
                <w:rFonts w:cs="Arial"/>
                <w:szCs w:val="20"/>
              </w:rPr>
              <w:t>Max</w:t>
            </w:r>
          </w:p>
        </w:tc>
        <w:tc>
          <w:tcPr>
            <w:tcW w:w="1001" w:type="dxa"/>
            <w:tcBorders>
              <w:left w:val="none" w:sz="0" w:space="0" w:color="auto"/>
              <w:right w:val="none" w:sz="0" w:space="0" w:color="auto"/>
            </w:tcBorders>
          </w:tcPr>
          <w:p w14:paraId="0C04E1A4" w14:textId="77777777" w:rsidR="00776154" w:rsidRPr="000A57BA" w:rsidRDefault="00776154" w:rsidP="00776154">
            <w:pPr>
              <w:jc w:val="center"/>
              <w:cnfStyle w:val="000000010000" w:firstRow="0" w:lastRow="0" w:firstColumn="0" w:lastColumn="0" w:oddVBand="0" w:evenVBand="0" w:oddHBand="0" w:evenHBand="1" w:firstRowFirstColumn="0" w:firstRowLastColumn="0" w:lastRowFirstColumn="0" w:lastRowLastColumn="0"/>
              <w:rPr>
                <w:rFonts w:cs="Arial"/>
                <w:szCs w:val="20"/>
              </w:rPr>
            </w:pPr>
            <w:r w:rsidRPr="000A57BA">
              <w:rPr>
                <w:rFonts w:cs="Arial"/>
                <w:szCs w:val="20"/>
              </w:rPr>
              <w:t>GUL</w:t>
            </w:r>
          </w:p>
        </w:tc>
        <w:tc>
          <w:tcPr>
            <w:tcW w:w="2693" w:type="dxa"/>
            <w:tcBorders>
              <w:left w:val="none" w:sz="0" w:space="0" w:color="auto"/>
              <w:right w:val="none" w:sz="0" w:space="0" w:color="auto"/>
            </w:tcBorders>
          </w:tcPr>
          <w:p w14:paraId="32511883" w14:textId="77777777" w:rsidR="00776154" w:rsidRPr="000A57BA" w:rsidRDefault="00776154" w:rsidP="00776154">
            <w:pPr>
              <w:cnfStyle w:val="000000010000" w:firstRow="0" w:lastRow="0" w:firstColumn="0" w:lastColumn="0" w:oddVBand="0" w:evenVBand="0" w:oddHBand="0" w:evenHBand="1" w:firstRowFirstColumn="0" w:firstRowLastColumn="0" w:lastRowFirstColumn="0" w:lastRowLastColumn="0"/>
              <w:rPr>
                <w:rFonts w:cs="Arial"/>
                <w:szCs w:val="20"/>
              </w:rPr>
            </w:pPr>
            <w:r>
              <w:rPr>
                <w:rFonts w:cs="Arial"/>
                <w:szCs w:val="20"/>
              </w:rPr>
              <w:t>C</w:t>
            </w:r>
            <w:r w:rsidRPr="000A57BA">
              <w:rPr>
                <w:rFonts w:cs="Arial"/>
                <w:szCs w:val="20"/>
              </w:rPr>
              <w:t>hange Max to a GUL</w:t>
            </w:r>
          </w:p>
        </w:tc>
        <w:tc>
          <w:tcPr>
            <w:tcW w:w="2410" w:type="dxa"/>
            <w:tcBorders>
              <w:left w:val="none" w:sz="0" w:space="0" w:color="auto"/>
            </w:tcBorders>
          </w:tcPr>
          <w:p w14:paraId="6C261B73" w14:textId="77777777" w:rsidR="00776154" w:rsidRPr="000A57BA" w:rsidRDefault="00776154" w:rsidP="00776154">
            <w:pPr>
              <w:cnfStyle w:val="000000010000" w:firstRow="0" w:lastRow="0" w:firstColumn="0" w:lastColumn="0" w:oddVBand="0" w:evenVBand="0" w:oddHBand="0" w:evenHBand="1" w:firstRowFirstColumn="0" w:firstRowLastColumn="0" w:lastRowFirstColumn="0" w:lastRowLastColumn="0"/>
              <w:rPr>
                <w:rFonts w:cs="Arial"/>
                <w:szCs w:val="20"/>
              </w:rPr>
            </w:pPr>
            <w:r>
              <w:rPr>
                <w:rFonts w:cs="Arial"/>
                <w:szCs w:val="20"/>
              </w:rPr>
              <w:t>C</w:t>
            </w:r>
            <w:r w:rsidRPr="000A57BA">
              <w:rPr>
                <w:rFonts w:cs="Arial"/>
                <w:szCs w:val="20"/>
              </w:rPr>
              <w:t>hange Max to a GUL</w:t>
            </w:r>
          </w:p>
        </w:tc>
      </w:tr>
      <w:tr w:rsidR="00776154" w:rsidRPr="000A57BA" w14:paraId="1525B5ED" w14:textId="77777777" w:rsidTr="001C24D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70" w:type="dxa"/>
            <w:tcBorders>
              <w:right w:val="none" w:sz="0" w:space="0" w:color="auto"/>
            </w:tcBorders>
            <w:shd w:val="clear" w:color="auto" w:fill="F2F2F2" w:themeFill="background1" w:themeFillShade="F2"/>
          </w:tcPr>
          <w:p w14:paraId="20D8C762" w14:textId="77777777" w:rsidR="00776154" w:rsidRPr="000A57BA" w:rsidRDefault="00776154" w:rsidP="00776154">
            <w:pPr>
              <w:rPr>
                <w:rFonts w:cs="Arial"/>
                <w:b w:val="0"/>
                <w:szCs w:val="20"/>
              </w:rPr>
            </w:pPr>
            <w:r w:rsidRPr="000A57BA">
              <w:rPr>
                <w:rFonts w:cs="Arial"/>
                <w:b w:val="0"/>
                <w:szCs w:val="20"/>
              </w:rPr>
              <w:t>Vitamin K</w:t>
            </w:r>
          </w:p>
        </w:tc>
        <w:tc>
          <w:tcPr>
            <w:tcW w:w="1435" w:type="dxa"/>
            <w:tcBorders>
              <w:left w:val="none" w:sz="0" w:space="0" w:color="auto"/>
              <w:right w:val="none" w:sz="0" w:space="0" w:color="auto"/>
            </w:tcBorders>
            <w:shd w:val="clear" w:color="auto" w:fill="F2F2F2" w:themeFill="background1" w:themeFillShade="F2"/>
          </w:tcPr>
          <w:p w14:paraId="3765AB9B" w14:textId="77777777" w:rsidR="00776154" w:rsidRPr="000A57BA" w:rsidRDefault="00776154" w:rsidP="00776154">
            <w:pPr>
              <w:jc w:val="center"/>
              <w:cnfStyle w:val="000000100000" w:firstRow="0" w:lastRow="0" w:firstColumn="0" w:lastColumn="0" w:oddVBand="0" w:evenVBand="0" w:oddHBand="1" w:evenHBand="0" w:firstRowFirstColumn="0" w:firstRowLastColumn="0" w:lastRowFirstColumn="0" w:lastRowLastColumn="0"/>
              <w:rPr>
                <w:rFonts w:cs="Arial"/>
                <w:szCs w:val="20"/>
              </w:rPr>
            </w:pPr>
            <w:r w:rsidRPr="000A57BA">
              <w:rPr>
                <w:rFonts w:cs="Arial"/>
                <w:szCs w:val="20"/>
              </w:rPr>
              <w:t>GUL</w:t>
            </w:r>
          </w:p>
        </w:tc>
        <w:tc>
          <w:tcPr>
            <w:tcW w:w="1001" w:type="dxa"/>
            <w:tcBorders>
              <w:left w:val="none" w:sz="0" w:space="0" w:color="auto"/>
              <w:right w:val="none" w:sz="0" w:space="0" w:color="auto"/>
            </w:tcBorders>
            <w:shd w:val="clear" w:color="auto" w:fill="F2F2F2" w:themeFill="background1" w:themeFillShade="F2"/>
          </w:tcPr>
          <w:p w14:paraId="52752B34" w14:textId="77777777" w:rsidR="00776154" w:rsidRPr="000A57BA" w:rsidRDefault="00776154" w:rsidP="00776154">
            <w:pPr>
              <w:jc w:val="center"/>
              <w:cnfStyle w:val="000000100000" w:firstRow="0" w:lastRow="0" w:firstColumn="0" w:lastColumn="0" w:oddVBand="0" w:evenVBand="0" w:oddHBand="1" w:evenHBand="0" w:firstRowFirstColumn="0" w:firstRowLastColumn="0" w:lastRowFirstColumn="0" w:lastRowLastColumn="0"/>
              <w:rPr>
                <w:rFonts w:cs="Arial"/>
                <w:szCs w:val="20"/>
              </w:rPr>
            </w:pPr>
            <w:r w:rsidRPr="000A57BA">
              <w:rPr>
                <w:rFonts w:cs="Arial"/>
                <w:szCs w:val="20"/>
              </w:rPr>
              <w:t>GUL</w:t>
            </w:r>
          </w:p>
        </w:tc>
        <w:tc>
          <w:tcPr>
            <w:tcW w:w="2693" w:type="dxa"/>
            <w:tcBorders>
              <w:left w:val="none" w:sz="0" w:space="0" w:color="auto"/>
              <w:right w:val="none" w:sz="0" w:space="0" w:color="auto"/>
            </w:tcBorders>
            <w:shd w:val="clear" w:color="auto" w:fill="F2F2F2" w:themeFill="background1" w:themeFillShade="F2"/>
          </w:tcPr>
          <w:p w14:paraId="7407582F" w14:textId="77777777" w:rsidR="00776154" w:rsidRPr="000A57BA" w:rsidRDefault="00776154" w:rsidP="00776154">
            <w:pPr>
              <w:cnfStyle w:val="000000100000" w:firstRow="0" w:lastRow="0" w:firstColumn="0" w:lastColumn="0" w:oddVBand="0" w:evenVBand="0" w:oddHBand="1" w:evenHBand="0" w:firstRowFirstColumn="0" w:firstRowLastColumn="0" w:lastRowFirstColumn="0" w:lastRowLastColumn="0"/>
              <w:rPr>
                <w:rFonts w:cs="Arial"/>
                <w:szCs w:val="20"/>
              </w:rPr>
            </w:pPr>
            <w:r w:rsidRPr="000A57BA">
              <w:rPr>
                <w:rFonts w:cs="Arial"/>
                <w:szCs w:val="20"/>
              </w:rPr>
              <w:t xml:space="preserve">Retain GUL </w:t>
            </w:r>
          </w:p>
        </w:tc>
        <w:tc>
          <w:tcPr>
            <w:tcW w:w="2410" w:type="dxa"/>
            <w:tcBorders>
              <w:left w:val="none" w:sz="0" w:space="0" w:color="auto"/>
            </w:tcBorders>
            <w:shd w:val="clear" w:color="auto" w:fill="F2F2F2" w:themeFill="background1" w:themeFillShade="F2"/>
          </w:tcPr>
          <w:p w14:paraId="58CEEB4C" w14:textId="77777777" w:rsidR="00776154" w:rsidRPr="000A57BA" w:rsidRDefault="00776154" w:rsidP="00776154">
            <w:pPr>
              <w:cnfStyle w:val="000000100000" w:firstRow="0" w:lastRow="0" w:firstColumn="0" w:lastColumn="0" w:oddVBand="0" w:evenVBand="0" w:oddHBand="1" w:evenHBand="0" w:firstRowFirstColumn="0" w:firstRowLastColumn="0" w:lastRowFirstColumn="0" w:lastRowLastColumn="0"/>
              <w:rPr>
                <w:rFonts w:cs="Arial"/>
                <w:szCs w:val="20"/>
              </w:rPr>
            </w:pPr>
            <w:r w:rsidRPr="000A57BA">
              <w:rPr>
                <w:rFonts w:cs="Arial"/>
                <w:szCs w:val="20"/>
              </w:rPr>
              <w:t xml:space="preserve">Retain GUL </w:t>
            </w:r>
          </w:p>
        </w:tc>
      </w:tr>
      <w:tr w:rsidR="00776154" w:rsidRPr="000A57BA" w14:paraId="2EEAF3FE" w14:textId="77777777" w:rsidTr="001C24DD">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70" w:type="dxa"/>
            <w:tcBorders>
              <w:right w:val="none" w:sz="0" w:space="0" w:color="auto"/>
            </w:tcBorders>
          </w:tcPr>
          <w:p w14:paraId="62C10D7A" w14:textId="77777777" w:rsidR="00776154" w:rsidRPr="000A57BA" w:rsidRDefault="00776154" w:rsidP="00776154">
            <w:pPr>
              <w:rPr>
                <w:rFonts w:cs="Arial"/>
                <w:b w:val="0"/>
                <w:szCs w:val="20"/>
              </w:rPr>
            </w:pPr>
            <w:r w:rsidRPr="000A57BA">
              <w:rPr>
                <w:rFonts w:cs="Arial"/>
                <w:b w:val="0"/>
                <w:szCs w:val="20"/>
              </w:rPr>
              <w:t>Vitamin C</w:t>
            </w:r>
          </w:p>
        </w:tc>
        <w:tc>
          <w:tcPr>
            <w:tcW w:w="1435" w:type="dxa"/>
            <w:tcBorders>
              <w:left w:val="none" w:sz="0" w:space="0" w:color="auto"/>
              <w:right w:val="none" w:sz="0" w:space="0" w:color="auto"/>
            </w:tcBorders>
          </w:tcPr>
          <w:p w14:paraId="232EECFF" w14:textId="77777777" w:rsidR="00776154" w:rsidRPr="000A57BA" w:rsidRDefault="00776154" w:rsidP="00776154">
            <w:pPr>
              <w:jc w:val="center"/>
              <w:cnfStyle w:val="000000010000" w:firstRow="0" w:lastRow="0" w:firstColumn="0" w:lastColumn="0" w:oddVBand="0" w:evenVBand="0" w:oddHBand="0" w:evenHBand="1" w:firstRowFirstColumn="0" w:firstRowLastColumn="0" w:lastRowFirstColumn="0" w:lastRowLastColumn="0"/>
              <w:rPr>
                <w:rFonts w:cs="Arial"/>
                <w:szCs w:val="20"/>
              </w:rPr>
            </w:pPr>
            <w:r w:rsidRPr="000A57BA">
              <w:rPr>
                <w:rFonts w:cs="Arial"/>
                <w:szCs w:val="20"/>
              </w:rPr>
              <w:t>GUL</w:t>
            </w:r>
          </w:p>
        </w:tc>
        <w:tc>
          <w:tcPr>
            <w:tcW w:w="1001" w:type="dxa"/>
            <w:tcBorders>
              <w:left w:val="none" w:sz="0" w:space="0" w:color="auto"/>
              <w:right w:val="none" w:sz="0" w:space="0" w:color="auto"/>
            </w:tcBorders>
          </w:tcPr>
          <w:p w14:paraId="5A46A6C9" w14:textId="77777777" w:rsidR="00776154" w:rsidRPr="000A57BA" w:rsidRDefault="00776154" w:rsidP="00776154">
            <w:pPr>
              <w:jc w:val="center"/>
              <w:cnfStyle w:val="000000010000" w:firstRow="0" w:lastRow="0" w:firstColumn="0" w:lastColumn="0" w:oddVBand="0" w:evenVBand="0" w:oddHBand="0" w:evenHBand="1" w:firstRowFirstColumn="0" w:firstRowLastColumn="0" w:lastRowFirstColumn="0" w:lastRowLastColumn="0"/>
              <w:rPr>
                <w:rFonts w:cs="Arial"/>
                <w:szCs w:val="20"/>
              </w:rPr>
            </w:pPr>
            <w:r w:rsidRPr="000A57BA">
              <w:rPr>
                <w:rFonts w:cs="Arial"/>
                <w:szCs w:val="20"/>
              </w:rPr>
              <w:t>GUL</w:t>
            </w:r>
          </w:p>
        </w:tc>
        <w:tc>
          <w:tcPr>
            <w:tcW w:w="2693" w:type="dxa"/>
            <w:tcBorders>
              <w:left w:val="none" w:sz="0" w:space="0" w:color="auto"/>
              <w:right w:val="none" w:sz="0" w:space="0" w:color="auto"/>
            </w:tcBorders>
          </w:tcPr>
          <w:p w14:paraId="6379570B" w14:textId="77777777" w:rsidR="00776154" w:rsidRPr="000A57BA" w:rsidRDefault="00776154" w:rsidP="00776154">
            <w:pPr>
              <w:cnfStyle w:val="000000010000" w:firstRow="0" w:lastRow="0" w:firstColumn="0" w:lastColumn="0" w:oddVBand="0" w:evenVBand="0" w:oddHBand="0" w:evenHBand="1" w:firstRowFirstColumn="0" w:firstRowLastColumn="0" w:lastRowFirstColumn="0" w:lastRowLastColumn="0"/>
              <w:rPr>
                <w:rFonts w:cs="Arial"/>
                <w:szCs w:val="20"/>
              </w:rPr>
            </w:pPr>
            <w:r w:rsidRPr="000A57BA">
              <w:rPr>
                <w:rFonts w:cs="Arial"/>
                <w:szCs w:val="20"/>
              </w:rPr>
              <w:t xml:space="preserve">Retain GUL </w:t>
            </w:r>
          </w:p>
        </w:tc>
        <w:tc>
          <w:tcPr>
            <w:tcW w:w="2410" w:type="dxa"/>
            <w:tcBorders>
              <w:left w:val="none" w:sz="0" w:space="0" w:color="auto"/>
            </w:tcBorders>
          </w:tcPr>
          <w:p w14:paraId="410D1BA9" w14:textId="77777777" w:rsidR="00776154" w:rsidRPr="000A57BA" w:rsidRDefault="00776154" w:rsidP="00776154">
            <w:pPr>
              <w:cnfStyle w:val="000000010000" w:firstRow="0" w:lastRow="0" w:firstColumn="0" w:lastColumn="0" w:oddVBand="0" w:evenVBand="0" w:oddHBand="0" w:evenHBand="1" w:firstRowFirstColumn="0" w:firstRowLastColumn="0" w:lastRowFirstColumn="0" w:lastRowLastColumn="0"/>
              <w:rPr>
                <w:rFonts w:cs="Arial"/>
                <w:szCs w:val="20"/>
              </w:rPr>
            </w:pPr>
            <w:r w:rsidRPr="000A57BA">
              <w:rPr>
                <w:rFonts w:cs="Arial"/>
                <w:szCs w:val="20"/>
              </w:rPr>
              <w:t xml:space="preserve">Retain GUL </w:t>
            </w:r>
          </w:p>
        </w:tc>
      </w:tr>
      <w:tr w:rsidR="00776154" w:rsidRPr="000A57BA" w14:paraId="25F7D91E" w14:textId="77777777" w:rsidTr="001C24D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70" w:type="dxa"/>
            <w:tcBorders>
              <w:right w:val="none" w:sz="0" w:space="0" w:color="auto"/>
            </w:tcBorders>
            <w:shd w:val="clear" w:color="auto" w:fill="F2F2F2" w:themeFill="background1" w:themeFillShade="F2"/>
          </w:tcPr>
          <w:p w14:paraId="069F29B3" w14:textId="77777777" w:rsidR="00776154" w:rsidRPr="000A57BA" w:rsidRDefault="00776154" w:rsidP="00776154">
            <w:pPr>
              <w:rPr>
                <w:rFonts w:cs="Arial"/>
                <w:b w:val="0"/>
                <w:szCs w:val="20"/>
              </w:rPr>
            </w:pPr>
            <w:r w:rsidRPr="000A57BA">
              <w:rPr>
                <w:rFonts w:cs="Arial"/>
                <w:b w:val="0"/>
                <w:szCs w:val="20"/>
              </w:rPr>
              <w:t>Niacin</w:t>
            </w:r>
          </w:p>
        </w:tc>
        <w:tc>
          <w:tcPr>
            <w:tcW w:w="1435" w:type="dxa"/>
            <w:tcBorders>
              <w:left w:val="none" w:sz="0" w:space="0" w:color="auto"/>
              <w:right w:val="none" w:sz="0" w:space="0" w:color="auto"/>
            </w:tcBorders>
            <w:shd w:val="clear" w:color="auto" w:fill="F2F2F2" w:themeFill="background1" w:themeFillShade="F2"/>
          </w:tcPr>
          <w:p w14:paraId="230F6403" w14:textId="77777777" w:rsidR="00776154" w:rsidRPr="000A57BA" w:rsidRDefault="00776154" w:rsidP="00776154">
            <w:pPr>
              <w:jc w:val="center"/>
              <w:cnfStyle w:val="000000100000" w:firstRow="0" w:lastRow="0" w:firstColumn="0" w:lastColumn="0" w:oddVBand="0" w:evenVBand="0" w:oddHBand="1" w:evenHBand="0" w:firstRowFirstColumn="0" w:firstRowLastColumn="0" w:lastRowFirstColumn="0" w:lastRowLastColumn="0"/>
              <w:rPr>
                <w:rFonts w:cs="Arial"/>
                <w:szCs w:val="20"/>
              </w:rPr>
            </w:pPr>
            <w:r w:rsidRPr="000A57BA">
              <w:rPr>
                <w:rFonts w:cs="Arial"/>
                <w:szCs w:val="20"/>
              </w:rPr>
              <w:t>GUL</w:t>
            </w:r>
          </w:p>
        </w:tc>
        <w:tc>
          <w:tcPr>
            <w:tcW w:w="1001" w:type="dxa"/>
            <w:tcBorders>
              <w:left w:val="none" w:sz="0" w:space="0" w:color="auto"/>
              <w:right w:val="none" w:sz="0" w:space="0" w:color="auto"/>
            </w:tcBorders>
            <w:shd w:val="clear" w:color="auto" w:fill="F2F2F2" w:themeFill="background1" w:themeFillShade="F2"/>
          </w:tcPr>
          <w:p w14:paraId="207C9278" w14:textId="77777777" w:rsidR="00776154" w:rsidRPr="000A57BA" w:rsidRDefault="00776154" w:rsidP="00776154">
            <w:pPr>
              <w:jc w:val="center"/>
              <w:cnfStyle w:val="000000100000" w:firstRow="0" w:lastRow="0" w:firstColumn="0" w:lastColumn="0" w:oddVBand="0" w:evenVBand="0" w:oddHBand="1" w:evenHBand="0" w:firstRowFirstColumn="0" w:firstRowLastColumn="0" w:lastRowFirstColumn="0" w:lastRowLastColumn="0"/>
              <w:rPr>
                <w:rFonts w:cs="Arial"/>
                <w:szCs w:val="20"/>
              </w:rPr>
            </w:pPr>
            <w:r w:rsidRPr="000A57BA">
              <w:rPr>
                <w:rFonts w:cs="Arial"/>
                <w:szCs w:val="20"/>
              </w:rPr>
              <w:t>GUL</w:t>
            </w:r>
          </w:p>
        </w:tc>
        <w:tc>
          <w:tcPr>
            <w:tcW w:w="2693" w:type="dxa"/>
            <w:tcBorders>
              <w:left w:val="none" w:sz="0" w:space="0" w:color="auto"/>
              <w:right w:val="none" w:sz="0" w:space="0" w:color="auto"/>
            </w:tcBorders>
            <w:shd w:val="clear" w:color="auto" w:fill="F2F2F2" w:themeFill="background1" w:themeFillShade="F2"/>
          </w:tcPr>
          <w:p w14:paraId="660BD517" w14:textId="77777777" w:rsidR="00776154" w:rsidRPr="000A57BA" w:rsidRDefault="00776154" w:rsidP="00776154">
            <w:pPr>
              <w:cnfStyle w:val="000000100000" w:firstRow="0" w:lastRow="0" w:firstColumn="0" w:lastColumn="0" w:oddVBand="0" w:evenVBand="0" w:oddHBand="1" w:evenHBand="0" w:firstRowFirstColumn="0" w:firstRowLastColumn="0" w:lastRowFirstColumn="0" w:lastRowLastColumn="0"/>
              <w:rPr>
                <w:rFonts w:cs="Arial"/>
                <w:szCs w:val="20"/>
              </w:rPr>
            </w:pPr>
            <w:r w:rsidRPr="000A57BA">
              <w:rPr>
                <w:rFonts w:cs="Arial"/>
                <w:szCs w:val="20"/>
              </w:rPr>
              <w:t xml:space="preserve">Retain GUL </w:t>
            </w:r>
          </w:p>
        </w:tc>
        <w:tc>
          <w:tcPr>
            <w:tcW w:w="2410" w:type="dxa"/>
            <w:tcBorders>
              <w:left w:val="none" w:sz="0" w:space="0" w:color="auto"/>
            </w:tcBorders>
            <w:shd w:val="clear" w:color="auto" w:fill="F2F2F2" w:themeFill="background1" w:themeFillShade="F2"/>
          </w:tcPr>
          <w:p w14:paraId="6EFAC8D7" w14:textId="77777777" w:rsidR="00776154" w:rsidRPr="000A57BA" w:rsidRDefault="00776154" w:rsidP="00776154">
            <w:pPr>
              <w:cnfStyle w:val="000000100000" w:firstRow="0" w:lastRow="0" w:firstColumn="0" w:lastColumn="0" w:oddVBand="0" w:evenVBand="0" w:oddHBand="1" w:evenHBand="0" w:firstRowFirstColumn="0" w:firstRowLastColumn="0" w:lastRowFirstColumn="0" w:lastRowLastColumn="0"/>
              <w:rPr>
                <w:rFonts w:cs="Arial"/>
                <w:szCs w:val="20"/>
              </w:rPr>
            </w:pPr>
            <w:r w:rsidRPr="000A57BA">
              <w:rPr>
                <w:rFonts w:cs="Arial"/>
                <w:szCs w:val="20"/>
              </w:rPr>
              <w:t xml:space="preserve">Retain GUL </w:t>
            </w:r>
          </w:p>
        </w:tc>
      </w:tr>
      <w:tr w:rsidR="00776154" w:rsidRPr="000A57BA" w14:paraId="64F16B0A" w14:textId="77777777" w:rsidTr="001C24DD">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70" w:type="dxa"/>
            <w:tcBorders>
              <w:right w:val="none" w:sz="0" w:space="0" w:color="auto"/>
            </w:tcBorders>
          </w:tcPr>
          <w:p w14:paraId="305114DD" w14:textId="77777777" w:rsidR="00776154" w:rsidRPr="000A57BA" w:rsidRDefault="00776154" w:rsidP="00776154">
            <w:pPr>
              <w:rPr>
                <w:rFonts w:cs="Arial"/>
                <w:b w:val="0"/>
                <w:szCs w:val="20"/>
              </w:rPr>
            </w:pPr>
            <w:r w:rsidRPr="000A57BA">
              <w:rPr>
                <w:rFonts w:cs="Arial"/>
                <w:b w:val="0"/>
                <w:szCs w:val="20"/>
              </w:rPr>
              <w:t>Thiamin</w:t>
            </w:r>
          </w:p>
        </w:tc>
        <w:tc>
          <w:tcPr>
            <w:tcW w:w="1435" w:type="dxa"/>
            <w:tcBorders>
              <w:left w:val="none" w:sz="0" w:space="0" w:color="auto"/>
              <w:right w:val="none" w:sz="0" w:space="0" w:color="auto"/>
            </w:tcBorders>
          </w:tcPr>
          <w:p w14:paraId="319A2845" w14:textId="77777777" w:rsidR="00776154" w:rsidRPr="000A57BA" w:rsidRDefault="00776154" w:rsidP="00776154">
            <w:pPr>
              <w:jc w:val="center"/>
              <w:cnfStyle w:val="000000010000" w:firstRow="0" w:lastRow="0" w:firstColumn="0" w:lastColumn="0" w:oddVBand="0" w:evenVBand="0" w:oddHBand="0" w:evenHBand="1" w:firstRowFirstColumn="0" w:firstRowLastColumn="0" w:lastRowFirstColumn="0" w:lastRowLastColumn="0"/>
              <w:rPr>
                <w:rFonts w:cs="Arial"/>
                <w:szCs w:val="20"/>
              </w:rPr>
            </w:pPr>
            <w:r w:rsidRPr="000A57BA">
              <w:rPr>
                <w:rFonts w:cs="Arial"/>
                <w:szCs w:val="20"/>
              </w:rPr>
              <w:t>GUL</w:t>
            </w:r>
          </w:p>
        </w:tc>
        <w:tc>
          <w:tcPr>
            <w:tcW w:w="1001" w:type="dxa"/>
            <w:tcBorders>
              <w:left w:val="none" w:sz="0" w:space="0" w:color="auto"/>
              <w:right w:val="none" w:sz="0" w:space="0" w:color="auto"/>
            </w:tcBorders>
          </w:tcPr>
          <w:p w14:paraId="0207AB93" w14:textId="77777777" w:rsidR="00776154" w:rsidRPr="000A57BA" w:rsidRDefault="00776154" w:rsidP="00776154">
            <w:pPr>
              <w:jc w:val="center"/>
              <w:cnfStyle w:val="000000010000" w:firstRow="0" w:lastRow="0" w:firstColumn="0" w:lastColumn="0" w:oddVBand="0" w:evenVBand="0" w:oddHBand="0" w:evenHBand="1" w:firstRowFirstColumn="0" w:firstRowLastColumn="0" w:lastRowFirstColumn="0" w:lastRowLastColumn="0"/>
              <w:rPr>
                <w:rFonts w:cs="Arial"/>
                <w:szCs w:val="20"/>
              </w:rPr>
            </w:pPr>
            <w:r w:rsidRPr="000A57BA">
              <w:rPr>
                <w:rFonts w:cs="Arial"/>
                <w:szCs w:val="20"/>
              </w:rPr>
              <w:t>GUL</w:t>
            </w:r>
          </w:p>
        </w:tc>
        <w:tc>
          <w:tcPr>
            <w:tcW w:w="2693" w:type="dxa"/>
            <w:tcBorders>
              <w:left w:val="none" w:sz="0" w:space="0" w:color="auto"/>
              <w:right w:val="none" w:sz="0" w:space="0" w:color="auto"/>
            </w:tcBorders>
          </w:tcPr>
          <w:p w14:paraId="7B4DC4F8" w14:textId="77777777" w:rsidR="00776154" w:rsidRPr="000A57BA" w:rsidRDefault="00776154" w:rsidP="00776154">
            <w:pPr>
              <w:cnfStyle w:val="000000010000" w:firstRow="0" w:lastRow="0" w:firstColumn="0" w:lastColumn="0" w:oddVBand="0" w:evenVBand="0" w:oddHBand="0" w:evenHBand="1" w:firstRowFirstColumn="0" w:firstRowLastColumn="0" w:lastRowFirstColumn="0" w:lastRowLastColumn="0"/>
              <w:rPr>
                <w:rFonts w:cs="Arial"/>
                <w:szCs w:val="20"/>
              </w:rPr>
            </w:pPr>
            <w:r w:rsidRPr="000A57BA">
              <w:rPr>
                <w:rFonts w:cs="Arial"/>
                <w:szCs w:val="20"/>
              </w:rPr>
              <w:t xml:space="preserve">Retain GUL </w:t>
            </w:r>
          </w:p>
        </w:tc>
        <w:tc>
          <w:tcPr>
            <w:tcW w:w="2410" w:type="dxa"/>
            <w:tcBorders>
              <w:left w:val="none" w:sz="0" w:space="0" w:color="auto"/>
            </w:tcBorders>
          </w:tcPr>
          <w:p w14:paraId="718A627E" w14:textId="77777777" w:rsidR="00776154" w:rsidRPr="000A57BA" w:rsidRDefault="00776154" w:rsidP="00776154">
            <w:pPr>
              <w:cnfStyle w:val="000000010000" w:firstRow="0" w:lastRow="0" w:firstColumn="0" w:lastColumn="0" w:oddVBand="0" w:evenVBand="0" w:oddHBand="0" w:evenHBand="1" w:firstRowFirstColumn="0" w:firstRowLastColumn="0" w:lastRowFirstColumn="0" w:lastRowLastColumn="0"/>
              <w:rPr>
                <w:rFonts w:cs="Arial"/>
                <w:szCs w:val="20"/>
              </w:rPr>
            </w:pPr>
            <w:r w:rsidRPr="000A57BA">
              <w:rPr>
                <w:rFonts w:cs="Arial"/>
                <w:szCs w:val="20"/>
              </w:rPr>
              <w:t xml:space="preserve">Retain GUL </w:t>
            </w:r>
          </w:p>
        </w:tc>
      </w:tr>
      <w:tr w:rsidR="00776154" w:rsidRPr="000A57BA" w14:paraId="7D19E3A8" w14:textId="77777777" w:rsidTr="001C24D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70" w:type="dxa"/>
            <w:tcBorders>
              <w:right w:val="none" w:sz="0" w:space="0" w:color="auto"/>
            </w:tcBorders>
            <w:shd w:val="clear" w:color="auto" w:fill="F2F2F2" w:themeFill="background1" w:themeFillShade="F2"/>
          </w:tcPr>
          <w:p w14:paraId="1CA454CC" w14:textId="77777777" w:rsidR="00776154" w:rsidRPr="000A57BA" w:rsidRDefault="00776154" w:rsidP="00776154">
            <w:pPr>
              <w:rPr>
                <w:rFonts w:cs="Arial"/>
                <w:b w:val="0"/>
                <w:szCs w:val="20"/>
              </w:rPr>
            </w:pPr>
            <w:r w:rsidRPr="000A57BA">
              <w:rPr>
                <w:rFonts w:cs="Arial"/>
                <w:b w:val="0"/>
                <w:szCs w:val="20"/>
              </w:rPr>
              <w:t>Riboflavin</w:t>
            </w:r>
          </w:p>
        </w:tc>
        <w:tc>
          <w:tcPr>
            <w:tcW w:w="1435" w:type="dxa"/>
            <w:tcBorders>
              <w:left w:val="none" w:sz="0" w:space="0" w:color="auto"/>
              <w:right w:val="none" w:sz="0" w:space="0" w:color="auto"/>
            </w:tcBorders>
            <w:shd w:val="clear" w:color="auto" w:fill="F2F2F2" w:themeFill="background1" w:themeFillShade="F2"/>
          </w:tcPr>
          <w:p w14:paraId="6755DABE" w14:textId="77777777" w:rsidR="00776154" w:rsidRPr="000A57BA" w:rsidRDefault="00776154" w:rsidP="00776154">
            <w:pPr>
              <w:jc w:val="center"/>
              <w:cnfStyle w:val="000000100000" w:firstRow="0" w:lastRow="0" w:firstColumn="0" w:lastColumn="0" w:oddVBand="0" w:evenVBand="0" w:oddHBand="1" w:evenHBand="0" w:firstRowFirstColumn="0" w:firstRowLastColumn="0" w:lastRowFirstColumn="0" w:lastRowLastColumn="0"/>
              <w:rPr>
                <w:rFonts w:cs="Arial"/>
                <w:szCs w:val="20"/>
              </w:rPr>
            </w:pPr>
            <w:r w:rsidRPr="000A57BA">
              <w:rPr>
                <w:rFonts w:cs="Arial"/>
                <w:szCs w:val="20"/>
              </w:rPr>
              <w:t>GUL</w:t>
            </w:r>
          </w:p>
        </w:tc>
        <w:tc>
          <w:tcPr>
            <w:tcW w:w="1001" w:type="dxa"/>
            <w:tcBorders>
              <w:left w:val="none" w:sz="0" w:space="0" w:color="auto"/>
              <w:right w:val="none" w:sz="0" w:space="0" w:color="auto"/>
            </w:tcBorders>
            <w:shd w:val="clear" w:color="auto" w:fill="F2F2F2" w:themeFill="background1" w:themeFillShade="F2"/>
          </w:tcPr>
          <w:p w14:paraId="63B5938C" w14:textId="77777777" w:rsidR="00776154" w:rsidRPr="000A57BA" w:rsidRDefault="00776154" w:rsidP="00776154">
            <w:pPr>
              <w:jc w:val="center"/>
              <w:cnfStyle w:val="000000100000" w:firstRow="0" w:lastRow="0" w:firstColumn="0" w:lastColumn="0" w:oddVBand="0" w:evenVBand="0" w:oddHBand="1" w:evenHBand="0" w:firstRowFirstColumn="0" w:firstRowLastColumn="0" w:lastRowFirstColumn="0" w:lastRowLastColumn="0"/>
              <w:rPr>
                <w:rFonts w:cs="Arial"/>
                <w:szCs w:val="20"/>
              </w:rPr>
            </w:pPr>
            <w:r w:rsidRPr="000A57BA">
              <w:rPr>
                <w:rFonts w:cs="Arial"/>
                <w:szCs w:val="20"/>
              </w:rPr>
              <w:t>GUL</w:t>
            </w:r>
          </w:p>
        </w:tc>
        <w:tc>
          <w:tcPr>
            <w:tcW w:w="2693" w:type="dxa"/>
            <w:tcBorders>
              <w:left w:val="none" w:sz="0" w:space="0" w:color="auto"/>
              <w:right w:val="none" w:sz="0" w:space="0" w:color="auto"/>
            </w:tcBorders>
            <w:shd w:val="clear" w:color="auto" w:fill="F2F2F2" w:themeFill="background1" w:themeFillShade="F2"/>
          </w:tcPr>
          <w:p w14:paraId="47EA4A9C" w14:textId="77777777" w:rsidR="00776154" w:rsidRPr="000A57BA" w:rsidRDefault="00776154" w:rsidP="00776154">
            <w:pPr>
              <w:cnfStyle w:val="000000100000" w:firstRow="0" w:lastRow="0" w:firstColumn="0" w:lastColumn="0" w:oddVBand="0" w:evenVBand="0" w:oddHBand="1" w:evenHBand="0" w:firstRowFirstColumn="0" w:firstRowLastColumn="0" w:lastRowFirstColumn="0" w:lastRowLastColumn="0"/>
              <w:rPr>
                <w:rFonts w:cs="Arial"/>
                <w:szCs w:val="20"/>
              </w:rPr>
            </w:pPr>
            <w:r w:rsidRPr="000A57BA">
              <w:rPr>
                <w:rFonts w:cs="Arial"/>
                <w:szCs w:val="20"/>
              </w:rPr>
              <w:t xml:space="preserve">Retain GUL </w:t>
            </w:r>
          </w:p>
        </w:tc>
        <w:tc>
          <w:tcPr>
            <w:tcW w:w="2410" w:type="dxa"/>
            <w:tcBorders>
              <w:left w:val="none" w:sz="0" w:space="0" w:color="auto"/>
            </w:tcBorders>
            <w:shd w:val="clear" w:color="auto" w:fill="F2F2F2" w:themeFill="background1" w:themeFillShade="F2"/>
          </w:tcPr>
          <w:p w14:paraId="023D19F8" w14:textId="77777777" w:rsidR="00776154" w:rsidRPr="000A57BA" w:rsidRDefault="00776154" w:rsidP="00776154">
            <w:pPr>
              <w:cnfStyle w:val="000000100000" w:firstRow="0" w:lastRow="0" w:firstColumn="0" w:lastColumn="0" w:oddVBand="0" w:evenVBand="0" w:oddHBand="1" w:evenHBand="0" w:firstRowFirstColumn="0" w:firstRowLastColumn="0" w:lastRowFirstColumn="0" w:lastRowLastColumn="0"/>
              <w:rPr>
                <w:rFonts w:cs="Arial"/>
                <w:szCs w:val="20"/>
              </w:rPr>
            </w:pPr>
            <w:r w:rsidRPr="000A57BA">
              <w:rPr>
                <w:rFonts w:cs="Arial"/>
                <w:szCs w:val="20"/>
              </w:rPr>
              <w:t xml:space="preserve">Retain GUL </w:t>
            </w:r>
          </w:p>
        </w:tc>
      </w:tr>
      <w:tr w:rsidR="00776154" w:rsidRPr="000A57BA" w14:paraId="1C0D400D" w14:textId="77777777" w:rsidTr="001C24DD">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70" w:type="dxa"/>
            <w:tcBorders>
              <w:right w:val="none" w:sz="0" w:space="0" w:color="auto"/>
            </w:tcBorders>
          </w:tcPr>
          <w:p w14:paraId="653F9672" w14:textId="77777777" w:rsidR="00776154" w:rsidRPr="000A57BA" w:rsidRDefault="00776154" w:rsidP="00776154">
            <w:pPr>
              <w:rPr>
                <w:rFonts w:cs="Arial"/>
                <w:b w:val="0"/>
                <w:szCs w:val="20"/>
              </w:rPr>
            </w:pPr>
            <w:r w:rsidRPr="000A57BA">
              <w:rPr>
                <w:rFonts w:cs="Arial"/>
                <w:b w:val="0"/>
                <w:szCs w:val="20"/>
              </w:rPr>
              <w:t>Vitamin B6</w:t>
            </w:r>
          </w:p>
        </w:tc>
        <w:tc>
          <w:tcPr>
            <w:tcW w:w="1435" w:type="dxa"/>
            <w:tcBorders>
              <w:left w:val="none" w:sz="0" w:space="0" w:color="auto"/>
              <w:right w:val="none" w:sz="0" w:space="0" w:color="auto"/>
            </w:tcBorders>
          </w:tcPr>
          <w:p w14:paraId="537B9244" w14:textId="77777777" w:rsidR="00776154" w:rsidRPr="000A57BA" w:rsidRDefault="00776154" w:rsidP="00776154">
            <w:pPr>
              <w:jc w:val="center"/>
              <w:cnfStyle w:val="000000010000" w:firstRow="0" w:lastRow="0" w:firstColumn="0" w:lastColumn="0" w:oddVBand="0" w:evenVBand="0" w:oddHBand="0" w:evenHBand="1" w:firstRowFirstColumn="0" w:firstRowLastColumn="0" w:lastRowFirstColumn="0" w:lastRowLastColumn="0"/>
              <w:rPr>
                <w:rFonts w:cs="Arial"/>
                <w:szCs w:val="20"/>
              </w:rPr>
            </w:pPr>
            <w:r w:rsidRPr="000A57BA">
              <w:rPr>
                <w:rFonts w:cs="Arial"/>
                <w:szCs w:val="20"/>
              </w:rPr>
              <w:t>Max</w:t>
            </w:r>
          </w:p>
        </w:tc>
        <w:tc>
          <w:tcPr>
            <w:tcW w:w="1001" w:type="dxa"/>
            <w:tcBorders>
              <w:left w:val="none" w:sz="0" w:space="0" w:color="auto"/>
              <w:right w:val="none" w:sz="0" w:space="0" w:color="auto"/>
            </w:tcBorders>
          </w:tcPr>
          <w:p w14:paraId="46A72866" w14:textId="77777777" w:rsidR="00776154" w:rsidRPr="000A57BA" w:rsidRDefault="00776154" w:rsidP="00776154">
            <w:pPr>
              <w:jc w:val="center"/>
              <w:cnfStyle w:val="000000010000" w:firstRow="0" w:lastRow="0" w:firstColumn="0" w:lastColumn="0" w:oddVBand="0" w:evenVBand="0" w:oddHBand="0" w:evenHBand="1" w:firstRowFirstColumn="0" w:firstRowLastColumn="0" w:lastRowFirstColumn="0" w:lastRowLastColumn="0"/>
              <w:rPr>
                <w:rFonts w:cs="Arial"/>
                <w:szCs w:val="20"/>
              </w:rPr>
            </w:pPr>
            <w:r w:rsidRPr="000A57BA">
              <w:rPr>
                <w:rFonts w:cs="Arial"/>
                <w:szCs w:val="20"/>
              </w:rPr>
              <w:t>GUL</w:t>
            </w:r>
          </w:p>
        </w:tc>
        <w:tc>
          <w:tcPr>
            <w:tcW w:w="2693" w:type="dxa"/>
            <w:tcBorders>
              <w:left w:val="none" w:sz="0" w:space="0" w:color="auto"/>
              <w:right w:val="none" w:sz="0" w:space="0" w:color="auto"/>
            </w:tcBorders>
          </w:tcPr>
          <w:p w14:paraId="15C5A7E6" w14:textId="77777777" w:rsidR="00776154" w:rsidRPr="000A57BA" w:rsidRDefault="00776154" w:rsidP="00776154">
            <w:pPr>
              <w:cnfStyle w:val="000000010000" w:firstRow="0" w:lastRow="0" w:firstColumn="0" w:lastColumn="0" w:oddVBand="0" w:evenVBand="0" w:oddHBand="0" w:evenHBand="1" w:firstRowFirstColumn="0" w:firstRowLastColumn="0" w:lastRowFirstColumn="0" w:lastRowLastColumn="0"/>
              <w:rPr>
                <w:rFonts w:cs="Arial"/>
                <w:szCs w:val="20"/>
              </w:rPr>
            </w:pPr>
            <w:r>
              <w:rPr>
                <w:rFonts w:cs="Arial"/>
                <w:szCs w:val="20"/>
              </w:rPr>
              <w:t>Chan</w:t>
            </w:r>
            <w:r w:rsidRPr="000A57BA">
              <w:rPr>
                <w:rFonts w:cs="Arial"/>
                <w:szCs w:val="20"/>
              </w:rPr>
              <w:t>ge Max to a GUL</w:t>
            </w:r>
          </w:p>
        </w:tc>
        <w:tc>
          <w:tcPr>
            <w:tcW w:w="2410" w:type="dxa"/>
            <w:tcBorders>
              <w:left w:val="none" w:sz="0" w:space="0" w:color="auto"/>
            </w:tcBorders>
          </w:tcPr>
          <w:p w14:paraId="5AC6EA09" w14:textId="77777777" w:rsidR="00776154" w:rsidRPr="000A57BA" w:rsidRDefault="00776154" w:rsidP="00776154">
            <w:pPr>
              <w:cnfStyle w:val="000000010000" w:firstRow="0" w:lastRow="0" w:firstColumn="0" w:lastColumn="0" w:oddVBand="0" w:evenVBand="0" w:oddHBand="0" w:evenHBand="1" w:firstRowFirstColumn="0" w:firstRowLastColumn="0" w:lastRowFirstColumn="0" w:lastRowLastColumn="0"/>
              <w:rPr>
                <w:rFonts w:cs="Arial"/>
                <w:szCs w:val="20"/>
              </w:rPr>
            </w:pPr>
            <w:r>
              <w:rPr>
                <w:rFonts w:cs="Arial"/>
                <w:szCs w:val="20"/>
              </w:rPr>
              <w:t>Chan</w:t>
            </w:r>
            <w:r w:rsidRPr="000A57BA">
              <w:rPr>
                <w:rFonts w:cs="Arial"/>
                <w:szCs w:val="20"/>
              </w:rPr>
              <w:t>ge Max to a GUL</w:t>
            </w:r>
          </w:p>
        </w:tc>
      </w:tr>
      <w:tr w:rsidR="00776154" w:rsidRPr="000A57BA" w14:paraId="3DA58E88" w14:textId="77777777" w:rsidTr="001C24D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70" w:type="dxa"/>
            <w:tcBorders>
              <w:right w:val="none" w:sz="0" w:space="0" w:color="auto"/>
            </w:tcBorders>
            <w:shd w:val="clear" w:color="auto" w:fill="F2F2F2" w:themeFill="background1" w:themeFillShade="F2"/>
          </w:tcPr>
          <w:p w14:paraId="435EF1F6" w14:textId="77777777" w:rsidR="00776154" w:rsidRPr="000A57BA" w:rsidRDefault="00776154" w:rsidP="00776154">
            <w:pPr>
              <w:rPr>
                <w:rFonts w:cs="Arial"/>
                <w:b w:val="0"/>
                <w:szCs w:val="20"/>
              </w:rPr>
            </w:pPr>
            <w:r w:rsidRPr="000A57BA">
              <w:rPr>
                <w:rFonts w:cs="Arial"/>
                <w:b w:val="0"/>
                <w:szCs w:val="20"/>
              </w:rPr>
              <w:t>Folate</w:t>
            </w:r>
          </w:p>
        </w:tc>
        <w:tc>
          <w:tcPr>
            <w:tcW w:w="1435" w:type="dxa"/>
            <w:tcBorders>
              <w:left w:val="none" w:sz="0" w:space="0" w:color="auto"/>
              <w:right w:val="none" w:sz="0" w:space="0" w:color="auto"/>
            </w:tcBorders>
            <w:shd w:val="clear" w:color="auto" w:fill="F2F2F2" w:themeFill="background1" w:themeFillShade="F2"/>
          </w:tcPr>
          <w:p w14:paraId="2C754FE6" w14:textId="77777777" w:rsidR="00776154" w:rsidRPr="000A57BA" w:rsidRDefault="00776154" w:rsidP="00776154">
            <w:pPr>
              <w:jc w:val="center"/>
              <w:cnfStyle w:val="000000100000" w:firstRow="0" w:lastRow="0" w:firstColumn="0" w:lastColumn="0" w:oddVBand="0" w:evenVBand="0" w:oddHBand="1" w:evenHBand="0" w:firstRowFirstColumn="0" w:firstRowLastColumn="0" w:lastRowFirstColumn="0" w:lastRowLastColumn="0"/>
              <w:rPr>
                <w:rFonts w:cs="Arial"/>
                <w:szCs w:val="20"/>
              </w:rPr>
            </w:pPr>
            <w:r w:rsidRPr="000A57BA">
              <w:rPr>
                <w:rFonts w:cs="Arial"/>
                <w:szCs w:val="20"/>
              </w:rPr>
              <w:t>GUL</w:t>
            </w:r>
          </w:p>
        </w:tc>
        <w:tc>
          <w:tcPr>
            <w:tcW w:w="1001" w:type="dxa"/>
            <w:tcBorders>
              <w:left w:val="none" w:sz="0" w:space="0" w:color="auto"/>
              <w:right w:val="none" w:sz="0" w:space="0" w:color="auto"/>
            </w:tcBorders>
            <w:shd w:val="clear" w:color="auto" w:fill="F2F2F2" w:themeFill="background1" w:themeFillShade="F2"/>
          </w:tcPr>
          <w:p w14:paraId="2B86E2C1" w14:textId="77777777" w:rsidR="00776154" w:rsidRPr="000A57BA" w:rsidRDefault="00776154" w:rsidP="00776154">
            <w:pPr>
              <w:jc w:val="center"/>
              <w:cnfStyle w:val="000000100000" w:firstRow="0" w:lastRow="0" w:firstColumn="0" w:lastColumn="0" w:oddVBand="0" w:evenVBand="0" w:oddHBand="1" w:evenHBand="0" w:firstRowFirstColumn="0" w:firstRowLastColumn="0" w:lastRowFirstColumn="0" w:lastRowLastColumn="0"/>
              <w:rPr>
                <w:rFonts w:cs="Arial"/>
                <w:szCs w:val="20"/>
              </w:rPr>
            </w:pPr>
            <w:r w:rsidRPr="000A57BA">
              <w:rPr>
                <w:rFonts w:cs="Arial"/>
                <w:szCs w:val="20"/>
              </w:rPr>
              <w:t>GUL</w:t>
            </w:r>
          </w:p>
        </w:tc>
        <w:tc>
          <w:tcPr>
            <w:tcW w:w="2693" w:type="dxa"/>
            <w:tcBorders>
              <w:left w:val="none" w:sz="0" w:space="0" w:color="auto"/>
              <w:right w:val="none" w:sz="0" w:space="0" w:color="auto"/>
            </w:tcBorders>
            <w:shd w:val="clear" w:color="auto" w:fill="F2F2F2" w:themeFill="background1" w:themeFillShade="F2"/>
          </w:tcPr>
          <w:p w14:paraId="70B5C26E" w14:textId="77777777" w:rsidR="00776154" w:rsidRPr="000A57BA" w:rsidRDefault="00776154" w:rsidP="00776154">
            <w:pPr>
              <w:cnfStyle w:val="000000100000" w:firstRow="0" w:lastRow="0" w:firstColumn="0" w:lastColumn="0" w:oddVBand="0" w:evenVBand="0" w:oddHBand="1" w:evenHBand="0" w:firstRowFirstColumn="0" w:firstRowLastColumn="0" w:lastRowFirstColumn="0" w:lastRowLastColumn="0"/>
              <w:rPr>
                <w:rFonts w:cs="Arial"/>
                <w:szCs w:val="20"/>
              </w:rPr>
            </w:pPr>
            <w:r w:rsidRPr="000A57BA">
              <w:rPr>
                <w:rFonts w:cs="Arial"/>
                <w:szCs w:val="20"/>
              </w:rPr>
              <w:t>Further information sought</w:t>
            </w:r>
          </w:p>
        </w:tc>
        <w:tc>
          <w:tcPr>
            <w:tcW w:w="2410" w:type="dxa"/>
            <w:tcBorders>
              <w:left w:val="none" w:sz="0" w:space="0" w:color="auto"/>
            </w:tcBorders>
            <w:shd w:val="clear" w:color="auto" w:fill="F2F2F2" w:themeFill="background1" w:themeFillShade="F2"/>
          </w:tcPr>
          <w:p w14:paraId="07F0D845" w14:textId="77777777" w:rsidR="00776154" w:rsidRPr="000A57BA" w:rsidRDefault="00776154" w:rsidP="00776154">
            <w:pPr>
              <w:cnfStyle w:val="000000100000" w:firstRow="0" w:lastRow="0" w:firstColumn="0" w:lastColumn="0" w:oddVBand="0" w:evenVBand="0" w:oddHBand="1" w:evenHBand="0" w:firstRowFirstColumn="0" w:firstRowLastColumn="0" w:lastRowFirstColumn="0" w:lastRowLastColumn="0"/>
              <w:rPr>
                <w:rFonts w:cs="Arial"/>
                <w:szCs w:val="20"/>
              </w:rPr>
            </w:pPr>
            <w:r w:rsidRPr="00813662">
              <w:rPr>
                <w:rFonts w:cs="Arial"/>
                <w:szCs w:val="20"/>
              </w:rPr>
              <w:t>Align with Codex GUL</w:t>
            </w:r>
          </w:p>
        </w:tc>
      </w:tr>
      <w:tr w:rsidR="00776154" w:rsidRPr="000A57BA" w14:paraId="2E3CD089" w14:textId="77777777" w:rsidTr="001C24DD">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70" w:type="dxa"/>
            <w:tcBorders>
              <w:right w:val="none" w:sz="0" w:space="0" w:color="auto"/>
            </w:tcBorders>
          </w:tcPr>
          <w:p w14:paraId="1359CB7B" w14:textId="77777777" w:rsidR="00776154" w:rsidRPr="000A57BA" w:rsidRDefault="00776154" w:rsidP="00776154">
            <w:pPr>
              <w:rPr>
                <w:rFonts w:cs="Arial"/>
                <w:b w:val="0"/>
                <w:szCs w:val="20"/>
              </w:rPr>
            </w:pPr>
            <w:r w:rsidRPr="000A57BA">
              <w:rPr>
                <w:rFonts w:cs="Arial"/>
                <w:b w:val="0"/>
                <w:szCs w:val="20"/>
              </w:rPr>
              <w:t>Pantothenic acid</w:t>
            </w:r>
          </w:p>
        </w:tc>
        <w:tc>
          <w:tcPr>
            <w:tcW w:w="1435" w:type="dxa"/>
            <w:tcBorders>
              <w:left w:val="none" w:sz="0" w:space="0" w:color="auto"/>
              <w:right w:val="none" w:sz="0" w:space="0" w:color="auto"/>
            </w:tcBorders>
          </w:tcPr>
          <w:p w14:paraId="76DFD983" w14:textId="77777777" w:rsidR="00776154" w:rsidRPr="000A57BA" w:rsidRDefault="00776154" w:rsidP="00776154">
            <w:pPr>
              <w:jc w:val="center"/>
              <w:cnfStyle w:val="000000010000" w:firstRow="0" w:lastRow="0" w:firstColumn="0" w:lastColumn="0" w:oddVBand="0" w:evenVBand="0" w:oddHBand="0" w:evenHBand="1" w:firstRowFirstColumn="0" w:firstRowLastColumn="0" w:lastRowFirstColumn="0" w:lastRowLastColumn="0"/>
              <w:rPr>
                <w:rFonts w:cs="Arial"/>
                <w:szCs w:val="20"/>
              </w:rPr>
            </w:pPr>
            <w:r w:rsidRPr="000A57BA">
              <w:rPr>
                <w:rFonts w:cs="Arial"/>
                <w:szCs w:val="20"/>
              </w:rPr>
              <w:t>GUL</w:t>
            </w:r>
          </w:p>
        </w:tc>
        <w:tc>
          <w:tcPr>
            <w:tcW w:w="1001" w:type="dxa"/>
            <w:tcBorders>
              <w:left w:val="none" w:sz="0" w:space="0" w:color="auto"/>
              <w:right w:val="none" w:sz="0" w:space="0" w:color="auto"/>
            </w:tcBorders>
          </w:tcPr>
          <w:p w14:paraId="04A880C3" w14:textId="77777777" w:rsidR="00776154" w:rsidRPr="000A57BA" w:rsidRDefault="00776154" w:rsidP="00776154">
            <w:pPr>
              <w:jc w:val="center"/>
              <w:cnfStyle w:val="000000010000" w:firstRow="0" w:lastRow="0" w:firstColumn="0" w:lastColumn="0" w:oddVBand="0" w:evenVBand="0" w:oddHBand="0" w:evenHBand="1" w:firstRowFirstColumn="0" w:firstRowLastColumn="0" w:lastRowFirstColumn="0" w:lastRowLastColumn="0"/>
              <w:rPr>
                <w:rFonts w:cs="Arial"/>
                <w:szCs w:val="20"/>
              </w:rPr>
            </w:pPr>
            <w:r w:rsidRPr="000A57BA">
              <w:rPr>
                <w:rFonts w:cs="Arial"/>
                <w:szCs w:val="20"/>
              </w:rPr>
              <w:t>GUL</w:t>
            </w:r>
          </w:p>
        </w:tc>
        <w:tc>
          <w:tcPr>
            <w:tcW w:w="2693" w:type="dxa"/>
            <w:tcBorders>
              <w:left w:val="none" w:sz="0" w:space="0" w:color="auto"/>
              <w:right w:val="none" w:sz="0" w:space="0" w:color="auto"/>
            </w:tcBorders>
          </w:tcPr>
          <w:p w14:paraId="4F606A38" w14:textId="77777777" w:rsidR="00776154" w:rsidRPr="000A57BA" w:rsidRDefault="00776154" w:rsidP="00776154">
            <w:pPr>
              <w:cnfStyle w:val="000000010000" w:firstRow="0" w:lastRow="0" w:firstColumn="0" w:lastColumn="0" w:oddVBand="0" w:evenVBand="0" w:oddHBand="0" w:evenHBand="1" w:firstRowFirstColumn="0" w:firstRowLastColumn="0" w:lastRowFirstColumn="0" w:lastRowLastColumn="0"/>
              <w:rPr>
                <w:rFonts w:cs="Arial"/>
                <w:szCs w:val="20"/>
              </w:rPr>
            </w:pPr>
            <w:r w:rsidRPr="000A57BA">
              <w:rPr>
                <w:rFonts w:cs="Arial"/>
                <w:szCs w:val="20"/>
              </w:rPr>
              <w:t xml:space="preserve">Retain GUL </w:t>
            </w:r>
          </w:p>
        </w:tc>
        <w:tc>
          <w:tcPr>
            <w:tcW w:w="2410" w:type="dxa"/>
            <w:tcBorders>
              <w:left w:val="none" w:sz="0" w:space="0" w:color="auto"/>
            </w:tcBorders>
          </w:tcPr>
          <w:p w14:paraId="40D7B4B8" w14:textId="77777777" w:rsidR="00776154" w:rsidRPr="000A57BA" w:rsidRDefault="00776154" w:rsidP="00776154">
            <w:pPr>
              <w:cnfStyle w:val="000000010000" w:firstRow="0" w:lastRow="0" w:firstColumn="0" w:lastColumn="0" w:oddVBand="0" w:evenVBand="0" w:oddHBand="0" w:evenHBand="1" w:firstRowFirstColumn="0" w:firstRowLastColumn="0" w:lastRowFirstColumn="0" w:lastRowLastColumn="0"/>
              <w:rPr>
                <w:rFonts w:cs="Arial"/>
                <w:szCs w:val="20"/>
              </w:rPr>
            </w:pPr>
            <w:r w:rsidRPr="000A57BA">
              <w:rPr>
                <w:rFonts w:cs="Arial"/>
                <w:szCs w:val="20"/>
              </w:rPr>
              <w:t xml:space="preserve">Retain GUL </w:t>
            </w:r>
          </w:p>
        </w:tc>
      </w:tr>
      <w:tr w:rsidR="00776154" w:rsidRPr="000A57BA" w14:paraId="056528F9" w14:textId="77777777" w:rsidTr="001C24D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70" w:type="dxa"/>
            <w:tcBorders>
              <w:right w:val="none" w:sz="0" w:space="0" w:color="auto"/>
            </w:tcBorders>
            <w:shd w:val="clear" w:color="auto" w:fill="F2F2F2" w:themeFill="background1" w:themeFillShade="F2"/>
          </w:tcPr>
          <w:p w14:paraId="6E18DB81" w14:textId="77777777" w:rsidR="00776154" w:rsidRPr="000A57BA" w:rsidRDefault="00776154" w:rsidP="00776154">
            <w:pPr>
              <w:rPr>
                <w:rFonts w:cs="Arial"/>
                <w:b w:val="0"/>
                <w:szCs w:val="20"/>
              </w:rPr>
            </w:pPr>
            <w:r w:rsidRPr="000A57BA">
              <w:rPr>
                <w:rFonts w:cs="Arial"/>
                <w:b w:val="0"/>
                <w:szCs w:val="20"/>
              </w:rPr>
              <w:t>Vitamin B12</w:t>
            </w:r>
          </w:p>
        </w:tc>
        <w:tc>
          <w:tcPr>
            <w:tcW w:w="1435" w:type="dxa"/>
            <w:tcBorders>
              <w:left w:val="none" w:sz="0" w:space="0" w:color="auto"/>
              <w:right w:val="none" w:sz="0" w:space="0" w:color="auto"/>
            </w:tcBorders>
            <w:shd w:val="clear" w:color="auto" w:fill="F2F2F2" w:themeFill="background1" w:themeFillShade="F2"/>
          </w:tcPr>
          <w:p w14:paraId="4AA9C57F" w14:textId="77777777" w:rsidR="00776154" w:rsidRPr="000A57BA" w:rsidRDefault="00776154" w:rsidP="00776154">
            <w:pPr>
              <w:jc w:val="center"/>
              <w:cnfStyle w:val="000000100000" w:firstRow="0" w:lastRow="0" w:firstColumn="0" w:lastColumn="0" w:oddVBand="0" w:evenVBand="0" w:oddHBand="1" w:evenHBand="0" w:firstRowFirstColumn="0" w:firstRowLastColumn="0" w:lastRowFirstColumn="0" w:lastRowLastColumn="0"/>
              <w:rPr>
                <w:rFonts w:cs="Arial"/>
                <w:szCs w:val="20"/>
              </w:rPr>
            </w:pPr>
            <w:r w:rsidRPr="000A57BA">
              <w:rPr>
                <w:rFonts w:cs="Arial"/>
                <w:szCs w:val="20"/>
              </w:rPr>
              <w:t>GUL</w:t>
            </w:r>
          </w:p>
        </w:tc>
        <w:tc>
          <w:tcPr>
            <w:tcW w:w="1001" w:type="dxa"/>
            <w:tcBorders>
              <w:left w:val="none" w:sz="0" w:space="0" w:color="auto"/>
              <w:right w:val="none" w:sz="0" w:space="0" w:color="auto"/>
            </w:tcBorders>
            <w:shd w:val="clear" w:color="auto" w:fill="F2F2F2" w:themeFill="background1" w:themeFillShade="F2"/>
          </w:tcPr>
          <w:p w14:paraId="6E0A66AF" w14:textId="77777777" w:rsidR="00776154" w:rsidRPr="000A57BA" w:rsidRDefault="00776154" w:rsidP="00776154">
            <w:pPr>
              <w:jc w:val="center"/>
              <w:cnfStyle w:val="000000100000" w:firstRow="0" w:lastRow="0" w:firstColumn="0" w:lastColumn="0" w:oddVBand="0" w:evenVBand="0" w:oddHBand="1" w:evenHBand="0" w:firstRowFirstColumn="0" w:firstRowLastColumn="0" w:lastRowFirstColumn="0" w:lastRowLastColumn="0"/>
              <w:rPr>
                <w:rFonts w:cs="Arial"/>
                <w:szCs w:val="20"/>
              </w:rPr>
            </w:pPr>
            <w:r w:rsidRPr="000A57BA">
              <w:rPr>
                <w:rFonts w:cs="Arial"/>
                <w:szCs w:val="20"/>
              </w:rPr>
              <w:t>GUL</w:t>
            </w:r>
          </w:p>
        </w:tc>
        <w:tc>
          <w:tcPr>
            <w:tcW w:w="2693" w:type="dxa"/>
            <w:tcBorders>
              <w:left w:val="none" w:sz="0" w:space="0" w:color="auto"/>
              <w:right w:val="none" w:sz="0" w:space="0" w:color="auto"/>
            </w:tcBorders>
            <w:shd w:val="clear" w:color="auto" w:fill="F2F2F2" w:themeFill="background1" w:themeFillShade="F2"/>
          </w:tcPr>
          <w:p w14:paraId="201247B4" w14:textId="77777777" w:rsidR="00776154" w:rsidRPr="000A57BA" w:rsidRDefault="00776154" w:rsidP="00776154">
            <w:pPr>
              <w:cnfStyle w:val="000000100000" w:firstRow="0" w:lastRow="0" w:firstColumn="0" w:lastColumn="0" w:oddVBand="0" w:evenVBand="0" w:oddHBand="1" w:evenHBand="0" w:firstRowFirstColumn="0" w:firstRowLastColumn="0" w:lastRowFirstColumn="0" w:lastRowLastColumn="0"/>
              <w:rPr>
                <w:rFonts w:cs="Arial"/>
                <w:szCs w:val="20"/>
              </w:rPr>
            </w:pPr>
            <w:r w:rsidRPr="000A57BA">
              <w:rPr>
                <w:rFonts w:cs="Arial"/>
                <w:szCs w:val="20"/>
              </w:rPr>
              <w:t xml:space="preserve">Retain GUL </w:t>
            </w:r>
          </w:p>
        </w:tc>
        <w:tc>
          <w:tcPr>
            <w:tcW w:w="2410" w:type="dxa"/>
            <w:tcBorders>
              <w:left w:val="none" w:sz="0" w:space="0" w:color="auto"/>
            </w:tcBorders>
            <w:shd w:val="clear" w:color="auto" w:fill="F2F2F2" w:themeFill="background1" w:themeFillShade="F2"/>
          </w:tcPr>
          <w:p w14:paraId="78558F3E" w14:textId="77777777" w:rsidR="00776154" w:rsidRPr="000A57BA" w:rsidRDefault="00776154" w:rsidP="00776154">
            <w:pPr>
              <w:cnfStyle w:val="000000100000" w:firstRow="0" w:lastRow="0" w:firstColumn="0" w:lastColumn="0" w:oddVBand="0" w:evenVBand="0" w:oddHBand="1" w:evenHBand="0" w:firstRowFirstColumn="0" w:firstRowLastColumn="0" w:lastRowFirstColumn="0" w:lastRowLastColumn="0"/>
              <w:rPr>
                <w:rFonts w:cs="Arial"/>
                <w:szCs w:val="20"/>
              </w:rPr>
            </w:pPr>
            <w:r w:rsidRPr="000A57BA">
              <w:rPr>
                <w:rFonts w:cs="Arial"/>
                <w:szCs w:val="20"/>
              </w:rPr>
              <w:t xml:space="preserve">Retain GUL </w:t>
            </w:r>
          </w:p>
        </w:tc>
      </w:tr>
      <w:tr w:rsidR="00776154" w:rsidRPr="000A57BA" w14:paraId="21D7CA71" w14:textId="77777777" w:rsidTr="001C24DD">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70" w:type="dxa"/>
            <w:tcBorders>
              <w:right w:val="none" w:sz="0" w:space="0" w:color="auto"/>
            </w:tcBorders>
          </w:tcPr>
          <w:p w14:paraId="14E19E38" w14:textId="77777777" w:rsidR="00776154" w:rsidRPr="000A57BA" w:rsidRDefault="00776154" w:rsidP="00776154">
            <w:pPr>
              <w:rPr>
                <w:rFonts w:cs="Arial"/>
                <w:b w:val="0"/>
                <w:szCs w:val="20"/>
              </w:rPr>
            </w:pPr>
            <w:r w:rsidRPr="000A57BA">
              <w:rPr>
                <w:rFonts w:cs="Arial"/>
                <w:b w:val="0"/>
                <w:szCs w:val="20"/>
              </w:rPr>
              <w:t>Biotin</w:t>
            </w:r>
          </w:p>
        </w:tc>
        <w:tc>
          <w:tcPr>
            <w:tcW w:w="1435" w:type="dxa"/>
            <w:tcBorders>
              <w:left w:val="none" w:sz="0" w:space="0" w:color="auto"/>
              <w:right w:val="none" w:sz="0" w:space="0" w:color="auto"/>
            </w:tcBorders>
          </w:tcPr>
          <w:p w14:paraId="2E7F81F1" w14:textId="77777777" w:rsidR="00776154" w:rsidRPr="000A57BA" w:rsidRDefault="00776154" w:rsidP="00776154">
            <w:pPr>
              <w:jc w:val="center"/>
              <w:cnfStyle w:val="000000010000" w:firstRow="0" w:lastRow="0" w:firstColumn="0" w:lastColumn="0" w:oddVBand="0" w:evenVBand="0" w:oddHBand="0" w:evenHBand="1" w:firstRowFirstColumn="0" w:firstRowLastColumn="0" w:lastRowFirstColumn="0" w:lastRowLastColumn="0"/>
              <w:rPr>
                <w:rFonts w:cs="Arial"/>
                <w:szCs w:val="20"/>
              </w:rPr>
            </w:pPr>
            <w:r w:rsidRPr="000A57BA">
              <w:rPr>
                <w:rFonts w:cs="Arial"/>
                <w:szCs w:val="20"/>
              </w:rPr>
              <w:t>GUL</w:t>
            </w:r>
          </w:p>
        </w:tc>
        <w:tc>
          <w:tcPr>
            <w:tcW w:w="1001" w:type="dxa"/>
            <w:tcBorders>
              <w:left w:val="none" w:sz="0" w:space="0" w:color="auto"/>
              <w:right w:val="none" w:sz="0" w:space="0" w:color="auto"/>
            </w:tcBorders>
          </w:tcPr>
          <w:p w14:paraId="6CA8CBD8" w14:textId="77777777" w:rsidR="00776154" w:rsidRPr="000A57BA" w:rsidRDefault="00776154" w:rsidP="00776154">
            <w:pPr>
              <w:jc w:val="center"/>
              <w:cnfStyle w:val="000000010000" w:firstRow="0" w:lastRow="0" w:firstColumn="0" w:lastColumn="0" w:oddVBand="0" w:evenVBand="0" w:oddHBand="0" w:evenHBand="1" w:firstRowFirstColumn="0" w:firstRowLastColumn="0" w:lastRowFirstColumn="0" w:lastRowLastColumn="0"/>
              <w:rPr>
                <w:rFonts w:cs="Arial"/>
                <w:szCs w:val="20"/>
              </w:rPr>
            </w:pPr>
            <w:r w:rsidRPr="000A57BA">
              <w:rPr>
                <w:rFonts w:cs="Arial"/>
                <w:szCs w:val="20"/>
              </w:rPr>
              <w:t>GUL</w:t>
            </w:r>
          </w:p>
        </w:tc>
        <w:tc>
          <w:tcPr>
            <w:tcW w:w="2693" w:type="dxa"/>
            <w:tcBorders>
              <w:left w:val="none" w:sz="0" w:space="0" w:color="auto"/>
              <w:right w:val="none" w:sz="0" w:space="0" w:color="auto"/>
            </w:tcBorders>
          </w:tcPr>
          <w:p w14:paraId="22A120BF" w14:textId="77777777" w:rsidR="00776154" w:rsidRPr="000A57BA" w:rsidRDefault="00776154" w:rsidP="00776154">
            <w:pPr>
              <w:cnfStyle w:val="000000010000" w:firstRow="0" w:lastRow="0" w:firstColumn="0" w:lastColumn="0" w:oddVBand="0" w:evenVBand="0" w:oddHBand="0" w:evenHBand="1" w:firstRowFirstColumn="0" w:firstRowLastColumn="0" w:lastRowFirstColumn="0" w:lastRowLastColumn="0"/>
              <w:rPr>
                <w:rFonts w:cs="Arial"/>
                <w:szCs w:val="20"/>
              </w:rPr>
            </w:pPr>
            <w:r w:rsidRPr="000A57BA">
              <w:rPr>
                <w:rFonts w:cs="Arial"/>
                <w:szCs w:val="20"/>
              </w:rPr>
              <w:t xml:space="preserve">Retain GUL </w:t>
            </w:r>
          </w:p>
        </w:tc>
        <w:tc>
          <w:tcPr>
            <w:tcW w:w="2410" w:type="dxa"/>
            <w:tcBorders>
              <w:left w:val="none" w:sz="0" w:space="0" w:color="auto"/>
            </w:tcBorders>
          </w:tcPr>
          <w:p w14:paraId="1A71FBDB" w14:textId="77777777" w:rsidR="00776154" w:rsidRPr="000A57BA" w:rsidRDefault="00776154" w:rsidP="00776154">
            <w:pPr>
              <w:cnfStyle w:val="000000010000" w:firstRow="0" w:lastRow="0" w:firstColumn="0" w:lastColumn="0" w:oddVBand="0" w:evenVBand="0" w:oddHBand="0" w:evenHBand="1" w:firstRowFirstColumn="0" w:firstRowLastColumn="0" w:lastRowFirstColumn="0" w:lastRowLastColumn="0"/>
              <w:rPr>
                <w:rFonts w:cs="Arial"/>
                <w:szCs w:val="20"/>
              </w:rPr>
            </w:pPr>
            <w:r w:rsidRPr="000A57BA">
              <w:rPr>
                <w:rFonts w:cs="Arial"/>
                <w:szCs w:val="20"/>
              </w:rPr>
              <w:t xml:space="preserve">Retain GUL </w:t>
            </w:r>
          </w:p>
        </w:tc>
      </w:tr>
      <w:tr w:rsidR="00776154" w:rsidRPr="000A57BA" w14:paraId="74103A3F" w14:textId="77777777" w:rsidTr="001C24D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209" w:type="dxa"/>
            <w:gridSpan w:val="5"/>
            <w:shd w:val="clear" w:color="auto" w:fill="F2F2F2" w:themeFill="background1" w:themeFillShade="F2"/>
            <w:vAlign w:val="center"/>
          </w:tcPr>
          <w:p w14:paraId="6E7E0845" w14:textId="77777777" w:rsidR="00776154" w:rsidRPr="000A57BA" w:rsidRDefault="00776154" w:rsidP="00776154">
            <w:pPr>
              <w:rPr>
                <w:rFonts w:cs="Arial"/>
                <w:i/>
                <w:szCs w:val="20"/>
              </w:rPr>
            </w:pPr>
            <w:r w:rsidRPr="000A57BA">
              <w:rPr>
                <w:rFonts w:cs="Arial"/>
                <w:i/>
                <w:szCs w:val="20"/>
              </w:rPr>
              <w:lastRenderedPageBreak/>
              <w:t>Minerals</w:t>
            </w:r>
          </w:p>
        </w:tc>
      </w:tr>
      <w:tr w:rsidR="00776154" w:rsidRPr="000A57BA" w14:paraId="5FDCD301" w14:textId="77777777" w:rsidTr="001C24DD">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70" w:type="dxa"/>
            <w:tcBorders>
              <w:right w:val="none" w:sz="0" w:space="0" w:color="auto"/>
            </w:tcBorders>
          </w:tcPr>
          <w:p w14:paraId="2D977468" w14:textId="77777777" w:rsidR="00776154" w:rsidRPr="000A57BA" w:rsidRDefault="00776154" w:rsidP="00776154">
            <w:pPr>
              <w:rPr>
                <w:rFonts w:cs="Arial"/>
                <w:b w:val="0"/>
                <w:szCs w:val="20"/>
              </w:rPr>
            </w:pPr>
            <w:r w:rsidRPr="000A57BA">
              <w:rPr>
                <w:rFonts w:cs="Arial"/>
                <w:b w:val="0"/>
                <w:szCs w:val="20"/>
              </w:rPr>
              <w:t>Chloride</w:t>
            </w:r>
          </w:p>
        </w:tc>
        <w:tc>
          <w:tcPr>
            <w:tcW w:w="1435" w:type="dxa"/>
            <w:tcBorders>
              <w:left w:val="none" w:sz="0" w:space="0" w:color="auto"/>
              <w:right w:val="none" w:sz="0" w:space="0" w:color="auto"/>
            </w:tcBorders>
          </w:tcPr>
          <w:p w14:paraId="26597474" w14:textId="77777777" w:rsidR="00776154" w:rsidRPr="000A57BA" w:rsidRDefault="00776154" w:rsidP="00776154">
            <w:pPr>
              <w:jc w:val="center"/>
              <w:cnfStyle w:val="000000010000" w:firstRow="0" w:lastRow="0" w:firstColumn="0" w:lastColumn="0" w:oddVBand="0" w:evenVBand="0" w:oddHBand="0" w:evenHBand="1" w:firstRowFirstColumn="0" w:firstRowLastColumn="0" w:lastRowFirstColumn="0" w:lastRowLastColumn="0"/>
              <w:rPr>
                <w:rFonts w:cs="Arial"/>
                <w:szCs w:val="20"/>
              </w:rPr>
            </w:pPr>
            <w:r w:rsidRPr="000A57BA">
              <w:rPr>
                <w:rFonts w:cs="Arial"/>
                <w:szCs w:val="20"/>
              </w:rPr>
              <w:t>Max</w:t>
            </w:r>
          </w:p>
        </w:tc>
        <w:tc>
          <w:tcPr>
            <w:tcW w:w="1001" w:type="dxa"/>
            <w:tcBorders>
              <w:left w:val="none" w:sz="0" w:space="0" w:color="auto"/>
              <w:right w:val="none" w:sz="0" w:space="0" w:color="auto"/>
            </w:tcBorders>
          </w:tcPr>
          <w:p w14:paraId="50D5423B" w14:textId="77777777" w:rsidR="00776154" w:rsidRPr="000A57BA" w:rsidRDefault="00776154" w:rsidP="00776154">
            <w:pPr>
              <w:jc w:val="center"/>
              <w:cnfStyle w:val="000000010000" w:firstRow="0" w:lastRow="0" w:firstColumn="0" w:lastColumn="0" w:oddVBand="0" w:evenVBand="0" w:oddHBand="0" w:evenHBand="1" w:firstRowFirstColumn="0" w:firstRowLastColumn="0" w:lastRowFirstColumn="0" w:lastRowLastColumn="0"/>
              <w:rPr>
                <w:rFonts w:cs="Arial"/>
                <w:szCs w:val="20"/>
              </w:rPr>
            </w:pPr>
            <w:r w:rsidRPr="000A57BA">
              <w:rPr>
                <w:rFonts w:cs="Arial"/>
                <w:szCs w:val="20"/>
              </w:rPr>
              <w:t>Max</w:t>
            </w:r>
          </w:p>
        </w:tc>
        <w:tc>
          <w:tcPr>
            <w:tcW w:w="2693" w:type="dxa"/>
            <w:tcBorders>
              <w:left w:val="none" w:sz="0" w:space="0" w:color="auto"/>
              <w:right w:val="none" w:sz="0" w:space="0" w:color="auto"/>
            </w:tcBorders>
          </w:tcPr>
          <w:p w14:paraId="205AC533" w14:textId="77777777" w:rsidR="00776154" w:rsidRPr="000A57BA" w:rsidRDefault="00776154" w:rsidP="00776154">
            <w:pPr>
              <w:cnfStyle w:val="000000010000" w:firstRow="0" w:lastRow="0" w:firstColumn="0" w:lastColumn="0" w:oddVBand="0" w:evenVBand="0" w:oddHBand="0" w:evenHBand="1" w:firstRowFirstColumn="0" w:firstRowLastColumn="0" w:lastRowFirstColumn="0" w:lastRowLastColumn="0"/>
              <w:rPr>
                <w:rFonts w:cs="Arial"/>
                <w:szCs w:val="20"/>
              </w:rPr>
            </w:pPr>
            <w:r w:rsidRPr="000A57BA">
              <w:rPr>
                <w:rFonts w:cs="Arial"/>
                <w:szCs w:val="20"/>
              </w:rPr>
              <w:t>Retain Max</w:t>
            </w:r>
          </w:p>
        </w:tc>
        <w:tc>
          <w:tcPr>
            <w:tcW w:w="2410" w:type="dxa"/>
            <w:tcBorders>
              <w:left w:val="none" w:sz="0" w:space="0" w:color="auto"/>
            </w:tcBorders>
          </w:tcPr>
          <w:p w14:paraId="554C015B" w14:textId="77777777" w:rsidR="00776154" w:rsidRPr="000A57BA" w:rsidRDefault="00776154" w:rsidP="00776154">
            <w:pPr>
              <w:cnfStyle w:val="000000010000" w:firstRow="0" w:lastRow="0" w:firstColumn="0" w:lastColumn="0" w:oddVBand="0" w:evenVBand="0" w:oddHBand="0" w:evenHBand="1" w:firstRowFirstColumn="0" w:firstRowLastColumn="0" w:lastRowFirstColumn="0" w:lastRowLastColumn="0"/>
              <w:rPr>
                <w:rFonts w:cs="Arial"/>
                <w:szCs w:val="20"/>
              </w:rPr>
            </w:pPr>
            <w:r w:rsidRPr="000A57BA">
              <w:rPr>
                <w:rFonts w:cs="Arial"/>
                <w:szCs w:val="20"/>
              </w:rPr>
              <w:t>Retain Max</w:t>
            </w:r>
          </w:p>
        </w:tc>
      </w:tr>
      <w:tr w:rsidR="00776154" w:rsidRPr="000A57BA" w14:paraId="3A7B015E" w14:textId="77777777" w:rsidTr="001C24D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70" w:type="dxa"/>
            <w:tcBorders>
              <w:right w:val="none" w:sz="0" w:space="0" w:color="auto"/>
            </w:tcBorders>
            <w:shd w:val="clear" w:color="auto" w:fill="F2F2F2" w:themeFill="background1" w:themeFillShade="F2"/>
          </w:tcPr>
          <w:p w14:paraId="3597AA20" w14:textId="77777777" w:rsidR="00776154" w:rsidRPr="000A57BA" w:rsidRDefault="00776154" w:rsidP="00776154">
            <w:pPr>
              <w:rPr>
                <w:rFonts w:cs="Arial"/>
                <w:b w:val="0"/>
                <w:szCs w:val="20"/>
              </w:rPr>
            </w:pPr>
            <w:r w:rsidRPr="000A57BA">
              <w:rPr>
                <w:rFonts w:cs="Arial"/>
                <w:b w:val="0"/>
                <w:szCs w:val="20"/>
              </w:rPr>
              <w:t>Sodium</w:t>
            </w:r>
          </w:p>
        </w:tc>
        <w:tc>
          <w:tcPr>
            <w:tcW w:w="1435" w:type="dxa"/>
            <w:tcBorders>
              <w:left w:val="none" w:sz="0" w:space="0" w:color="auto"/>
              <w:right w:val="none" w:sz="0" w:space="0" w:color="auto"/>
            </w:tcBorders>
            <w:shd w:val="clear" w:color="auto" w:fill="F2F2F2" w:themeFill="background1" w:themeFillShade="F2"/>
          </w:tcPr>
          <w:p w14:paraId="16666286" w14:textId="77777777" w:rsidR="00776154" w:rsidRPr="000A57BA" w:rsidRDefault="00776154" w:rsidP="00776154">
            <w:pPr>
              <w:jc w:val="center"/>
              <w:cnfStyle w:val="000000100000" w:firstRow="0" w:lastRow="0" w:firstColumn="0" w:lastColumn="0" w:oddVBand="0" w:evenVBand="0" w:oddHBand="1" w:evenHBand="0" w:firstRowFirstColumn="0" w:firstRowLastColumn="0" w:lastRowFirstColumn="0" w:lastRowLastColumn="0"/>
              <w:rPr>
                <w:rFonts w:cs="Arial"/>
                <w:szCs w:val="20"/>
              </w:rPr>
            </w:pPr>
            <w:r w:rsidRPr="000A57BA">
              <w:rPr>
                <w:rFonts w:cs="Arial"/>
                <w:szCs w:val="20"/>
              </w:rPr>
              <w:t>Max</w:t>
            </w:r>
          </w:p>
        </w:tc>
        <w:tc>
          <w:tcPr>
            <w:tcW w:w="1001" w:type="dxa"/>
            <w:tcBorders>
              <w:left w:val="none" w:sz="0" w:space="0" w:color="auto"/>
              <w:right w:val="none" w:sz="0" w:space="0" w:color="auto"/>
            </w:tcBorders>
            <w:shd w:val="clear" w:color="auto" w:fill="F2F2F2" w:themeFill="background1" w:themeFillShade="F2"/>
          </w:tcPr>
          <w:p w14:paraId="70DE5A6F" w14:textId="77777777" w:rsidR="00776154" w:rsidRPr="000A57BA" w:rsidRDefault="00776154" w:rsidP="00776154">
            <w:pPr>
              <w:jc w:val="center"/>
              <w:cnfStyle w:val="000000100000" w:firstRow="0" w:lastRow="0" w:firstColumn="0" w:lastColumn="0" w:oddVBand="0" w:evenVBand="0" w:oddHBand="1" w:evenHBand="0" w:firstRowFirstColumn="0" w:firstRowLastColumn="0" w:lastRowFirstColumn="0" w:lastRowLastColumn="0"/>
              <w:rPr>
                <w:rFonts w:cs="Arial"/>
                <w:szCs w:val="20"/>
              </w:rPr>
            </w:pPr>
            <w:r w:rsidRPr="000A57BA">
              <w:rPr>
                <w:rFonts w:cs="Arial"/>
                <w:szCs w:val="20"/>
              </w:rPr>
              <w:t>Max</w:t>
            </w:r>
          </w:p>
        </w:tc>
        <w:tc>
          <w:tcPr>
            <w:tcW w:w="2693" w:type="dxa"/>
            <w:tcBorders>
              <w:left w:val="none" w:sz="0" w:space="0" w:color="auto"/>
              <w:right w:val="none" w:sz="0" w:space="0" w:color="auto"/>
            </w:tcBorders>
            <w:shd w:val="clear" w:color="auto" w:fill="F2F2F2" w:themeFill="background1" w:themeFillShade="F2"/>
          </w:tcPr>
          <w:p w14:paraId="1D405787" w14:textId="77777777" w:rsidR="00776154" w:rsidRPr="000A57BA" w:rsidRDefault="00776154" w:rsidP="00776154">
            <w:pPr>
              <w:cnfStyle w:val="000000100000" w:firstRow="0" w:lastRow="0" w:firstColumn="0" w:lastColumn="0" w:oddVBand="0" w:evenVBand="0" w:oddHBand="1" w:evenHBand="0" w:firstRowFirstColumn="0" w:firstRowLastColumn="0" w:lastRowFirstColumn="0" w:lastRowLastColumn="0"/>
              <w:rPr>
                <w:rFonts w:cs="Arial"/>
                <w:szCs w:val="20"/>
              </w:rPr>
            </w:pPr>
            <w:r w:rsidRPr="000A57BA">
              <w:rPr>
                <w:rFonts w:cs="Arial"/>
                <w:szCs w:val="20"/>
              </w:rPr>
              <w:t>Retain Max</w:t>
            </w:r>
          </w:p>
        </w:tc>
        <w:tc>
          <w:tcPr>
            <w:tcW w:w="2410" w:type="dxa"/>
            <w:tcBorders>
              <w:left w:val="none" w:sz="0" w:space="0" w:color="auto"/>
            </w:tcBorders>
            <w:shd w:val="clear" w:color="auto" w:fill="F2F2F2" w:themeFill="background1" w:themeFillShade="F2"/>
          </w:tcPr>
          <w:p w14:paraId="486A8B9E" w14:textId="77777777" w:rsidR="00776154" w:rsidRPr="000A57BA" w:rsidRDefault="00776154" w:rsidP="00776154">
            <w:pPr>
              <w:cnfStyle w:val="000000100000" w:firstRow="0" w:lastRow="0" w:firstColumn="0" w:lastColumn="0" w:oddVBand="0" w:evenVBand="0" w:oddHBand="1" w:evenHBand="0" w:firstRowFirstColumn="0" w:firstRowLastColumn="0" w:lastRowFirstColumn="0" w:lastRowLastColumn="0"/>
              <w:rPr>
                <w:rFonts w:cs="Arial"/>
                <w:szCs w:val="20"/>
              </w:rPr>
            </w:pPr>
            <w:r w:rsidRPr="000A57BA">
              <w:rPr>
                <w:rFonts w:cs="Arial"/>
                <w:szCs w:val="20"/>
              </w:rPr>
              <w:t>Retain Max</w:t>
            </w:r>
          </w:p>
        </w:tc>
      </w:tr>
      <w:tr w:rsidR="00776154" w:rsidRPr="000A57BA" w14:paraId="5E9AD40D" w14:textId="77777777" w:rsidTr="001C24DD">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70" w:type="dxa"/>
            <w:tcBorders>
              <w:right w:val="none" w:sz="0" w:space="0" w:color="auto"/>
            </w:tcBorders>
          </w:tcPr>
          <w:p w14:paraId="1BF04C3E" w14:textId="77777777" w:rsidR="00776154" w:rsidRPr="000A57BA" w:rsidRDefault="00776154" w:rsidP="00776154">
            <w:pPr>
              <w:rPr>
                <w:rFonts w:cs="Arial"/>
                <w:b w:val="0"/>
                <w:szCs w:val="20"/>
              </w:rPr>
            </w:pPr>
            <w:r w:rsidRPr="000A57BA">
              <w:rPr>
                <w:rFonts w:cs="Arial"/>
                <w:b w:val="0"/>
                <w:szCs w:val="20"/>
              </w:rPr>
              <w:t>Potassium</w:t>
            </w:r>
          </w:p>
        </w:tc>
        <w:tc>
          <w:tcPr>
            <w:tcW w:w="1435" w:type="dxa"/>
            <w:tcBorders>
              <w:left w:val="none" w:sz="0" w:space="0" w:color="auto"/>
              <w:right w:val="none" w:sz="0" w:space="0" w:color="auto"/>
            </w:tcBorders>
          </w:tcPr>
          <w:p w14:paraId="6CA998DF" w14:textId="77777777" w:rsidR="00776154" w:rsidRPr="000A57BA" w:rsidRDefault="00776154" w:rsidP="00776154">
            <w:pPr>
              <w:jc w:val="center"/>
              <w:cnfStyle w:val="000000010000" w:firstRow="0" w:lastRow="0" w:firstColumn="0" w:lastColumn="0" w:oddVBand="0" w:evenVBand="0" w:oddHBand="0" w:evenHBand="1" w:firstRowFirstColumn="0" w:firstRowLastColumn="0" w:lastRowFirstColumn="0" w:lastRowLastColumn="0"/>
              <w:rPr>
                <w:rFonts w:cs="Arial"/>
                <w:szCs w:val="20"/>
              </w:rPr>
            </w:pPr>
            <w:r w:rsidRPr="000A57BA">
              <w:rPr>
                <w:rFonts w:cs="Arial"/>
                <w:szCs w:val="20"/>
              </w:rPr>
              <w:t>Max</w:t>
            </w:r>
          </w:p>
        </w:tc>
        <w:tc>
          <w:tcPr>
            <w:tcW w:w="1001" w:type="dxa"/>
            <w:tcBorders>
              <w:left w:val="none" w:sz="0" w:space="0" w:color="auto"/>
              <w:right w:val="none" w:sz="0" w:space="0" w:color="auto"/>
            </w:tcBorders>
          </w:tcPr>
          <w:p w14:paraId="415AA59D" w14:textId="77777777" w:rsidR="00776154" w:rsidRPr="000A57BA" w:rsidRDefault="00776154" w:rsidP="00776154">
            <w:pPr>
              <w:jc w:val="center"/>
              <w:cnfStyle w:val="000000010000" w:firstRow="0" w:lastRow="0" w:firstColumn="0" w:lastColumn="0" w:oddVBand="0" w:evenVBand="0" w:oddHBand="0" w:evenHBand="1" w:firstRowFirstColumn="0" w:firstRowLastColumn="0" w:lastRowFirstColumn="0" w:lastRowLastColumn="0"/>
              <w:rPr>
                <w:rFonts w:cs="Arial"/>
                <w:szCs w:val="20"/>
              </w:rPr>
            </w:pPr>
            <w:r w:rsidRPr="000A57BA">
              <w:rPr>
                <w:rFonts w:cs="Arial"/>
                <w:szCs w:val="20"/>
              </w:rPr>
              <w:t>Max</w:t>
            </w:r>
          </w:p>
        </w:tc>
        <w:tc>
          <w:tcPr>
            <w:tcW w:w="2693" w:type="dxa"/>
            <w:tcBorders>
              <w:left w:val="none" w:sz="0" w:space="0" w:color="auto"/>
              <w:right w:val="none" w:sz="0" w:space="0" w:color="auto"/>
            </w:tcBorders>
          </w:tcPr>
          <w:p w14:paraId="4D904297" w14:textId="77777777" w:rsidR="00776154" w:rsidRPr="000A57BA" w:rsidRDefault="00776154" w:rsidP="00776154">
            <w:pPr>
              <w:cnfStyle w:val="000000010000" w:firstRow="0" w:lastRow="0" w:firstColumn="0" w:lastColumn="0" w:oddVBand="0" w:evenVBand="0" w:oddHBand="0" w:evenHBand="1" w:firstRowFirstColumn="0" w:firstRowLastColumn="0" w:lastRowFirstColumn="0" w:lastRowLastColumn="0"/>
              <w:rPr>
                <w:rFonts w:cs="Arial"/>
                <w:szCs w:val="20"/>
              </w:rPr>
            </w:pPr>
            <w:r w:rsidRPr="000A57BA">
              <w:rPr>
                <w:rFonts w:cs="Arial"/>
                <w:szCs w:val="20"/>
              </w:rPr>
              <w:t>Retain Max</w:t>
            </w:r>
          </w:p>
        </w:tc>
        <w:tc>
          <w:tcPr>
            <w:tcW w:w="2410" w:type="dxa"/>
            <w:tcBorders>
              <w:left w:val="none" w:sz="0" w:space="0" w:color="auto"/>
            </w:tcBorders>
          </w:tcPr>
          <w:p w14:paraId="32576A6E" w14:textId="77777777" w:rsidR="00776154" w:rsidRPr="000A57BA" w:rsidRDefault="00776154" w:rsidP="00776154">
            <w:pPr>
              <w:cnfStyle w:val="000000010000" w:firstRow="0" w:lastRow="0" w:firstColumn="0" w:lastColumn="0" w:oddVBand="0" w:evenVBand="0" w:oddHBand="0" w:evenHBand="1" w:firstRowFirstColumn="0" w:firstRowLastColumn="0" w:lastRowFirstColumn="0" w:lastRowLastColumn="0"/>
              <w:rPr>
                <w:rFonts w:cs="Arial"/>
                <w:szCs w:val="20"/>
              </w:rPr>
            </w:pPr>
            <w:r w:rsidRPr="000A57BA">
              <w:rPr>
                <w:rFonts w:cs="Arial"/>
                <w:szCs w:val="20"/>
              </w:rPr>
              <w:t>Retain Max</w:t>
            </w:r>
          </w:p>
        </w:tc>
      </w:tr>
      <w:tr w:rsidR="00776154" w:rsidRPr="000A57BA" w14:paraId="2B0E3390" w14:textId="77777777" w:rsidTr="001C24D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70" w:type="dxa"/>
            <w:tcBorders>
              <w:right w:val="none" w:sz="0" w:space="0" w:color="auto"/>
            </w:tcBorders>
            <w:shd w:val="clear" w:color="auto" w:fill="F2F2F2" w:themeFill="background1" w:themeFillShade="F2"/>
          </w:tcPr>
          <w:p w14:paraId="74C5EB9C" w14:textId="77777777" w:rsidR="00776154" w:rsidRPr="000A57BA" w:rsidRDefault="00776154" w:rsidP="00776154">
            <w:pPr>
              <w:rPr>
                <w:rFonts w:cs="Arial"/>
                <w:b w:val="0"/>
                <w:szCs w:val="20"/>
              </w:rPr>
            </w:pPr>
            <w:r w:rsidRPr="000A57BA">
              <w:rPr>
                <w:rFonts w:cs="Arial"/>
                <w:b w:val="0"/>
                <w:szCs w:val="20"/>
              </w:rPr>
              <w:t>Calcium</w:t>
            </w:r>
          </w:p>
        </w:tc>
        <w:tc>
          <w:tcPr>
            <w:tcW w:w="1435" w:type="dxa"/>
            <w:tcBorders>
              <w:left w:val="none" w:sz="0" w:space="0" w:color="auto"/>
              <w:right w:val="none" w:sz="0" w:space="0" w:color="auto"/>
            </w:tcBorders>
            <w:shd w:val="clear" w:color="auto" w:fill="F2F2F2" w:themeFill="background1" w:themeFillShade="F2"/>
          </w:tcPr>
          <w:p w14:paraId="67ECA74C" w14:textId="77777777" w:rsidR="00776154" w:rsidRPr="000A57BA" w:rsidRDefault="00776154" w:rsidP="00776154">
            <w:pPr>
              <w:jc w:val="center"/>
              <w:cnfStyle w:val="000000100000" w:firstRow="0" w:lastRow="0" w:firstColumn="0" w:lastColumn="0" w:oddVBand="0" w:evenVBand="0" w:oddHBand="1" w:evenHBand="0" w:firstRowFirstColumn="0" w:firstRowLastColumn="0" w:lastRowFirstColumn="0" w:lastRowLastColumn="0"/>
              <w:rPr>
                <w:rFonts w:cs="Arial"/>
                <w:szCs w:val="20"/>
              </w:rPr>
            </w:pPr>
            <w:r w:rsidRPr="000A57BA">
              <w:rPr>
                <w:rFonts w:cs="Arial"/>
                <w:szCs w:val="20"/>
              </w:rPr>
              <w:t>GUL</w:t>
            </w:r>
          </w:p>
        </w:tc>
        <w:tc>
          <w:tcPr>
            <w:tcW w:w="1001" w:type="dxa"/>
            <w:tcBorders>
              <w:left w:val="none" w:sz="0" w:space="0" w:color="auto"/>
              <w:right w:val="none" w:sz="0" w:space="0" w:color="auto"/>
            </w:tcBorders>
            <w:shd w:val="clear" w:color="auto" w:fill="F2F2F2" w:themeFill="background1" w:themeFillShade="F2"/>
          </w:tcPr>
          <w:p w14:paraId="7CDAF08A" w14:textId="77777777" w:rsidR="00776154" w:rsidRPr="000A57BA" w:rsidRDefault="00776154" w:rsidP="00776154">
            <w:pPr>
              <w:jc w:val="center"/>
              <w:cnfStyle w:val="000000100000" w:firstRow="0" w:lastRow="0" w:firstColumn="0" w:lastColumn="0" w:oddVBand="0" w:evenVBand="0" w:oddHBand="1" w:evenHBand="0" w:firstRowFirstColumn="0" w:firstRowLastColumn="0" w:lastRowFirstColumn="0" w:lastRowLastColumn="0"/>
              <w:rPr>
                <w:rFonts w:cs="Arial"/>
                <w:szCs w:val="20"/>
              </w:rPr>
            </w:pPr>
            <w:r w:rsidRPr="000A57BA">
              <w:rPr>
                <w:rFonts w:cs="Arial"/>
                <w:szCs w:val="20"/>
              </w:rPr>
              <w:t>GUL</w:t>
            </w:r>
          </w:p>
        </w:tc>
        <w:tc>
          <w:tcPr>
            <w:tcW w:w="2693" w:type="dxa"/>
            <w:tcBorders>
              <w:left w:val="none" w:sz="0" w:space="0" w:color="auto"/>
              <w:right w:val="none" w:sz="0" w:space="0" w:color="auto"/>
            </w:tcBorders>
            <w:shd w:val="clear" w:color="auto" w:fill="F2F2F2" w:themeFill="background1" w:themeFillShade="F2"/>
          </w:tcPr>
          <w:p w14:paraId="764AC77B" w14:textId="77777777" w:rsidR="00776154" w:rsidRPr="000A57BA" w:rsidRDefault="00776154" w:rsidP="00776154">
            <w:pPr>
              <w:cnfStyle w:val="000000100000" w:firstRow="0" w:lastRow="0" w:firstColumn="0" w:lastColumn="0" w:oddVBand="0" w:evenVBand="0" w:oddHBand="1" w:evenHBand="0" w:firstRowFirstColumn="0" w:firstRowLastColumn="0" w:lastRowFirstColumn="0" w:lastRowLastColumn="0"/>
              <w:rPr>
                <w:rFonts w:cs="Arial"/>
                <w:szCs w:val="20"/>
              </w:rPr>
            </w:pPr>
            <w:r w:rsidRPr="000A57BA">
              <w:rPr>
                <w:rFonts w:cs="Arial"/>
                <w:szCs w:val="20"/>
              </w:rPr>
              <w:t xml:space="preserve">Retain GUL </w:t>
            </w:r>
          </w:p>
        </w:tc>
        <w:tc>
          <w:tcPr>
            <w:tcW w:w="2410" w:type="dxa"/>
            <w:tcBorders>
              <w:left w:val="none" w:sz="0" w:space="0" w:color="auto"/>
            </w:tcBorders>
            <w:shd w:val="clear" w:color="auto" w:fill="F2F2F2" w:themeFill="background1" w:themeFillShade="F2"/>
          </w:tcPr>
          <w:p w14:paraId="2DD3A282" w14:textId="77777777" w:rsidR="00776154" w:rsidRPr="000A57BA" w:rsidRDefault="00776154" w:rsidP="00776154">
            <w:pPr>
              <w:cnfStyle w:val="000000100000" w:firstRow="0" w:lastRow="0" w:firstColumn="0" w:lastColumn="0" w:oddVBand="0" w:evenVBand="0" w:oddHBand="1" w:evenHBand="0" w:firstRowFirstColumn="0" w:firstRowLastColumn="0" w:lastRowFirstColumn="0" w:lastRowLastColumn="0"/>
              <w:rPr>
                <w:rFonts w:cs="Arial"/>
                <w:szCs w:val="20"/>
              </w:rPr>
            </w:pPr>
            <w:r w:rsidRPr="000A57BA">
              <w:rPr>
                <w:rFonts w:cs="Arial"/>
                <w:szCs w:val="20"/>
              </w:rPr>
              <w:t xml:space="preserve">Retain GUL </w:t>
            </w:r>
          </w:p>
        </w:tc>
      </w:tr>
      <w:tr w:rsidR="00776154" w:rsidRPr="000A57BA" w14:paraId="3F257A2C" w14:textId="77777777" w:rsidTr="001C24DD">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70" w:type="dxa"/>
            <w:tcBorders>
              <w:right w:val="none" w:sz="0" w:space="0" w:color="auto"/>
            </w:tcBorders>
          </w:tcPr>
          <w:p w14:paraId="5ADCE916" w14:textId="77777777" w:rsidR="00776154" w:rsidRPr="000A57BA" w:rsidRDefault="00776154" w:rsidP="00776154">
            <w:pPr>
              <w:rPr>
                <w:rFonts w:cs="Arial"/>
                <w:b w:val="0"/>
                <w:szCs w:val="20"/>
              </w:rPr>
            </w:pPr>
            <w:r w:rsidRPr="000A57BA">
              <w:rPr>
                <w:rFonts w:cs="Arial"/>
                <w:b w:val="0"/>
                <w:szCs w:val="20"/>
              </w:rPr>
              <w:t>Phosphorus</w:t>
            </w:r>
          </w:p>
        </w:tc>
        <w:tc>
          <w:tcPr>
            <w:tcW w:w="1435" w:type="dxa"/>
            <w:tcBorders>
              <w:left w:val="none" w:sz="0" w:space="0" w:color="auto"/>
              <w:right w:val="none" w:sz="0" w:space="0" w:color="auto"/>
            </w:tcBorders>
          </w:tcPr>
          <w:p w14:paraId="67E6DFA9" w14:textId="77777777" w:rsidR="00776154" w:rsidRPr="000A57BA" w:rsidRDefault="00776154" w:rsidP="00776154">
            <w:pPr>
              <w:jc w:val="center"/>
              <w:cnfStyle w:val="000000010000" w:firstRow="0" w:lastRow="0" w:firstColumn="0" w:lastColumn="0" w:oddVBand="0" w:evenVBand="0" w:oddHBand="0" w:evenHBand="1" w:firstRowFirstColumn="0" w:firstRowLastColumn="0" w:lastRowFirstColumn="0" w:lastRowLastColumn="0"/>
              <w:rPr>
                <w:rFonts w:cs="Arial"/>
                <w:szCs w:val="20"/>
              </w:rPr>
            </w:pPr>
            <w:r w:rsidRPr="000A57BA">
              <w:rPr>
                <w:rFonts w:cs="Arial"/>
                <w:szCs w:val="20"/>
              </w:rPr>
              <w:t>M</w:t>
            </w:r>
            <w:r>
              <w:rPr>
                <w:rFonts w:cs="Arial"/>
                <w:szCs w:val="20"/>
              </w:rPr>
              <w:t>ax</w:t>
            </w:r>
          </w:p>
        </w:tc>
        <w:tc>
          <w:tcPr>
            <w:tcW w:w="1001" w:type="dxa"/>
            <w:tcBorders>
              <w:left w:val="none" w:sz="0" w:space="0" w:color="auto"/>
              <w:right w:val="none" w:sz="0" w:space="0" w:color="auto"/>
            </w:tcBorders>
          </w:tcPr>
          <w:p w14:paraId="1F1F3B1A" w14:textId="77777777" w:rsidR="00776154" w:rsidRPr="000A57BA" w:rsidRDefault="00776154" w:rsidP="00776154">
            <w:pPr>
              <w:jc w:val="center"/>
              <w:cnfStyle w:val="000000010000" w:firstRow="0" w:lastRow="0" w:firstColumn="0" w:lastColumn="0" w:oddVBand="0" w:evenVBand="0" w:oddHBand="0" w:evenHBand="1" w:firstRowFirstColumn="0" w:firstRowLastColumn="0" w:lastRowFirstColumn="0" w:lastRowLastColumn="0"/>
              <w:rPr>
                <w:rFonts w:cs="Arial"/>
                <w:szCs w:val="20"/>
              </w:rPr>
            </w:pPr>
            <w:r w:rsidRPr="000A57BA">
              <w:rPr>
                <w:rFonts w:cs="Arial"/>
                <w:szCs w:val="20"/>
              </w:rPr>
              <w:t>GUL</w:t>
            </w:r>
          </w:p>
        </w:tc>
        <w:tc>
          <w:tcPr>
            <w:tcW w:w="2693" w:type="dxa"/>
            <w:tcBorders>
              <w:left w:val="none" w:sz="0" w:space="0" w:color="auto"/>
              <w:right w:val="none" w:sz="0" w:space="0" w:color="auto"/>
            </w:tcBorders>
          </w:tcPr>
          <w:p w14:paraId="0C2B0CB8" w14:textId="77777777" w:rsidR="00776154" w:rsidRPr="000A57BA" w:rsidRDefault="00776154" w:rsidP="00776154">
            <w:pPr>
              <w:cnfStyle w:val="000000010000" w:firstRow="0" w:lastRow="0" w:firstColumn="0" w:lastColumn="0" w:oddVBand="0" w:evenVBand="0" w:oddHBand="0" w:evenHBand="1" w:firstRowFirstColumn="0" w:firstRowLastColumn="0" w:lastRowFirstColumn="0" w:lastRowLastColumn="0"/>
              <w:rPr>
                <w:rFonts w:cs="Arial"/>
                <w:szCs w:val="20"/>
              </w:rPr>
            </w:pPr>
            <w:r w:rsidRPr="000A57BA">
              <w:rPr>
                <w:rFonts w:cs="Arial"/>
                <w:szCs w:val="20"/>
              </w:rPr>
              <w:t>Further information sought</w:t>
            </w:r>
          </w:p>
        </w:tc>
        <w:tc>
          <w:tcPr>
            <w:tcW w:w="2410" w:type="dxa"/>
            <w:tcBorders>
              <w:left w:val="none" w:sz="0" w:space="0" w:color="auto"/>
            </w:tcBorders>
          </w:tcPr>
          <w:p w14:paraId="6A93B221" w14:textId="77777777" w:rsidR="00776154" w:rsidRPr="000A57BA" w:rsidRDefault="00776154" w:rsidP="00776154">
            <w:pPr>
              <w:cnfStyle w:val="000000010000" w:firstRow="0" w:lastRow="0" w:firstColumn="0" w:lastColumn="0" w:oddVBand="0" w:evenVBand="0" w:oddHBand="0" w:evenHBand="1" w:firstRowFirstColumn="0" w:firstRowLastColumn="0" w:lastRowFirstColumn="0" w:lastRowLastColumn="0"/>
              <w:rPr>
                <w:rFonts w:cs="Arial"/>
                <w:szCs w:val="20"/>
              </w:rPr>
            </w:pPr>
            <w:r>
              <w:rPr>
                <w:rFonts w:cs="Arial"/>
                <w:szCs w:val="20"/>
              </w:rPr>
              <w:t>Change Max to GUL</w:t>
            </w:r>
          </w:p>
        </w:tc>
      </w:tr>
      <w:tr w:rsidR="00776154" w:rsidRPr="000A57BA" w14:paraId="500F52E8" w14:textId="77777777" w:rsidTr="001C24D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70" w:type="dxa"/>
            <w:tcBorders>
              <w:right w:val="none" w:sz="0" w:space="0" w:color="auto"/>
            </w:tcBorders>
            <w:shd w:val="clear" w:color="auto" w:fill="F2F2F2" w:themeFill="background1" w:themeFillShade="F2"/>
          </w:tcPr>
          <w:p w14:paraId="1BCCD030" w14:textId="77777777" w:rsidR="00776154" w:rsidRPr="000A57BA" w:rsidRDefault="00776154" w:rsidP="00776154">
            <w:pPr>
              <w:rPr>
                <w:rFonts w:cs="Arial"/>
                <w:b w:val="0"/>
                <w:szCs w:val="20"/>
              </w:rPr>
            </w:pPr>
            <w:r w:rsidRPr="000A57BA">
              <w:rPr>
                <w:rFonts w:cs="Arial"/>
                <w:b w:val="0"/>
                <w:szCs w:val="20"/>
              </w:rPr>
              <w:t>Magnesium</w:t>
            </w:r>
          </w:p>
        </w:tc>
        <w:tc>
          <w:tcPr>
            <w:tcW w:w="1435" w:type="dxa"/>
            <w:tcBorders>
              <w:left w:val="none" w:sz="0" w:space="0" w:color="auto"/>
              <w:right w:val="none" w:sz="0" w:space="0" w:color="auto"/>
            </w:tcBorders>
            <w:shd w:val="clear" w:color="auto" w:fill="F2F2F2" w:themeFill="background1" w:themeFillShade="F2"/>
          </w:tcPr>
          <w:p w14:paraId="1B5B91FD" w14:textId="77777777" w:rsidR="00776154" w:rsidRPr="000A57BA" w:rsidRDefault="00776154" w:rsidP="00776154">
            <w:pPr>
              <w:jc w:val="center"/>
              <w:cnfStyle w:val="000000100000" w:firstRow="0" w:lastRow="0" w:firstColumn="0" w:lastColumn="0" w:oddVBand="0" w:evenVBand="0" w:oddHBand="1" w:evenHBand="0" w:firstRowFirstColumn="0" w:firstRowLastColumn="0" w:lastRowFirstColumn="0" w:lastRowLastColumn="0"/>
              <w:rPr>
                <w:rFonts w:cs="Arial"/>
                <w:szCs w:val="20"/>
              </w:rPr>
            </w:pPr>
            <w:r w:rsidRPr="000A57BA">
              <w:rPr>
                <w:rFonts w:cs="Arial"/>
                <w:szCs w:val="20"/>
              </w:rPr>
              <w:t>Max</w:t>
            </w:r>
          </w:p>
        </w:tc>
        <w:tc>
          <w:tcPr>
            <w:tcW w:w="1001" w:type="dxa"/>
            <w:tcBorders>
              <w:left w:val="none" w:sz="0" w:space="0" w:color="auto"/>
              <w:right w:val="none" w:sz="0" w:space="0" w:color="auto"/>
            </w:tcBorders>
            <w:shd w:val="clear" w:color="auto" w:fill="F2F2F2" w:themeFill="background1" w:themeFillShade="F2"/>
          </w:tcPr>
          <w:p w14:paraId="22FC5481" w14:textId="77777777" w:rsidR="00776154" w:rsidRPr="000A57BA" w:rsidRDefault="00776154" w:rsidP="00776154">
            <w:pPr>
              <w:jc w:val="center"/>
              <w:cnfStyle w:val="000000100000" w:firstRow="0" w:lastRow="0" w:firstColumn="0" w:lastColumn="0" w:oddVBand="0" w:evenVBand="0" w:oddHBand="1" w:evenHBand="0" w:firstRowFirstColumn="0" w:firstRowLastColumn="0" w:lastRowFirstColumn="0" w:lastRowLastColumn="0"/>
              <w:rPr>
                <w:rFonts w:cs="Arial"/>
                <w:szCs w:val="20"/>
              </w:rPr>
            </w:pPr>
            <w:r w:rsidRPr="000A57BA">
              <w:rPr>
                <w:rFonts w:cs="Arial"/>
                <w:szCs w:val="20"/>
              </w:rPr>
              <w:t>GUL</w:t>
            </w:r>
          </w:p>
        </w:tc>
        <w:tc>
          <w:tcPr>
            <w:tcW w:w="2693" w:type="dxa"/>
            <w:tcBorders>
              <w:left w:val="none" w:sz="0" w:space="0" w:color="auto"/>
              <w:right w:val="none" w:sz="0" w:space="0" w:color="auto"/>
            </w:tcBorders>
            <w:shd w:val="clear" w:color="auto" w:fill="F2F2F2" w:themeFill="background1" w:themeFillShade="F2"/>
          </w:tcPr>
          <w:p w14:paraId="4542982D" w14:textId="77777777" w:rsidR="00776154" w:rsidRPr="000A57BA" w:rsidRDefault="00776154" w:rsidP="00776154">
            <w:pPr>
              <w:cnfStyle w:val="000000100000" w:firstRow="0" w:lastRow="0" w:firstColumn="0" w:lastColumn="0" w:oddVBand="0" w:evenVBand="0" w:oddHBand="1" w:evenHBand="0" w:firstRowFirstColumn="0" w:firstRowLastColumn="0" w:lastRowFirstColumn="0" w:lastRowLastColumn="0"/>
              <w:rPr>
                <w:rFonts w:cs="Arial"/>
                <w:szCs w:val="20"/>
              </w:rPr>
            </w:pPr>
            <w:r>
              <w:rPr>
                <w:rFonts w:cs="Arial"/>
                <w:szCs w:val="20"/>
              </w:rPr>
              <w:t>C</w:t>
            </w:r>
            <w:r w:rsidRPr="000A57BA">
              <w:rPr>
                <w:rFonts w:cs="Arial"/>
                <w:szCs w:val="20"/>
              </w:rPr>
              <w:t>hange Max to a GUL</w:t>
            </w:r>
          </w:p>
        </w:tc>
        <w:tc>
          <w:tcPr>
            <w:tcW w:w="2410" w:type="dxa"/>
            <w:tcBorders>
              <w:left w:val="none" w:sz="0" w:space="0" w:color="auto"/>
            </w:tcBorders>
            <w:shd w:val="clear" w:color="auto" w:fill="F2F2F2" w:themeFill="background1" w:themeFillShade="F2"/>
          </w:tcPr>
          <w:p w14:paraId="26D4E2D8" w14:textId="77777777" w:rsidR="00776154" w:rsidRPr="000A57BA" w:rsidRDefault="00776154" w:rsidP="00776154">
            <w:pPr>
              <w:cnfStyle w:val="000000100000" w:firstRow="0" w:lastRow="0" w:firstColumn="0" w:lastColumn="0" w:oddVBand="0" w:evenVBand="0" w:oddHBand="1" w:evenHBand="0" w:firstRowFirstColumn="0" w:firstRowLastColumn="0" w:lastRowFirstColumn="0" w:lastRowLastColumn="0"/>
              <w:rPr>
                <w:rFonts w:cs="Arial"/>
                <w:szCs w:val="20"/>
              </w:rPr>
            </w:pPr>
            <w:r>
              <w:rPr>
                <w:rFonts w:cs="Arial"/>
                <w:szCs w:val="20"/>
              </w:rPr>
              <w:t>C</w:t>
            </w:r>
            <w:r w:rsidRPr="000A57BA">
              <w:rPr>
                <w:rFonts w:cs="Arial"/>
                <w:szCs w:val="20"/>
              </w:rPr>
              <w:t>hange Max to a GUL</w:t>
            </w:r>
          </w:p>
        </w:tc>
      </w:tr>
      <w:tr w:rsidR="00776154" w:rsidRPr="000A57BA" w14:paraId="032F9367" w14:textId="77777777" w:rsidTr="00CA5C3F">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70" w:type="dxa"/>
            <w:tcBorders>
              <w:right w:val="none" w:sz="0" w:space="0" w:color="auto"/>
            </w:tcBorders>
          </w:tcPr>
          <w:p w14:paraId="76EC7155" w14:textId="77777777" w:rsidR="00776154" w:rsidRPr="00676D45" w:rsidRDefault="00776154" w:rsidP="00776154">
            <w:pPr>
              <w:rPr>
                <w:rFonts w:cs="Arial"/>
                <w:b w:val="0"/>
                <w:szCs w:val="20"/>
              </w:rPr>
            </w:pPr>
            <w:r w:rsidRPr="00676D45">
              <w:rPr>
                <w:rFonts w:cs="Arial"/>
                <w:b w:val="0"/>
                <w:szCs w:val="20"/>
              </w:rPr>
              <w:t>Iron</w:t>
            </w:r>
          </w:p>
        </w:tc>
        <w:tc>
          <w:tcPr>
            <w:tcW w:w="1435" w:type="dxa"/>
            <w:tcBorders>
              <w:left w:val="none" w:sz="0" w:space="0" w:color="auto"/>
              <w:right w:val="none" w:sz="0" w:space="0" w:color="auto"/>
            </w:tcBorders>
          </w:tcPr>
          <w:p w14:paraId="67C4CF06" w14:textId="77777777" w:rsidR="00776154" w:rsidRPr="00676D45" w:rsidRDefault="00776154" w:rsidP="00776154">
            <w:pPr>
              <w:jc w:val="center"/>
              <w:cnfStyle w:val="000000010000" w:firstRow="0" w:lastRow="0" w:firstColumn="0" w:lastColumn="0" w:oddVBand="0" w:evenVBand="0" w:oddHBand="0" w:evenHBand="1" w:firstRowFirstColumn="0" w:firstRowLastColumn="0" w:lastRowFirstColumn="0" w:lastRowLastColumn="0"/>
              <w:rPr>
                <w:rFonts w:cs="Arial"/>
                <w:szCs w:val="20"/>
              </w:rPr>
            </w:pPr>
            <w:r w:rsidRPr="00676D45">
              <w:rPr>
                <w:rFonts w:cs="Arial"/>
                <w:szCs w:val="20"/>
              </w:rPr>
              <w:t>Max</w:t>
            </w:r>
          </w:p>
        </w:tc>
        <w:tc>
          <w:tcPr>
            <w:tcW w:w="1001" w:type="dxa"/>
            <w:tcBorders>
              <w:left w:val="none" w:sz="0" w:space="0" w:color="auto"/>
              <w:right w:val="none" w:sz="0" w:space="0" w:color="auto"/>
            </w:tcBorders>
            <w:vAlign w:val="center"/>
          </w:tcPr>
          <w:p w14:paraId="044710D8" w14:textId="4D8B264D" w:rsidR="00776154" w:rsidRPr="00676D45" w:rsidRDefault="00CA5C3F" w:rsidP="00CA5C3F">
            <w:pPr>
              <w:jc w:val="center"/>
              <w:cnfStyle w:val="000000010000" w:firstRow="0" w:lastRow="0" w:firstColumn="0" w:lastColumn="0" w:oddVBand="0" w:evenVBand="0" w:oddHBand="0" w:evenHBand="1" w:firstRowFirstColumn="0" w:firstRowLastColumn="0" w:lastRowFirstColumn="0" w:lastRowLastColumn="0"/>
              <w:rPr>
                <w:rFonts w:cs="Arial"/>
                <w:szCs w:val="20"/>
              </w:rPr>
            </w:pPr>
            <w:r>
              <w:rPr>
                <w:rFonts w:cs="Arial"/>
                <w:szCs w:val="20"/>
              </w:rPr>
              <w:t>ns</w:t>
            </w:r>
            <w:r w:rsidRPr="00CA5C3F">
              <w:rPr>
                <w:rFonts w:cs="Arial"/>
                <w:szCs w:val="20"/>
                <w:vertAlign w:val="superscript"/>
              </w:rPr>
              <w:t>1</w:t>
            </w:r>
          </w:p>
        </w:tc>
        <w:tc>
          <w:tcPr>
            <w:tcW w:w="2693" w:type="dxa"/>
            <w:tcBorders>
              <w:left w:val="none" w:sz="0" w:space="0" w:color="auto"/>
              <w:right w:val="none" w:sz="0" w:space="0" w:color="auto"/>
            </w:tcBorders>
          </w:tcPr>
          <w:p w14:paraId="355DE504" w14:textId="77777777" w:rsidR="00776154" w:rsidRPr="000A57BA" w:rsidRDefault="00776154" w:rsidP="00776154">
            <w:pPr>
              <w:cnfStyle w:val="000000010000" w:firstRow="0" w:lastRow="0" w:firstColumn="0" w:lastColumn="0" w:oddVBand="0" w:evenVBand="0" w:oddHBand="0" w:evenHBand="1" w:firstRowFirstColumn="0" w:firstRowLastColumn="0" w:lastRowFirstColumn="0" w:lastRowLastColumn="0"/>
              <w:rPr>
                <w:rFonts w:cs="Arial"/>
                <w:szCs w:val="20"/>
              </w:rPr>
            </w:pPr>
            <w:r w:rsidRPr="00DA7BF1">
              <w:rPr>
                <w:rFonts w:cs="Arial"/>
                <w:szCs w:val="20"/>
              </w:rPr>
              <w:t>Change Max to a GUL</w:t>
            </w:r>
          </w:p>
        </w:tc>
        <w:tc>
          <w:tcPr>
            <w:tcW w:w="2410" w:type="dxa"/>
            <w:tcBorders>
              <w:left w:val="none" w:sz="0" w:space="0" w:color="auto"/>
            </w:tcBorders>
          </w:tcPr>
          <w:p w14:paraId="6E27AD48" w14:textId="3F22515B" w:rsidR="00776154" w:rsidRPr="000A57BA" w:rsidRDefault="00776154" w:rsidP="00776154">
            <w:pPr>
              <w:cnfStyle w:val="000000010000" w:firstRow="0" w:lastRow="0" w:firstColumn="0" w:lastColumn="0" w:oddVBand="0" w:evenVBand="0" w:oddHBand="0" w:evenHBand="1" w:firstRowFirstColumn="0" w:firstRowLastColumn="0" w:lastRowFirstColumn="0" w:lastRowLastColumn="0"/>
              <w:rPr>
                <w:rFonts w:cs="Arial"/>
                <w:szCs w:val="20"/>
              </w:rPr>
            </w:pPr>
            <w:r w:rsidRPr="006F445B">
              <w:rPr>
                <w:rFonts w:cs="Arial"/>
                <w:szCs w:val="20"/>
              </w:rPr>
              <w:t>Retain Max</w:t>
            </w:r>
          </w:p>
        </w:tc>
      </w:tr>
      <w:tr w:rsidR="00776154" w:rsidRPr="000A57BA" w14:paraId="7C0D8F64" w14:textId="77777777" w:rsidTr="001C24D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70" w:type="dxa"/>
            <w:tcBorders>
              <w:right w:val="none" w:sz="0" w:space="0" w:color="auto"/>
            </w:tcBorders>
            <w:shd w:val="clear" w:color="auto" w:fill="F2F2F2" w:themeFill="background1" w:themeFillShade="F2"/>
          </w:tcPr>
          <w:p w14:paraId="53368DCA" w14:textId="77777777" w:rsidR="00776154" w:rsidRPr="000A57BA" w:rsidRDefault="00776154" w:rsidP="00776154">
            <w:pPr>
              <w:rPr>
                <w:rFonts w:cs="Arial"/>
                <w:b w:val="0"/>
                <w:szCs w:val="20"/>
              </w:rPr>
            </w:pPr>
            <w:r w:rsidRPr="000A57BA">
              <w:rPr>
                <w:rFonts w:cs="Arial"/>
                <w:b w:val="0"/>
                <w:szCs w:val="20"/>
              </w:rPr>
              <w:t>Iodine</w:t>
            </w:r>
          </w:p>
        </w:tc>
        <w:tc>
          <w:tcPr>
            <w:tcW w:w="1435" w:type="dxa"/>
            <w:tcBorders>
              <w:left w:val="none" w:sz="0" w:space="0" w:color="auto"/>
              <w:right w:val="none" w:sz="0" w:space="0" w:color="auto"/>
            </w:tcBorders>
            <w:shd w:val="clear" w:color="auto" w:fill="F2F2F2" w:themeFill="background1" w:themeFillShade="F2"/>
          </w:tcPr>
          <w:p w14:paraId="6EEA6123" w14:textId="77777777" w:rsidR="00776154" w:rsidRPr="000A57BA" w:rsidRDefault="00776154" w:rsidP="00776154">
            <w:pPr>
              <w:jc w:val="center"/>
              <w:cnfStyle w:val="000000100000" w:firstRow="0" w:lastRow="0" w:firstColumn="0" w:lastColumn="0" w:oddVBand="0" w:evenVBand="0" w:oddHBand="1" w:evenHBand="0" w:firstRowFirstColumn="0" w:firstRowLastColumn="0" w:lastRowFirstColumn="0" w:lastRowLastColumn="0"/>
              <w:rPr>
                <w:rFonts w:cs="Arial"/>
                <w:szCs w:val="20"/>
              </w:rPr>
            </w:pPr>
            <w:r w:rsidRPr="000A57BA">
              <w:rPr>
                <w:rFonts w:cs="Arial"/>
                <w:szCs w:val="20"/>
              </w:rPr>
              <w:t>Max</w:t>
            </w:r>
          </w:p>
        </w:tc>
        <w:tc>
          <w:tcPr>
            <w:tcW w:w="1001" w:type="dxa"/>
            <w:tcBorders>
              <w:left w:val="none" w:sz="0" w:space="0" w:color="auto"/>
              <w:right w:val="none" w:sz="0" w:space="0" w:color="auto"/>
            </w:tcBorders>
            <w:shd w:val="clear" w:color="auto" w:fill="F2F2F2" w:themeFill="background1" w:themeFillShade="F2"/>
          </w:tcPr>
          <w:p w14:paraId="309D7BFE" w14:textId="77777777" w:rsidR="00776154" w:rsidRPr="000A57BA" w:rsidRDefault="00776154" w:rsidP="00776154">
            <w:pPr>
              <w:jc w:val="center"/>
              <w:cnfStyle w:val="000000100000" w:firstRow="0" w:lastRow="0" w:firstColumn="0" w:lastColumn="0" w:oddVBand="0" w:evenVBand="0" w:oddHBand="1" w:evenHBand="0" w:firstRowFirstColumn="0" w:firstRowLastColumn="0" w:lastRowFirstColumn="0" w:lastRowLastColumn="0"/>
              <w:rPr>
                <w:rFonts w:cs="Arial"/>
                <w:szCs w:val="20"/>
              </w:rPr>
            </w:pPr>
            <w:r w:rsidRPr="000A57BA">
              <w:rPr>
                <w:rFonts w:cs="Arial"/>
                <w:szCs w:val="20"/>
              </w:rPr>
              <w:t>GUL</w:t>
            </w:r>
          </w:p>
        </w:tc>
        <w:tc>
          <w:tcPr>
            <w:tcW w:w="2693" w:type="dxa"/>
            <w:tcBorders>
              <w:left w:val="none" w:sz="0" w:space="0" w:color="auto"/>
              <w:right w:val="none" w:sz="0" w:space="0" w:color="auto"/>
            </w:tcBorders>
            <w:shd w:val="clear" w:color="auto" w:fill="F2F2F2" w:themeFill="background1" w:themeFillShade="F2"/>
          </w:tcPr>
          <w:p w14:paraId="24AA97EA" w14:textId="77777777" w:rsidR="00776154" w:rsidRPr="000A57BA" w:rsidRDefault="00776154" w:rsidP="00776154">
            <w:pPr>
              <w:cnfStyle w:val="000000100000" w:firstRow="0" w:lastRow="0" w:firstColumn="0" w:lastColumn="0" w:oddVBand="0" w:evenVBand="0" w:oddHBand="1" w:evenHBand="0" w:firstRowFirstColumn="0" w:firstRowLastColumn="0" w:lastRowFirstColumn="0" w:lastRowLastColumn="0"/>
              <w:rPr>
                <w:rFonts w:cs="Arial"/>
                <w:szCs w:val="20"/>
              </w:rPr>
            </w:pPr>
            <w:r w:rsidRPr="00DA7BF1">
              <w:rPr>
                <w:rFonts w:cs="Arial"/>
                <w:szCs w:val="20"/>
              </w:rPr>
              <w:t>Change Max to a GUL</w:t>
            </w:r>
          </w:p>
        </w:tc>
        <w:tc>
          <w:tcPr>
            <w:tcW w:w="2410" w:type="dxa"/>
            <w:tcBorders>
              <w:left w:val="none" w:sz="0" w:space="0" w:color="auto"/>
            </w:tcBorders>
            <w:shd w:val="clear" w:color="auto" w:fill="F2F2F2" w:themeFill="background1" w:themeFillShade="F2"/>
          </w:tcPr>
          <w:p w14:paraId="3F92C147" w14:textId="77777777" w:rsidR="00776154" w:rsidRPr="000A57BA" w:rsidRDefault="00776154" w:rsidP="00776154">
            <w:pPr>
              <w:cnfStyle w:val="000000100000" w:firstRow="0" w:lastRow="0" w:firstColumn="0" w:lastColumn="0" w:oddVBand="0" w:evenVBand="0" w:oddHBand="1" w:evenHBand="0" w:firstRowFirstColumn="0" w:firstRowLastColumn="0" w:lastRowFirstColumn="0" w:lastRowLastColumn="0"/>
              <w:rPr>
                <w:rFonts w:cs="Arial"/>
                <w:szCs w:val="20"/>
              </w:rPr>
            </w:pPr>
            <w:r>
              <w:rPr>
                <w:rFonts w:cs="Arial"/>
                <w:szCs w:val="20"/>
              </w:rPr>
              <w:t xml:space="preserve">Retain </w:t>
            </w:r>
            <w:r w:rsidRPr="00DA7BF1">
              <w:rPr>
                <w:rFonts w:cs="Arial"/>
                <w:szCs w:val="20"/>
              </w:rPr>
              <w:t xml:space="preserve">Max </w:t>
            </w:r>
          </w:p>
        </w:tc>
      </w:tr>
      <w:tr w:rsidR="00776154" w:rsidRPr="000A57BA" w14:paraId="26CC3889" w14:textId="77777777" w:rsidTr="001C24DD">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70" w:type="dxa"/>
            <w:tcBorders>
              <w:right w:val="none" w:sz="0" w:space="0" w:color="auto"/>
            </w:tcBorders>
          </w:tcPr>
          <w:p w14:paraId="2F42DDEC" w14:textId="77777777" w:rsidR="00776154" w:rsidRPr="000A57BA" w:rsidRDefault="00776154" w:rsidP="00776154">
            <w:pPr>
              <w:rPr>
                <w:rFonts w:cs="Arial"/>
                <w:b w:val="0"/>
                <w:szCs w:val="20"/>
              </w:rPr>
            </w:pPr>
            <w:r w:rsidRPr="000A57BA">
              <w:rPr>
                <w:rFonts w:cs="Arial"/>
                <w:b w:val="0"/>
                <w:szCs w:val="20"/>
              </w:rPr>
              <w:t>Copper</w:t>
            </w:r>
          </w:p>
        </w:tc>
        <w:tc>
          <w:tcPr>
            <w:tcW w:w="1435" w:type="dxa"/>
            <w:tcBorders>
              <w:left w:val="none" w:sz="0" w:space="0" w:color="auto"/>
              <w:right w:val="none" w:sz="0" w:space="0" w:color="auto"/>
            </w:tcBorders>
          </w:tcPr>
          <w:p w14:paraId="33488479" w14:textId="77777777" w:rsidR="00776154" w:rsidRPr="000A57BA" w:rsidRDefault="00776154" w:rsidP="00776154">
            <w:pPr>
              <w:jc w:val="center"/>
              <w:cnfStyle w:val="000000010000" w:firstRow="0" w:lastRow="0" w:firstColumn="0" w:lastColumn="0" w:oddVBand="0" w:evenVBand="0" w:oddHBand="0" w:evenHBand="1" w:firstRowFirstColumn="0" w:firstRowLastColumn="0" w:lastRowFirstColumn="0" w:lastRowLastColumn="0"/>
              <w:rPr>
                <w:rFonts w:cs="Arial"/>
                <w:szCs w:val="20"/>
              </w:rPr>
            </w:pPr>
            <w:r w:rsidRPr="000A57BA">
              <w:rPr>
                <w:rFonts w:cs="Arial"/>
                <w:szCs w:val="20"/>
              </w:rPr>
              <w:t>Max</w:t>
            </w:r>
          </w:p>
        </w:tc>
        <w:tc>
          <w:tcPr>
            <w:tcW w:w="1001" w:type="dxa"/>
            <w:tcBorders>
              <w:left w:val="none" w:sz="0" w:space="0" w:color="auto"/>
              <w:right w:val="none" w:sz="0" w:space="0" w:color="auto"/>
            </w:tcBorders>
          </w:tcPr>
          <w:p w14:paraId="000ED25A" w14:textId="77777777" w:rsidR="00776154" w:rsidRPr="000A57BA" w:rsidRDefault="00776154" w:rsidP="00776154">
            <w:pPr>
              <w:jc w:val="center"/>
              <w:cnfStyle w:val="000000010000" w:firstRow="0" w:lastRow="0" w:firstColumn="0" w:lastColumn="0" w:oddVBand="0" w:evenVBand="0" w:oddHBand="0" w:evenHBand="1" w:firstRowFirstColumn="0" w:firstRowLastColumn="0" w:lastRowFirstColumn="0" w:lastRowLastColumn="0"/>
              <w:rPr>
                <w:rFonts w:cs="Arial"/>
                <w:szCs w:val="20"/>
              </w:rPr>
            </w:pPr>
            <w:r w:rsidRPr="000A57BA">
              <w:rPr>
                <w:rFonts w:cs="Arial"/>
                <w:szCs w:val="20"/>
              </w:rPr>
              <w:t>GUL</w:t>
            </w:r>
          </w:p>
        </w:tc>
        <w:tc>
          <w:tcPr>
            <w:tcW w:w="2693" w:type="dxa"/>
            <w:tcBorders>
              <w:left w:val="none" w:sz="0" w:space="0" w:color="auto"/>
              <w:right w:val="none" w:sz="0" w:space="0" w:color="auto"/>
            </w:tcBorders>
          </w:tcPr>
          <w:p w14:paraId="53A8899B" w14:textId="77777777" w:rsidR="00776154" w:rsidRPr="000A57BA" w:rsidRDefault="00776154" w:rsidP="00776154">
            <w:pPr>
              <w:cnfStyle w:val="000000010000" w:firstRow="0" w:lastRow="0" w:firstColumn="0" w:lastColumn="0" w:oddVBand="0" w:evenVBand="0" w:oddHBand="0" w:evenHBand="1" w:firstRowFirstColumn="0" w:firstRowLastColumn="0" w:lastRowFirstColumn="0" w:lastRowLastColumn="0"/>
              <w:rPr>
                <w:rFonts w:cs="Arial"/>
                <w:szCs w:val="20"/>
              </w:rPr>
            </w:pPr>
            <w:r w:rsidRPr="00DA7BF1">
              <w:rPr>
                <w:rFonts w:cs="Arial"/>
                <w:szCs w:val="20"/>
              </w:rPr>
              <w:t>Change Max to a GUL</w:t>
            </w:r>
          </w:p>
        </w:tc>
        <w:tc>
          <w:tcPr>
            <w:tcW w:w="2410" w:type="dxa"/>
            <w:tcBorders>
              <w:left w:val="none" w:sz="0" w:space="0" w:color="auto"/>
            </w:tcBorders>
          </w:tcPr>
          <w:p w14:paraId="03B3E105" w14:textId="77777777" w:rsidR="00776154" w:rsidRPr="000A57BA" w:rsidRDefault="00776154" w:rsidP="00776154">
            <w:pPr>
              <w:cnfStyle w:val="000000010000" w:firstRow="0" w:lastRow="0" w:firstColumn="0" w:lastColumn="0" w:oddVBand="0" w:evenVBand="0" w:oddHBand="0" w:evenHBand="1" w:firstRowFirstColumn="0" w:firstRowLastColumn="0" w:lastRowFirstColumn="0" w:lastRowLastColumn="0"/>
              <w:rPr>
                <w:rFonts w:cs="Arial"/>
                <w:szCs w:val="20"/>
              </w:rPr>
            </w:pPr>
            <w:r w:rsidRPr="00DA7BF1">
              <w:rPr>
                <w:rFonts w:cs="Arial"/>
                <w:szCs w:val="20"/>
              </w:rPr>
              <w:t>Change Max to a GUL</w:t>
            </w:r>
          </w:p>
        </w:tc>
      </w:tr>
      <w:tr w:rsidR="00776154" w:rsidRPr="000A57BA" w14:paraId="776F1457" w14:textId="77777777" w:rsidTr="001C24D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70" w:type="dxa"/>
            <w:tcBorders>
              <w:right w:val="none" w:sz="0" w:space="0" w:color="auto"/>
            </w:tcBorders>
            <w:shd w:val="clear" w:color="auto" w:fill="F2F2F2" w:themeFill="background1" w:themeFillShade="F2"/>
          </w:tcPr>
          <w:p w14:paraId="03A1B0B2" w14:textId="77777777" w:rsidR="00776154" w:rsidRPr="000A57BA" w:rsidRDefault="00776154" w:rsidP="00776154">
            <w:pPr>
              <w:rPr>
                <w:rFonts w:cs="Arial"/>
                <w:b w:val="0"/>
                <w:szCs w:val="20"/>
              </w:rPr>
            </w:pPr>
            <w:r w:rsidRPr="000A57BA">
              <w:rPr>
                <w:rFonts w:cs="Arial"/>
                <w:b w:val="0"/>
                <w:szCs w:val="20"/>
              </w:rPr>
              <w:t>Zinc</w:t>
            </w:r>
          </w:p>
        </w:tc>
        <w:tc>
          <w:tcPr>
            <w:tcW w:w="1435" w:type="dxa"/>
            <w:tcBorders>
              <w:left w:val="none" w:sz="0" w:space="0" w:color="auto"/>
              <w:right w:val="none" w:sz="0" w:space="0" w:color="auto"/>
            </w:tcBorders>
            <w:shd w:val="clear" w:color="auto" w:fill="F2F2F2" w:themeFill="background1" w:themeFillShade="F2"/>
          </w:tcPr>
          <w:p w14:paraId="6D0456BB" w14:textId="77777777" w:rsidR="00776154" w:rsidRPr="000A57BA" w:rsidRDefault="00776154" w:rsidP="00776154">
            <w:pPr>
              <w:jc w:val="center"/>
              <w:cnfStyle w:val="000000100000" w:firstRow="0" w:lastRow="0" w:firstColumn="0" w:lastColumn="0" w:oddVBand="0" w:evenVBand="0" w:oddHBand="1" w:evenHBand="0" w:firstRowFirstColumn="0" w:firstRowLastColumn="0" w:lastRowFirstColumn="0" w:lastRowLastColumn="0"/>
              <w:rPr>
                <w:rFonts w:cs="Arial"/>
                <w:szCs w:val="20"/>
              </w:rPr>
            </w:pPr>
            <w:r w:rsidRPr="000A57BA">
              <w:rPr>
                <w:rFonts w:cs="Arial"/>
                <w:szCs w:val="20"/>
              </w:rPr>
              <w:t>Max</w:t>
            </w:r>
          </w:p>
        </w:tc>
        <w:tc>
          <w:tcPr>
            <w:tcW w:w="1001" w:type="dxa"/>
            <w:tcBorders>
              <w:left w:val="none" w:sz="0" w:space="0" w:color="auto"/>
              <w:right w:val="none" w:sz="0" w:space="0" w:color="auto"/>
            </w:tcBorders>
            <w:shd w:val="clear" w:color="auto" w:fill="F2F2F2" w:themeFill="background1" w:themeFillShade="F2"/>
          </w:tcPr>
          <w:p w14:paraId="5A803B5E" w14:textId="77777777" w:rsidR="00776154" w:rsidRPr="000A57BA" w:rsidRDefault="00776154" w:rsidP="00776154">
            <w:pPr>
              <w:jc w:val="center"/>
              <w:cnfStyle w:val="000000100000" w:firstRow="0" w:lastRow="0" w:firstColumn="0" w:lastColumn="0" w:oddVBand="0" w:evenVBand="0" w:oddHBand="1" w:evenHBand="0" w:firstRowFirstColumn="0" w:firstRowLastColumn="0" w:lastRowFirstColumn="0" w:lastRowLastColumn="0"/>
              <w:rPr>
                <w:rFonts w:cs="Arial"/>
                <w:szCs w:val="20"/>
              </w:rPr>
            </w:pPr>
            <w:r w:rsidRPr="000A57BA">
              <w:rPr>
                <w:rFonts w:cs="Arial"/>
                <w:szCs w:val="20"/>
              </w:rPr>
              <w:t>GUL</w:t>
            </w:r>
          </w:p>
        </w:tc>
        <w:tc>
          <w:tcPr>
            <w:tcW w:w="2693" w:type="dxa"/>
            <w:tcBorders>
              <w:left w:val="none" w:sz="0" w:space="0" w:color="auto"/>
              <w:right w:val="none" w:sz="0" w:space="0" w:color="auto"/>
            </w:tcBorders>
            <w:shd w:val="clear" w:color="auto" w:fill="F2F2F2" w:themeFill="background1" w:themeFillShade="F2"/>
          </w:tcPr>
          <w:p w14:paraId="047273AC" w14:textId="77777777" w:rsidR="00776154" w:rsidRPr="000A57BA" w:rsidRDefault="00776154" w:rsidP="00776154">
            <w:pPr>
              <w:cnfStyle w:val="000000100000" w:firstRow="0" w:lastRow="0" w:firstColumn="0" w:lastColumn="0" w:oddVBand="0" w:evenVBand="0" w:oddHBand="1" w:evenHBand="0" w:firstRowFirstColumn="0" w:firstRowLastColumn="0" w:lastRowFirstColumn="0" w:lastRowLastColumn="0"/>
              <w:rPr>
                <w:rFonts w:cs="Arial"/>
                <w:szCs w:val="20"/>
              </w:rPr>
            </w:pPr>
            <w:r w:rsidRPr="00DA7BF1">
              <w:rPr>
                <w:rFonts w:cs="Arial"/>
                <w:szCs w:val="20"/>
              </w:rPr>
              <w:t>Change Max to a GUL</w:t>
            </w:r>
          </w:p>
        </w:tc>
        <w:tc>
          <w:tcPr>
            <w:tcW w:w="2410" w:type="dxa"/>
            <w:tcBorders>
              <w:left w:val="none" w:sz="0" w:space="0" w:color="auto"/>
            </w:tcBorders>
            <w:shd w:val="clear" w:color="auto" w:fill="F2F2F2" w:themeFill="background1" w:themeFillShade="F2"/>
          </w:tcPr>
          <w:p w14:paraId="35CC3DE4" w14:textId="77777777" w:rsidR="00776154" w:rsidRPr="000A57BA" w:rsidRDefault="00776154" w:rsidP="00776154">
            <w:pPr>
              <w:cnfStyle w:val="000000100000" w:firstRow="0" w:lastRow="0" w:firstColumn="0" w:lastColumn="0" w:oddVBand="0" w:evenVBand="0" w:oddHBand="1" w:evenHBand="0" w:firstRowFirstColumn="0" w:firstRowLastColumn="0" w:lastRowFirstColumn="0" w:lastRowLastColumn="0"/>
              <w:rPr>
                <w:rFonts w:cs="Arial"/>
                <w:szCs w:val="20"/>
              </w:rPr>
            </w:pPr>
            <w:r w:rsidRPr="00DA7BF1">
              <w:rPr>
                <w:rFonts w:cs="Arial"/>
                <w:szCs w:val="20"/>
              </w:rPr>
              <w:t>Change Max to a GUL</w:t>
            </w:r>
          </w:p>
        </w:tc>
      </w:tr>
      <w:tr w:rsidR="00776154" w:rsidRPr="000A57BA" w14:paraId="2C3ED628" w14:textId="77777777" w:rsidTr="00774FC6">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70" w:type="dxa"/>
            <w:tcBorders>
              <w:right w:val="none" w:sz="0" w:space="0" w:color="auto"/>
            </w:tcBorders>
            <w:shd w:val="clear" w:color="auto" w:fill="FFFFFF" w:themeFill="background1"/>
          </w:tcPr>
          <w:p w14:paraId="7B6C3680" w14:textId="77777777" w:rsidR="00776154" w:rsidRPr="00774FC6" w:rsidRDefault="00776154" w:rsidP="00776154">
            <w:pPr>
              <w:rPr>
                <w:rFonts w:cs="Arial"/>
                <w:b w:val="0"/>
                <w:szCs w:val="20"/>
              </w:rPr>
            </w:pPr>
            <w:r w:rsidRPr="00774FC6">
              <w:rPr>
                <w:rFonts w:cs="Arial"/>
                <w:b w:val="0"/>
                <w:szCs w:val="20"/>
              </w:rPr>
              <w:t>Manganese</w:t>
            </w:r>
          </w:p>
        </w:tc>
        <w:tc>
          <w:tcPr>
            <w:tcW w:w="1435" w:type="dxa"/>
            <w:tcBorders>
              <w:left w:val="none" w:sz="0" w:space="0" w:color="auto"/>
              <w:right w:val="none" w:sz="0" w:space="0" w:color="auto"/>
            </w:tcBorders>
            <w:shd w:val="clear" w:color="auto" w:fill="FFFFFF" w:themeFill="background1"/>
          </w:tcPr>
          <w:p w14:paraId="0173D818" w14:textId="77777777" w:rsidR="00776154" w:rsidRPr="00774FC6" w:rsidRDefault="00776154" w:rsidP="00776154">
            <w:pPr>
              <w:jc w:val="center"/>
              <w:cnfStyle w:val="000000010000" w:firstRow="0" w:lastRow="0" w:firstColumn="0" w:lastColumn="0" w:oddVBand="0" w:evenVBand="0" w:oddHBand="0" w:evenHBand="1" w:firstRowFirstColumn="0" w:firstRowLastColumn="0" w:lastRowFirstColumn="0" w:lastRowLastColumn="0"/>
              <w:rPr>
                <w:rFonts w:cs="Arial"/>
                <w:szCs w:val="20"/>
              </w:rPr>
            </w:pPr>
            <w:r w:rsidRPr="00774FC6">
              <w:rPr>
                <w:rFonts w:cs="Arial"/>
                <w:szCs w:val="20"/>
              </w:rPr>
              <w:t>Max</w:t>
            </w:r>
          </w:p>
        </w:tc>
        <w:tc>
          <w:tcPr>
            <w:tcW w:w="1001" w:type="dxa"/>
            <w:tcBorders>
              <w:left w:val="none" w:sz="0" w:space="0" w:color="auto"/>
              <w:right w:val="none" w:sz="0" w:space="0" w:color="auto"/>
            </w:tcBorders>
            <w:shd w:val="clear" w:color="auto" w:fill="FFFFFF" w:themeFill="background1"/>
          </w:tcPr>
          <w:p w14:paraId="5435D37B" w14:textId="77777777" w:rsidR="00776154" w:rsidRPr="00774FC6" w:rsidRDefault="00776154" w:rsidP="00776154">
            <w:pPr>
              <w:jc w:val="center"/>
              <w:cnfStyle w:val="000000010000" w:firstRow="0" w:lastRow="0" w:firstColumn="0" w:lastColumn="0" w:oddVBand="0" w:evenVBand="0" w:oddHBand="0" w:evenHBand="1" w:firstRowFirstColumn="0" w:firstRowLastColumn="0" w:lastRowFirstColumn="0" w:lastRowLastColumn="0"/>
              <w:rPr>
                <w:rFonts w:cs="Arial"/>
                <w:szCs w:val="20"/>
              </w:rPr>
            </w:pPr>
            <w:r w:rsidRPr="00774FC6">
              <w:rPr>
                <w:rFonts w:cs="Arial"/>
                <w:szCs w:val="20"/>
              </w:rPr>
              <w:t>GUL</w:t>
            </w:r>
          </w:p>
        </w:tc>
        <w:tc>
          <w:tcPr>
            <w:tcW w:w="2693" w:type="dxa"/>
            <w:tcBorders>
              <w:left w:val="none" w:sz="0" w:space="0" w:color="auto"/>
              <w:right w:val="none" w:sz="0" w:space="0" w:color="auto"/>
            </w:tcBorders>
          </w:tcPr>
          <w:p w14:paraId="2FFEE975" w14:textId="77777777" w:rsidR="00776154" w:rsidRPr="000A57BA" w:rsidRDefault="00776154" w:rsidP="00776154">
            <w:pPr>
              <w:cnfStyle w:val="000000010000" w:firstRow="0" w:lastRow="0" w:firstColumn="0" w:lastColumn="0" w:oddVBand="0" w:evenVBand="0" w:oddHBand="0" w:evenHBand="1" w:firstRowFirstColumn="0" w:firstRowLastColumn="0" w:lastRowFirstColumn="0" w:lastRowLastColumn="0"/>
              <w:rPr>
                <w:rFonts w:cs="Arial"/>
                <w:szCs w:val="20"/>
              </w:rPr>
            </w:pPr>
            <w:r w:rsidRPr="00DA7BF1">
              <w:rPr>
                <w:rFonts w:cs="Arial"/>
                <w:szCs w:val="20"/>
              </w:rPr>
              <w:t>Change Max to a GUL</w:t>
            </w:r>
          </w:p>
        </w:tc>
        <w:tc>
          <w:tcPr>
            <w:tcW w:w="2410" w:type="dxa"/>
            <w:tcBorders>
              <w:left w:val="none" w:sz="0" w:space="0" w:color="auto"/>
            </w:tcBorders>
          </w:tcPr>
          <w:p w14:paraId="614EEF4A" w14:textId="77777777" w:rsidR="00776154" w:rsidRPr="000A57BA" w:rsidRDefault="00776154" w:rsidP="00776154">
            <w:pPr>
              <w:cnfStyle w:val="000000010000" w:firstRow="0" w:lastRow="0" w:firstColumn="0" w:lastColumn="0" w:oddVBand="0" w:evenVBand="0" w:oddHBand="0" w:evenHBand="1" w:firstRowFirstColumn="0" w:firstRowLastColumn="0" w:lastRowFirstColumn="0" w:lastRowLastColumn="0"/>
              <w:rPr>
                <w:rFonts w:cs="Arial"/>
                <w:szCs w:val="20"/>
              </w:rPr>
            </w:pPr>
            <w:r w:rsidRPr="00DA7BF1">
              <w:rPr>
                <w:rFonts w:cs="Arial"/>
                <w:szCs w:val="20"/>
              </w:rPr>
              <w:t>Change Max to a GUL</w:t>
            </w:r>
          </w:p>
        </w:tc>
      </w:tr>
      <w:tr w:rsidR="00776154" w:rsidRPr="000A57BA" w14:paraId="0EAF368F" w14:textId="77777777" w:rsidTr="001C24D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70" w:type="dxa"/>
            <w:tcBorders>
              <w:right w:val="none" w:sz="0" w:space="0" w:color="auto"/>
            </w:tcBorders>
            <w:shd w:val="clear" w:color="auto" w:fill="F2F2F2" w:themeFill="background1" w:themeFillShade="F2"/>
          </w:tcPr>
          <w:p w14:paraId="01AA8212" w14:textId="77777777" w:rsidR="00776154" w:rsidRPr="000A57BA" w:rsidRDefault="00776154" w:rsidP="00776154">
            <w:pPr>
              <w:rPr>
                <w:rFonts w:cs="Arial"/>
                <w:b w:val="0"/>
                <w:szCs w:val="20"/>
              </w:rPr>
            </w:pPr>
            <w:r w:rsidRPr="000A57BA">
              <w:rPr>
                <w:rFonts w:cs="Arial"/>
                <w:b w:val="0"/>
                <w:szCs w:val="20"/>
              </w:rPr>
              <w:t>Selenium</w:t>
            </w:r>
          </w:p>
        </w:tc>
        <w:tc>
          <w:tcPr>
            <w:tcW w:w="1435" w:type="dxa"/>
            <w:tcBorders>
              <w:left w:val="none" w:sz="0" w:space="0" w:color="auto"/>
              <w:right w:val="none" w:sz="0" w:space="0" w:color="auto"/>
            </w:tcBorders>
            <w:shd w:val="clear" w:color="auto" w:fill="F2F2F2" w:themeFill="background1" w:themeFillShade="F2"/>
          </w:tcPr>
          <w:p w14:paraId="054C8F3C" w14:textId="77777777" w:rsidR="00776154" w:rsidRPr="000A57BA" w:rsidRDefault="00776154" w:rsidP="00776154">
            <w:pPr>
              <w:jc w:val="center"/>
              <w:cnfStyle w:val="000000100000" w:firstRow="0" w:lastRow="0" w:firstColumn="0" w:lastColumn="0" w:oddVBand="0" w:evenVBand="0" w:oddHBand="1" w:evenHBand="0" w:firstRowFirstColumn="0" w:firstRowLastColumn="0" w:lastRowFirstColumn="0" w:lastRowLastColumn="0"/>
              <w:rPr>
                <w:rFonts w:cs="Arial"/>
                <w:szCs w:val="20"/>
              </w:rPr>
            </w:pPr>
            <w:r w:rsidRPr="000A57BA">
              <w:rPr>
                <w:rFonts w:cs="Arial"/>
                <w:szCs w:val="20"/>
              </w:rPr>
              <w:t>Max</w:t>
            </w:r>
          </w:p>
        </w:tc>
        <w:tc>
          <w:tcPr>
            <w:tcW w:w="1001" w:type="dxa"/>
            <w:tcBorders>
              <w:left w:val="none" w:sz="0" w:space="0" w:color="auto"/>
              <w:right w:val="none" w:sz="0" w:space="0" w:color="auto"/>
            </w:tcBorders>
            <w:shd w:val="clear" w:color="auto" w:fill="F2F2F2" w:themeFill="background1" w:themeFillShade="F2"/>
          </w:tcPr>
          <w:p w14:paraId="651FA818" w14:textId="77777777" w:rsidR="00776154" w:rsidRPr="000A57BA" w:rsidRDefault="00776154" w:rsidP="00776154">
            <w:pPr>
              <w:jc w:val="center"/>
              <w:cnfStyle w:val="000000100000" w:firstRow="0" w:lastRow="0" w:firstColumn="0" w:lastColumn="0" w:oddVBand="0" w:evenVBand="0" w:oddHBand="1" w:evenHBand="0" w:firstRowFirstColumn="0" w:firstRowLastColumn="0" w:lastRowFirstColumn="0" w:lastRowLastColumn="0"/>
              <w:rPr>
                <w:rFonts w:cs="Arial"/>
                <w:szCs w:val="20"/>
              </w:rPr>
            </w:pPr>
            <w:r w:rsidRPr="000A57BA">
              <w:rPr>
                <w:rFonts w:cs="Arial"/>
                <w:szCs w:val="20"/>
              </w:rPr>
              <w:t>GUL</w:t>
            </w:r>
          </w:p>
        </w:tc>
        <w:tc>
          <w:tcPr>
            <w:tcW w:w="2693" w:type="dxa"/>
            <w:tcBorders>
              <w:left w:val="none" w:sz="0" w:space="0" w:color="auto"/>
              <w:right w:val="none" w:sz="0" w:space="0" w:color="auto"/>
            </w:tcBorders>
            <w:shd w:val="clear" w:color="auto" w:fill="F2F2F2" w:themeFill="background1" w:themeFillShade="F2"/>
          </w:tcPr>
          <w:p w14:paraId="0A809381" w14:textId="77777777" w:rsidR="00776154" w:rsidRPr="000A57BA" w:rsidRDefault="00776154" w:rsidP="00776154">
            <w:pPr>
              <w:cnfStyle w:val="000000100000" w:firstRow="0" w:lastRow="0" w:firstColumn="0" w:lastColumn="0" w:oddVBand="0" w:evenVBand="0" w:oddHBand="1" w:evenHBand="0" w:firstRowFirstColumn="0" w:firstRowLastColumn="0" w:lastRowFirstColumn="0" w:lastRowLastColumn="0"/>
              <w:rPr>
                <w:rFonts w:cs="Arial"/>
                <w:szCs w:val="20"/>
              </w:rPr>
            </w:pPr>
            <w:r w:rsidRPr="000A57BA">
              <w:rPr>
                <w:rFonts w:cs="Arial"/>
                <w:szCs w:val="20"/>
              </w:rPr>
              <w:t>Further information sought</w:t>
            </w:r>
          </w:p>
        </w:tc>
        <w:tc>
          <w:tcPr>
            <w:tcW w:w="2410" w:type="dxa"/>
            <w:tcBorders>
              <w:left w:val="none" w:sz="0" w:space="0" w:color="auto"/>
            </w:tcBorders>
            <w:shd w:val="clear" w:color="auto" w:fill="F2F2F2" w:themeFill="background1" w:themeFillShade="F2"/>
          </w:tcPr>
          <w:p w14:paraId="01A76A8C" w14:textId="77777777" w:rsidR="00776154" w:rsidRPr="000A57BA" w:rsidRDefault="00776154" w:rsidP="00776154">
            <w:pPr>
              <w:cnfStyle w:val="000000100000" w:firstRow="0" w:lastRow="0" w:firstColumn="0" w:lastColumn="0" w:oddVBand="0" w:evenVBand="0" w:oddHBand="1" w:evenHBand="0" w:firstRowFirstColumn="0" w:firstRowLastColumn="0" w:lastRowFirstColumn="0" w:lastRowLastColumn="0"/>
              <w:rPr>
                <w:rFonts w:cs="Arial"/>
                <w:szCs w:val="20"/>
              </w:rPr>
            </w:pPr>
            <w:r>
              <w:rPr>
                <w:rFonts w:cs="Arial"/>
                <w:szCs w:val="20"/>
              </w:rPr>
              <w:t>Retain Max</w:t>
            </w:r>
          </w:p>
        </w:tc>
      </w:tr>
      <w:tr w:rsidR="00776154" w:rsidRPr="000A57BA" w14:paraId="39B9F873" w14:textId="77777777" w:rsidTr="001C24DD">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70" w:type="dxa"/>
            <w:tcBorders>
              <w:right w:val="none" w:sz="0" w:space="0" w:color="auto"/>
            </w:tcBorders>
          </w:tcPr>
          <w:p w14:paraId="72CCBA2E" w14:textId="77777777" w:rsidR="00776154" w:rsidRPr="000A57BA" w:rsidRDefault="00776154" w:rsidP="00776154">
            <w:pPr>
              <w:rPr>
                <w:rFonts w:cs="Arial"/>
                <w:b w:val="0"/>
                <w:szCs w:val="20"/>
              </w:rPr>
            </w:pPr>
            <w:r w:rsidRPr="000A57BA">
              <w:rPr>
                <w:rFonts w:cs="Arial"/>
                <w:b w:val="0"/>
                <w:szCs w:val="20"/>
              </w:rPr>
              <w:t>Chromium</w:t>
            </w:r>
          </w:p>
        </w:tc>
        <w:tc>
          <w:tcPr>
            <w:tcW w:w="1435" w:type="dxa"/>
            <w:tcBorders>
              <w:left w:val="none" w:sz="0" w:space="0" w:color="auto"/>
              <w:right w:val="none" w:sz="0" w:space="0" w:color="auto"/>
            </w:tcBorders>
          </w:tcPr>
          <w:p w14:paraId="330F5ED3" w14:textId="77777777" w:rsidR="00776154" w:rsidRPr="000A57BA" w:rsidRDefault="00776154" w:rsidP="00776154">
            <w:pPr>
              <w:jc w:val="center"/>
              <w:cnfStyle w:val="000000010000" w:firstRow="0" w:lastRow="0" w:firstColumn="0" w:lastColumn="0" w:oddVBand="0" w:evenVBand="0" w:oddHBand="0" w:evenHBand="1" w:firstRowFirstColumn="0" w:firstRowLastColumn="0" w:lastRowFirstColumn="0" w:lastRowLastColumn="0"/>
              <w:rPr>
                <w:rFonts w:cs="Arial"/>
                <w:szCs w:val="20"/>
              </w:rPr>
            </w:pPr>
            <w:r w:rsidRPr="000A57BA">
              <w:rPr>
                <w:rFonts w:cs="Arial"/>
                <w:szCs w:val="20"/>
              </w:rPr>
              <w:t>GUL</w:t>
            </w:r>
          </w:p>
        </w:tc>
        <w:tc>
          <w:tcPr>
            <w:tcW w:w="1001" w:type="dxa"/>
            <w:tcBorders>
              <w:left w:val="none" w:sz="0" w:space="0" w:color="auto"/>
              <w:right w:val="none" w:sz="0" w:space="0" w:color="auto"/>
            </w:tcBorders>
          </w:tcPr>
          <w:p w14:paraId="6FB59A4B" w14:textId="77777777" w:rsidR="00776154" w:rsidRPr="000A57BA" w:rsidRDefault="00776154" w:rsidP="00776154">
            <w:pPr>
              <w:jc w:val="center"/>
              <w:cnfStyle w:val="000000010000" w:firstRow="0" w:lastRow="0" w:firstColumn="0" w:lastColumn="0" w:oddVBand="0" w:evenVBand="0" w:oddHBand="0" w:evenHBand="1" w:firstRowFirstColumn="0" w:firstRowLastColumn="0" w:lastRowFirstColumn="0" w:lastRowLastColumn="0"/>
              <w:rPr>
                <w:rFonts w:cs="Arial"/>
                <w:szCs w:val="20"/>
              </w:rPr>
            </w:pPr>
            <w:r w:rsidRPr="000A57BA">
              <w:rPr>
                <w:rFonts w:cs="Arial"/>
                <w:szCs w:val="20"/>
              </w:rPr>
              <w:t>ns</w:t>
            </w:r>
          </w:p>
        </w:tc>
        <w:tc>
          <w:tcPr>
            <w:tcW w:w="2693" w:type="dxa"/>
            <w:tcBorders>
              <w:left w:val="none" w:sz="0" w:space="0" w:color="auto"/>
              <w:right w:val="none" w:sz="0" w:space="0" w:color="auto"/>
            </w:tcBorders>
          </w:tcPr>
          <w:p w14:paraId="24ED20B1" w14:textId="77777777" w:rsidR="00776154" w:rsidRPr="000A57BA" w:rsidRDefault="00776154" w:rsidP="00776154">
            <w:pPr>
              <w:cnfStyle w:val="000000010000" w:firstRow="0" w:lastRow="0" w:firstColumn="0" w:lastColumn="0" w:oddVBand="0" w:evenVBand="0" w:oddHBand="0" w:evenHBand="1" w:firstRowFirstColumn="0" w:firstRowLastColumn="0" w:lastRowFirstColumn="0" w:lastRowLastColumn="0"/>
              <w:rPr>
                <w:rFonts w:cs="Arial"/>
                <w:szCs w:val="20"/>
              </w:rPr>
            </w:pPr>
            <w:r w:rsidRPr="000A57BA">
              <w:rPr>
                <w:rFonts w:cs="Arial"/>
                <w:szCs w:val="20"/>
              </w:rPr>
              <w:t xml:space="preserve">Retain GUL </w:t>
            </w:r>
          </w:p>
        </w:tc>
        <w:tc>
          <w:tcPr>
            <w:tcW w:w="2410" w:type="dxa"/>
            <w:tcBorders>
              <w:left w:val="none" w:sz="0" w:space="0" w:color="auto"/>
            </w:tcBorders>
          </w:tcPr>
          <w:p w14:paraId="380BDA14" w14:textId="77777777" w:rsidR="00776154" w:rsidRPr="000A57BA" w:rsidRDefault="00776154" w:rsidP="00776154">
            <w:pPr>
              <w:cnfStyle w:val="000000010000" w:firstRow="0" w:lastRow="0" w:firstColumn="0" w:lastColumn="0" w:oddVBand="0" w:evenVBand="0" w:oddHBand="0" w:evenHBand="1" w:firstRowFirstColumn="0" w:firstRowLastColumn="0" w:lastRowFirstColumn="0" w:lastRowLastColumn="0"/>
              <w:rPr>
                <w:rFonts w:cs="Arial"/>
                <w:szCs w:val="20"/>
              </w:rPr>
            </w:pPr>
            <w:r w:rsidRPr="000A57BA">
              <w:rPr>
                <w:rFonts w:cs="Arial"/>
                <w:szCs w:val="20"/>
              </w:rPr>
              <w:t xml:space="preserve">Retain GUL </w:t>
            </w:r>
          </w:p>
        </w:tc>
      </w:tr>
      <w:tr w:rsidR="00776154" w:rsidRPr="000A57BA" w14:paraId="09DC276D" w14:textId="77777777" w:rsidTr="001C24D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70" w:type="dxa"/>
            <w:tcBorders>
              <w:right w:val="none" w:sz="0" w:space="0" w:color="auto"/>
            </w:tcBorders>
            <w:shd w:val="clear" w:color="auto" w:fill="F2F2F2" w:themeFill="background1" w:themeFillShade="F2"/>
          </w:tcPr>
          <w:p w14:paraId="2E7D1CAF" w14:textId="77777777" w:rsidR="00776154" w:rsidRPr="000A57BA" w:rsidRDefault="00776154" w:rsidP="00776154">
            <w:pPr>
              <w:rPr>
                <w:rFonts w:cs="Arial"/>
                <w:b w:val="0"/>
                <w:szCs w:val="20"/>
              </w:rPr>
            </w:pPr>
            <w:r w:rsidRPr="000A57BA">
              <w:rPr>
                <w:rFonts w:cs="Arial"/>
                <w:b w:val="0"/>
                <w:szCs w:val="20"/>
              </w:rPr>
              <w:t>Molybdenum</w:t>
            </w:r>
          </w:p>
        </w:tc>
        <w:tc>
          <w:tcPr>
            <w:tcW w:w="1435" w:type="dxa"/>
            <w:tcBorders>
              <w:left w:val="none" w:sz="0" w:space="0" w:color="auto"/>
              <w:right w:val="none" w:sz="0" w:space="0" w:color="auto"/>
            </w:tcBorders>
            <w:shd w:val="clear" w:color="auto" w:fill="F2F2F2" w:themeFill="background1" w:themeFillShade="F2"/>
          </w:tcPr>
          <w:p w14:paraId="10C2354D" w14:textId="77777777" w:rsidR="00776154" w:rsidRPr="000A57BA" w:rsidRDefault="00776154" w:rsidP="00776154">
            <w:pPr>
              <w:jc w:val="center"/>
              <w:cnfStyle w:val="000000100000" w:firstRow="0" w:lastRow="0" w:firstColumn="0" w:lastColumn="0" w:oddVBand="0" w:evenVBand="0" w:oddHBand="1" w:evenHBand="0" w:firstRowFirstColumn="0" w:firstRowLastColumn="0" w:lastRowFirstColumn="0" w:lastRowLastColumn="0"/>
              <w:rPr>
                <w:rFonts w:cs="Arial"/>
                <w:szCs w:val="20"/>
              </w:rPr>
            </w:pPr>
            <w:r w:rsidRPr="000A57BA">
              <w:rPr>
                <w:rFonts w:cs="Arial"/>
                <w:szCs w:val="20"/>
              </w:rPr>
              <w:t>GUL</w:t>
            </w:r>
          </w:p>
        </w:tc>
        <w:tc>
          <w:tcPr>
            <w:tcW w:w="1001" w:type="dxa"/>
            <w:tcBorders>
              <w:left w:val="none" w:sz="0" w:space="0" w:color="auto"/>
              <w:right w:val="none" w:sz="0" w:space="0" w:color="auto"/>
            </w:tcBorders>
            <w:shd w:val="clear" w:color="auto" w:fill="F2F2F2" w:themeFill="background1" w:themeFillShade="F2"/>
          </w:tcPr>
          <w:p w14:paraId="058388A4" w14:textId="77777777" w:rsidR="00776154" w:rsidRPr="000A57BA" w:rsidRDefault="00776154" w:rsidP="00776154">
            <w:pPr>
              <w:jc w:val="center"/>
              <w:cnfStyle w:val="000000100000" w:firstRow="0" w:lastRow="0" w:firstColumn="0" w:lastColumn="0" w:oddVBand="0" w:evenVBand="0" w:oddHBand="1" w:evenHBand="0" w:firstRowFirstColumn="0" w:firstRowLastColumn="0" w:lastRowFirstColumn="0" w:lastRowLastColumn="0"/>
              <w:rPr>
                <w:rFonts w:cs="Arial"/>
                <w:szCs w:val="20"/>
              </w:rPr>
            </w:pPr>
            <w:r w:rsidRPr="000A57BA">
              <w:rPr>
                <w:rFonts w:cs="Arial"/>
                <w:szCs w:val="20"/>
              </w:rPr>
              <w:t>ns</w:t>
            </w:r>
          </w:p>
        </w:tc>
        <w:tc>
          <w:tcPr>
            <w:tcW w:w="2693" w:type="dxa"/>
            <w:tcBorders>
              <w:left w:val="none" w:sz="0" w:space="0" w:color="auto"/>
              <w:right w:val="none" w:sz="0" w:space="0" w:color="auto"/>
            </w:tcBorders>
            <w:shd w:val="clear" w:color="auto" w:fill="F2F2F2" w:themeFill="background1" w:themeFillShade="F2"/>
          </w:tcPr>
          <w:p w14:paraId="221DC1DD" w14:textId="77777777" w:rsidR="00776154" w:rsidRPr="000A57BA" w:rsidRDefault="00776154" w:rsidP="00776154">
            <w:pPr>
              <w:cnfStyle w:val="000000100000" w:firstRow="0" w:lastRow="0" w:firstColumn="0" w:lastColumn="0" w:oddVBand="0" w:evenVBand="0" w:oddHBand="1" w:evenHBand="0" w:firstRowFirstColumn="0" w:firstRowLastColumn="0" w:lastRowFirstColumn="0" w:lastRowLastColumn="0"/>
              <w:rPr>
                <w:rFonts w:cs="Arial"/>
                <w:szCs w:val="20"/>
              </w:rPr>
            </w:pPr>
            <w:r w:rsidRPr="000A57BA">
              <w:rPr>
                <w:rFonts w:cs="Arial"/>
                <w:szCs w:val="20"/>
              </w:rPr>
              <w:t xml:space="preserve">Retain GUL </w:t>
            </w:r>
          </w:p>
        </w:tc>
        <w:tc>
          <w:tcPr>
            <w:tcW w:w="2410" w:type="dxa"/>
            <w:tcBorders>
              <w:left w:val="none" w:sz="0" w:space="0" w:color="auto"/>
            </w:tcBorders>
            <w:shd w:val="clear" w:color="auto" w:fill="F2F2F2" w:themeFill="background1" w:themeFillShade="F2"/>
          </w:tcPr>
          <w:p w14:paraId="6AA2FD4B" w14:textId="77777777" w:rsidR="00776154" w:rsidRPr="000A57BA" w:rsidRDefault="00776154" w:rsidP="00776154">
            <w:pPr>
              <w:cnfStyle w:val="000000100000" w:firstRow="0" w:lastRow="0" w:firstColumn="0" w:lastColumn="0" w:oddVBand="0" w:evenVBand="0" w:oddHBand="1" w:evenHBand="0" w:firstRowFirstColumn="0" w:firstRowLastColumn="0" w:lastRowFirstColumn="0" w:lastRowLastColumn="0"/>
              <w:rPr>
                <w:rFonts w:cs="Arial"/>
                <w:szCs w:val="20"/>
              </w:rPr>
            </w:pPr>
            <w:r w:rsidRPr="000A57BA">
              <w:rPr>
                <w:rFonts w:cs="Arial"/>
                <w:szCs w:val="20"/>
              </w:rPr>
              <w:t xml:space="preserve">Retain GUL </w:t>
            </w:r>
          </w:p>
        </w:tc>
      </w:tr>
    </w:tbl>
    <w:p w14:paraId="279F8F6F" w14:textId="086DFEC5" w:rsidR="00CA5C3F" w:rsidRPr="00CA5C3F" w:rsidRDefault="00CA5C3F" w:rsidP="00CA5C3F">
      <w:pPr>
        <w:rPr>
          <w:sz w:val="18"/>
          <w:szCs w:val="18"/>
        </w:rPr>
      </w:pPr>
      <w:r w:rsidRPr="00CA5C3F">
        <w:rPr>
          <w:sz w:val="18"/>
          <w:szCs w:val="18"/>
          <w:vertAlign w:val="superscript"/>
        </w:rPr>
        <w:t>1</w:t>
      </w:r>
      <w:r>
        <w:rPr>
          <w:sz w:val="18"/>
          <w:szCs w:val="18"/>
        </w:rPr>
        <w:t xml:space="preserve"> ns</w:t>
      </w:r>
      <w:r w:rsidRPr="00CA5C3F">
        <w:rPr>
          <w:sz w:val="18"/>
          <w:szCs w:val="18"/>
        </w:rPr>
        <w:t xml:space="preserve"> = not specified</w:t>
      </w:r>
    </w:p>
    <w:p w14:paraId="5DE139C4" w14:textId="039A90D4" w:rsidR="00776154" w:rsidRDefault="00776154" w:rsidP="00776154">
      <w:pPr>
        <w:pStyle w:val="Heading4"/>
        <w:ind w:left="0" w:firstLine="0"/>
      </w:pPr>
      <w:r w:rsidRPr="00BA1FD9">
        <w:t>S</w:t>
      </w:r>
      <w:r>
        <w:t>takeholder views</w:t>
      </w:r>
    </w:p>
    <w:p w14:paraId="247204BF" w14:textId="01E1B4B4" w:rsidR="00776154" w:rsidRDefault="00776154" w:rsidP="00776154">
      <w:pPr>
        <w:rPr>
          <w:lang w:val="en-AU" w:bidi="ar-SA"/>
        </w:rPr>
      </w:pPr>
      <w:r>
        <w:rPr>
          <w:lang w:val="en-AU" w:bidi="ar-SA"/>
        </w:rPr>
        <w:t>Eleven submitters (</w:t>
      </w:r>
      <w:r w:rsidR="0048005E">
        <w:rPr>
          <w:lang w:val="en-AU" w:bidi="ar-SA"/>
        </w:rPr>
        <w:t>eight</w:t>
      </w:r>
      <w:r>
        <w:rPr>
          <w:lang w:val="en-AU" w:bidi="ar-SA"/>
        </w:rPr>
        <w:t xml:space="preserve"> industry, </w:t>
      </w:r>
      <w:r w:rsidR="0048005E">
        <w:rPr>
          <w:lang w:val="en-AU" w:bidi="ar-SA"/>
        </w:rPr>
        <w:t>three</w:t>
      </w:r>
      <w:r>
        <w:rPr>
          <w:lang w:val="en-AU" w:bidi="ar-SA"/>
        </w:rPr>
        <w:t xml:space="preserve"> government) commented on this issue</w:t>
      </w:r>
      <w:r w:rsidR="008410B2">
        <w:rPr>
          <w:lang w:val="en-AU" w:bidi="ar-SA"/>
        </w:rPr>
        <w:t xml:space="preserve"> (Table 7.2)</w:t>
      </w:r>
      <w:r>
        <w:rPr>
          <w:lang w:val="en-AU" w:bidi="ar-SA"/>
        </w:rPr>
        <w:t xml:space="preserve">. All industry submissions supported the FSANZ position from the 2016 Consultation </w:t>
      </w:r>
      <w:r w:rsidR="00E230C2">
        <w:rPr>
          <w:lang w:val="en-AU" w:bidi="ar-SA"/>
        </w:rPr>
        <w:t>p</w:t>
      </w:r>
      <w:r>
        <w:rPr>
          <w:lang w:val="en-AU" w:bidi="ar-SA"/>
        </w:rPr>
        <w:t>aper. In general, government submitters did not support the use of GULs and suggested that industry information could be collected to determine how frequently GULs are exceeded. It was also noted that despite the lack of a UL for infants aged 0-12 months, ULs may be set for other age groups, indicating that excessive intakes should be avoided. Submitter comments on specific nutrients are summarised below.</w:t>
      </w:r>
    </w:p>
    <w:p w14:paraId="452CE67B" w14:textId="77777777" w:rsidR="00776154" w:rsidRDefault="00776154" w:rsidP="00776154">
      <w:pPr>
        <w:rPr>
          <w:lang w:val="en-AU" w:bidi="ar-SA"/>
        </w:rPr>
      </w:pPr>
    </w:p>
    <w:p w14:paraId="6692E761" w14:textId="43ED99AA" w:rsidR="00776154" w:rsidRDefault="005023EF" w:rsidP="00E9515E">
      <w:pPr>
        <w:pStyle w:val="FSTitle"/>
        <w:rPr>
          <w:lang w:val="en-AU" w:bidi="ar-SA"/>
        </w:rPr>
      </w:pPr>
      <w:bookmarkStart w:id="318" w:name="_Toc74061243"/>
      <w:r>
        <w:rPr>
          <w:lang w:val="en-AU" w:bidi="ar-SA"/>
        </w:rPr>
        <w:t xml:space="preserve">Table </w:t>
      </w:r>
      <w:r w:rsidR="00E75493">
        <w:rPr>
          <w:lang w:val="en-AU" w:bidi="ar-SA"/>
        </w:rPr>
        <w:t>7</w:t>
      </w:r>
      <w:r w:rsidR="008410B2">
        <w:rPr>
          <w:lang w:val="en-AU" w:bidi="ar-SA"/>
        </w:rPr>
        <w:t>.</w:t>
      </w:r>
      <w:r w:rsidR="00E230C2">
        <w:rPr>
          <w:lang w:val="en-AU" w:bidi="ar-SA"/>
        </w:rPr>
        <w:t>2</w:t>
      </w:r>
      <w:r w:rsidR="008410B2">
        <w:rPr>
          <w:lang w:val="en-AU" w:bidi="ar-SA"/>
        </w:rPr>
        <w:tab/>
        <w:t xml:space="preserve">Submitter comments </w:t>
      </w:r>
      <w:r w:rsidR="00776154">
        <w:rPr>
          <w:lang w:val="en-AU" w:bidi="ar-SA"/>
        </w:rPr>
        <w:t>for selected micronutrients</w:t>
      </w:r>
      <w:bookmarkEnd w:id="318"/>
    </w:p>
    <w:tbl>
      <w:tblPr>
        <w:tblStyle w:val="MediumShading1-Accent3"/>
        <w:tblW w:w="9219" w:type="dxa"/>
        <w:tblLayout w:type="fixed"/>
        <w:tblLook w:val="04A0" w:firstRow="1" w:lastRow="0" w:firstColumn="1" w:lastColumn="0" w:noHBand="0" w:noVBand="1"/>
        <w:tblCaption w:val="Table 7.1.2 Stakeholder views for selected micronutrients"/>
        <w:tblDescription w:val="This table summarises the number of submissions to the previous Consultation papers for Proposal P1028."/>
      </w:tblPr>
      <w:tblGrid>
        <w:gridCol w:w="1423"/>
        <w:gridCol w:w="1407"/>
        <w:gridCol w:w="6389"/>
      </w:tblGrid>
      <w:tr w:rsidR="00776154" w:rsidRPr="004E6EA2" w14:paraId="69A2A61E" w14:textId="77777777" w:rsidTr="00542980">
        <w:trPr>
          <w:cnfStyle w:val="100000000000" w:firstRow="1" w:lastRow="0" w:firstColumn="0" w:lastColumn="0" w:oddVBand="0" w:evenVBand="0" w:oddHBand="0" w:evenHBand="0" w:firstRowFirstColumn="0" w:firstRowLastColumn="0" w:lastRowFirstColumn="0" w:lastRowLastColumn="0"/>
          <w:trHeight w:val="164"/>
        </w:trPr>
        <w:tc>
          <w:tcPr>
            <w:cnfStyle w:val="001000000000" w:firstRow="0" w:lastRow="0" w:firstColumn="1" w:lastColumn="0" w:oddVBand="0" w:evenVBand="0" w:oddHBand="0" w:evenHBand="0" w:firstRowFirstColumn="0" w:firstRowLastColumn="0" w:lastRowFirstColumn="0" w:lastRowLastColumn="0"/>
            <w:tcW w:w="1423" w:type="dxa"/>
          </w:tcPr>
          <w:p w14:paraId="2CC36741" w14:textId="68743666" w:rsidR="00776154" w:rsidRPr="001C24DD" w:rsidRDefault="008410B2" w:rsidP="001C24DD">
            <w:pPr>
              <w:spacing w:after="120"/>
              <w:jc w:val="center"/>
              <w:rPr>
                <w:color w:val="auto"/>
                <w:szCs w:val="20"/>
              </w:rPr>
            </w:pPr>
            <w:r>
              <w:rPr>
                <w:color w:val="auto"/>
                <w:szCs w:val="20"/>
              </w:rPr>
              <w:t xml:space="preserve">Issue </w:t>
            </w:r>
          </w:p>
        </w:tc>
        <w:tc>
          <w:tcPr>
            <w:tcW w:w="1407" w:type="dxa"/>
          </w:tcPr>
          <w:p w14:paraId="5F5CFB7B" w14:textId="77777777" w:rsidR="00776154" w:rsidRPr="001C24DD" w:rsidRDefault="00776154" w:rsidP="001C24DD">
            <w:pPr>
              <w:spacing w:after="120"/>
              <w:ind w:left="28" w:hanging="28"/>
              <w:jc w:val="center"/>
              <w:cnfStyle w:val="100000000000" w:firstRow="1" w:lastRow="0" w:firstColumn="0" w:lastColumn="0" w:oddVBand="0" w:evenVBand="0" w:oddHBand="0" w:evenHBand="0" w:firstRowFirstColumn="0" w:firstRowLastColumn="0" w:lastRowFirstColumn="0" w:lastRowLastColumn="0"/>
              <w:rPr>
                <w:color w:val="auto"/>
                <w:szCs w:val="20"/>
              </w:rPr>
            </w:pPr>
            <w:r w:rsidRPr="001C24DD">
              <w:rPr>
                <w:color w:val="auto"/>
                <w:szCs w:val="20"/>
              </w:rPr>
              <w:t>Raised by</w:t>
            </w:r>
          </w:p>
        </w:tc>
        <w:tc>
          <w:tcPr>
            <w:tcW w:w="6389" w:type="dxa"/>
          </w:tcPr>
          <w:p w14:paraId="0D2899D8" w14:textId="02F38819" w:rsidR="00776154" w:rsidRPr="001C24DD" w:rsidRDefault="008410B2" w:rsidP="001C24DD">
            <w:pPr>
              <w:spacing w:after="120"/>
              <w:ind w:right="-538"/>
              <w:jc w:val="center"/>
              <w:cnfStyle w:val="100000000000" w:firstRow="1" w:lastRow="0" w:firstColumn="0" w:lastColumn="0" w:oddVBand="0" w:evenVBand="0" w:oddHBand="0" w:evenHBand="0" w:firstRowFirstColumn="0" w:firstRowLastColumn="0" w:lastRowFirstColumn="0" w:lastRowLastColumn="0"/>
              <w:rPr>
                <w:color w:val="auto"/>
                <w:szCs w:val="20"/>
              </w:rPr>
            </w:pPr>
            <w:r>
              <w:rPr>
                <w:color w:val="auto"/>
                <w:szCs w:val="20"/>
              </w:rPr>
              <w:t xml:space="preserve">Comment and </w:t>
            </w:r>
            <w:r w:rsidR="00776154" w:rsidRPr="001C24DD">
              <w:rPr>
                <w:color w:val="auto"/>
                <w:szCs w:val="20"/>
              </w:rPr>
              <w:t>FSANZ response</w:t>
            </w:r>
          </w:p>
        </w:tc>
      </w:tr>
      <w:tr w:rsidR="00776154" w:rsidRPr="004E6EA2" w14:paraId="69A15B12" w14:textId="77777777" w:rsidTr="00542980">
        <w:trPr>
          <w:cnfStyle w:val="000000100000" w:firstRow="0" w:lastRow="0" w:firstColumn="0" w:lastColumn="0" w:oddVBand="0" w:evenVBand="0" w:oddHBand="1" w:evenHBand="0" w:firstRowFirstColumn="0" w:firstRowLastColumn="0" w:lastRowFirstColumn="0" w:lastRowLastColumn="0"/>
          <w:trHeight w:val="846"/>
        </w:trPr>
        <w:tc>
          <w:tcPr>
            <w:cnfStyle w:val="001000000000" w:firstRow="0" w:lastRow="0" w:firstColumn="1" w:lastColumn="0" w:oddVBand="0" w:evenVBand="0" w:oddHBand="0" w:evenHBand="0" w:firstRowFirstColumn="0" w:firstRowLastColumn="0" w:lastRowFirstColumn="0" w:lastRowLastColumn="0"/>
            <w:tcW w:w="1423" w:type="dxa"/>
          </w:tcPr>
          <w:p w14:paraId="1FCBC503" w14:textId="77777777" w:rsidR="00776154" w:rsidRPr="004E6EA2" w:rsidRDefault="00776154" w:rsidP="00776154">
            <w:pPr>
              <w:rPr>
                <w:b w:val="0"/>
                <w:szCs w:val="20"/>
                <w:lang w:val="en-AU" w:eastAsia="en-AU"/>
              </w:rPr>
            </w:pPr>
            <w:r>
              <w:rPr>
                <w:b w:val="0"/>
                <w:szCs w:val="20"/>
                <w:lang w:val="en-AU" w:eastAsia="en-AU"/>
              </w:rPr>
              <w:t>Vitamin C</w:t>
            </w:r>
          </w:p>
        </w:tc>
        <w:tc>
          <w:tcPr>
            <w:tcW w:w="1407" w:type="dxa"/>
          </w:tcPr>
          <w:p w14:paraId="02060C15" w14:textId="77777777" w:rsidR="002F58FF" w:rsidRDefault="002F58FF" w:rsidP="00776154">
            <w:pPr>
              <w:ind w:left="28" w:right="-253" w:firstLine="10"/>
              <w:cnfStyle w:val="000000100000" w:firstRow="0" w:lastRow="0" w:firstColumn="0" w:lastColumn="0" w:oddVBand="0" w:evenVBand="0" w:oddHBand="1" w:evenHBand="0" w:firstRowFirstColumn="0" w:firstRowLastColumn="0" w:lastRowFirstColumn="0" w:lastRowLastColumn="0"/>
              <w:rPr>
                <w:szCs w:val="20"/>
                <w:lang w:val="en-AU"/>
              </w:rPr>
            </w:pPr>
            <w:r>
              <w:rPr>
                <w:szCs w:val="20"/>
                <w:lang w:val="en-AU"/>
              </w:rPr>
              <w:t>Government</w:t>
            </w:r>
          </w:p>
          <w:p w14:paraId="5CD4D8FC" w14:textId="79C1271A" w:rsidR="00776154" w:rsidRDefault="00776154" w:rsidP="00776154">
            <w:pPr>
              <w:ind w:left="28" w:right="-253" w:firstLine="10"/>
              <w:cnfStyle w:val="000000100000" w:firstRow="0" w:lastRow="0" w:firstColumn="0" w:lastColumn="0" w:oddVBand="0" w:evenVBand="0" w:oddHBand="1" w:evenHBand="0" w:firstRowFirstColumn="0" w:firstRowLastColumn="0" w:lastRowFirstColumn="0" w:lastRowLastColumn="0"/>
              <w:rPr>
                <w:szCs w:val="20"/>
                <w:lang w:val="en-AU"/>
              </w:rPr>
            </w:pPr>
            <w:r>
              <w:rPr>
                <w:szCs w:val="20"/>
                <w:lang w:val="en-AU"/>
              </w:rPr>
              <w:t>(1)</w:t>
            </w:r>
          </w:p>
          <w:p w14:paraId="6751BE15" w14:textId="25EEFFB7" w:rsidR="002F58FF" w:rsidRPr="004E6EA2" w:rsidRDefault="002F58FF" w:rsidP="00776154">
            <w:pPr>
              <w:ind w:left="28" w:right="-253" w:firstLine="10"/>
              <w:cnfStyle w:val="000000100000" w:firstRow="0" w:lastRow="0" w:firstColumn="0" w:lastColumn="0" w:oddVBand="0" w:evenVBand="0" w:oddHBand="1" w:evenHBand="0" w:firstRowFirstColumn="0" w:firstRowLastColumn="0" w:lastRowFirstColumn="0" w:lastRowLastColumn="0"/>
              <w:rPr>
                <w:szCs w:val="20"/>
              </w:rPr>
            </w:pPr>
          </w:p>
        </w:tc>
        <w:tc>
          <w:tcPr>
            <w:tcW w:w="6389" w:type="dxa"/>
          </w:tcPr>
          <w:p w14:paraId="45F61C19" w14:textId="1DEEAC12" w:rsidR="00776154" w:rsidRDefault="00776154" w:rsidP="00776154">
            <w:pPr>
              <w:ind w:left="34"/>
              <w:cnfStyle w:val="000000100000" w:firstRow="0" w:lastRow="0" w:firstColumn="0" w:lastColumn="0" w:oddVBand="0" w:evenVBand="0" w:oddHBand="1" w:evenHBand="0" w:firstRowFirstColumn="0" w:firstRowLastColumn="0" w:lastRowFirstColumn="0" w:lastRowLastColumn="0"/>
              <w:rPr>
                <w:szCs w:val="20"/>
                <w:lang w:eastAsia="en-AU"/>
              </w:rPr>
            </w:pPr>
            <w:r>
              <w:rPr>
                <w:szCs w:val="20"/>
                <w:lang w:eastAsia="en-AU"/>
              </w:rPr>
              <w:t xml:space="preserve">Submitter reserves position on </w:t>
            </w:r>
            <w:r w:rsidRPr="00181C77">
              <w:rPr>
                <w:szCs w:val="20"/>
                <w:lang w:eastAsia="en-AU"/>
              </w:rPr>
              <w:t xml:space="preserve">suitability of use of a GUL. Submitter </w:t>
            </w:r>
            <w:r>
              <w:rPr>
                <w:szCs w:val="20"/>
                <w:lang w:eastAsia="en-AU"/>
              </w:rPr>
              <w:t xml:space="preserve">provided published evidence (including Pehrsson et al discussed below) indicating that commercial infant formula products do not exceed the existing Codex GUL. Significant losses of vitamin C over the shelf life of the product were acknowledged in notes from </w:t>
            </w:r>
            <w:r w:rsidR="002D5D81">
              <w:rPr>
                <w:szCs w:val="20"/>
                <w:lang w:eastAsia="en-AU"/>
              </w:rPr>
              <w:t>the electronic working group E</w:t>
            </w:r>
            <w:r w:rsidRPr="00B20459">
              <w:rPr>
                <w:szCs w:val="20"/>
                <w:lang w:eastAsia="en-AU"/>
              </w:rPr>
              <w:t xml:space="preserve">WG on the review of the </w:t>
            </w:r>
            <w:r w:rsidR="00B96544">
              <w:t>Codex Draft Standard for FUF.</w:t>
            </w:r>
          </w:p>
          <w:p w14:paraId="0DA0B736" w14:textId="77777777" w:rsidR="00776154" w:rsidRPr="0077322E" w:rsidRDefault="00776154" w:rsidP="00776154">
            <w:pPr>
              <w:ind w:left="34"/>
              <w:cnfStyle w:val="000000100000" w:firstRow="0" w:lastRow="0" w:firstColumn="0" w:lastColumn="0" w:oddVBand="0" w:evenVBand="0" w:oddHBand="1" w:evenHBand="0" w:firstRowFirstColumn="0" w:firstRowLastColumn="0" w:lastRowFirstColumn="0" w:lastRowLastColumn="0"/>
              <w:rPr>
                <w:b/>
                <w:szCs w:val="20"/>
                <w:lang w:eastAsia="en-AU"/>
              </w:rPr>
            </w:pPr>
            <w:r w:rsidRPr="0077322E">
              <w:rPr>
                <w:b/>
                <w:szCs w:val="20"/>
                <w:lang w:eastAsia="en-AU"/>
              </w:rPr>
              <w:t xml:space="preserve">On this basis, the proposed approach is to retain the GUL for vitamin C.  </w:t>
            </w:r>
          </w:p>
        </w:tc>
      </w:tr>
      <w:tr w:rsidR="00776154" w:rsidRPr="004E6EA2" w14:paraId="23FB738F" w14:textId="77777777" w:rsidTr="0054298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3" w:type="dxa"/>
          </w:tcPr>
          <w:p w14:paraId="6E2FB42D" w14:textId="77777777" w:rsidR="00776154" w:rsidRPr="004E6EA2" w:rsidRDefault="00776154" w:rsidP="00776154">
            <w:pPr>
              <w:rPr>
                <w:b w:val="0"/>
                <w:szCs w:val="20"/>
                <w:lang w:val="en-AU"/>
              </w:rPr>
            </w:pPr>
            <w:r w:rsidRPr="004E6EA2">
              <w:rPr>
                <w:b w:val="0"/>
                <w:szCs w:val="20"/>
                <w:lang w:val="en-AU"/>
              </w:rPr>
              <w:t>Iodine</w:t>
            </w:r>
            <w:r>
              <w:rPr>
                <w:b w:val="0"/>
                <w:szCs w:val="20"/>
                <w:lang w:val="en-AU"/>
              </w:rPr>
              <w:t xml:space="preserve"> </w:t>
            </w:r>
          </w:p>
        </w:tc>
        <w:tc>
          <w:tcPr>
            <w:tcW w:w="1407" w:type="dxa"/>
          </w:tcPr>
          <w:p w14:paraId="37201F1B" w14:textId="77777777" w:rsidR="00776154" w:rsidRPr="004E6EA2" w:rsidRDefault="00776154" w:rsidP="00776154">
            <w:pPr>
              <w:ind w:left="28" w:hanging="28"/>
              <w:cnfStyle w:val="000000010000" w:firstRow="0" w:lastRow="0" w:firstColumn="0" w:lastColumn="0" w:oddVBand="0" w:evenVBand="0" w:oddHBand="0" w:evenHBand="1" w:firstRowFirstColumn="0" w:firstRowLastColumn="0" w:lastRowFirstColumn="0" w:lastRowLastColumn="0"/>
              <w:rPr>
                <w:szCs w:val="20"/>
              </w:rPr>
            </w:pPr>
            <w:r>
              <w:rPr>
                <w:szCs w:val="20"/>
                <w:lang w:val="en-AU"/>
              </w:rPr>
              <w:t>Government (1)</w:t>
            </w:r>
          </w:p>
        </w:tc>
        <w:tc>
          <w:tcPr>
            <w:tcW w:w="6389" w:type="dxa"/>
          </w:tcPr>
          <w:p w14:paraId="665612EB" w14:textId="77777777" w:rsidR="00776154" w:rsidRDefault="00776154" w:rsidP="00776154">
            <w:pPr>
              <w:ind w:left="30"/>
              <w:cnfStyle w:val="000000010000" w:firstRow="0" w:lastRow="0" w:firstColumn="0" w:lastColumn="0" w:oddVBand="0" w:evenVBand="0" w:oddHBand="0" w:evenHBand="1" w:firstRowFirstColumn="0" w:firstRowLastColumn="0" w:lastRowFirstColumn="0" w:lastRowLastColumn="0"/>
              <w:rPr>
                <w:szCs w:val="20"/>
                <w:lang w:eastAsia="en-AU"/>
              </w:rPr>
            </w:pPr>
            <w:r>
              <w:rPr>
                <w:szCs w:val="20"/>
                <w:lang w:eastAsia="en-AU"/>
              </w:rPr>
              <w:t>Submitters oppose change from regulatory maximum to a GUL. Comments included:</w:t>
            </w:r>
            <w:r>
              <w:rPr>
                <w:szCs w:val="20"/>
                <w:lang w:eastAsia="en-AU"/>
              </w:rPr>
              <w:br/>
              <w:t xml:space="preserve">(1) A UL was not established for the 0-12 month age group but has been set for 1-3 years old based on evidence that excess iodine has a critical effect on thyroid function. </w:t>
            </w:r>
          </w:p>
          <w:p w14:paraId="0F209F7C" w14:textId="77777777" w:rsidR="00776154" w:rsidRDefault="00776154" w:rsidP="00776154">
            <w:pPr>
              <w:ind w:left="30"/>
              <w:cnfStyle w:val="000000010000" w:firstRow="0" w:lastRow="0" w:firstColumn="0" w:lastColumn="0" w:oddVBand="0" w:evenVBand="0" w:oddHBand="0" w:evenHBand="1" w:firstRowFirstColumn="0" w:firstRowLastColumn="0" w:lastRowFirstColumn="0" w:lastRowLastColumn="0"/>
              <w:rPr>
                <w:szCs w:val="20"/>
                <w:lang w:eastAsia="en-AU"/>
              </w:rPr>
            </w:pPr>
            <w:r>
              <w:rPr>
                <w:szCs w:val="20"/>
                <w:lang w:eastAsia="en-AU"/>
              </w:rPr>
              <w:t>(2) FAO/WHO have established safe upper limits for iodine (indicates that there is a level of iodine intake that should not be exceeded)</w:t>
            </w:r>
          </w:p>
          <w:p w14:paraId="719310EA" w14:textId="77777777" w:rsidR="00776154" w:rsidRDefault="00776154" w:rsidP="00776154">
            <w:pPr>
              <w:ind w:left="30"/>
              <w:cnfStyle w:val="000000010000" w:firstRow="0" w:lastRow="0" w:firstColumn="0" w:lastColumn="0" w:oddVBand="0" w:evenVBand="0" w:oddHBand="0" w:evenHBand="1" w:firstRowFirstColumn="0" w:firstRowLastColumn="0" w:lastRowFirstColumn="0" w:lastRowLastColumn="0"/>
              <w:rPr>
                <w:szCs w:val="20"/>
                <w:lang w:eastAsia="en-AU"/>
              </w:rPr>
            </w:pPr>
            <w:r>
              <w:rPr>
                <w:szCs w:val="20"/>
                <w:lang w:eastAsia="en-AU"/>
              </w:rPr>
              <w:t>(3) need to ensure no safety concerns for export market</w:t>
            </w:r>
          </w:p>
          <w:p w14:paraId="31FCDC0B" w14:textId="4E8C081E" w:rsidR="00776154" w:rsidRDefault="00776154" w:rsidP="00776154">
            <w:pPr>
              <w:ind w:left="30"/>
              <w:cnfStyle w:val="000000010000" w:firstRow="0" w:lastRow="0" w:firstColumn="0" w:lastColumn="0" w:oddVBand="0" w:evenVBand="0" w:oddHBand="0" w:evenHBand="1" w:firstRowFirstColumn="0" w:firstRowLastColumn="0" w:lastRowFirstColumn="0" w:lastRowLastColumn="0"/>
              <w:rPr>
                <w:szCs w:val="20"/>
                <w:lang w:eastAsia="en-AU"/>
              </w:rPr>
            </w:pPr>
            <w:r>
              <w:rPr>
                <w:szCs w:val="20"/>
                <w:lang w:eastAsia="en-AU"/>
              </w:rPr>
              <w:t>(4) despite variability of iodine in cow</w:t>
            </w:r>
            <w:r w:rsidR="00C73A77">
              <w:rPr>
                <w:szCs w:val="20"/>
                <w:lang w:eastAsia="en-AU"/>
              </w:rPr>
              <w:t>’</w:t>
            </w:r>
            <w:r>
              <w:rPr>
                <w:szCs w:val="20"/>
                <w:lang w:eastAsia="en-AU"/>
              </w:rPr>
              <w:t xml:space="preserve">s milk, there is evidence that industry can technically meet the current regulatory maximum. </w:t>
            </w:r>
          </w:p>
          <w:p w14:paraId="4C924F5D" w14:textId="0C323AA0" w:rsidR="00776154" w:rsidRPr="0077322E" w:rsidRDefault="00101E8D" w:rsidP="00101E8D">
            <w:pPr>
              <w:ind w:left="34"/>
              <w:cnfStyle w:val="000000010000" w:firstRow="0" w:lastRow="0" w:firstColumn="0" w:lastColumn="0" w:oddVBand="0" w:evenVBand="0" w:oddHBand="0" w:evenHBand="1" w:firstRowFirstColumn="0" w:firstRowLastColumn="0" w:lastRowFirstColumn="0" w:lastRowLastColumn="0"/>
              <w:rPr>
                <w:b/>
                <w:szCs w:val="20"/>
                <w:lang w:eastAsia="en-AU"/>
              </w:rPr>
            </w:pPr>
            <w:r w:rsidRPr="0077322E">
              <w:rPr>
                <w:b/>
                <w:szCs w:val="20"/>
                <w:lang w:eastAsia="en-AU"/>
              </w:rPr>
              <w:t>T</w:t>
            </w:r>
            <w:r w:rsidR="00776154" w:rsidRPr="0077322E">
              <w:rPr>
                <w:b/>
                <w:szCs w:val="20"/>
                <w:lang w:eastAsia="en-AU"/>
              </w:rPr>
              <w:t>he proposed approach is to retain the regulatory maximum for iodine.</w:t>
            </w:r>
          </w:p>
        </w:tc>
      </w:tr>
      <w:tr w:rsidR="00776154" w:rsidRPr="004E6EA2" w14:paraId="42C2F2B2" w14:textId="77777777" w:rsidTr="005429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3" w:type="dxa"/>
          </w:tcPr>
          <w:p w14:paraId="008D0773" w14:textId="77777777" w:rsidR="00776154" w:rsidRPr="004E6EA2" w:rsidRDefault="00776154" w:rsidP="00776154">
            <w:pPr>
              <w:rPr>
                <w:b w:val="0"/>
                <w:szCs w:val="20"/>
                <w:lang w:val="en-AU"/>
              </w:rPr>
            </w:pPr>
            <w:r w:rsidRPr="004E6EA2">
              <w:rPr>
                <w:b w:val="0"/>
                <w:szCs w:val="20"/>
                <w:lang w:val="en-AU"/>
              </w:rPr>
              <w:lastRenderedPageBreak/>
              <w:t>Phosphorus</w:t>
            </w:r>
            <w:r>
              <w:rPr>
                <w:b w:val="0"/>
                <w:szCs w:val="20"/>
                <w:lang w:val="en-AU"/>
              </w:rPr>
              <w:t xml:space="preserve"> </w:t>
            </w:r>
          </w:p>
        </w:tc>
        <w:tc>
          <w:tcPr>
            <w:tcW w:w="1407" w:type="dxa"/>
          </w:tcPr>
          <w:p w14:paraId="3D6379BB" w14:textId="62A0BEFF" w:rsidR="00776154" w:rsidRDefault="00776154" w:rsidP="00776154">
            <w:pPr>
              <w:ind w:left="28" w:hanging="28"/>
              <w:cnfStyle w:val="000000100000" w:firstRow="0" w:lastRow="0" w:firstColumn="0" w:lastColumn="0" w:oddVBand="0" w:evenVBand="0" w:oddHBand="1" w:evenHBand="0" w:firstRowFirstColumn="0" w:firstRowLastColumn="0" w:lastRowFirstColumn="0" w:lastRowLastColumn="0"/>
              <w:rPr>
                <w:szCs w:val="20"/>
              </w:rPr>
            </w:pPr>
            <w:r>
              <w:rPr>
                <w:szCs w:val="20"/>
              </w:rPr>
              <w:t>Government (3</w:t>
            </w:r>
            <w:r w:rsidRPr="004E6EA2">
              <w:rPr>
                <w:szCs w:val="20"/>
              </w:rPr>
              <w:t>)</w:t>
            </w:r>
            <w:r w:rsidR="00FF5B13">
              <w:rPr>
                <w:szCs w:val="20"/>
              </w:rPr>
              <w:t>,</w:t>
            </w:r>
            <w:r w:rsidRPr="004E6EA2">
              <w:rPr>
                <w:szCs w:val="20"/>
              </w:rPr>
              <w:t xml:space="preserve"> </w:t>
            </w:r>
          </w:p>
          <w:p w14:paraId="2C41C231" w14:textId="77777777" w:rsidR="00776154" w:rsidRDefault="00776154" w:rsidP="00776154">
            <w:pPr>
              <w:ind w:left="28" w:hanging="28"/>
              <w:cnfStyle w:val="000000100000" w:firstRow="0" w:lastRow="0" w:firstColumn="0" w:lastColumn="0" w:oddVBand="0" w:evenVBand="0" w:oddHBand="1" w:evenHBand="0" w:firstRowFirstColumn="0" w:firstRowLastColumn="0" w:lastRowFirstColumn="0" w:lastRowLastColumn="0"/>
              <w:rPr>
                <w:szCs w:val="20"/>
              </w:rPr>
            </w:pPr>
            <w:r>
              <w:rPr>
                <w:szCs w:val="20"/>
              </w:rPr>
              <w:t>Industry</w:t>
            </w:r>
          </w:p>
          <w:p w14:paraId="71C3AD23" w14:textId="77777777" w:rsidR="00776154" w:rsidRPr="004E6EA2" w:rsidRDefault="00776154" w:rsidP="00776154">
            <w:pPr>
              <w:ind w:left="28" w:hanging="28"/>
              <w:cnfStyle w:val="000000100000" w:firstRow="0" w:lastRow="0" w:firstColumn="0" w:lastColumn="0" w:oddVBand="0" w:evenVBand="0" w:oddHBand="1" w:evenHBand="0" w:firstRowFirstColumn="0" w:firstRowLastColumn="0" w:lastRowFirstColumn="0" w:lastRowLastColumn="0"/>
              <w:rPr>
                <w:szCs w:val="20"/>
              </w:rPr>
            </w:pPr>
            <w:r>
              <w:rPr>
                <w:szCs w:val="20"/>
              </w:rPr>
              <w:t>(3)</w:t>
            </w:r>
          </w:p>
        </w:tc>
        <w:tc>
          <w:tcPr>
            <w:tcW w:w="6389" w:type="dxa"/>
          </w:tcPr>
          <w:p w14:paraId="7AD601A9" w14:textId="77777777" w:rsidR="00776154" w:rsidRDefault="00776154" w:rsidP="00776154">
            <w:pPr>
              <w:ind w:left="34"/>
              <w:cnfStyle w:val="000000100000" w:firstRow="0" w:lastRow="0" w:firstColumn="0" w:lastColumn="0" w:oddVBand="0" w:evenVBand="0" w:oddHBand="1" w:evenHBand="0" w:firstRowFirstColumn="0" w:firstRowLastColumn="0" w:lastRowFirstColumn="0" w:lastRowLastColumn="0"/>
              <w:rPr>
                <w:szCs w:val="20"/>
                <w:lang w:val="en-AU" w:eastAsia="en-AU"/>
              </w:rPr>
            </w:pPr>
            <w:r>
              <w:rPr>
                <w:szCs w:val="20"/>
                <w:lang w:val="en-AU" w:eastAsia="en-AU"/>
              </w:rPr>
              <w:t>Industry submitters consider a GUL to be appropriate as it has not been possible to establish a UL based on a lack of evidence in this age group. However, submitters</w:t>
            </w:r>
            <w:r w:rsidRPr="00BC1D3A">
              <w:rPr>
                <w:szCs w:val="20"/>
                <w:lang w:eastAsia="en-AU"/>
              </w:rPr>
              <w:t xml:space="preserve"> opposing the use of a GUL commented that </w:t>
            </w:r>
            <w:r w:rsidRPr="00BC1D3A">
              <w:rPr>
                <w:szCs w:val="20"/>
                <w:lang w:val="en-AU" w:eastAsia="en-AU"/>
              </w:rPr>
              <w:t>ULs have been derived for young children indicating excessive intakes should be avoided,</w:t>
            </w:r>
            <w:r>
              <w:rPr>
                <w:szCs w:val="20"/>
                <w:lang w:val="en-AU" w:eastAsia="en-AU"/>
              </w:rPr>
              <w:t xml:space="preserve"> and</w:t>
            </w:r>
            <w:r w:rsidRPr="00BC1D3A">
              <w:rPr>
                <w:szCs w:val="20"/>
                <w:lang w:val="en-AU" w:eastAsia="en-AU"/>
              </w:rPr>
              <w:t xml:space="preserve"> expressed concerns about hypocalcaemia.</w:t>
            </w:r>
          </w:p>
          <w:p w14:paraId="7F0AAA99" w14:textId="35E32480" w:rsidR="00776154" w:rsidRPr="00AC5EDB" w:rsidRDefault="00776154" w:rsidP="00776154">
            <w:pPr>
              <w:cnfStyle w:val="000000100000" w:firstRow="0" w:lastRow="0" w:firstColumn="0" w:lastColumn="0" w:oddVBand="0" w:evenVBand="0" w:oddHBand="1" w:evenHBand="0" w:firstRowFirstColumn="0" w:firstRowLastColumn="0" w:lastRowFirstColumn="0" w:lastRowLastColumn="0"/>
              <w:rPr>
                <w:szCs w:val="20"/>
                <w:lang w:eastAsia="en-AU"/>
              </w:rPr>
            </w:pPr>
            <w:r w:rsidRPr="00AC5EDB">
              <w:rPr>
                <w:szCs w:val="20"/>
                <w:lang w:val="en-AU" w:eastAsia="en-AU"/>
              </w:rPr>
              <w:t>FSANZ reiterate</w:t>
            </w:r>
            <w:r w:rsidR="004F01A0">
              <w:rPr>
                <w:szCs w:val="20"/>
                <w:lang w:val="en-AU" w:eastAsia="en-AU"/>
              </w:rPr>
              <w:t>s</w:t>
            </w:r>
            <w:r w:rsidRPr="00AC5EDB">
              <w:rPr>
                <w:szCs w:val="20"/>
                <w:lang w:val="en-AU" w:eastAsia="en-AU"/>
              </w:rPr>
              <w:t xml:space="preserve"> the conclusions of the 2016 nutrition </w:t>
            </w:r>
            <w:r w:rsidR="00E230C2">
              <w:rPr>
                <w:szCs w:val="20"/>
                <w:lang w:val="en-AU" w:eastAsia="en-AU"/>
              </w:rPr>
              <w:t xml:space="preserve">risk </w:t>
            </w:r>
            <w:r w:rsidRPr="00AC5EDB">
              <w:rPr>
                <w:szCs w:val="20"/>
                <w:lang w:val="en-AU" w:eastAsia="en-AU"/>
              </w:rPr>
              <w:t xml:space="preserve">assessment, noting there is no recent </w:t>
            </w:r>
            <w:r w:rsidR="00E230C2">
              <w:rPr>
                <w:szCs w:val="20"/>
                <w:lang w:val="en-AU" w:eastAsia="en-AU"/>
              </w:rPr>
              <w:t xml:space="preserve">contradictory </w:t>
            </w:r>
            <w:r w:rsidRPr="00AC5EDB">
              <w:rPr>
                <w:szCs w:val="20"/>
                <w:lang w:val="en-AU" w:eastAsia="en-AU"/>
              </w:rPr>
              <w:t>literature to suggest otherwise, that the incidence of hypocalcaemia in neonates fed infant formula is assoc</w:t>
            </w:r>
            <w:r w:rsidR="004F01A0">
              <w:rPr>
                <w:szCs w:val="20"/>
                <w:lang w:val="en-AU" w:eastAsia="en-AU"/>
              </w:rPr>
              <w:t xml:space="preserve">iated with vitamin D deficiency, </w:t>
            </w:r>
            <w:r w:rsidRPr="00AC5EDB">
              <w:rPr>
                <w:szCs w:val="20"/>
                <w:lang w:val="en-AU" w:eastAsia="en-AU"/>
              </w:rPr>
              <w:t xml:space="preserve">and aligning with the Codex STAN 72-1981 voluntary maximum is unlikely to pose a risk to infant health. For </w:t>
            </w:r>
            <w:r w:rsidR="00D0635C">
              <w:rPr>
                <w:szCs w:val="20"/>
                <w:lang w:eastAsia="en-AU"/>
              </w:rPr>
              <w:t>further details see section 7</w:t>
            </w:r>
            <w:r w:rsidRPr="00AC5EDB">
              <w:rPr>
                <w:szCs w:val="20"/>
                <w:lang w:eastAsia="en-AU"/>
              </w:rPr>
              <w:t>.4.1.</w:t>
            </w:r>
          </w:p>
          <w:p w14:paraId="573FB9AC" w14:textId="640AD1DD" w:rsidR="00776154" w:rsidRPr="0077322E" w:rsidRDefault="00776154" w:rsidP="006E1B4F">
            <w:pPr>
              <w:cnfStyle w:val="000000100000" w:firstRow="0" w:lastRow="0" w:firstColumn="0" w:lastColumn="0" w:oddVBand="0" w:evenVBand="0" w:oddHBand="1" w:evenHBand="0" w:firstRowFirstColumn="0" w:firstRowLastColumn="0" w:lastRowFirstColumn="0" w:lastRowLastColumn="0"/>
              <w:rPr>
                <w:b/>
              </w:rPr>
            </w:pPr>
            <w:r w:rsidRPr="0077322E">
              <w:rPr>
                <w:b/>
                <w:szCs w:val="20"/>
                <w:lang w:eastAsia="en-AU"/>
              </w:rPr>
              <w:t xml:space="preserve">On this basis the proposed approach is to adjust the current phosphorus maximum (25 mg/100 kJ) in </w:t>
            </w:r>
            <w:r w:rsidR="006E1B4F" w:rsidRPr="0077322E">
              <w:rPr>
                <w:b/>
                <w:szCs w:val="20"/>
                <w:lang w:eastAsia="en-AU"/>
              </w:rPr>
              <w:t>Schedule 29</w:t>
            </w:r>
            <w:r w:rsidRPr="0077322E">
              <w:rPr>
                <w:b/>
                <w:szCs w:val="20"/>
                <w:lang w:eastAsia="en-AU"/>
              </w:rPr>
              <w:t xml:space="preserve"> to a GUL of 24 mg/100 kJ.</w:t>
            </w:r>
          </w:p>
        </w:tc>
      </w:tr>
      <w:tr w:rsidR="00776154" w:rsidRPr="004E6EA2" w14:paraId="6E1289E5" w14:textId="77777777" w:rsidTr="0054298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3" w:type="dxa"/>
          </w:tcPr>
          <w:p w14:paraId="4BE57021" w14:textId="77777777" w:rsidR="00776154" w:rsidRPr="004E6EA2" w:rsidRDefault="00776154" w:rsidP="00776154">
            <w:pPr>
              <w:rPr>
                <w:b w:val="0"/>
                <w:szCs w:val="20"/>
              </w:rPr>
            </w:pPr>
            <w:r w:rsidRPr="004E6EA2">
              <w:rPr>
                <w:b w:val="0"/>
                <w:szCs w:val="20"/>
              </w:rPr>
              <w:t>Selenium</w:t>
            </w:r>
            <w:r>
              <w:rPr>
                <w:b w:val="0"/>
                <w:szCs w:val="20"/>
              </w:rPr>
              <w:t xml:space="preserve"> </w:t>
            </w:r>
          </w:p>
        </w:tc>
        <w:tc>
          <w:tcPr>
            <w:tcW w:w="1407" w:type="dxa"/>
          </w:tcPr>
          <w:p w14:paraId="3C0B772F" w14:textId="77777777" w:rsidR="00776154" w:rsidRPr="004E6EA2" w:rsidRDefault="00776154" w:rsidP="00776154">
            <w:pPr>
              <w:ind w:left="28" w:hanging="28"/>
              <w:cnfStyle w:val="000000010000" w:firstRow="0" w:lastRow="0" w:firstColumn="0" w:lastColumn="0" w:oddVBand="0" w:evenVBand="0" w:oddHBand="0" w:evenHBand="1" w:firstRowFirstColumn="0" w:firstRowLastColumn="0" w:lastRowFirstColumn="0" w:lastRowLastColumn="0"/>
              <w:rPr>
                <w:szCs w:val="20"/>
              </w:rPr>
            </w:pPr>
            <w:r w:rsidRPr="004E6EA2">
              <w:rPr>
                <w:szCs w:val="20"/>
              </w:rPr>
              <w:t xml:space="preserve">Government </w:t>
            </w:r>
          </w:p>
          <w:p w14:paraId="1EE80DB5" w14:textId="77777777" w:rsidR="00776154" w:rsidRPr="004E6EA2" w:rsidRDefault="00776154" w:rsidP="00776154">
            <w:pPr>
              <w:ind w:left="28" w:hanging="28"/>
              <w:cnfStyle w:val="000000010000" w:firstRow="0" w:lastRow="0" w:firstColumn="0" w:lastColumn="0" w:oddVBand="0" w:evenVBand="0" w:oddHBand="0" w:evenHBand="1" w:firstRowFirstColumn="0" w:firstRowLastColumn="0" w:lastRowFirstColumn="0" w:lastRowLastColumn="0"/>
              <w:rPr>
                <w:szCs w:val="20"/>
              </w:rPr>
            </w:pPr>
            <w:r>
              <w:rPr>
                <w:szCs w:val="20"/>
              </w:rPr>
              <w:t>(3</w:t>
            </w:r>
            <w:r w:rsidRPr="004E6EA2">
              <w:rPr>
                <w:szCs w:val="20"/>
              </w:rPr>
              <w:t>)</w:t>
            </w:r>
          </w:p>
        </w:tc>
        <w:tc>
          <w:tcPr>
            <w:tcW w:w="6389" w:type="dxa"/>
          </w:tcPr>
          <w:p w14:paraId="4762A51B" w14:textId="77777777" w:rsidR="00776154" w:rsidRDefault="00776154" w:rsidP="00776154">
            <w:pPr>
              <w:ind w:left="34"/>
              <w:cnfStyle w:val="000000010000" w:firstRow="0" w:lastRow="0" w:firstColumn="0" w:lastColumn="0" w:oddVBand="0" w:evenVBand="0" w:oddHBand="0" w:evenHBand="1" w:firstRowFirstColumn="0" w:firstRowLastColumn="0" w:lastRowFirstColumn="0" w:lastRowLastColumn="0"/>
              <w:rPr>
                <w:szCs w:val="20"/>
                <w:lang w:eastAsia="en-AU"/>
              </w:rPr>
            </w:pPr>
            <w:r>
              <w:rPr>
                <w:szCs w:val="20"/>
                <w:lang w:eastAsia="en-AU"/>
              </w:rPr>
              <w:t xml:space="preserve">Submitters </w:t>
            </w:r>
            <w:r w:rsidRPr="00181C77">
              <w:rPr>
                <w:szCs w:val="20"/>
                <w:lang w:eastAsia="en-AU"/>
              </w:rPr>
              <w:t>oppose or reserve position on use of a GUL</w:t>
            </w:r>
            <w:r>
              <w:rPr>
                <w:szCs w:val="20"/>
                <w:lang w:eastAsia="en-AU"/>
              </w:rPr>
              <w:t>. Submitters</w:t>
            </w:r>
            <w:r w:rsidRPr="00181C77">
              <w:rPr>
                <w:szCs w:val="20"/>
                <w:lang w:eastAsia="en-AU"/>
              </w:rPr>
              <w:t xml:space="preserve"> </w:t>
            </w:r>
            <w:r>
              <w:rPr>
                <w:szCs w:val="20"/>
                <w:lang w:eastAsia="en-AU"/>
              </w:rPr>
              <w:t>commented that a selenium UL was established by the NHMRC for infants 0-12 months of age indicating that excess intakes should be avoided.</w:t>
            </w:r>
          </w:p>
          <w:p w14:paraId="2E64DA2C" w14:textId="1A0B501D" w:rsidR="00776154" w:rsidRPr="0077322E" w:rsidRDefault="00776154" w:rsidP="00101E8D">
            <w:pPr>
              <w:ind w:left="34"/>
              <w:cnfStyle w:val="000000010000" w:firstRow="0" w:lastRow="0" w:firstColumn="0" w:lastColumn="0" w:oddVBand="0" w:evenVBand="0" w:oddHBand="0" w:evenHBand="1" w:firstRowFirstColumn="0" w:firstRowLastColumn="0" w:lastRowFirstColumn="0" w:lastRowLastColumn="0"/>
              <w:rPr>
                <w:b/>
                <w:szCs w:val="20"/>
                <w:lang w:eastAsia="en-AU"/>
              </w:rPr>
            </w:pPr>
            <w:r w:rsidRPr="0077322E">
              <w:rPr>
                <w:b/>
                <w:szCs w:val="20"/>
                <w:lang w:eastAsia="en-AU"/>
              </w:rPr>
              <w:t>On this basis the proposed approach is to retain the regulatory maximum.</w:t>
            </w:r>
          </w:p>
        </w:tc>
      </w:tr>
      <w:tr w:rsidR="00776154" w:rsidRPr="004E6EA2" w14:paraId="5F434C54" w14:textId="77777777" w:rsidTr="005429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3" w:type="dxa"/>
          </w:tcPr>
          <w:p w14:paraId="58411412" w14:textId="77777777" w:rsidR="00776154" w:rsidRPr="004E6EA2" w:rsidRDefault="00776154" w:rsidP="00776154">
            <w:pPr>
              <w:rPr>
                <w:b w:val="0"/>
                <w:szCs w:val="20"/>
              </w:rPr>
            </w:pPr>
            <w:r w:rsidRPr="004E6EA2">
              <w:rPr>
                <w:b w:val="0"/>
                <w:szCs w:val="20"/>
              </w:rPr>
              <w:t>Folate</w:t>
            </w:r>
          </w:p>
        </w:tc>
        <w:tc>
          <w:tcPr>
            <w:tcW w:w="1407" w:type="dxa"/>
          </w:tcPr>
          <w:p w14:paraId="53ABD65F" w14:textId="77777777" w:rsidR="00776154" w:rsidRPr="004E6EA2" w:rsidRDefault="00776154" w:rsidP="00776154">
            <w:pPr>
              <w:ind w:left="28" w:hanging="28"/>
              <w:cnfStyle w:val="000000100000" w:firstRow="0" w:lastRow="0" w:firstColumn="0" w:lastColumn="0" w:oddVBand="0" w:evenVBand="0" w:oddHBand="1" w:evenHBand="0" w:firstRowFirstColumn="0" w:firstRowLastColumn="0" w:lastRowFirstColumn="0" w:lastRowLastColumn="0"/>
              <w:rPr>
                <w:szCs w:val="20"/>
              </w:rPr>
            </w:pPr>
            <w:r>
              <w:rPr>
                <w:szCs w:val="20"/>
              </w:rPr>
              <w:t>Government (1</w:t>
            </w:r>
            <w:r w:rsidRPr="004E6EA2">
              <w:rPr>
                <w:szCs w:val="20"/>
              </w:rPr>
              <w:t xml:space="preserve">) </w:t>
            </w:r>
          </w:p>
        </w:tc>
        <w:tc>
          <w:tcPr>
            <w:tcW w:w="6389" w:type="dxa"/>
          </w:tcPr>
          <w:p w14:paraId="024BE091" w14:textId="77777777" w:rsidR="00776154" w:rsidRDefault="00776154" w:rsidP="00776154">
            <w:pPr>
              <w:ind w:left="34"/>
              <w:cnfStyle w:val="000000100000" w:firstRow="0" w:lastRow="0" w:firstColumn="0" w:lastColumn="0" w:oddVBand="0" w:evenVBand="0" w:oddHBand="1" w:evenHBand="0" w:firstRowFirstColumn="0" w:firstRowLastColumn="0" w:lastRowFirstColumn="0" w:lastRowLastColumn="0"/>
              <w:rPr>
                <w:szCs w:val="20"/>
                <w:lang w:eastAsia="en-AU"/>
              </w:rPr>
            </w:pPr>
            <w:r w:rsidRPr="00181C77">
              <w:rPr>
                <w:szCs w:val="20"/>
                <w:lang w:eastAsia="en-AU"/>
              </w:rPr>
              <w:t xml:space="preserve">Submitter reserves position on suitability of use of a GUL. </w:t>
            </w:r>
            <w:r>
              <w:rPr>
                <w:szCs w:val="20"/>
                <w:lang w:eastAsia="en-AU"/>
              </w:rPr>
              <w:t>Comments provided include:</w:t>
            </w:r>
          </w:p>
          <w:p w14:paraId="33F2DD4A" w14:textId="77777777" w:rsidR="00776154" w:rsidRPr="000345FD" w:rsidRDefault="00776154" w:rsidP="00776154">
            <w:pPr>
              <w:ind w:left="34"/>
              <w:cnfStyle w:val="000000100000" w:firstRow="0" w:lastRow="0" w:firstColumn="0" w:lastColumn="0" w:oddVBand="0" w:evenVBand="0" w:oddHBand="1" w:evenHBand="0" w:firstRowFirstColumn="0" w:firstRowLastColumn="0" w:lastRowFirstColumn="0" w:lastRowLastColumn="0"/>
              <w:rPr>
                <w:szCs w:val="20"/>
                <w:lang w:eastAsia="en-AU"/>
              </w:rPr>
            </w:pPr>
            <w:r>
              <w:rPr>
                <w:szCs w:val="20"/>
                <w:lang w:eastAsia="en-AU"/>
              </w:rPr>
              <w:t>(</w:t>
            </w:r>
            <w:r w:rsidRPr="000345FD">
              <w:rPr>
                <w:szCs w:val="20"/>
                <w:lang w:eastAsia="en-AU"/>
              </w:rPr>
              <w:t>1) A UL is not established for the 0-12 month age group but has been set for 1-3 years old</w:t>
            </w:r>
          </w:p>
          <w:p w14:paraId="072025B9" w14:textId="77777777" w:rsidR="00776154" w:rsidRDefault="00776154" w:rsidP="00776154">
            <w:pPr>
              <w:ind w:left="34"/>
              <w:cnfStyle w:val="000000100000" w:firstRow="0" w:lastRow="0" w:firstColumn="0" w:lastColumn="0" w:oddVBand="0" w:evenVBand="0" w:oddHBand="1" w:evenHBand="0" w:firstRowFirstColumn="0" w:firstRowLastColumn="0" w:lastRowFirstColumn="0" w:lastRowLastColumn="0"/>
              <w:rPr>
                <w:szCs w:val="20"/>
                <w:lang w:eastAsia="en-AU"/>
              </w:rPr>
            </w:pPr>
            <w:r w:rsidRPr="000345FD">
              <w:rPr>
                <w:szCs w:val="20"/>
                <w:lang w:eastAsia="en-AU"/>
              </w:rPr>
              <w:t>(2)</w:t>
            </w:r>
            <w:r w:rsidRPr="000345FD">
              <w:rPr>
                <w:szCs w:val="20"/>
              </w:rPr>
              <w:t xml:space="preserve"> excess </w:t>
            </w:r>
            <w:r w:rsidRPr="000345FD">
              <w:rPr>
                <w:szCs w:val="20"/>
                <w:lang w:eastAsia="en-AU"/>
              </w:rPr>
              <w:t>folic acid can lead to the presence of un</w:t>
            </w:r>
            <w:r>
              <w:rPr>
                <w:szCs w:val="20"/>
                <w:lang w:eastAsia="en-AU"/>
              </w:rPr>
              <w:t>-</w:t>
            </w:r>
            <w:r w:rsidRPr="000345FD">
              <w:rPr>
                <w:szCs w:val="20"/>
                <w:lang w:eastAsia="en-AU"/>
              </w:rPr>
              <w:t>metabolised folic acid in the blood although the consequence of this is uncertain</w:t>
            </w:r>
            <w:r>
              <w:rPr>
                <w:szCs w:val="20"/>
                <w:lang w:eastAsia="en-AU"/>
              </w:rPr>
              <w:t xml:space="preserve">. </w:t>
            </w:r>
          </w:p>
          <w:p w14:paraId="7753D969" w14:textId="77777777" w:rsidR="00776154" w:rsidRDefault="00776154" w:rsidP="00776154">
            <w:pPr>
              <w:ind w:left="34"/>
              <w:cnfStyle w:val="000000100000" w:firstRow="0" w:lastRow="0" w:firstColumn="0" w:lastColumn="0" w:oddVBand="0" w:evenVBand="0" w:oddHBand="1" w:evenHBand="0" w:firstRowFirstColumn="0" w:firstRowLastColumn="0" w:lastRowFirstColumn="0" w:lastRowLastColumn="0"/>
              <w:rPr>
                <w:szCs w:val="20"/>
                <w:lang w:eastAsia="en-AU"/>
              </w:rPr>
            </w:pPr>
          </w:p>
          <w:p w14:paraId="66C87B9E" w14:textId="6B0624AA" w:rsidR="00776154" w:rsidRDefault="00776154" w:rsidP="00776154">
            <w:pPr>
              <w:ind w:left="34"/>
              <w:cnfStyle w:val="000000100000" w:firstRow="0" w:lastRow="0" w:firstColumn="0" w:lastColumn="0" w:oddVBand="0" w:evenVBand="0" w:oddHBand="1" w:evenHBand="0" w:firstRowFirstColumn="0" w:firstRowLastColumn="0" w:lastRowFirstColumn="0" w:lastRowLastColumn="0"/>
              <w:rPr>
                <w:szCs w:val="20"/>
                <w:lang w:eastAsia="en-AU"/>
              </w:rPr>
            </w:pPr>
            <w:r>
              <w:rPr>
                <w:szCs w:val="20"/>
                <w:lang w:eastAsia="en-AU"/>
              </w:rPr>
              <w:t>FSANZ reiterate</w:t>
            </w:r>
            <w:r w:rsidR="00EE37E7">
              <w:rPr>
                <w:szCs w:val="20"/>
                <w:lang w:eastAsia="en-AU"/>
              </w:rPr>
              <w:t>s</w:t>
            </w:r>
            <w:r>
              <w:rPr>
                <w:szCs w:val="20"/>
                <w:lang w:eastAsia="en-AU"/>
              </w:rPr>
              <w:t xml:space="preserve"> the findings of the 2016 nutrition </w:t>
            </w:r>
            <w:r w:rsidR="00E230C2">
              <w:rPr>
                <w:szCs w:val="20"/>
                <w:lang w:eastAsia="en-AU"/>
              </w:rPr>
              <w:t xml:space="preserve">risk </w:t>
            </w:r>
            <w:r>
              <w:rPr>
                <w:szCs w:val="20"/>
                <w:lang w:eastAsia="en-AU"/>
              </w:rPr>
              <w:t>assessment, noting that th</w:t>
            </w:r>
            <w:r w:rsidRPr="00813662">
              <w:rPr>
                <w:szCs w:val="20"/>
                <w:lang w:eastAsia="en-AU"/>
              </w:rPr>
              <w:t xml:space="preserve">e ANZ UL applies only to folic acid from fortified food </w:t>
            </w:r>
            <w:r>
              <w:rPr>
                <w:szCs w:val="20"/>
                <w:lang w:eastAsia="en-AU"/>
              </w:rPr>
              <w:t xml:space="preserve">or </w:t>
            </w:r>
            <w:r w:rsidR="00E74A83">
              <w:rPr>
                <w:szCs w:val="20"/>
                <w:lang w:eastAsia="en-AU"/>
              </w:rPr>
              <w:t>supplemental intake. N</w:t>
            </w:r>
            <w:r w:rsidRPr="00813662">
              <w:rPr>
                <w:szCs w:val="20"/>
                <w:lang w:eastAsia="en-AU"/>
              </w:rPr>
              <w:t xml:space="preserve">o folic acid UL is listed for infants </w:t>
            </w:r>
            <w:r>
              <w:rPr>
                <w:szCs w:val="20"/>
                <w:lang w:eastAsia="en-AU"/>
              </w:rPr>
              <w:t>for which it</w:t>
            </w:r>
            <w:r w:rsidRPr="00813662">
              <w:rPr>
                <w:szCs w:val="20"/>
                <w:lang w:eastAsia="en-AU"/>
              </w:rPr>
              <w:t xml:space="preserve"> states “</w:t>
            </w:r>
            <w:r>
              <w:rPr>
                <w:szCs w:val="20"/>
                <w:lang w:eastAsia="en-AU"/>
              </w:rPr>
              <w:t>n</w:t>
            </w:r>
            <w:r w:rsidRPr="00813662">
              <w:rPr>
                <w:szCs w:val="20"/>
                <w:lang w:eastAsia="en-AU"/>
              </w:rPr>
              <w:t>ot possible to establish for supplemental folic acid. Source of intake should</w:t>
            </w:r>
            <w:r>
              <w:rPr>
                <w:szCs w:val="20"/>
                <w:lang w:eastAsia="en-AU"/>
              </w:rPr>
              <w:t xml:space="preserve"> be milk, formula and food only</w:t>
            </w:r>
            <w:r w:rsidRPr="00813662">
              <w:rPr>
                <w:szCs w:val="20"/>
                <w:lang w:eastAsia="en-AU"/>
              </w:rPr>
              <w:t>” (NHMRC and MoH 2006).</w:t>
            </w:r>
            <w:r>
              <w:rPr>
                <w:szCs w:val="20"/>
                <w:lang w:eastAsia="en-AU"/>
              </w:rPr>
              <w:t xml:space="preserve"> Moreover, </w:t>
            </w:r>
            <w:r w:rsidRPr="00813662">
              <w:rPr>
                <w:szCs w:val="20"/>
                <w:lang w:eastAsia="en-AU"/>
              </w:rPr>
              <w:t xml:space="preserve">excessive folate intakes can mask vitamin B12 deficiency particularly in the elderly but this is not considered to be a problem in formula-fed infants (MacLean et al. 2010). The </w:t>
            </w:r>
            <w:r w:rsidR="00334548">
              <w:rPr>
                <w:szCs w:val="20"/>
                <w:lang w:eastAsia="en-AU"/>
              </w:rPr>
              <w:t>Schedule 29</w:t>
            </w:r>
            <w:r w:rsidRPr="00813662">
              <w:rPr>
                <w:szCs w:val="20"/>
                <w:lang w:eastAsia="en-AU"/>
              </w:rPr>
              <w:t xml:space="preserve"> and Codex STAN 72-1981 maximum amounts (which are effectively aligned) have been in place since 2002 and </w:t>
            </w:r>
            <w:r w:rsidR="00E74A83">
              <w:rPr>
                <w:szCs w:val="20"/>
                <w:lang w:eastAsia="en-AU"/>
              </w:rPr>
              <w:t xml:space="preserve">FSANZ is not aware of new </w:t>
            </w:r>
            <w:r w:rsidRPr="00813662">
              <w:rPr>
                <w:szCs w:val="20"/>
                <w:lang w:eastAsia="en-AU"/>
              </w:rPr>
              <w:t>evidence (i.e. published since the last reviews of the two standards) indicating infants are at risk of excessive folate intakes. Therefore, use of the Codex STAN 72-1981 GUL for folate is unlikely to pose a risk to infant health.</w:t>
            </w:r>
          </w:p>
          <w:p w14:paraId="343B3A96" w14:textId="7C812011" w:rsidR="00776154" w:rsidRPr="0077322E" w:rsidRDefault="00776154" w:rsidP="00334548">
            <w:pPr>
              <w:ind w:left="34"/>
              <w:cnfStyle w:val="000000100000" w:firstRow="0" w:lastRow="0" w:firstColumn="0" w:lastColumn="0" w:oddVBand="0" w:evenVBand="0" w:oddHBand="1" w:evenHBand="0" w:firstRowFirstColumn="0" w:firstRowLastColumn="0" w:lastRowFirstColumn="0" w:lastRowLastColumn="0"/>
              <w:rPr>
                <w:b/>
                <w:szCs w:val="20"/>
                <w:lang w:eastAsia="en-AU"/>
              </w:rPr>
            </w:pPr>
            <w:r w:rsidRPr="0077322E">
              <w:rPr>
                <w:b/>
                <w:szCs w:val="20"/>
                <w:lang w:eastAsia="en-AU"/>
              </w:rPr>
              <w:t xml:space="preserve">On this basis the proposed approach is to align </w:t>
            </w:r>
            <w:r w:rsidR="00334548" w:rsidRPr="0077322E">
              <w:rPr>
                <w:b/>
                <w:szCs w:val="20"/>
                <w:lang w:eastAsia="en-AU"/>
              </w:rPr>
              <w:t>Schedule 29</w:t>
            </w:r>
            <w:r w:rsidRPr="0077322E">
              <w:rPr>
                <w:b/>
                <w:szCs w:val="20"/>
                <w:lang w:eastAsia="en-AU"/>
              </w:rPr>
              <w:t xml:space="preserve"> with the Codex GUL.</w:t>
            </w:r>
          </w:p>
        </w:tc>
      </w:tr>
    </w:tbl>
    <w:p w14:paraId="33D4296E" w14:textId="5A7CE680" w:rsidR="00776154" w:rsidRDefault="00E230C2" w:rsidP="00776154">
      <w:pPr>
        <w:pStyle w:val="Heading4"/>
        <w:ind w:left="0" w:firstLine="0"/>
      </w:pPr>
      <w:r>
        <w:t>Nutrition r</w:t>
      </w:r>
      <w:r w:rsidR="00776154" w:rsidRPr="00BA1FD9">
        <w:t>isk assessment</w:t>
      </w:r>
    </w:p>
    <w:p w14:paraId="6D461E8D" w14:textId="077538FD" w:rsidR="00776154" w:rsidRPr="00741136" w:rsidRDefault="00776154" w:rsidP="00776154">
      <w:pPr>
        <w:autoSpaceDE w:val="0"/>
        <w:autoSpaceDN w:val="0"/>
        <w:adjustRightInd w:val="0"/>
        <w:rPr>
          <w:rFonts w:eastAsia="Arial Unicode MS"/>
        </w:rPr>
      </w:pPr>
      <w:r w:rsidRPr="00741136">
        <w:rPr>
          <w:rFonts w:eastAsia="Arial Unicode MS"/>
        </w:rPr>
        <w:t>No further</w:t>
      </w:r>
      <w:r w:rsidR="00E230C2">
        <w:rPr>
          <w:rFonts w:eastAsia="Arial Unicode MS"/>
        </w:rPr>
        <w:t xml:space="preserve"> nutrition</w:t>
      </w:r>
      <w:r w:rsidRPr="00741136">
        <w:rPr>
          <w:rFonts w:eastAsia="Arial Unicode MS"/>
        </w:rPr>
        <w:t xml:space="preserve"> </w:t>
      </w:r>
      <w:r>
        <w:rPr>
          <w:rFonts w:eastAsia="Arial Unicode MS"/>
        </w:rPr>
        <w:t>risk assessment was considered on this issue.</w:t>
      </w:r>
    </w:p>
    <w:p w14:paraId="14812F1D" w14:textId="6A5FB78D" w:rsidR="00E75493" w:rsidRPr="00E75493" w:rsidRDefault="007A6CD5" w:rsidP="007A6CD5">
      <w:pPr>
        <w:pStyle w:val="Heading4"/>
      </w:pPr>
      <w:r>
        <w:t>Options and discussion</w:t>
      </w:r>
    </w:p>
    <w:p w14:paraId="75A3201F" w14:textId="07030BFC" w:rsidR="00776154" w:rsidRDefault="00717DD3" w:rsidP="00776154">
      <w:pPr>
        <w:rPr>
          <w:color w:val="000000" w:themeColor="text1"/>
          <w:lang w:val="en-AU" w:bidi="ar-SA"/>
        </w:rPr>
      </w:pPr>
      <w:r>
        <w:rPr>
          <w:color w:val="000000" w:themeColor="text1"/>
          <w:lang w:val="en-AU" w:bidi="ar-SA"/>
        </w:rPr>
        <w:t>Submitters proposed that FSANZ acquire</w:t>
      </w:r>
      <w:r w:rsidRPr="00717DD3">
        <w:rPr>
          <w:color w:val="000000" w:themeColor="text1"/>
          <w:lang w:val="en-AU" w:bidi="ar-SA"/>
        </w:rPr>
        <w:t xml:space="preserve"> </w:t>
      </w:r>
      <w:r>
        <w:rPr>
          <w:color w:val="000000" w:themeColor="text1"/>
          <w:lang w:val="en-AU" w:bidi="ar-SA"/>
        </w:rPr>
        <w:t>information from manufacturers on Australian and New Zealand infant formula products that exceed GUL micronutrient levels, however FSANZ cannot acquire this information</w:t>
      </w:r>
      <w:r w:rsidR="00776154">
        <w:rPr>
          <w:color w:val="000000" w:themeColor="text1"/>
          <w:lang w:val="en-AU" w:bidi="ar-SA"/>
        </w:rPr>
        <w:t xml:space="preserve">. </w:t>
      </w:r>
      <w:r>
        <w:rPr>
          <w:color w:val="000000" w:themeColor="text1"/>
          <w:lang w:val="en-AU" w:bidi="ar-SA"/>
        </w:rPr>
        <w:t>Instead</w:t>
      </w:r>
      <w:r w:rsidR="00776154">
        <w:rPr>
          <w:color w:val="000000" w:themeColor="text1"/>
          <w:lang w:val="en-AU" w:bidi="ar-SA"/>
        </w:rPr>
        <w:t xml:space="preserve">, we examined the published scientific literature to assess the potential proportion of products on the market that exceed Codex GULs. </w:t>
      </w:r>
      <w:r w:rsidR="003F2326">
        <w:rPr>
          <w:color w:val="000000" w:themeColor="text1"/>
          <w:lang w:val="en-AU" w:bidi="ar-SA"/>
        </w:rPr>
        <w:t>To be included</w:t>
      </w:r>
      <w:r w:rsidR="00776154">
        <w:rPr>
          <w:color w:val="000000" w:themeColor="text1"/>
          <w:lang w:val="en-AU" w:bidi="ar-SA"/>
        </w:rPr>
        <w:t xml:space="preserve">, </w:t>
      </w:r>
      <w:r w:rsidR="00776154" w:rsidRPr="00647B18">
        <w:rPr>
          <w:color w:val="000000" w:themeColor="text1"/>
          <w:szCs w:val="22"/>
          <w:lang w:val="en-AU" w:bidi="ar-SA"/>
        </w:rPr>
        <w:t>studies</w:t>
      </w:r>
      <w:r w:rsidR="00776154">
        <w:rPr>
          <w:color w:val="000000" w:themeColor="text1"/>
          <w:lang w:val="en-AU" w:bidi="ar-SA"/>
        </w:rPr>
        <w:t xml:space="preserve"> needed to report results for vitamins or minerals in appropriate units (e.g. mg/100 kcal) so that </w:t>
      </w:r>
      <w:r w:rsidR="003F2326">
        <w:rPr>
          <w:color w:val="000000" w:themeColor="text1"/>
          <w:lang w:val="en-AU" w:bidi="ar-SA"/>
        </w:rPr>
        <w:t xml:space="preserve">they </w:t>
      </w:r>
      <w:r w:rsidR="00776154">
        <w:rPr>
          <w:color w:val="000000" w:themeColor="text1"/>
          <w:lang w:val="en-AU" w:bidi="ar-SA"/>
        </w:rPr>
        <w:t>could be compared with the Codex GUL. Six studies published since 2010 were identified (including MacLean et al</w:t>
      </w:r>
      <w:r w:rsidR="00422206">
        <w:rPr>
          <w:color w:val="000000" w:themeColor="text1"/>
          <w:lang w:val="en-AU" w:bidi="ar-SA"/>
        </w:rPr>
        <w:t>.</w:t>
      </w:r>
      <w:r w:rsidR="00776154">
        <w:rPr>
          <w:color w:val="000000" w:themeColor="text1"/>
          <w:lang w:val="en-AU" w:bidi="ar-SA"/>
        </w:rPr>
        <w:t xml:space="preserve"> </w:t>
      </w:r>
      <w:r w:rsidR="003F2326">
        <w:rPr>
          <w:color w:val="000000" w:themeColor="text1"/>
          <w:lang w:val="en-AU" w:bidi="ar-SA"/>
        </w:rPr>
        <w:t xml:space="preserve">(2010) </w:t>
      </w:r>
      <w:r w:rsidR="00776154">
        <w:rPr>
          <w:color w:val="000000" w:themeColor="text1"/>
          <w:lang w:val="en-AU" w:bidi="ar-SA"/>
        </w:rPr>
        <w:t>which was discussed in the 2016 C</w:t>
      </w:r>
      <w:r w:rsidR="003F2326">
        <w:rPr>
          <w:color w:val="000000" w:themeColor="text1"/>
          <w:lang w:val="en-AU" w:bidi="ar-SA"/>
        </w:rPr>
        <w:t>onsultation paper</w:t>
      </w:r>
      <w:r w:rsidR="00776154">
        <w:rPr>
          <w:color w:val="000000" w:themeColor="text1"/>
          <w:lang w:val="en-AU" w:bidi="ar-SA"/>
        </w:rPr>
        <w:t xml:space="preserve">). Only a subset of micronutrients were covered across the different studies, and no studies covered the ANZ market specifically. Overall, the studies show that </w:t>
      </w:r>
      <w:r w:rsidR="00776154">
        <w:rPr>
          <w:color w:val="000000" w:themeColor="text1"/>
          <w:lang w:val="en-AU" w:bidi="ar-SA"/>
        </w:rPr>
        <w:lastRenderedPageBreak/>
        <w:t xml:space="preserve">the proportion of products on the market with micronutrient concentrations that exceed the GUL is likely to be low (Table </w:t>
      </w:r>
      <w:r w:rsidR="00E75493">
        <w:rPr>
          <w:color w:val="000000" w:themeColor="text1"/>
          <w:lang w:val="en-AU" w:bidi="ar-SA"/>
        </w:rPr>
        <w:t>7</w:t>
      </w:r>
      <w:r w:rsidR="003F2326">
        <w:rPr>
          <w:color w:val="000000" w:themeColor="text1"/>
          <w:lang w:val="en-AU" w:bidi="ar-SA"/>
        </w:rPr>
        <w:t>.3</w:t>
      </w:r>
      <w:r w:rsidR="00776154">
        <w:rPr>
          <w:color w:val="000000" w:themeColor="text1"/>
          <w:lang w:val="en-AU" w:bidi="ar-SA"/>
        </w:rPr>
        <w:t xml:space="preserve">). </w:t>
      </w:r>
    </w:p>
    <w:p w14:paraId="68FC9181" w14:textId="03F4B928" w:rsidR="00CE0926" w:rsidRDefault="00CE0926" w:rsidP="00776154">
      <w:pPr>
        <w:rPr>
          <w:color w:val="000000" w:themeColor="text1"/>
          <w:lang w:val="en-AU" w:bidi="ar-SA"/>
        </w:rPr>
      </w:pPr>
    </w:p>
    <w:p w14:paraId="783A8AEF" w14:textId="4B13AC35" w:rsidR="00CE0926" w:rsidRDefault="008410B2" w:rsidP="00CE0926">
      <w:pPr>
        <w:pStyle w:val="FSTitle"/>
        <w:rPr>
          <w:lang w:val="en-AU" w:bidi="ar-SA"/>
        </w:rPr>
      </w:pPr>
      <w:bookmarkStart w:id="319" w:name="_Toc74061244"/>
      <w:r>
        <w:rPr>
          <w:lang w:val="en-AU" w:bidi="ar-SA"/>
        </w:rPr>
        <w:t>Table 7.3</w:t>
      </w:r>
      <w:r>
        <w:rPr>
          <w:lang w:val="en-AU" w:bidi="ar-SA"/>
        </w:rPr>
        <w:tab/>
      </w:r>
      <w:r w:rsidR="00CE0926">
        <w:rPr>
          <w:lang w:val="en-AU" w:bidi="ar-SA"/>
        </w:rPr>
        <w:t xml:space="preserve">Studies </w:t>
      </w:r>
      <w:r>
        <w:rPr>
          <w:lang w:val="en-AU" w:bidi="ar-SA"/>
        </w:rPr>
        <w:t xml:space="preserve">on </w:t>
      </w:r>
      <w:r w:rsidR="00CE0926">
        <w:rPr>
          <w:lang w:val="en-AU" w:bidi="ar-SA"/>
        </w:rPr>
        <w:t>micronutrient amounts in commercial infant formula samples</w:t>
      </w:r>
      <w:bookmarkEnd w:id="319"/>
      <w:r w:rsidR="00CE0926">
        <w:rPr>
          <w:lang w:val="en-AU" w:bidi="ar-SA"/>
        </w:rPr>
        <w:t xml:space="preserve"> </w:t>
      </w:r>
    </w:p>
    <w:tbl>
      <w:tblPr>
        <w:tblStyle w:val="MediumShading1-Accent3"/>
        <w:tblW w:w="9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7.1.3 Studies measuring micronutrient amounts in commercial infant formula samples "/>
        <w:tblDescription w:val="This table summarises studies measuring micronutrient amounts in commercial infant formula samples."/>
      </w:tblPr>
      <w:tblGrid>
        <w:gridCol w:w="1906"/>
        <w:gridCol w:w="3187"/>
        <w:gridCol w:w="4395"/>
      </w:tblGrid>
      <w:tr w:rsidR="00CE0926" w:rsidRPr="001F6B72" w14:paraId="11D64E45" w14:textId="77777777" w:rsidTr="00CE0926">
        <w:trPr>
          <w:cnfStyle w:val="100000000000" w:firstRow="1" w:lastRow="0" w:firstColumn="0" w:lastColumn="0" w:oddVBand="0" w:evenVBand="0" w:oddHBand="0" w:evenHBand="0" w:firstRowFirstColumn="0" w:firstRowLastColumn="0" w:lastRowFirstColumn="0" w:lastRowLastColumn="0"/>
          <w:trHeight w:val="414"/>
          <w:tblHeader/>
        </w:trPr>
        <w:tc>
          <w:tcPr>
            <w:cnfStyle w:val="001000000000" w:firstRow="0" w:lastRow="0" w:firstColumn="1" w:lastColumn="0" w:oddVBand="0" w:evenVBand="0" w:oddHBand="0" w:evenHBand="0" w:firstRowFirstColumn="0" w:firstRowLastColumn="0" w:lastRowFirstColumn="0" w:lastRowLastColumn="0"/>
            <w:tcW w:w="1906" w:type="dxa"/>
            <w:tcBorders>
              <w:top w:val="none" w:sz="0" w:space="0" w:color="auto"/>
              <w:left w:val="none" w:sz="0" w:space="0" w:color="auto"/>
              <w:bottom w:val="none" w:sz="0" w:space="0" w:color="auto"/>
              <w:right w:val="none" w:sz="0" w:space="0" w:color="auto"/>
            </w:tcBorders>
            <w:shd w:val="clear" w:color="auto" w:fill="E5DFEC" w:themeFill="accent4" w:themeFillTint="33"/>
            <w:vAlign w:val="center"/>
          </w:tcPr>
          <w:p w14:paraId="78F0E1F1" w14:textId="77777777" w:rsidR="00CE0926" w:rsidRPr="00840CE5" w:rsidRDefault="00CE0926" w:rsidP="00CE0926">
            <w:pPr>
              <w:jc w:val="center"/>
              <w:rPr>
                <w:color w:val="auto"/>
                <w:szCs w:val="20"/>
                <w:lang w:val="en-AU" w:bidi="ar-SA"/>
              </w:rPr>
            </w:pPr>
            <w:r w:rsidRPr="00840CE5">
              <w:rPr>
                <w:color w:val="auto"/>
                <w:szCs w:val="20"/>
                <w:lang w:val="en-AU" w:bidi="ar-SA"/>
              </w:rPr>
              <w:t>Study</w:t>
            </w:r>
          </w:p>
        </w:tc>
        <w:tc>
          <w:tcPr>
            <w:tcW w:w="3187" w:type="dxa"/>
            <w:tcBorders>
              <w:top w:val="none" w:sz="0" w:space="0" w:color="auto"/>
              <w:left w:val="none" w:sz="0" w:space="0" w:color="auto"/>
              <w:bottom w:val="none" w:sz="0" w:space="0" w:color="auto"/>
              <w:right w:val="none" w:sz="0" w:space="0" w:color="auto"/>
            </w:tcBorders>
            <w:shd w:val="clear" w:color="auto" w:fill="DBE5F1" w:themeFill="accent1" w:themeFillTint="33"/>
            <w:vAlign w:val="center"/>
          </w:tcPr>
          <w:p w14:paraId="4C18C2C7" w14:textId="77777777" w:rsidR="00CE0926" w:rsidRPr="00840CE5" w:rsidRDefault="00CE0926" w:rsidP="00CE0926">
            <w:pPr>
              <w:jc w:val="center"/>
              <w:cnfStyle w:val="100000000000" w:firstRow="1" w:lastRow="0" w:firstColumn="0" w:lastColumn="0" w:oddVBand="0" w:evenVBand="0" w:oddHBand="0" w:evenHBand="0" w:firstRowFirstColumn="0" w:firstRowLastColumn="0" w:lastRowFirstColumn="0" w:lastRowLastColumn="0"/>
              <w:rPr>
                <w:color w:val="auto"/>
                <w:szCs w:val="20"/>
                <w:lang w:val="en-AU" w:bidi="ar-SA"/>
              </w:rPr>
            </w:pPr>
            <w:r w:rsidRPr="00840CE5">
              <w:rPr>
                <w:color w:val="auto"/>
                <w:szCs w:val="20"/>
                <w:lang w:val="en-AU" w:bidi="ar-SA"/>
              </w:rPr>
              <w:t>Nutrients analysed</w:t>
            </w:r>
          </w:p>
        </w:tc>
        <w:tc>
          <w:tcPr>
            <w:tcW w:w="4395" w:type="dxa"/>
            <w:tcBorders>
              <w:top w:val="none" w:sz="0" w:space="0" w:color="auto"/>
              <w:left w:val="none" w:sz="0" w:space="0" w:color="auto"/>
              <w:bottom w:val="none" w:sz="0" w:space="0" w:color="auto"/>
              <w:right w:val="none" w:sz="0" w:space="0" w:color="auto"/>
            </w:tcBorders>
            <w:shd w:val="clear" w:color="auto" w:fill="EAF1DD" w:themeFill="accent3" w:themeFillTint="33"/>
            <w:vAlign w:val="center"/>
          </w:tcPr>
          <w:p w14:paraId="6CF5193E" w14:textId="77777777" w:rsidR="00CE0926" w:rsidRPr="00840CE5" w:rsidRDefault="00CE0926" w:rsidP="00CE0926">
            <w:pPr>
              <w:jc w:val="center"/>
              <w:cnfStyle w:val="100000000000" w:firstRow="1" w:lastRow="0" w:firstColumn="0" w:lastColumn="0" w:oddVBand="0" w:evenVBand="0" w:oddHBand="0" w:evenHBand="0" w:firstRowFirstColumn="0" w:firstRowLastColumn="0" w:lastRowFirstColumn="0" w:lastRowLastColumn="0"/>
              <w:rPr>
                <w:color w:val="auto"/>
                <w:szCs w:val="20"/>
                <w:lang w:val="en-AU" w:bidi="ar-SA"/>
              </w:rPr>
            </w:pPr>
            <w:r w:rsidRPr="00840CE5">
              <w:rPr>
                <w:color w:val="auto"/>
                <w:szCs w:val="20"/>
                <w:lang w:val="en-AU" w:bidi="ar-SA"/>
              </w:rPr>
              <w:t>Results</w:t>
            </w:r>
          </w:p>
        </w:tc>
      </w:tr>
      <w:tr w:rsidR="00CE0926" w:rsidRPr="001F6B72" w14:paraId="3350E6FB" w14:textId="77777777" w:rsidTr="00CE09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6" w:type="dxa"/>
            <w:tcBorders>
              <w:right w:val="none" w:sz="0" w:space="0" w:color="auto"/>
            </w:tcBorders>
            <w:shd w:val="clear" w:color="auto" w:fill="FFFFFF" w:themeFill="background1"/>
          </w:tcPr>
          <w:p w14:paraId="65857286" w14:textId="77777777" w:rsidR="00CE0926" w:rsidRPr="001F6B72" w:rsidRDefault="00CE0926" w:rsidP="00CE0926">
            <w:pPr>
              <w:rPr>
                <w:szCs w:val="20"/>
                <w:lang w:val="en-AU" w:bidi="ar-SA"/>
              </w:rPr>
            </w:pPr>
            <w:r w:rsidRPr="00CC6F9B">
              <w:rPr>
                <w:rFonts w:ascii="Arial" w:hAnsi="Arial"/>
                <w:szCs w:val="20"/>
                <w:lang w:val="en-AU" w:bidi="ar-SA"/>
              </w:rPr>
              <w:t>MacLean et al. 2010</w:t>
            </w:r>
          </w:p>
        </w:tc>
        <w:tc>
          <w:tcPr>
            <w:tcW w:w="3187" w:type="dxa"/>
            <w:tcBorders>
              <w:left w:val="none" w:sz="0" w:space="0" w:color="auto"/>
              <w:right w:val="none" w:sz="0" w:space="0" w:color="auto"/>
            </w:tcBorders>
            <w:shd w:val="clear" w:color="auto" w:fill="FFFFFF" w:themeFill="background1"/>
          </w:tcPr>
          <w:p w14:paraId="4B876721" w14:textId="77777777" w:rsidR="00CE0926" w:rsidRPr="001F6B72" w:rsidRDefault="00CE0926" w:rsidP="00CE0926">
            <w:pPr>
              <w:cnfStyle w:val="000000100000" w:firstRow="0" w:lastRow="0" w:firstColumn="0" w:lastColumn="0" w:oddVBand="0" w:evenVBand="0" w:oddHBand="1" w:evenHBand="0" w:firstRowFirstColumn="0" w:firstRowLastColumn="0" w:lastRowFirstColumn="0" w:lastRowLastColumn="0"/>
              <w:rPr>
                <w:szCs w:val="20"/>
                <w:lang w:val="en-AU" w:bidi="ar-SA"/>
              </w:rPr>
            </w:pPr>
            <w:r w:rsidRPr="001F6B72">
              <w:rPr>
                <w:szCs w:val="20"/>
                <w:lang w:val="en-AU" w:bidi="ar-SA"/>
              </w:rPr>
              <w:t>Vitamin A, Vitamin K, Thiamin, Riboflavin, Niacin, Vitamin B12, Folic acid, Vitamin C, Biotin, Potassium, Manganese, Iodine, Copper</w:t>
            </w:r>
          </w:p>
        </w:tc>
        <w:tc>
          <w:tcPr>
            <w:tcW w:w="4395" w:type="dxa"/>
            <w:tcBorders>
              <w:left w:val="none" w:sz="0" w:space="0" w:color="auto"/>
            </w:tcBorders>
            <w:shd w:val="clear" w:color="auto" w:fill="FFFFFF" w:themeFill="background1"/>
          </w:tcPr>
          <w:p w14:paraId="248C3EC6" w14:textId="77777777" w:rsidR="00CE0926" w:rsidRPr="001F6B72" w:rsidRDefault="00CE0926" w:rsidP="00CE0926">
            <w:pPr>
              <w:cnfStyle w:val="000000100000" w:firstRow="0" w:lastRow="0" w:firstColumn="0" w:lastColumn="0" w:oddVBand="0" w:evenVBand="0" w:oddHBand="1" w:evenHBand="0" w:firstRowFirstColumn="0" w:firstRowLastColumn="0" w:lastRowFirstColumn="0" w:lastRowLastColumn="0"/>
              <w:rPr>
                <w:szCs w:val="20"/>
                <w:lang w:val="en-AU" w:bidi="ar-SA"/>
              </w:rPr>
            </w:pPr>
            <w:r w:rsidRPr="001F6B72">
              <w:rPr>
                <w:szCs w:val="20"/>
                <w:lang w:val="en-AU" w:bidi="ar-SA"/>
              </w:rPr>
              <w:t xml:space="preserve">715 - 27,920 </w:t>
            </w:r>
            <w:r>
              <w:rPr>
                <w:szCs w:val="20"/>
                <w:lang w:val="en-AU" w:bidi="ar-SA"/>
              </w:rPr>
              <w:t>infant formula</w:t>
            </w:r>
            <w:r w:rsidRPr="001F6B72">
              <w:rPr>
                <w:szCs w:val="20"/>
                <w:lang w:val="en-AU" w:bidi="ar-SA"/>
              </w:rPr>
              <w:t xml:space="preserve"> products sampled and reported as a range of the mean for each micronutrient. Exceedance of the Codex GUL was </w:t>
            </w:r>
            <w:r>
              <w:rPr>
                <w:szCs w:val="20"/>
                <w:lang w:val="en-AU" w:bidi="ar-SA"/>
              </w:rPr>
              <w:t>noted</w:t>
            </w:r>
            <w:r w:rsidRPr="001F6B72">
              <w:rPr>
                <w:szCs w:val="20"/>
                <w:lang w:val="en-AU" w:bidi="ar-SA"/>
              </w:rPr>
              <w:t xml:space="preserve"> for niacin and copper; all others were below the Codex GUL.</w:t>
            </w:r>
          </w:p>
        </w:tc>
      </w:tr>
      <w:tr w:rsidR="00CE0926" w:rsidRPr="001F6B72" w14:paraId="3DDE1B5A" w14:textId="77777777" w:rsidTr="00CE092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6" w:type="dxa"/>
            <w:tcBorders>
              <w:right w:val="none" w:sz="0" w:space="0" w:color="auto"/>
            </w:tcBorders>
            <w:shd w:val="clear" w:color="auto" w:fill="FFFFFF" w:themeFill="background1"/>
          </w:tcPr>
          <w:p w14:paraId="41B9F5BD" w14:textId="77777777" w:rsidR="00CE0926" w:rsidRPr="001F6B72" w:rsidRDefault="00CE0926" w:rsidP="00CE0926">
            <w:pPr>
              <w:rPr>
                <w:szCs w:val="20"/>
                <w:lang w:val="en-AU" w:bidi="ar-SA"/>
              </w:rPr>
            </w:pPr>
            <w:r w:rsidRPr="00CC6F9B">
              <w:rPr>
                <w:rFonts w:ascii="Arial" w:hAnsi="Arial"/>
                <w:szCs w:val="20"/>
                <w:lang w:val="en-AU" w:bidi="ar-SA"/>
              </w:rPr>
              <w:t>Da Silva 2013</w:t>
            </w:r>
          </w:p>
        </w:tc>
        <w:tc>
          <w:tcPr>
            <w:tcW w:w="3187" w:type="dxa"/>
            <w:tcBorders>
              <w:left w:val="none" w:sz="0" w:space="0" w:color="auto"/>
              <w:right w:val="none" w:sz="0" w:space="0" w:color="auto"/>
            </w:tcBorders>
            <w:shd w:val="clear" w:color="auto" w:fill="FFFFFF" w:themeFill="background1"/>
          </w:tcPr>
          <w:p w14:paraId="1615233D" w14:textId="77777777" w:rsidR="00CE0926" w:rsidRPr="001F6B72" w:rsidRDefault="00CE0926" w:rsidP="00CE0926">
            <w:pPr>
              <w:cnfStyle w:val="000000010000" w:firstRow="0" w:lastRow="0" w:firstColumn="0" w:lastColumn="0" w:oddVBand="0" w:evenVBand="0" w:oddHBand="0" w:evenHBand="1" w:firstRowFirstColumn="0" w:firstRowLastColumn="0" w:lastRowFirstColumn="0" w:lastRowLastColumn="0"/>
              <w:rPr>
                <w:szCs w:val="20"/>
                <w:lang w:val="en-AU" w:bidi="ar-SA"/>
              </w:rPr>
            </w:pPr>
            <w:r w:rsidRPr="001F6B72">
              <w:rPr>
                <w:szCs w:val="20"/>
                <w:lang w:val="en-AU" w:bidi="ar-SA"/>
              </w:rPr>
              <w:t>Sodium, Potassium, Calcium, Magnesium, Copper, Zinc, Manganese</w:t>
            </w:r>
          </w:p>
        </w:tc>
        <w:tc>
          <w:tcPr>
            <w:tcW w:w="4395" w:type="dxa"/>
            <w:tcBorders>
              <w:left w:val="none" w:sz="0" w:space="0" w:color="auto"/>
            </w:tcBorders>
            <w:shd w:val="clear" w:color="auto" w:fill="FFFFFF" w:themeFill="background1"/>
          </w:tcPr>
          <w:p w14:paraId="43F58AE4" w14:textId="77777777" w:rsidR="00CE0926" w:rsidRPr="001F6B72" w:rsidRDefault="00CE0926" w:rsidP="00CE0926">
            <w:pPr>
              <w:cnfStyle w:val="000000010000" w:firstRow="0" w:lastRow="0" w:firstColumn="0" w:lastColumn="0" w:oddVBand="0" w:evenVBand="0" w:oddHBand="0" w:evenHBand="1" w:firstRowFirstColumn="0" w:firstRowLastColumn="0" w:lastRowFirstColumn="0" w:lastRowLastColumn="0"/>
              <w:rPr>
                <w:szCs w:val="20"/>
                <w:lang w:val="en-AU" w:bidi="ar-SA"/>
              </w:rPr>
            </w:pPr>
            <w:r>
              <w:rPr>
                <w:szCs w:val="20"/>
                <w:lang w:val="en-AU" w:bidi="ar-SA"/>
              </w:rPr>
              <w:t>Five infant formula</w:t>
            </w:r>
            <w:r w:rsidRPr="001F6B72">
              <w:rPr>
                <w:szCs w:val="20"/>
                <w:lang w:val="en-AU" w:bidi="ar-SA"/>
              </w:rPr>
              <w:t xml:space="preserve"> products sampled. Concentrations reported individually for each micronutrient. None exceeded the Codex GUL. </w:t>
            </w:r>
          </w:p>
        </w:tc>
      </w:tr>
      <w:tr w:rsidR="00CE0926" w:rsidRPr="001F6B72" w14:paraId="4E41A496" w14:textId="77777777" w:rsidTr="00CE09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6" w:type="dxa"/>
            <w:tcBorders>
              <w:right w:val="none" w:sz="0" w:space="0" w:color="auto"/>
            </w:tcBorders>
            <w:shd w:val="clear" w:color="auto" w:fill="FFFFFF" w:themeFill="background1"/>
          </w:tcPr>
          <w:p w14:paraId="0CCC3353" w14:textId="77777777" w:rsidR="00CE0926" w:rsidRPr="001F6B72" w:rsidRDefault="00CE0926" w:rsidP="00CE0926">
            <w:pPr>
              <w:rPr>
                <w:szCs w:val="20"/>
                <w:lang w:val="en-AU" w:bidi="ar-SA"/>
              </w:rPr>
            </w:pPr>
            <w:r w:rsidRPr="00CC6F9B">
              <w:rPr>
                <w:rFonts w:ascii="Arial" w:hAnsi="Arial"/>
                <w:szCs w:val="20"/>
                <w:lang w:val="en-AU" w:bidi="ar-SA"/>
              </w:rPr>
              <w:t>Pehrsson 2013</w:t>
            </w:r>
          </w:p>
        </w:tc>
        <w:tc>
          <w:tcPr>
            <w:tcW w:w="3187" w:type="dxa"/>
            <w:tcBorders>
              <w:left w:val="none" w:sz="0" w:space="0" w:color="auto"/>
              <w:right w:val="none" w:sz="0" w:space="0" w:color="auto"/>
            </w:tcBorders>
            <w:shd w:val="clear" w:color="auto" w:fill="FFFFFF" w:themeFill="background1"/>
          </w:tcPr>
          <w:p w14:paraId="10D9B2A6" w14:textId="77777777" w:rsidR="00CE0926" w:rsidRPr="001F6B72" w:rsidRDefault="00CE0926" w:rsidP="00CE0926">
            <w:pPr>
              <w:cnfStyle w:val="000000100000" w:firstRow="0" w:lastRow="0" w:firstColumn="0" w:lastColumn="0" w:oddVBand="0" w:evenVBand="0" w:oddHBand="1" w:evenHBand="0" w:firstRowFirstColumn="0" w:firstRowLastColumn="0" w:lastRowFirstColumn="0" w:lastRowLastColumn="0"/>
              <w:rPr>
                <w:szCs w:val="20"/>
                <w:lang w:val="en-AU" w:bidi="ar-SA"/>
              </w:rPr>
            </w:pPr>
            <w:r w:rsidRPr="001F6B72">
              <w:rPr>
                <w:szCs w:val="20"/>
                <w:lang w:val="en-AU" w:bidi="ar-SA"/>
              </w:rPr>
              <w:t>Vitamin C, Thiamin, Vitamin D, Vitamin K, Vitamin A, Vitamin E, Calcium</w:t>
            </w:r>
          </w:p>
        </w:tc>
        <w:tc>
          <w:tcPr>
            <w:tcW w:w="4395" w:type="dxa"/>
            <w:tcBorders>
              <w:left w:val="none" w:sz="0" w:space="0" w:color="auto"/>
            </w:tcBorders>
            <w:shd w:val="clear" w:color="auto" w:fill="FFFFFF" w:themeFill="background1"/>
          </w:tcPr>
          <w:p w14:paraId="0AA74653" w14:textId="77777777" w:rsidR="00CE0926" w:rsidRPr="001F6B72" w:rsidRDefault="00CE0926" w:rsidP="00CE0926">
            <w:pPr>
              <w:cnfStyle w:val="000000100000" w:firstRow="0" w:lastRow="0" w:firstColumn="0" w:lastColumn="0" w:oddVBand="0" w:evenVBand="0" w:oddHBand="1" w:evenHBand="0" w:firstRowFirstColumn="0" w:firstRowLastColumn="0" w:lastRowFirstColumn="0" w:lastRowLastColumn="0"/>
              <w:rPr>
                <w:szCs w:val="20"/>
                <w:lang w:val="en-AU" w:bidi="ar-SA"/>
              </w:rPr>
            </w:pPr>
            <w:r>
              <w:rPr>
                <w:szCs w:val="20"/>
                <w:lang w:val="en-AU" w:bidi="ar-SA"/>
              </w:rPr>
              <w:t>15 infant formula products</w:t>
            </w:r>
            <w:r w:rsidRPr="001F6B72">
              <w:rPr>
                <w:szCs w:val="20"/>
                <w:lang w:val="en-AU" w:bidi="ar-SA"/>
              </w:rPr>
              <w:t xml:space="preserve"> sampled. Concentrations reported individually for each micronutrient. A small proportion for vitamin A (2/15), vitamin E (1/15), thiamin (1/15), and calcium (1/5) exceeded the Codex GUL.</w:t>
            </w:r>
          </w:p>
        </w:tc>
      </w:tr>
      <w:tr w:rsidR="00CE0926" w:rsidRPr="001F6B72" w14:paraId="0F08D293" w14:textId="77777777" w:rsidTr="00CE092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6" w:type="dxa"/>
            <w:tcBorders>
              <w:right w:val="none" w:sz="0" w:space="0" w:color="auto"/>
            </w:tcBorders>
            <w:shd w:val="clear" w:color="auto" w:fill="FFFFFF" w:themeFill="background1"/>
          </w:tcPr>
          <w:p w14:paraId="4753DE71" w14:textId="77777777" w:rsidR="00CE0926" w:rsidRPr="001F6B72" w:rsidRDefault="00CE0926" w:rsidP="00CE0926">
            <w:pPr>
              <w:rPr>
                <w:szCs w:val="20"/>
                <w:lang w:val="en-AU" w:bidi="ar-SA"/>
              </w:rPr>
            </w:pPr>
            <w:r w:rsidRPr="00CC6F9B">
              <w:rPr>
                <w:rFonts w:ascii="Arial" w:hAnsi="Arial"/>
                <w:szCs w:val="20"/>
                <w:lang w:val="en-AU" w:bidi="ar-SA"/>
              </w:rPr>
              <w:t>Ahmed 2017</w:t>
            </w:r>
          </w:p>
        </w:tc>
        <w:tc>
          <w:tcPr>
            <w:tcW w:w="3187" w:type="dxa"/>
            <w:tcBorders>
              <w:left w:val="none" w:sz="0" w:space="0" w:color="auto"/>
              <w:right w:val="none" w:sz="0" w:space="0" w:color="auto"/>
            </w:tcBorders>
            <w:shd w:val="clear" w:color="auto" w:fill="FFFFFF" w:themeFill="background1"/>
          </w:tcPr>
          <w:p w14:paraId="7789679E" w14:textId="77777777" w:rsidR="00CE0926" w:rsidRPr="001F6B72" w:rsidRDefault="00CE0926" w:rsidP="00CE0926">
            <w:pPr>
              <w:cnfStyle w:val="000000010000" w:firstRow="0" w:lastRow="0" w:firstColumn="0" w:lastColumn="0" w:oddVBand="0" w:evenVBand="0" w:oddHBand="0" w:evenHBand="1" w:firstRowFirstColumn="0" w:firstRowLastColumn="0" w:lastRowFirstColumn="0" w:lastRowLastColumn="0"/>
              <w:rPr>
                <w:szCs w:val="20"/>
                <w:lang w:val="en-AU" w:bidi="ar-SA"/>
              </w:rPr>
            </w:pPr>
            <w:r w:rsidRPr="001F6B72">
              <w:rPr>
                <w:szCs w:val="20"/>
                <w:lang w:val="en-AU" w:bidi="ar-SA"/>
              </w:rPr>
              <w:t>Calcium, Magnesium, Potassium, Sodium, Chromium, Copper, Manganese, Selenium, Zinc</w:t>
            </w:r>
          </w:p>
        </w:tc>
        <w:tc>
          <w:tcPr>
            <w:tcW w:w="4395" w:type="dxa"/>
            <w:tcBorders>
              <w:left w:val="none" w:sz="0" w:space="0" w:color="auto"/>
            </w:tcBorders>
            <w:shd w:val="clear" w:color="auto" w:fill="FFFFFF" w:themeFill="background1"/>
          </w:tcPr>
          <w:p w14:paraId="6D591F0B" w14:textId="77777777" w:rsidR="00CE0926" w:rsidRPr="001F6B72" w:rsidRDefault="00CE0926" w:rsidP="00CE0926">
            <w:pPr>
              <w:cnfStyle w:val="000000010000" w:firstRow="0" w:lastRow="0" w:firstColumn="0" w:lastColumn="0" w:oddVBand="0" w:evenVBand="0" w:oddHBand="0" w:evenHBand="1" w:firstRowFirstColumn="0" w:firstRowLastColumn="0" w:lastRowFirstColumn="0" w:lastRowLastColumn="0"/>
              <w:rPr>
                <w:szCs w:val="20"/>
                <w:lang w:val="en-AU" w:bidi="ar-SA"/>
              </w:rPr>
            </w:pPr>
            <w:r>
              <w:rPr>
                <w:szCs w:val="20"/>
                <w:lang w:val="en-AU" w:bidi="ar-SA"/>
              </w:rPr>
              <w:t>15 infant formula</w:t>
            </w:r>
            <w:r w:rsidRPr="001F6B72">
              <w:rPr>
                <w:szCs w:val="20"/>
                <w:lang w:val="en-AU" w:bidi="ar-SA"/>
              </w:rPr>
              <w:t xml:space="preserve"> products sampled. Measured concentrations were within 10% of the label claim. </w:t>
            </w:r>
          </w:p>
        </w:tc>
      </w:tr>
      <w:tr w:rsidR="00CE0926" w:rsidRPr="001F6B72" w14:paraId="658536D7" w14:textId="77777777" w:rsidTr="00CE09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6" w:type="dxa"/>
            <w:tcBorders>
              <w:right w:val="none" w:sz="0" w:space="0" w:color="auto"/>
            </w:tcBorders>
            <w:shd w:val="clear" w:color="auto" w:fill="FFFFFF" w:themeFill="background1"/>
          </w:tcPr>
          <w:p w14:paraId="60830254" w14:textId="77777777" w:rsidR="00CE0926" w:rsidRPr="00CC6F9B" w:rsidRDefault="00CE0926" w:rsidP="00CE0926">
            <w:pPr>
              <w:rPr>
                <w:rFonts w:ascii="Arial" w:hAnsi="Arial"/>
                <w:szCs w:val="20"/>
                <w:lang w:val="en-AU" w:bidi="ar-SA"/>
              </w:rPr>
            </w:pPr>
            <w:r w:rsidRPr="00CC6F9B">
              <w:rPr>
                <w:rFonts w:ascii="Arial" w:hAnsi="Arial"/>
                <w:szCs w:val="20"/>
                <w:lang w:val="en-AU" w:bidi="ar-SA"/>
              </w:rPr>
              <w:t>Papachristodoulo</w:t>
            </w:r>
          </w:p>
          <w:p w14:paraId="1CFD41CF" w14:textId="77777777" w:rsidR="00CE0926" w:rsidRPr="001F6B72" w:rsidRDefault="00CE0926" w:rsidP="00CE0926">
            <w:pPr>
              <w:rPr>
                <w:szCs w:val="20"/>
                <w:lang w:val="en-AU" w:bidi="ar-SA"/>
              </w:rPr>
            </w:pPr>
            <w:r w:rsidRPr="00CC6F9B">
              <w:rPr>
                <w:rFonts w:ascii="Arial" w:hAnsi="Arial"/>
                <w:szCs w:val="20"/>
                <w:lang w:val="en-AU" w:bidi="ar-SA"/>
              </w:rPr>
              <w:t>2018</w:t>
            </w:r>
          </w:p>
        </w:tc>
        <w:tc>
          <w:tcPr>
            <w:tcW w:w="3187" w:type="dxa"/>
            <w:tcBorders>
              <w:left w:val="none" w:sz="0" w:space="0" w:color="auto"/>
              <w:right w:val="none" w:sz="0" w:space="0" w:color="auto"/>
            </w:tcBorders>
            <w:shd w:val="clear" w:color="auto" w:fill="FFFFFF" w:themeFill="background1"/>
          </w:tcPr>
          <w:p w14:paraId="3AD26E41" w14:textId="77777777" w:rsidR="00CE0926" w:rsidRPr="001F6B72" w:rsidRDefault="00CE0926" w:rsidP="00CE0926">
            <w:pPr>
              <w:cnfStyle w:val="000000100000" w:firstRow="0" w:lastRow="0" w:firstColumn="0" w:lastColumn="0" w:oddVBand="0" w:evenVBand="0" w:oddHBand="1" w:evenHBand="0" w:firstRowFirstColumn="0" w:firstRowLastColumn="0" w:lastRowFirstColumn="0" w:lastRowLastColumn="0"/>
              <w:rPr>
                <w:szCs w:val="20"/>
                <w:lang w:val="en-AU" w:bidi="ar-SA"/>
              </w:rPr>
            </w:pPr>
            <w:r w:rsidRPr="001F6B72">
              <w:rPr>
                <w:szCs w:val="20"/>
                <w:lang w:val="en-AU" w:bidi="ar-SA"/>
              </w:rPr>
              <w:t>Potassium, Calcium, Zinc</w:t>
            </w:r>
          </w:p>
        </w:tc>
        <w:tc>
          <w:tcPr>
            <w:tcW w:w="4395" w:type="dxa"/>
            <w:tcBorders>
              <w:left w:val="none" w:sz="0" w:space="0" w:color="auto"/>
            </w:tcBorders>
            <w:shd w:val="clear" w:color="auto" w:fill="FFFFFF" w:themeFill="background1"/>
          </w:tcPr>
          <w:p w14:paraId="35DC751A" w14:textId="77777777" w:rsidR="00CE0926" w:rsidRPr="001F6B72" w:rsidRDefault="00CE0926" w:rsidP="00CE0926">
            <w:pPr>
              <w:cnfStyle w:val="000000100000" w:firstRow="0" w:lastRow="0" w:firstColumn="0" w:lastColumn="0" w:oddVBand="0" w:evenVBand="0" w:oddHBand="1" w:evenHBand="0" w:firstRowFirstColumn="0" w:firstRowLastColumn="0" w:lastRowFirstColumn="0" w:lastRowLastColumn="0"/>
              <w:rPr>
                <w:szCs w:val="20"/>
                <w:lang w:val="en-AU" w:bidi="ar-SA"/>
              </w:rPr>
            </w:pPr>
            <w:r>
              <w:rPr>
                <w:szCs w:val="20"/>
                <w:lang w:val="en-AU" w:bidi="ar-SA"/>
              </w:rPr>
              <w:t>28 infant formula</w:t>
            </w:r>
            <w:r w:rsidRPr="001F6B72">
              <w:rPr>
                <w:szCs w:val="20"/>
                <w:lang w:val="en-AU" w:bidi="ar-SA"/>
              </w:rPr>
              <w:t xml:space="preserve"> products sampled and results reported as a range for each micronutrient. None exceeded the maximums for these nutrients.</w:t>
            </w:r>
          </w:p>
        </w:tc>
      </w:tr>
    </w:tbl>
    <w:p w14:paraId="0E144D09" w14:textId="77777777" w:rsidR="00776154" w:rsidRDefault="00776154" w:rsidP="00776154">
      <w:pPr>
        <w:rPr>
          <w:color w:val="000000" w:themeColor="text1"/>
          <w:lang w:val="en-AU" w:bidi="ar-SA"/>
        </w:rPr>
      </w:pPr>
    </w:p>
    <w:p w14:paraId="3BDC0AD7" w14:textId="636C5F0E" w:rsidR="00776154" w:rsidRDefault="00776154" w:rsidP="00776154">
      <w:pPr>
        <w:rPr>
          <w:color w:val="000000" w:themeColor="text1"/>
          <w:lang w:bidi="ar-SA"/>
        </w:rPr>
      </w:pPr>
      <w:r>
        <w:rPr>
          <w:color w:val="000000" w:themeColor="text1"/>
          <w:lang w:val="en-AU" w:bidi="ar-SA"/>
        </w:rPr>
        <w:t xml:space="preserve">We also consider that there is unlikely to be </w:t>
      </w:r>
      <w:r w:rsidRPr="00B82F08">
        <w:rPr>
          <w:color w:val="000000" w:themeColor="text1"/>
          <w:lang w:val="en-AU" w:bidi="ar-SA"/>
        </w:rPr>
        <w:t>incentive</w:t>
      </w:r>
      <w:r>
        <w:rPr>
          <w:color w:val="000000" w:themeColor="text1"/>
          <w:lang w:val="en-AU" w:bidi="ar-SA"/>
        </w:rPr>
        <w:t>s</w:t>
      </w:r>
      <w:r w:rsidRPr="00B82F08">
        <w:rPr>
          <w:color w:val="000000" w:themeColor="text1"/>
          <w:lang w:val="en-AU" w:bidi="ar-SA"/>
        </w:rPr>
        <w:t xml:space="preserve"> for manufacturers to consistently add more than what is reported on the Nutrition Information Panel. </w:t>
      </w:r>
      <w:r>
        <w:rPr>
          <w:color w:val="000000" w:themeColor="text1"/>
          <w:lang w:val="en-AU" w:bidi="ar-SA"/>
        </w:rPr>
        <w:t>I</w:t>
      </w:r>
      <w:r w:rsidRPr="00B82F08">
        <w:rPr>
          <w:color w:val="000000" w:themeColor="text1"/>
          <w:lang w:val="en-AU" w:bidi="ar-SA"/>
        </w:rPr>
        <w:t>ndustry food quality assurance systems and food safety management systems would be implemented to ensure infant formula meets the compositional requirements set under the Code.</w:t>
      </w:r>
      <w:r>
        <w:rPr>
          <w:color w:val="000000" w:themeColor="text1"/>
          <w:lang w:val="en-AU" w:bidi="ar-SA"/>
        </w:rPr>
        <w:t xml:space="preserve"> We also note the comments by Mac</w:t>
      </w:r>
      <w:r w:rsidR="003F2326">
        <w:rPr>
          <w:color w:val="000000" w:themeColor="text1"/>
          <w:lang w:val="en-AU" w:bidi="ar-SA"/>
        </w:rPr>
        <w:t>L</w:t>
      </w:r>
      <w:r>
        <w:rPr>
          <w:color w:val="000000" w:themeColor="text1"/>
          <w:lang w:val="en-AU" w:bidi="ar-SA"/>
        </w:rPr>
        <w:t>ean et al</w:t>
      </w:r>
      <w:r w:rsidR="00422206">
        <w:rPr>
          <w:color w:val="000000" w:themeColor="text1"/>
          <w:lang w:val="en-AU" w:bidi="ar-SA"/>
        </w:rPr>
        <w:t>.</w:t>
      </w:r>
      <w:r>
        <w:rPr>
          <w:color w:val="000000" w:themeColor="text1"/>
          <w:lang w:val="en-AU" w:bidi="ar-SA"/>
        </w:rPr>
        <w:t xml:space="preserve"> (2010) that </w:t>
      </w:r>
      <w:r w:rsidRPr="001F6B72">
        <w:rPr>
          <w:color w:val="000000" w:themeColor="text1"/>
          <w:lang w:bidi="ar-SA"/>
        </w:rPr>
        <w:t>there will invariably be batches with one nutrient at the higher or lower end of the range but there is unlikely to be prolonged consumption of the highest or lowest levels by individual infants. Even</w:t>
      </w:r>
      <w:r>
        <w:rPr>
          <w:color w:val="000000" w:themeColor="text1"/>
          <w:lang w:bidi="ar-SA"/>
        </w:rPr>
        <w:t xml:space="preserve"> when </w:t>
      </w:r>
      <w:r w:rsidRPr="001F6B72">
        <w:rPr>
          <w:color w:val="000000" w:themeColor="text1"/>
          <w:lang w:bidi="ar-SA"/>
        </w:rPr>
        <w:t xml:space="preserve">formula </w:t>
      </w:r>
      <w:r>
        <w:rPr>
          <w:color w:val="000000" w:themeColor="text1"/>
          <w:lang w:bidi="ar-SA"/>
        </w:rPr>
        <w:t xml:space="preserve">is purchased </w:t>
      </w:r>
      <w:r w:rsidRPr="001F6B72">
        <w:rPr>
          <w:color w:val="000000" w:themeColor="text1"/>
          <w:lang w:bidi="ar-SA"/>
        </w:rPr>
        <w:t>by the case</w:t>
      </w:r>
      <w:r>
        <w:rPr>
          <w:color w:val="000000" w:themeColor="text1"/>
          <w:lang w:bidi="ar-SA"/>
        </w:rPr>
        <w:t xml:space="preserve">, </w:t>
      </w:r>
      <w:r w:rsidRPr="001F6B72">
        <w:rPr>
          <w:color w:val="000000" w:themeColor="text1"/>
          <w:lang w:bidi="ar-SA"/>
        </w:rPr>
        <w:t>infants</w:t>
      </w:r>
      <w:r>
        <w:rPr>
          <w:color w:val="000000" w:themeColor="text1"/>
          <w:lang w:bidi="ar-SA"/>
        </w:rPr>
        <w:t xml:space="preserve"> would consume </w:t>
      </w:r>
      <w:r w:rsidRPr="001F6B72">
        <w:rPr>
          <w:color w:val="000000" w:themeColor="text1"/>
          <w:lang w:bidi="ar-SA"/>
        </w:rPr>
        <w:t>different batches</w:t>
      </w:r>
      <w:r>
        <w:rPr>
          <w:color w:val="000000" w:themeColor="text1"/>
          <w:lang w:bidi="ar-SA"/>
        </w:rPr>
        <w:t xml:space="preserve"> of infant formula</w:t>
      </w:r>
      <w:r w:rsidRPr="001F6B72">
        <w:rPr>
          <w:color w:val="000000" w:themeColor="text1"/>
          <w:lang w:bidi="ar-SA"/>
        </w:rPr>
        <w:t xml:space="preserve"> during the first six months of life.</w:t>
      </w:r>
    </w:p>
    <w:p w14:paraId="0398B945" w14:textId="77777777" w:rsidR="00776154" w:rsidRDefault="00776154" w:rsidP="00776154">
      <w:pPr>
        <w:rPr>
          <w:color w:val="000000" w:themeColor="text1"/>
          <w:lang w:bidi="ar-SA"/>
        </w:rPr>
      </w:pPr>
    </w:p>
    <w:p w14:paraId="15083368" w14:textId="74A07102" w:rsidR="00776154" w:rsidRDefault="00776154" w:rsidP="00776154">
      <w:pPr>
        <w:rPr>
          <w:color w:val="000000" w:themeColor="text1"/>
          <w:lang w:bidi="ar-SA"/>
        </w:rPr>
      </w:pPr>
      <w:r w:rsidRPr="00B86125">
        <w:rPr>
          <w:color w:val="000000" w:themeColor="text1"/>
          <w:lang w:bidi="ar-SA"/>
        </w:rPr>
        <w:t>FSANZ notes the results of the 22</w:t>
      </w:r>
      <w:r w:rsidRPr="00A45884">
        <w:rPr>
          <w:color w:val="000000" w:themeColor="text1"/>
          <w:vertAlign w:val="superscript"/>
          <w:lang w:bidi="ar-SA"/>
        </w:rPr>
        <w:t>nd</w:t>
      </w:r>
      <w:r w:rsidR="004D1A49">
        <w:rPr>
          <w:color w:val="000000" w:themeColor="text1"/>
          <w:lang w:bidi="ar-SA"/>
        </w:rPr>
        <w:t xml:space="preserve"> </w:t>
      </w:r>
      <w:r w:rsidRPr="00B86125">
        <w:rPr>
          <w:color w:val="000000" w:themeColor="text1"/>
          <w:lang w:bidi="ar-SA"/>
        </w:rPr>
        <w:t>Australian Total Diet Study which assessed intakes of iodine, selenium, molybdenum, and chromium in a number of population groups. The estimated dietary intake of each nutrient was compared to the Upper Level of Intake (UL) (NHMRC, 2006). Estimated intakes for 9 month old infants did not approach the UL and there were no concerns of excessive intakes for these minerals</w:t>
      </w:r>
      <w:r>
        <w:rPr>
          <w:color w:val="000000" w:themeColor="text1"/>
          <w:lang w:bidi="ar-SA"/>
        </w:rPr>
        <w:t>.</w:t>
      </w:r>
    </w:p>
    <w:p w14:paraId="76A8DE1E" w14:textId="77777777" w:rsidR="00776154" w:rsidRDefault="00776154" w:rsidP="00776154">
      <w:pPr>
        <w:rPr>
          <w:color w:val="000000" w:themeColor="text1"/>
          <w:lang w:bidi="ar-SA"/>
        </w:rPr>
      </w:pPr>
    </w:p>
    <w:p w14:paraId="475E0DB9" w14:textId="00575FD4" w:rsidR="00776154" w:rsidRPr="0003163B" w:rsidRDefault="00776154" w:rsidP="00776154">
      <w:pPr>
        <w:pStyle w:val="Default"/>
        <w:rPr>
          <w:color w:val="000000" w:themeColor="text1"/>
        </w:rPr>
      </w:pPr>
      <w:r w:rsidRPr="0003163B">
        <w:rPr>
          <w:rFonts w:ascii="Arial" w:hAnsi="Arial"/>
          <w:color w:val="000000" w:themeColor="text1"/>
          <w:sz w:val="22"/>
          <w:lang w:eastAsia="en-US"/>
        </w:rPr>
        <w:t>EU 2016/127 prescribe</w:t>
      </w:r>
      <w:r>
        <w:rPr>
          <w:rFonts w:ascii="Arial" w:hAnsi="Arial"/>
          <w:color w:val="000000" w:themeColor="text1"/>
          <w:sz w:val="22"/>
          <w:lang w:eastAsia="en-US"/>
        </w:rPr>
        <w:t>s</w:t>
      </w:r>
      <w:r w:rsidRPr="0003163B">
        <w:rPr>
          <w:rFonts w:ascii="Arial" w:hAnsi="Arial"/>
          <w:color w:val="000000" w:themeColor="text1"/>
          <w:sz w:val="22"/>
          <w:lang w:eastAsia="en-US"/>
        </w:rPr>
        <w:t xml:space="preserve"> maximums for all vitamins and minerals. EFSA’s 2014 review </w:t>
      </w:r>
      <w:r>
        <w:rPr>
          <w:rFonts w:ascii="Arial" w:hAnsi="Arial"/>
          <w:color w:val="000000" w:themeColor="text1"/>
          <w:sz w:val="22"/>
          <w:lang w:eastAsia="en-US"/>
        </w:rPr>
        <w:t xml:space="preserve">did not </w:t>
      </w:r>
      <w:r w:rsidR="003F2326">
        <w:rPr>
          <w:rFonts w:ascii="Arial" w:hAnsi="Arial"/>
          <w:color w:val="000000" w:themeColor="text1"/>
          <w:sz w:val="22"/>
          <w:lang w:eastAsia="en-US"/>
        </w:rPr>
        <w:t xml:space="preserve">come to a conclusion </w:t>
      </w:r>
      <w:r>
        <w:rPr>
          <w:rFonts w:ascii="Arial" w:hAnsi="Arial"/>
          <w:color w:val="000000" w:themeColor="text1"/>
          <w:sz w:val="22"/>
          <w:lang w:eastAsia="en-US"/>
        </w:rPr>
        <w:t xml:space="preserve">on recommended maximum amounts (guideline or mandatory) but </w:t>
      </w:r>
      <w:r w:rsidRPr="0003163B">
        <w:rPr>
          <w:rFonts w:ascii="Arial" w:hAnsi="Arial"/>
          <w:color w:val="000000" w:themeColor="text1"/>
          <w:sz w:val="22"/>
          <w:lang w:eastAsia="en-US"/>
        </w:rPr>
        <w:t>the</w:t>
      </w:r>
      <w:r w:rsidRPr="0003163B">
        <w:t xml:space="preserve"> </w:t>
      </w:r>
      <w:r w:rsidRPr="0003163B">
        <w:rPr>
          <w:rFonts w:ascii="Arial" w:hAnsi="Arial" w:cs="Arial"/>
          <w:sz w:val="22"/>
          <w:szCs w:val="22"/>
        </w:rPr>
        <w:t xml:space="preserve">Panel </w:t>
      </w:r>
      <w:r>
        <w:rPr>
          <w:rFonts w:ascii="Arial" w:hAnsi="Arial" w:cs="Arial"/>
          <w:sz w:val="22"/>
          <w:szCs w:val="22"/>
        </w:rPr>
        <w:t xml:space="preserve">noted that specifications for the current </w:t>
      </w:r>
      <w:r w:rsidRPr="0003163B">
        <w:rPr>
          <w:rFonts w:ascii="Arial" w:hAnsi="Arial" w:cs="Arial"/>
          <w:sz w:val="22"/>
          <w:szCs w:val="22"/>
        </w:rPr>
        <w:t>maximum amounts</w:t>
      </w:r>
      <w:r>
        <w:rPr>
          <w:rFonts w:ascii="Arial" w:hAnsi="Arial" w:cs="Arial"/>
          <w:sz w:val="22"/>
          <w:szCs w:val="22"/>
        </w:rPr>
        <w:t xml:space="preserve"> (e.g. under Codex) should be considered to be </w:t>
      </w:r>
      <w:r w:rsidRPr="0003163B">
        <w:rPr>
          <w:rFonts w:ascii="Arial" w:hAnsi="Arial" w:cs="Arial"/>
          <w:sz w:val="22"/>
          <w:szCs w:val="22"/>
        </w:rPr>
        <w:t>upper limits of a range which should not be exceeded.</w:t>
      </w:r>
      <w:r w:rsidRPr="0003163B">
        <w:rPr>
          <w:sz w:val="20"/>
          <w:szCs w:val="20"/>
        </w:rPr>
        <w:t xml:space="preserve"> </w:t>
      </w:r>
      <w:r w:rsidRPr="0003163B">
        <w:rPr>
          <w:color w:val="000000" w:themeColor="text1"/>
        </w:rPr>
        <w:t xml:space="preserve"> </w:t>
      </w:r>
    </w:p>
    <w:bookmarkEnd w:id="313"/>
    <w:bookmarkEnd w:id="314"/>
    <w:bookmarkEnd w:id="315"/>
    <w:bookmarkEnd w:id="316"/>
    <w:p w14:paraId="659CB98D" w14:textId="6C6D373D" w:rsidR="00776154" w:rsidRDefault="00776154" w:rsidP="00776154">
      <w:pPr>
        <w:pStyle w:val="Heading4"/>
        <w:ind w:left="0" w:firstLine="0"/>
      </w:pPr>
      <w:r w:rsidRPr="00BA1FD9">
        <w:t>Prop</w:t>
      </w:r>
      <w:r>
        <w:t xml:space="preserve">osed </w:t>
      </w:r>
      <w:r w:rsidR="000913C4">
        <w:t xml:space="preserve">option </w:t>
      </w:r>
    </w:p>
    <w:p w14:paraId="48873E86" w14:textId="30342CF5" w:rsidR="00776154" w:rsidRDefault="00776154" w:rsidP="00776154">
      <w:r>
        <w:t xml:space="preserve">FSANZ’s proposed </w:t>
      </w:r>
      <w:r w:rsidR="000913C4">
        <w:t xml:space="preserve">option </w:t>
      </w:r>
      <w:r>
        <w:t xml:space="preserve">for each micronutrient is listed in Table </w:t>
      </w:r>
      <w:r w:rsidR="00E75493">
        <w:t>7.</w:t>
      </w:r>
      <w:r w:rsidR="000913C4">
        <w:t>1</w:t>
      </w:r>
      <w:r w:rsidR="008410B2">
        <w:t>.</w:t>
      </w:r>
      <w:r>
        <w:t xml:space="preserve"> Based on the arguments presented above, the preliminary view from 2016 was confirmed </w:t>
      </w:r>
      <w:r w:rsidR="001E68AB">
        <w:t>with the exception of</w:t>
      </w:r>
      <w:r>
        <w:t xml:space="preserve"> iodine and selenium which were reconsidered in light of submitter comments. FSANZ proposes that existing </w:t>
      </w:r>
      <w:r w:rsidR="00334548">
        <w:t>Schedule 29</w:t>
      </w:r>
      <w:r>
        <w:t xml:space="preserve"> maximums be retained for these two micronutrients. </w:t>
      </w:r>
    </w:p>
    <w:p w14:paraId="07766E87" w14:textId="4D476D36" w:rsidR="00776154" w:rsidRPr="005515A4" w:rsidRDefault="00193E8F" w:rsidP="00776154">
      <w:pPr>
        <w:pStyle w:val="Heading2"/>
        <w:rPr>
          <w:webHidden/>
        </w:rPr>
      </w:pPr>
      <w:bookmarkStart w:id="320" w:name="_Toc432434657"/>
      <w:bookmarkStart w:id="321" w:name="_Toc437858795"/>
      <w:bookmarkStart w:id="322" w:name="_Toc440462465"/>
      <w:bookmarkStart w:id="323" w:name="_Toc440470862"/>
      <w:bookmarkStart w:id="324" w:name="_Toc70415476"/>
      <w:bookmarkStart w:id="325" w:name="_Toc73455639"/>
      <w:bookmarkStart w:id="326" w:name="_Toc73624912"/>
      <w:bookmarkStart w:id="327" w:name="_Toc76138292"/>
      <w:r>
        <w:lastRenderedPageBreak/>
        <w:t>7</w:t>
      </w:r>
      <w:r w:rsidR="00776154">
        <w:t>.2</w:t>
      </w:r>
      <w:r w:rsidR="00776154">
        <w:tab/>
        <w:t>V</w:t>
      </w:r>
      <w:r w:rsidR="00776154" w:rsidRPr="005515A4">
        <w:t>itamin equivalents</w:t>
      </w:r>
      <w:r w:rsidR="00776154">
        <w:t xml:space="preserve"> </w:t>
      </w:r>
      <w:r w:rsidR="00776154" w:rsidRPr="005515A4">
        <w:t>and conversion</w:t>
      </w:r>
      <w:bookmarkEnd w:id="320"/>
      <w:r w:rsidR="00776154" w:rsidRPr="005515A4">
        <w:t xml:space="preserve"> </w:t>
      </w:r>
      <w:bookmarkEnd w:id="321"/>
      <w:bookmarkEnd w:id="322"/>
      <w:r w:rsidR="00776154">
        <w:t>factors</w:t>
      </w:r>
      <w:bookmarkEnd w:id="323"/>
      <w:bookmarkEnd w:id="324"/>
      <w:bookmarkEnd w:id="325"/>
      <w:bookmarkEnd w:id="326"/>
      <w:bookmarkEnd w:id="327"/>
    </w:p>
    <w:p w14:paraId="657AEE55" w14:textId="5E54B05A" w:rsidR="00776154" w:rsidRPr="00D73587" w:rsidRDefault="00776154" w:rsidP="00776154">
      <w:pPr>
        <w:rPr>
          <w:rFonts w:eastAsia="Arial Unicode MS"/>
        </w:rPr>
      </w:pPr>
      <w:r>
        <w:rPr>
          <w:rFonts w:eastAsia="Arial Unicode MS"/>
        </w:rPr>
        <w:t>M</w:t>
      </w:r>
      <w:r w:rsidRPr="00D73587">
        <w:rPr>
          <w:rFonts w:eastAsia="Arial Unicode MS"/>
        </w:rPr>
        <w:t xml:space="preserve">ost vitamins </w:t>
      </w:r>
      <w:r>
        <w:rPr>
          <w:rFonts w:eastAsia="Arial Unicode MS"/>
        </w:rPr>
        <w:t xml:space="preserve">consist of several </w:t>
      </w:r>
      <w:r w:rsidRPr="00D73587">
        <w:rPr>
          <w:rFonts w:eastAsia="Arial Unicode MS"/>
        </w:rPr>
        <w:t>chemically</w:t>
      </w:r>
      <w:r>
        <w:rPr>
          <w:rFonts w:eastAsia="Arial Unicode MS"/>
        </w:rPr>
        <w:t>-</w:t>
      </w:r>
      <w:r w:rsidRPr="00D73587">
        <w:rPr>
          <w:rFonts w:eastAsia="Arial Unicode MS"/>
        </w:rPr>
        <w:t xml:space="preserve">related </w:t>
      </w:r>
      <w:r>
        <w:rPr>
          <w:rFonts w:eastAsia="Arial Unicode MS"/>
        </w:rPr>
        <w:t>compounds that can differ</w:t>
      </w:r>
      <w:r w:rsidRPr="00D73587">
        <w:rPr>
          <w:rFonts w:eastAsia="Arial Unicode MS"/>
        </w:rPr>
        <w:t xml:space="preserve"> </w:t>
      </w:r>
      <w:r>
        <w:rPr>
          <w:rFonts w:eastAsia="Arial Unicode MS"/>
        </w:rPr>
        <w:t xml:space="preserve">in </w:t>
      </w:r>
      <w:r w:rsidRPr="00D73587">
        <w:rPr>
          <w:rFonts w:eastAsia="Arial Unicode MS"/>
        </w:rPr>
        <w:t>physiological utilisation</w:t>
      </w:r>
      <w:r>
        <w:rPr>
          <w:rFonts w:eastAsia="Arial Unicode MS"/>
        </w:rPr>
        <w:t xml:space="preserve"> when consumed in food. For some vitamins </w:t>
      </w:r>
      <w:r w:rsidRPr="00D73587">
        <w:rPr>
          <w:rFonts w:eastAsia="Arial Unicode MS"/>
        </w:rPr>
        <w:t>there are different ways of determining and reporting the vitamin activity</w:t>
      </w:r>
      <w:r>
        <w:rPr>
          <w:rFonts w:eastAsia="Arial Unicode MS"/>
        </w:rPr>
        <w:t xml:space="preserve">, sometimes termed as vitamin equivalents. Vitamin equivalents are used to express the amounts of vitamins A and E, niacin and folate in infant formula requirements.  </w:t>
      </w:r>
    </w:p>
    <w:p w14:paraId="3816230C" w14:textId="56CDB271" w:rsidR="00776154" w:rsidRPr="008F5971" w:rsidRDefault="00193E8F" w:rsidP="00C73A77">
      <w:pPr>
        <w:pStyle w:val="Heading3"/>
      </w:pPr>
      <w:bookmarkStart w:id="328" w:name="_Toc432434658"/>
      <w:bookmarkStart w:id="329" w:name="_Toc442097335"/>
      <w:bookmarkStart w:id="330" w:name="_Toc442101308"/>
      <w:bookmarkStart w:id="331" w:name="_Toc442797256"/>
      <w:bookmarkStart w:id="332" w:name="_Toc443466010"/>
      <w:bookmarkStart w:id="333" w:name="_Toc70415477"/>
      <w:bookmarkStart w:id="334" w:name="_Toc73455640"/>
      <w:bookmarkStart w:id="335" w:name="_Toc73624913"/>
      <w:r>
        <w:t>7</w:t>
      </w:r>
      <w:r w:rsidR="00776154">
        <w:t>.2.1</w:t>
      </w:r>
      <w:r w:rsidR="00776154">
        <w:tab/>
      </w:r>
      <w:r w:rsidR="00776154" w:rsidRPr="008F5971">
        <w:t>Vitamin A</w:t>
      </w:r>
      <w:bookmarkEnd w:id="328"/>
      <w:bookmarkEnd w:id="329"/>
      <w:bookmarkEnd w:id="330"/>
      <w:bookmarkEnd w:id="331"/>
      <w:bookmarkEnd w:id="332"/>
      <w:r w:rsidR="00776154">
        <w:t xml:space="preserve">, </w:t>
      </w:r>
      <w:r w:rsidR="00776154" w:rsidRPr="00FE5F23">
        <w:rPr>
          <w:rFonts w:hint="eastAsia"/>
        </w:rPr>
        <w:t>β</w:t>
      </w:r>
      <w:r w:rsidR="00776154" w:rsidRPr="007521F5">
        <w:rPr>
          <w:lang w:eastAsia="en-GB"/>
        </w:rPr>
        <w:t>-carotene</w:t>
      </w:r>
      <w:r w:rsidR="00776154">
        <w:rPr>
          <w:lang w:eastAsia="en-GB"/>
        </w:rPr>
        <w:t>,</w:t>
      </w:r>
      <w:r w:rsidR="00776154">
        <w:t xml:space="preserve"> and calculation of retinol equivalents</w:t>
      </w:r>
      <w:bookmarkEnd w:id="333"/>
      <w:bookmarkEnd w:id="334"/>
      <w:bookmarkEnd w:id="335"/>
    </w:p>
    <w:p w14:paraId="444B59FA" w14:textId="5D3F92AB" w:rsidR="00776154" w:rsidRPr="00B64450" w:rsidRDefault="00776154" w:rsidP="00776154">
      <w:pPr>
        <w:rPr>
          <w:rFonts w:cs="Arial"/>
          <w:color w:val="333333"/>
          <w:szCs w:val="22"/>
        </w:rPr>
      </w:pPr>
      <w:r w:rsidRPr="00B64450">
        <w:t xml:space="preserve">Vitamin A </w:t>
      </w:r>
      <w:r>
        <w:t>refers to a group of compounds that includes</w:t>
      </w:r>
      <w:r w:rsidRPr="00895101">
        <w:t xml:space="preserve"> retinal,</w:t>
      </w:r>
      <w:r>
        <w:t xml:space="preserve"> retinoic acid, retinyl esters</w:t>
      </w:r>
      <w:r w:rsidRPr="00895101">
        <w:t>, and provitamin A carotenoids that are dietary precursors to retinol</w:t>
      </w:r>
      <w:r w:rsidRPr="00B64450">
        <w:rPr>
          <w:szCs w:val="22"/>
        </w:rPr>
        <w:t xml:space="preserve">. </w:t>
      </w:r>
      <w:r w:rsidRPr="00B64450">
        <w:t>Dietary sources of vitamin A are either preformed vitamin</w:t>
      </w:r>
      <w:r>
        <w:t xml:space="preserve"> A (</w:t>
      </w:r>
      <w:r w:rsidRPr="00895101">
        <w:t>retinal,</w:t>
      </w:r>
      <w:r>
        <w:t xml:space="preserve"> retinoic acid, retinyl esters</w:t>
      </w:r>
      <w:r w:rsidRPr="00895101">
        <w:t>,</w:t>
      </w:r>
      <w:r>
        <w:t xml:space="preserve"> </w:t>
      </w:r>
      <w:r w:rsidRPr="00895101">
        <w:t>retinol</w:t>
      </w:r>
      <w:r>
        <w:t>)</w:t>
      </w:r>
      <w:r w:rsidRPr="00895101">
        <w:t xml:space="preserve"> </w:t>
      </w:r>
      <w:r>
        <w:t>obtained from animal sources</w:t>
      </w:r>
      <w:r w:rsidRPr="00B64450">
        <w:t xml:space="preserve"> or pr</w:t>
      </w:r>
      <w:r>
        <w:t>ovitamin A carotenoids (</w:t>
      </w:r>
      <w:r w:rsidRPr="00B64450">
        <w:rPr>
          <w:rFonts w:hint="eastAsia"/>
        </w:rPr>
        <w:t>β</w:t>
      </w:r>
      <w:r w:rsidRPr="00B64450">
        <w:t>-carotene)</w:t>
      </w:r>
      <w:r>
        <w:t xml:space="preserve"> </w:t>
      </w:r>
      <w:r w:rsidRPr="00B64450">
        <w:t xml:space="preserve">obtained from plant sources. </w:t>
      </w:r>
    </w:p>
    <w:p w14:paraId="19C7A4C3" w14:textId="77777777" w:rsidR="00776154" w:rsidRPr="00B64450" w:rsidRDefault="00776154" w:rsidP="00776154">
      <w:pPr>
        <w:rPr>
          <w:rFonts w:cs="Arial"/>
          <w:color w:val="333333"/>
          <w:szCs w:val="22"/>
        </w:rPr>
      </w:pPr>
    </w:p>
    <w:p w14:paraId="1B08979F" w14:textId="5C34F466" w:rsidR="00776154" w:rsidRDefault="00776154" w:rsidP="00776154">
      <w:pPr>
        <w:rPr>
          <w:lang w:eastAsia="en-AU" w:bidi="ar-SA"/>
        </w:rPr>
      </w:pPr>
      <w:r>
        <w:rPr>
          <w:lang w:eastAsia="en-AU" w:bidi="ar-SA"/>
        </w:rPr>
        <w:t>Three</w:t>
      </w:r>
      <w:r w:rsidRPr="00DB5D28">
        <w:rPr>
          <w:lang w:eastAsia="en-AU" w:bidi="ar-SA"/>
        </w:rPr>
        <w:t xml:space="preserve"> </w:t>
      </w:r>
      <w:r>
        <w:rPr>
          <w:lang w:eastAsia="en-AU" w:bidi="ar-SA"/>
        </w:rPr>
        <w:t xml:space="preserve">units of expression have been used to report the vitamin A activity in food: international units (IU), </w:t>
      </w:r>
      <w:r w:rsidRPr="00DB5D28">
        <w:rPr>
          <w:lang w:eastAsia="en-AU" w:bidi="ar-SA"/>
        </w:rPr>
        <w:t>retinol equivalents (RE)</w:t>
      </w:r>
      <w:r>
        <w:rPr>
          <w:lang w:eastAsia="en-AU" w:bidi="ar-SA"/>
        </w:rPr>
        <w:t xml:space="preserve"> and retinol activity equivalents. </w:t>
      </w:r>
      <w:r w:rsidR="000913C4">
        <w:rPr>
          <w:lang w:eastAsia="en-AU" w:bidi="ar-SA"/>
        </w:rPr>
        <w:t xml:space="preserve">RE </w:t>
      </w:r>
      <w:r>
        <w:rPr>
          <w:lang w:eastAsia="en-AU" w:bidi="ar-SA"/>
        </w:rPr>
        <w:t>are generally used to report v</w:t>
      </w:r>
      <w:r w:rsidRPr="00A071D9">
        <w:rPr>
          <w:lang w:eastAsia="en-AU" w:bidi="ar-SA"/>
        </w:rPr>
        <w:t xml:space="preserve">itamin A intakes or requirements where one </w:t>
      </w:r>
      <w:hyperlink r:id="rId35" w:anchor="RE" w:tgtFrame="_blank" w:tooltip="Retinol equivalents " w:history="1">
        <w:r w:rsidRPr="00A071D9">
          <w:rPr>
            <w:lang w:eastAsia="en-AU" w:bidi="ar-SA"/>
          </w:rPr>
          <w:t>RE</w:t>
        </w:r>
      </w:hyperlink>
      <w:r w:rsidRPr="00A071D9">
        <w:rPr>
          <w:lang w:eastAsia="en-AU" w:bidi="ar-SA"/>
        </w:rPr>
        <w:t xml:space="preserve"> is defined as the biological activity associated</w:t>
      </w:r>
      <w:r w:rsidRPr="00F8193B">
        <w:rPr>
          <w:lang w:eastAsia="en-AU" w:bidi="ar-SA"/>
        </w:rPr>
        <w:t xml:space="preserve"> with 1 µg of all-trans retinol</w:t>
      </w:r>
      <w:r w:rsidRPr="00A071D9">
        <w:rPr>
          <w:lang w:eastAsia="en-AU" w:bidi="ar-SA"/>
        </w:rPr>
        <w:t xml:space="preserve"> (</w:t>
      </w:r>
      <w:r w:rsidR="00717DD3">
        <w:rPr>
          <w:lang w:eastAsia="en-AU" w:bidi="ar-SA"/>
        </w:rPr>
        <w:t xml:space="preserve">NHMRC and </w:t>
      </w:r>
      <w:r w:rsidR="00717DD3" w:rsidRPr="00717DD3">
        <w:rPr>
          <w:lang w:eastAsia="en-AU" w:bidi="ar-SA"/>
        </w:rPr>
        <w:t>NZ MOH 2006</w:t>
      </w:r>
      <w:r w:rsidRPr="00A071D9">
        <w:rPr>
          <w:lang w:eastAsia="en-AU" w:bidi="ar-SA"/>
        </w:rPr>
        <w:t>)</w:t>
      </w:r>
      <w:r>
        <w:rPr>
          <w:lang w:eastAsia="en-AU" w:bidi="ar-SA"/>
        </w:rPr>
        <w:t>.</w:t>
      </w:r>
    </w:p>
    <w:p w14:paraId="33AD6CE1" w14:textId="77777777" w:rsidR="00776154" w:rsidRPr="00312030" w:rsidRDefault="00776154" w:rsidP="004D2313">
      <w:pPr>
        <w:pStyle w:val="Heading4"/>
      </w:pPr>
      <w:r w:rsidRPr="004D2313">
        <w:t>Current regulations</w:t>
      </w:r>
    </w:p>
    <w:p w14:paraId="1F36BD78" w14:textId="361D0D40" w:rsidR="00776154" w:rsidRDefault="00334548" w:rsidP="00776154">
      <w:pPr>
        <w:rPr>
          <w:rFonts w:cs="Arial"/>
        </w:rPr>
      </w:pPr>
      <w:r>
        <w:rPr>
          <w:rFonts w:cs="Arial"/>
        </w:rPr>
        <w:t>Section S29—7</w:t>
      </w:r>
      <w:r w:rsidR="00776154" w:rsidRPr="002C02B8">
        <w:rPr>
          <w:rFonts w:cs="Arial"/>
        </w:rPr>
        <w:t xml:space="preserve"> </w:t>
      </w:r>
      <w:r w:rsidR="00101E8D">
        <w:rPr>
          <w:rFonts w:cs="Arial"/>
        </w:rPr>
        <w:t xml:space="preserve">lists </w:t>
      </w:r>
      <w:r w:rsidR="00776154" w:rsidRPr="00A50225">
        <w:rPr>
          <w:rFonts w:cs="Arial"/>
        </w:rPr>
        <w:t>four retinol forms (retinol, retinyl acetate, retinyl palmitate, and retinyl propionate</w:t>
      </w:r>
      <w:r w:rsidR="00776154">
        <w:rPr>
          <w:rFonts w:cs="Arial"/>
        </w:rPr>
        <w:t>)</w:t>
      </w:r>
      <w:r w:rsidR="00776154" w:rsidRPr="00A50225">
        <w:rPr>
          <w:rFonts w:cs="Arial"/>
        </w:rPr>
        <w:t xml:space="preserve"> </w:t>
      </w:r>
      <w:r w:rsidR="00776154">
        <w:rPr>
          <w:rFonts w:cs="Arial"/>
        </w:rPr>
        <w:t xml:space="preserve">as permitted forms of vitamin A as well as </w:t>
      </w:r>
      <w:r w:rsidR="00776154" w:rsidRPr="005A1A6C">
        <w:rPr>
          <w:rFonts w:cs="Arial" w:hint="eastAsia"/>
        </w:rPr>
        <w:t>β</w:t>
      </w:r>
      <w:r w:rsidR="00776154" w:rsidRPr="005A1A6C">
        <w:rPr>
          <w:rFonts w:cs="Arial"/>
        </w:rPr>
        <w:t>-carotene as a provitamin A form</w:t>
      </w:r>
      <w:r w:rsidR="00776154">
        <w:rPr>
          <w:rFonts w:cs="Arial"/>
        </w:rPr>
        <w:t>.</w:t>
      </w:r>
    </w:p>
    <w:p w14:paraId="120F743F" w14:textId="77777777" w:rsidR="00776154" w:rsidRDefault="00776154" w:rsidP="00776154">
      <w:pPr>
        <w:rPr>
          <w:rFonts w:cs="Arial"/>
        </w:rPr>
      </w:pPr>
    </w:p>
    <w:p w14:paraId="75EB4B95" w14:textId="585D1CEA" w:rsidR="00776154" w:rsidRDefault="00334548" w:rsidP="00776154">
      <w:pPr>
        <w:rPr>
          <w:rFonts w:cs="Arial"/>
          <w:szCs w:val="22"/>
          <w:lang w:eastAsia="en-GB" w:bidi="ar-SA"/>
        </w:rPr>
      </w:pPr>
      <w:r>
        <w:rPr>
          <w:rFonts w:cs="Arial"/>
        </w:rPr>
        <w:t>Section S29—14</w:t>
      </w:r>
      <w:r w:rsidR="00776154">
        <w:rPr>
          <w:rFonts w:cs="Arial"/>
        </w:rPr>
        <w:t xml:space="preserve"> sets vitamin </w:t>
      </w:r>
      <w:r w:rsidR="00776154" w:rsidRPr="002C02B8">
        <w:rPr>
          <w:rFonts w:cs="Arial"/>
        </w:rPr>
        <w:t>A</w:t>
      </w:r>
      <w:r w:rsidR="00776154">
        <w:rPr>
          <w:rFonts w:cs="Arial"/>
        </w:rPr>
        <w:t xml:space="preserve"> </w:t>
      </w:r>
      <w:r w:rsidR="00776154" w:rsidRPr="002C02B8">
        <w:rPr>
          <w:rFonts w:cs="Arial"/>
        </w:rPr>
        <w:t xml:space="preserve">requirements </w:t>
      </w:r>
      <w:r w:rsidR="00776154">
        <w:rPr>
          <w:rFonts w:cs="Arial"/>
        </w:rPr>
        <w:t xml:space="preserve">for infant formula in </w:t>
      </w:r>
      <w:r w:rsidR="00776154" w:rsidRPr="00D03E6E">
        <w:rPr>
          <w:rFonts w:cs="Arial"/>
          <w:lang w:val="en-NZ"/>
        </w:rPr>
        <w:t>μg</w:t>
      </w:r>
      <w:r w:rsidR="00776154">
        <w:rPr>
          <w:rFonts w:cs="Arial"/>
          <w:lang w:val="en-NZ"/>
        </w:rPr>
        <w:t>/100 kJ</w:t>
      </w:r>
      <w:r w:rsidR="00776154">
        <w:rPr>
          <w:rFonts w:cs="Arial"/>
        </w:rPr>
        <w:t xml:space="preserve"> without reference RE or applicable conversion factors</w:t>
      </w:r>
      <w:r w:rsidR="00776154">
        <w:rPr>
          <w:rStyle w:val="FootnoteReference"/>
          <w:rFonts w:cs="Arial"/>
        </w:rPr>
        <w:footnoteReference w:id="10"/>
      </w:r>
      <w:r w:rsidR="00764C9A">
        <w:rPr>
          <w:rFonts w:cs="Arial"/>
        </w:rPr>
        <w:t>.</w:t>
      </w:r>
      <w:r w:rsidR="00776154">
        <w:rPr>
          <w:rFonts w:cs="Arial"/>
        </w:rPr>
        <w:t xml:space="preserve"> </w:t>
      </w:r>
      <w:r w:rsidR="00776154" w:rsidRPr="00853816">
        <w:rPr>
          <w:rFonts w:cs="Arial"/>
        </w:rPr>
        <w:t>Howe</w:t>
      </w:r>
      <w:r w:rsidR="0038118A">
        <w:rPr>
          <w:rFonts w:cs="Arial"/>
        </w:rPr>
        <w:t xml:space="preserve">ver, the Code also sets out in </w:t>
      </w:r>
      <w:r w:rsidR="0038118A" w:rsidRPr="0038118A">
        <w:rPr>
          <w:rFonts w:cs="Arial"/>
          <w:lang w:val="en-AU"/>
        </w:rPr>
        <w:t xml:space="preserve">Standard 1.1.2 </w:t>
      </w:r>
      <w:r w:rsidR="0038118A" w:rsidRPr="0038118A">
        <w:rPr>
          <w:rFonts w:cs="Arial"/>
          <w:i/>
          <w:lang w:val="en-AU"/>
        </w:rPr>
        <w:t>Definitions used throughout the Code</w:t>
      </w:r>
      <w:r w:rsidR="0038118A" w:rsidRPr="0038118A">
        <w:rPr>
          <w:rFonts w:cs="Arial"/>
        </w:rPr>
        <w:t xml:space="preserve"> </w:t>
      </w:r>
      <w:r w:rsidR="0038118A">
        <w:rPr>
          <w:rFonts w:cs="Arial"/>
        </w:rPr>
        <w:t>(p</w:t>
      </w:r>
      <w:r w:rsidR="00776154" w:rsidRPr="00853816">
        <w:rPr>
          <w:rFonts w:cs="Arial"/>
        </w:rPr>
        <w:t>aragraph 1.1.2—14(3)</w:t>
      </w:r>
      <w:r w:rsidR="00776154">
        <w:rPr>
          <w:rFonts w:cs="Arial"/>
        </w:rPr>
        <w:t>(a)</w:t>
      </w:r>
      <w:r w:rsidR="0038118A">
        <w:rPr>
          <w:rFonts w:cs="Arial"/>
        </w:rPr>
        <w:t xml:space="preserve">) </w:t>
      </w:r>
      <w:r w:rsidR="00776154" w:rsidRPr="00853816">
        <w:rPr>
          <w:rFonts w:cs="Arial"/>
        </w:rPr>
        <w:t>that vitamin A should be calculated in terms of RE (for all foods including infant formula) and, for provitamin A forms, calculated using the RE conversion factors in section S1—4.</w:t>
      </w:r>
      <w:r w:rsidR="00776154">
        <w:rPr>
          <w:rFonts w:cs="Arial"/>
        </w:rPr>
        <w:t xml:space="preserve"> </w:t>
      </w:r>
      <w:r w:rsidR="00776154" w:rsidRPr="00470002">
        <w:rPr>
          <w:rFonts w:cs="Arial"/>
          <w:szCs w:val="22"/>
          <w:lang w:eastAsia="en-GB" w:bidi="ar-SA"/>
        </w:rPr>
        <w:t xml:space="preserve">Thus, if </w:t>
      </w:r>
      <w:r w:rsidR="00776154" w:rsidRPr="00470002">
        <w:rPr>
          <w:rFonts w:cs="Arial" w:hint="eastAsia"/>
          <w:szCs w:val="22"/>
          <w:lang w:eastAsia="en-GB" w:bidi="ar-SA"/>
        </w:rPr>
        <w:t>β</w:t>
      </w:r>
      <w:r w:rsidR="00776154" w:rsidRPr="00470002">
        <w:rPr>
          <w:rFonts w:cs="Arial"/>
          <w:szCs w:val="22"/>
          <w:lang w:eastAsia="en-GB" w:bidi="ar-SA"/>
        </w:rPr>
        <w:t xml:space="preserve">-carotene is added, regardless of whether it is for colouring or nutritional purposes, the Code requires that </w:t>
      </w:r>
      <w:r w:rsidR="00776154" w:rsidRPr="00470002">
        <w:rPr>
          <w:rFonts w:cs="Arial" w:hint="eastAsia"/>
          <w:szCs w:val="22"/>
          <w:lang w:eastAsia="en-GB" w:bidi="ar-SA"/>
        </w:rPr>
        <w:t>β</w:t>
      </w:r>
      <w:r w:rsidR="00776154" w:rsidRPr="00470002">
        <w:rPr>
          <w:rFonts w:cs="Arial"/>
          <w:szCs w:val="22"/>
          <w:lang w:eastAsia="en-GB" w:bidi="ar-SA"/>
        </w:rPr>
        <w:t xml:space="preserve">-carotene should be counted as contributing to the vitamin A content of infant formula. </w:t>
      </w:r>
    </w:p>
    <w:p w14:paraId="5EBF83E5" w14:textId="77777777" w:rsidR="00776154" w:rsidRDefault="00776154" w:rsidP="00776154">
      <w:pPr>
        <w:rPr>
          <w:rFonts w:cs="Arial"/>
          <w:szCs w:val="22"/>
          <w:lang w:eastAsia="en-GB" w:bidi="ar-SA"/>
        </w:rPr>
      </w:pPr>
    </w:p>
    <w:p w14:paraId="7433D044" w14:textId="77777777" w:rsidR="00776154" w:rsidRDefault="00776154" w:rsidP="00776154">
      <w:pPr>
        <w:rPr>
          <w:rFonts w:cs="Arial"/>
        </w:rPr>
      </w:pPr>
      <w:r>
        <w:rPr>
          <w:lang w:eastAsia="en-AU" w:bidi="ar-SA"/>
        </w:rPr>
        <w:t xml:space="preserve">Codex lists the permitted forms of vitamin A in </w:t>
      </w:r>
      <w:r w:rsidRPr="00D87A02">
        <w:rPr>
          <w:lang w:eastAsia="en-AU" w:bidi="ar-SA"/>
        </w:rPr>
        <w:t xml:space="preserve">Codex </w:t>
      </w:r>
      <w:r>
        <w:rPr>
          <w:lang w:eastAsia="en-AU" w:bidi="ar-SA"/>
        </w:rPr>
        <w:t xml:space="preserve">CAC </w:t>
      </w:r>
      <w:r w:rsidRPr="00D87A02">
        <w:rPr>
          <w:lang w:eastAsia="en-AU" w:bidi="ar-SA"/>
        </w:rPr>
        <w:t xml:space="preserve">GL 10-1979 </w:t>
      </w:r>
      <w:r>
        <w:rPr>
          <w:lang w:eastAsia="en-AU" w:bidi="ar-SA"/>
        </w:rPr>
        <w:t xml:space="preserve">and it includes </w:t>
      </w:r>
      <w:r w:rsidRPr="00D87A02">
        <w:rPr>
          <w:rFonts w:hint="eastAsia"/>
        </w:rPr>
        <w:t>β</w:t>
      </w:r>
      <w:r w:rsidRPr="00D87A02">
        <w:rPr>
          <w:rFonts w:cs="Arial"/>
          <w:szCs w:val="22"/>
          <w:lang w:eastAsia="en-GB" w:bidi="ar-SA"/>
        </w:rPr>
        <w:t xml:space="preserve">-carotene as a </w:t>
      </w:r>
      <w:r>
        <w:rPr>
          <w:rFonts w:cs="Arial"/>
          <w:szCs w:val="22"/>
          <w:lang w:eastAsia="en-GB" w:bidi="ar-SA"/>
        </w:rPr>
        <w:t xml:space="preserve">provitamin A </w:t>
      </w:r>
      <w:r w:rsidRPr="00D87A02">
        <w:rPr>
          <w:rFonts w:cs="Arial"/>
          <w:szCs w:val="22"/>
          <w:lang w:eastAsia="en-GB" w:bidi="ar-SA"/>
        </w:rPr>
        <w:t xml:space="preserve">form </w:t>
      </w:r>
      <w:r>
        <w:rPr>
          <w:rFonts w:cs="Arial"/>
          <w:szCs w:val="22"/>
          <w:lang w:eastAsia="en-GB" w:bidi="ar-SA"/>
        </w:rPr>
        <w:t xml:space="preserve">used for nutritional purposes. Codex STAN 72-1981 lists the vitamin A amounts as </w:t>
      </w:r>
      <w:r>
        <w:rPr>
          <w:rFonts w:cs="Arial"/>
          <w:szCs w:val="22"/>
          <w:lang w:val="en-NZ" w:eastAsia="en-GB" w:bidi="ar-SA"/>
        </w:rPr>
        <w:t>μg</w:t>
      </w:r>
      <w:r w:rsidRPr="00D03E6E">
        <w:rPr>
          <w:rFonts w:cs="Arial"/>
          <w:szCs w:val="22"/>
          <w:lang w:val="en-NZ" w:eastAsia="en-GB" w:bidi="ar-SA"/>
        </w:rPr>
        <w:t xml:space="preserve"> </w:t>
      </w:r>
      <w:r>
        <w:rPr>
          <w:rFonts w:cs="Arial"/>
          <w:szCs w:val="22"/>
          <w:lang w:eastAsia="en-GB" w:bidi="ar-SA"/>
        </w:rPr>
        <w:t xml:space="preserve">RE/100 kJ but also includes a footnote which states </w:t>
      </w:r>
      <w:r>
        <w:rPr>
          <w:lang w:eastAsia="en-AU" w:bidi="ar-SA"/>
        </w:rPr>
        <w:t>“</w:t>
      </w:r>
      <w:r w:rsidRPr="002F0249">
        <w:rPr>
          <w:rFonts w:cs="Arial"/>
        </w:rPr>
        <w:t>retinol contents shall be provide</w:t>
      </w:r>
      <w:r w:rsidRPr="0054397E">
        <w:rPr>
          <w:rFonts w:cs="Arial"/>
        </w:rPr>
        <w:t xml:space="preserve">d by preformed retinol </w:t>
      </w:r>
      <w:r>
        <w:rPr>
          <w:rFonts w:cs="Arial"/>
        </w:rPr>
        <w:t xml:space="preserve">whereas </w:t>
      </w:r>
      <w:r w:rsidRPr="003B723E">
        <w:rPr>
          <w:lang w:eastAsia="en-AU" w:bidi="ar-SA"/>
        </w:rPr>
        <w:t xml:space="preserve">any carotenoid content should </w:t>
      </w:r>
      <w:r w:rsidRPr="008823D0">
        <w:rPr>
          <w:lang w:eastAsia="en-AU" w:bidi="ar-SA"/>
        </w:rPr>
        <w:t>not</w:t>
      </w:r>
      <w:r w:rsidRPr="003B723E">
        <w:rPr>
          <w:lang w:eastAsia="en-AU" w:bidi="ar-SA"/>
        </w:rPr>
        <w:t xml:space="preserve"> be included in the calculation and declaration of Vitamin A activity</w:t>
      </w:r>
      <w:r>
        <w:rPr>
          <w:lang w:eastAsia="en-AU" w:bidi="ar-SA"/>
        </w:rPr>
        <w:t>”</w:t>
      </w:r>
      <w:r w:rsidRPr="003B723E">
        <w:rPr>
          <w:lang w:eastAsia="en-AU" w:bidi="ar-SA"/>
        </w:rPr>
        <w:t>.</w:t>
      </w:r>
      <w:r w:rsidRPr="002C02B8">
        <w:rPr>
          <w:rFonts w:cs="Arial"/>
        </w:rPr>
        <w:t xml:space="preserve"> </w:t>
      </w:r>
      <w:r>
        <w:rPr>
          <w:rFonts w:cs="Arial"/>
        </w:rPr>
        <w:t xml:space="preserve">The following conversion factors are listed in the footnote: </w:t>
      </w:r>
    </w:p>
    <w:p w14:paraId="0CF26462" w14:textId="77777777" w:rsidR="00776154" w:rsidRDefault="00776154" w:rsidP="00776154">
      <w:pPr>
        <w:pBdr>
          <w:top w:val="single" w:sz="4" w:space="1" w:color="auto"/>
          <w:left w:val="single" w:sz="4" w:space="4" w:color="auto"/>
          <w:bottom w:val="single" w:sz="4" w:space="1" w:color="auto"/>
          <w:right w:val="single" w:sz="4" w:space="4" w:color="auto"/>
        </w:pBdr>
        <w:spacing w:before="120" w:after="120"/>
        <w:ind w:left="993" w:right="2104"/>
        <w:jc w:val="center"/>
        <w:rPr>
          <w:rFonts w:cs="Arial"/>
          <w:lang w:val="en-NZ" w:eastAsia="en-GB"/>
        </w:rPr>
      </w:pPr>
      <w:r w:rsidRPr="0032132D">
        <w:rPr>
          <w:rFonts w:cs="Arial"/>
          <w:lang w:val="en-NZ" w:eastAsia="en-GB"/>
        </w:rPr>
        <w:t>1 μg RE = 3.33 IU Vitamin A = 1 μg all-trans retinol</w:t>
      </w:r>
    </w:p>
    <w:p w14:paraId="4A01CC49" w14:textId="77777777" w:rsidR="00776154" w:rsidRDefault="00776154" w:rsidP="00776154">
      <w:pPr>
        <w:rPr>
          <w:rFonts w:cs="Arial"/>
          <w:szCs w:val="22"/>
          <w:lang w:eastAsia="en-GB" w:bidi="ar-SA"/>
        </w:rPr>
      </w:pPr>
    </w:p>
    <w:p w14:paraId="4206DE55" w14:textId="4F6A47E9" w:rsidR="00776154" w:rsidRPr="00D87A02" w:rsidRDefault="00776154" w:rsidP="00776154">
      <w:pPr>
        <w:rPr>
          <w:rFonts w:cs="Arial"/>
          <w:szCs w:val="22"/>
          <w:lang w:eastAsia="en-GB" w:bidi="ar-SA"/>
        </w:rPr>
      </w:pPr>
      <w:r w:rsidRPr="00D87A02">
        <w:rPr>
          <w:rFonts w:cs="Arial"/>
          <w:szCs w:val="22"/>
          <w:lang w:eastAsia="en-GB" w:bidi="ar-SA"/>
        </w:rPr>
        <w:t>US regulations (21CFR184.1245</w:t>
      </w:r>
      <w:r w:rsidRPr="00343AA7">
        <w:rPr>
          <w:rFonts w:cs="Arial"/>
          <w:color w:val="23238E"/>
          <w:szCs w:val="22"/>
        </w:rPr>
        <w:t>)</w:t>
      </w:r>
      <w:r w:rsidRPr="00D87A02">
        <w:rPr>
          <w:rFonts w:cs="Arial"/>
          <w:szCs w:val="22"/>
          <w:lang w:eastAsia="en-GB" w:bidi="ar-SA"/>
        </w:rPr>
        <w:t xml:space="preserve"> permit </w:t>
      </w:r>
      <w:r w:rsidRPr="00470002">
        <w:rPr>
          <w:rFonts w:cs="Arial" w:hint="eastAsia"/>
          <w:szCs w:val="22"/>
          <w:lang w:eastAsia="en-GB" w:bidi="ar-SA"/>
        </w:rPr>
        <w:t>β</w:t>
      </w:r>
      <w:r w:rsidRPr="00470002">
        <w:rPr>
          <w:rFonts w:cs="Arial"/>
          <w:szCs w:val="22"/>
          <w:lang w:eastAsia="en-GB" w:bidi="ar-SA"/>
        </w:rPr>
        <w:t xml:space="preserve">-carotene </w:t>
      </w:r>
      <w:r w:rsidRPr="00D87A02">
        <w:rPr>
          <w:rFonts w:cs="Arial"/>
          <w:szCs w:val="22"/>
          <w:lang w:eastAsia="en-GB" w:bidi="ar-SA"/>
        </w:rPr>
        <w:t>to be added as a</w:t>
      </w:r>
      <w:r>
        <w:rPr>
          <w:rFonts w:cs="Arial"/>
          <w:szCs w:val="22"/>
          <w:lang w:eastAsia="en-GB" w:bidi="ar-SA"/>
        </w:rPr>
        <w:t xml:space="preserve"> vitamin A</w:t>
      </w:r>
      <w:r w:rsidRPr="00D87A02">
        <w:rPr>
          <w:rFonts w:cs="Arial"/>
          <w:szCs w:val="22"/>
          <w:lang w:eastAsia="en-GB" w:bidi="ar-SA"/>
        </w:rPr>
        <w:t xml:space="preserve"> source</w:t>
      </w:r>
      <w:r w:rsidRPr="00D87A02">
        <w:t xml:space="preserve">. However, </w:t>
      </w:r>
      <w:r w:rsidRPr="00D87A02">
        <w:rPr>
          <w:rFonts w:cs="Arial"/>
        </w:rPr>
        <w:t>β</w:t>
      </w:r>
      <w:r w:rsidRPr="00D87A02">
        <w:t>-carotene is not a permitted form of vitamin A for infant formula products under EU legislation (</w:t>
      </w:r>
      <w:hyperlink r:id="rId36" w:history="1">
        <w:r w:rsidRPr="00470002">
          <w:rPr>
            <w:color w:val="3333FF"/>
            <w:u w:val="single"/>
          </w:rPr>
          <w:t>Regulation (EU) 609/2013</w:t>
        </w:r>
      </w:hyperlink>
      <w:r w:rsidRPr="00D87A02">
        <w:t xml:space="preserve">). </w:t>
      </w:r>
    </w:p>
    <w:p w14:paraId="1C8C3AEC" w14:textId="77777777" w:rsidR="00776154" w:rsidRDefault="00776154" w:rsidP="00776154">
      <w:pPr>
        <w:pStyle w:val="Heading4"/>
      </w:pPr>
      <w:r>
        <w:t>Previous consideration</w:t>
      </w:r>
    </w:p>
    <w:p w14:paraId="4ABD339E" w14:textId="1DABD010" w:rsidR="00776154" w:rsidRPr="00DB5D28" w:rsidRDefault="00776154" w:rsidP="00776154">
      <w:pPr>
        <w:rPr>
          <w:lang w:eastAsia="en-AU" w:bidi="ar-SA"/>
        </w:rPr>
      </w:pPr>
      <w:r>
        <w:rPr>
          <w:lang w:eastAsia="en-AU"/>
        </w:rPr>
        <w:t xml:space="preserve">FSANZ’s 2016 nutrition </w:t>
      </w:r>
      <w:r w:rsidR="000420A1">
        <w:rPr>
          <w:lang w:eastAsia="en-AU"/>
        </w:rPr>
        <w:t xml:space="preserve">risk </w:t>
      </w:r>
      <w:r>
        <w:rPr>
          <w:lang w:eastAsia="en-AU"/>
        </w:rPr>
        <w:t xml:space="preserve">assessment considered whether it was appropriate to restrict permitted forms of vitamin A to preformed vitamin A and exclude </w:t>
      </w:r>
      <w:r w:rsidRPr="005C27EA">
        <w:rPr>
          <w:rFonts w:hint="eastAsia"/>
          <w:lang w:eastAsia="en-AU"/>
        </w:rPr>
        <w:t>β</w:t>
      </w:r>
      <w:r w:rsidRPr="005C27EA">
        <w:rPr>
          <w:lang w:eastAsia="en-AU"/>
        </w:rPr>
        <w:t>-carotene</w:t>
      </w:r>
      <w:r>
        <w:rPr>
          <w:lang w:eastAsia="en-AU"/>
        </w:rPr>
        <w:t xml:space="preserve">. The </w:t>
      </w:r>
      <w:r>
        <w:rPr>
          <w:lang w:eastAsia="en-AU"/>
        </w:rPr>
        <w:lastRenderedPageBreak/>
        <w:t xml:space="preserve">assessment noted </w:t>
      </w:r>
      <w:r>
        <w:t>that t</w:t>
      </w:r>
      <w:r w:rsidRPr="00652B27">
        <w:t xml:space="preserve">he </w:t>
      </w:r>
      <w:r w:rsidRPr="00FE5F23">
        <w:rPr>
          <w:rFonts w:hint="eastAsia"/>
        </w:rPr>
        <w:t>β</w:t>
      </w:r>
      <w:r w:rsidRPr="00FE5F23">
        <w:t>-carotene</w:t>
      </w:r>
      <w:r>
        <w:t xml:space="preserve"> bioavailability</w:t>
      </w:r>
      <w:r w:rsidRPr="00652B27">
        <w:t xml:space="preserve"> from </w:t>
      </w:r>
      <w:r>
        <w:t xml:space="preserve">infant </w:t>
      </w:r>
      <w:r w:rsidRPr="00652B27">
        <w:t xml:space="preserve">formula </w:t>
      </w:r>
      <w:r>
        <w:t>is less certain than from</w:t>
      </w:r>
      <w:r w:rsidRPr="00652B27">
        <w:t xml:space="preserve"> breast milk</w:t>
      </w:r>
      <w:r>
        <w:t>. It also</w:t>
      </w:r>
      <w:r>
        <w:rPr>
          <w:lang w:eastAsia="en-AU" w:bidi="ar-SA"/>
        </w:rPr>
        <w:t xml:space="preserve"> noted that </w:t>
      </w:r>
      <w:r w:rsidRPr="000C7DD7">
        <w:rPr>
          <w:rFonts w:cs="Arial"/>
          <w:szCs w:val="22"/>
          <w:lang w:eastAsia="en-AU" w:bidi="ar-SA"/>
        </w:rPr>
        <w:t xml:space="preserve">the NRV </w:t>
      </w:r>
      <w:r>
        <w:rPr>
          <w:rFonts w:cs="Arial"/>
          <w:szCs w:val="22"/>
          <w:lang w:eastAsia="en-AU" w:bidi="ar-SA"/>
        </w:rPr>
        <w:t xml:space="preserve">for </w:t>
      </w:r>
      <w:r w:rsidRPr="000C7DD7">
        <w:rPr>
          <w:rFonts w:cs="Arial"/>
          <w:szCs w:val="22"/>
          <w:lang w:eastAsia="en-AU" w:bidi="ar-SA"/>
        </w:rPr>
        <w:t>vitamin A</w:t>
      </w:r>
      <w:r>
        <w:rPr>
          <w:rFonts w:cs="Arial"/>
          <w:szCs w:val="22"/>
          <w:lang w:eastAsia="en-AU" w:bidi="ar-SA"/>
        </w:rPr>
        <w:t xml:space="preserve"> </w:t>
      </w:r>
      <w:r>
        <w:rPr>
          <w:szCs w:val="22"/>
        </w:rPr>
        <w:t xml:space="preserve">relates to preformed vitamin A only and does not include β-carotene </w:t>
      </w:r>
      <w:r>
        <w:rPr>
          <w:rFonts w:cs="Arial"/>
          <w:szCs w:val="22"/>
          <w:lang w:eastAsia="en-AU" w:bidi="ar-SA"/>
        </w:rPr>
        <w:t xml:space="preserve">(NHMRC </w:t>
      </w:r>
      <w:r w:rsidR="00D70A45">
        <w:rPr>
          <w:rFonts w:cs="Arial"/>
          <w:szCs w:val="22"/>
          <w:lang w:eastAsia="en-AU" w:bidi="ar-SA"/>
        </w:rPr>
        <w:t>and</w:t>
      </w:r>
      <w:r>
        <w:rPr>
          <w:rFonts w:cs="Arial"/>
          <w:szCs w:val="22"/>
          <w:lang w:eastAsia="en-AU" w:bidi="ar-SA"/>
        </w:rPr>
        <w:t xml:space="preserve"> MoH 2006).</w:t>
      </w:r>
      <w:r>
        <w:rPr>
          <w:rFonts w:cs="Arial"/>
          <w:color w:val="333333"/>
          <w:szCs w:val="22"/>
        </w:rPr>
        <w:t xml:space="preserve"> </w:t>
      </w:r>
      <w:r>
        <w:rPr>
          <w:lang w:eastAsia="en-AU" w:bidi="ar-SA"/>
        </w:rPr>
        <w:t xml:space="preserve">Recent </w:t>
      </w:r>
      <w:r>
        <w:rPr>
          <w:lang w:eastAsia="en-AU"/>
        </w:rPr>
        <w:t xml:space="preserve">reviews (e.g. EFSA 2014) continue to exclude carotenoid forms from total vitamin content on the basis of </w:t>
      </w:r>
      <w:r w:rsidR="00143572">
        <w:rPr>
          <w:lang w:eastAsia="en-AU"/>
        </w:rPr>
        <w:t xml:space="preserve">a </w:t>
      </w:r>
      <w:r>
        <w:rPr>
          <w:lang w:eastAsia="en-AU"/>
        </w:rPr>
        <w:t xml:space="preserve">lack of knowledge on the bioconversion of carotenoids in infants. </w:t>
      </w:r>
      <w:r>
        <w:rPr>
          <w:lang w:eastAsia="en-AU" w:bidi="ar-SA"/>
        </w:rPr>
        <w:t>The nutrition assessment concluded that limiting vitamin A content of infant formula only to that derived from preformed vitamin A wa</w:t>
      </w:r>
      <w:r w:rsidRPr="00642107">
        <w:rPr>
          <w:lang w:eastAsia="en-AU" w:bidi="ar-SA"/>
        </w:rPr>
        <w:t xml:space="preserve">s unlikely to pose a risk to infant health.  </w:t>
      </w:r>
    </w:p>
    <w:p w14:paraId="577223F7" w14:textId="77777777" w:rsidR="00776154" w:rsidRPr="00F94AA7" w:rsidRDefault="00776154" w:rsidP="00776154"/>
    <w:p w14:paraId="50DAA654" w14:textId="77777777" w:rsidR="00776154" w:rsidRDefault="00776154" w:rsidP="00776154">
      <w:pPr>
        <w:rPr>
          <w:szCs w:val="22"/>
        </w:rPr>
      </w:pPr>
      <w:r>
        <w:rPr>
          <w:szCs w:val="22"/>
          <w:lang w:eastAsia="en-AU" w:bidi="ar-SA"/>
        </w:rPr>
        <w:t>I</w:t>
      </w:r>
      <w:r w:rsidRPr="00343AA7">
        <w:rPr>
          <w:szCs w:val="22"/>
          <w:lang w:eastAsia="en-AU" w:bidi="ar-SA"/>
        </w:rPr>
        <w:t>n light of uncertainty around its bioavailability</w:t>
      </w:r>
      <w:r>
        <w:rPr>
          <w:szCs w:val="22"/>
          <w:lang w:eastAsia="en-AU" w:bidi="ar-SA"/>
        </w:rPr>
        <w:t xml:space="preserve">, FSANZ’s preliminary view in 2016 was </w:t>
      </w:r>
      <w:r w:rsidRPr="00335906">
        <w:rPr>
          <w:szCs w:val="22"/>
          <w:lang w:eastAsia="en-AU" w:bidi="ar-SA"/>
        </w:rPr>
        <w:t>to exclude</w:t>
      </w:r>
      <w:r w:rsidRPr="00DF0671">
        <w:rPr>
          <w:szCs w:val="22"/>
          <w:lang w:eastAsia="en-AU" w:bidi="ar-SA"/>
        </w:rPr>
        <w:t xml:space="preserve"> </w:t>
      </w:r>
      <w:r w:rsidRPr="00DF0671">
        <w:rPr>
          <w:rFonts w:hint="eastAsia"/>
          <w:szCs w:val="22"/>
        </w:rPr>
        <w:t>β</w:t>
      </w:r>
      <w:r w:rsidRPr="00DF0671">
        <w:rPr>
          <w:szCs w:val="22"/>
        </w:rPr>
        <w:t>-carotene</w:t>
      </w:r>
      <w:r w:rsidRPr="00DF0671">
        <w:rPr>
          <w:szCs w:val="22"/>
          <w:lang w:eastAsia="en-AU" w:bidi="ar-SA"/>
        </w:rPr>
        <w:t xml:space="preserve"> from the total amount of vitamin A </w:t>
      </w:r>
      <w:r>
        <w:rPr>
          <w:szCs w:val="22"/>
          <w:lang w:eastAsia="en-AU" w:bidi="ar-SA"/>
        </w:rPr>
        <w:t xml:space="preserve">in infant formula. FSANZ also </w:t>
      </w:r>
      <w:r w:rsidRPr="00CD07FF">
        <w:rPr>
          <w:szCs w:val="22"/>
          <w:lang w:eastAsia="en-AU" w:bidi="ar-SA"/>
        </w:rPr>
        <w:t>support</w:t>
      </w:r>
      <w:r>
        <w:rPr>
          <w:szCs w:val="22"/>
          <w:lang w:eastAsia="en-AU" w:bidi="ar-SA"/>
        </w:rPr>
        <w:t>ed</w:t>
      </w:r>
      <w:r w:rsidRPr="00CD07FF">
        <w:rPr>
          <w:szCs w:val="22"/>
          <w:lang w:eastAsia="en-AU" w:bidi="ar-SA"/>
        </w:rPr>
        <w:t xml:space="preserve"> </w:t>
      </w:r>
      <w:r w:rsidRPr="00505A38">
        <w:rPr>
          <w:szCs w:val="22"/>
          <w:lang w:eastAsia="en-AU" w:bidi="ar-SA"/>
        </w:rPr>
        <w:t xml:space="preserve">expression of vitamin A requirements in </w:t>
      </w:r>
      <w:r w:rsidRPr="00505A38">
        <w:t xml:space="preserve">units of µg </w:t>
      </w:r>
      <w:r w:rsidRPr="00505A38">
        <w:rPr>
          <w:szCs w:val="22"/>
          <w:lang w:eastAsia="en-AU" w:bidi="ar-SA"/>
        </w:rPr>
        <w:t xml:space="preserve">alone </w:t>
      </w:r>
      <w:r w:rsidRPr="00505A38">
        <w:t>(rather than RE),</w:t>
      </w:r>
      <w:r>
        <w:t xml:space="preserve"> as this clarifies that </w:t>
      </w:r>
      <w:r w:rsidRPr="00FE5F23">
        <w:rPr>
          <w:rFonts w:hint="eastAsia"/>
        </w:rPr>
        <w:t>β</w:t>
      </w:r>
      <w:r w:rsidRPr="00FE5F23">
        <w:t>-carotene</w:t>
      </w:r>
      <w:r>
        <w:rPr>
          <w:rFonts w:cs="Arial"/>
        </w:rPr>
        <w:t xml:space="preserve"> should not contribute to the vitamin A content. </w:t>
      </w:r>
      <w:r>
        <w:rPr>
          <w:szCs w:val="22"/>
          <w:lang w:eastAsia="en-AU" w:bidi="ar-SA"/>
        </w:rPr>
        <w:t>The Code would then a</w:t>
      </w:r>
      <w:r w:rsidRPr="00DF0671">
        <w:rPr>
          <w:szCs w:val="22"/>
          <w:lang w:eastAsia="en-AU" w:bidi="ar-SA"/>
        </w:rPr>
        <w:t>lign with Codex and other international regulations</w:t>
      </w:r>
      <w:r>
        <w:rPr>
          <w:szCs w:val="22"/>
          <w:lang w:eastAsia="en-AU" w:bidi="ar-SA"/>
        </w:rPr>
        <w:t xml:space="preserve"> in relation to </w:t>
      </w:r>
      <w:r w:rsidRPr="00DF0671">
        <w:rPr>
          <w:rFonts w:hint="eastAsia"/>
          <w:szCs w:val="22"/>
        </w:rPr>
        <w:t>β</w:t>
      </w:r>
      <w:r w:rsidRPr="00DF0671">
        <w:rPr>
          <w:szCs w:val="22"/>
        </w:rPr>
        <w:t>-carotene</w:t>
      </w:r>
      <w:r>
        <w:rPr>
          <w:szCs w:val="22"/>
        </w:rPr>
        <w:t xml:space="preserve"> contribution to vitamin A content but would differ in relation to the vitamin A units. </w:t>
      </w:r>
    </w:p>
    <w:p w14:paraId="6F2BB80F" w14:textId="77777777" w:rsidR="00776154" w:rsidRDefault="00776154" w:rsidP="00776154">
      <w:pPr>
        <w:pStyle w:val="Heading4"/>
        <w:ind w:left="0" w:firstLine="0"/>
      </w:pPr>
      <w:r w:rsidRPr="00BA1FD9">
        <w:t>S</w:t>
      </w:r>
      <w:r>
        <w:t>takeholder views</w:t>
      </w:r>
    </w:p>
    <w:p w14:paraId="7B410597" w14:textId="3D4EB7A2" w:rsidR="00776154" w:rsidRDefault="00776154" w:rsidP="00776154">
      <w:pPr>
        <w:tabs>
          <w:tab w:val="left" w:pos="2268"/>
        </w:tabs>
        <w:rPr>
          <w:rFonts w:cs="Arial"/>
        </w:rPr>
      </w:pPr>
      <w:r w:rsidRPr="00D87A02">
        <w:rPr>
          <w:rFonts w:cs="Arial"/>
        </w:rPr>
        <w:t>Seven submissions</w:t>
      </w:r>
      <w:r>
        <w:rPr>
          <w:rFonts w:cs="Arial"/>
        </w:rPr>
        <w:t xml:space="preserve"> </w:t>
      </w:r>
      <w:r w:rsidRPr="00050EC1">
        <w:rPr>
          <w:rFonts w:cs="Arial"/>
        </w:rPr>
        <w:t>(</w:t>
      </w:r>
      <w:r w:rsidR="00143572">
        <w:rPr>
          <w:rFonts w:cs="Arial"/>
        </w:rPr>
        <w:t>five</w:t>
      </w:r>
      <w:r w:rsidRPr="00050EC1">
        <w:rPr>
          <w:rFonts w:cs="Arial"/>
        </w:rPr>
        <w:t xml:space="preserve"> industry, </w:t>
      </w:r>
      <w:r w:rsidR="00143572">
        <w:rPr>
          <w:rFonts w:cs="Arial"/>
        </w:rPr>
        <w:t>two</w:t>
      </w:r>
      <w:r w:rsidRPr="00050EC1">
        <w:rPr>
          <w:rFonts w:cs="Arial"/>
        </w:rPr>
        <w:t xml:space="preserve"> government)</w:t>
      </w:r>
      <w:r>
        <w:rPr>
          <w:rFonts w:cs="Arial"/>
        </w:rPr>
        <w:t xml:space="preserve"> commented</w:t>
      </w:r>
      <w:r w:rsidRPr="00D87A02">
        <w:rPr>
          <w:rFonts w:cs="Arial"/>
        </w:rPr>
        <w:t xml:space="preserve"> on </w:t>
      </w:r>
      <w:r w:rsidRPr="00D87A02">
        <w:rPr>
          <w:rFonts w:hint="eastAsia"/>
        </w:rPr>
        <w:t>β</w:t>
      </w:r>
      <w:r w:rsidRPr="00D87A02">
        <w:rPr>
          <w:rFonts w:cs="Arial"/>
          <w:lang w:eastAsia="en-GB"/>
        </w:rPr>
        <w:t>-carotene</w:t>
      </w:r>
      <w:r>
        <w:rPr>
          <w:rFonts w:cs="Arial"/>
          <w:lang w:eastAsia="en-GB"/>
        </w:rPr>
        <w:t xml:space="preserve"> as a permitted form of vitamin A.</w:t>
      </w:r>
      <w:r w:rsidRPr="00D87A02">
        <w:rPr>
          <w:rFonts w:cs="Arial"/>
          <w:lang w:eastAsia="en-GB"/>
        </w:rPr>
        <w:t xml:space="preserve"> </w:t>
      </w:r>
      <w:r w:rsidRPr="00D87A02">
        <w:rPr>
          <w:rFonts w:cs="Arial"/>
        </w:rPr>
        <w:t xml:space="preserve">Industry submitters supported retaining the current </w:t>
      </w:r>
      <w:r>
        <w:rPr>
          <w:rFonts w:cs="Arial"/>
        </w:rPr>
        <w:t xml:space="preserve">permissions in Standard 2.9.1 and commented that </w:t>
      </w:r>
      <w:r w:rsidRPr="00D87A02">
        <w:rPr>
          <w:rFonts w:hint="eastAsia"/>
        </w:rPr>
        <w:t>β</w:t>
      </w:r>
      <w:r w:rsidRPr="00D87A02">
        <w:rPr>
          <w:rFonts w:cs="Arial"/>
        </w:rPr>
        <w:t xml:space="preserve">-carotene is a colouring agent and anti-oxidant in foods and many products are formulated to include </w:t>
      </w:r>
      <w:r w:rsidRPr="00D87A02">
        <w:rPr>
          <w:rFonts w:hint="eastAsia"/>
        </w:rPr>
        <w:t>β</w:t>
      </w:r>
      <w:r w:rsidRPr="00D87A02">
        <w:rPr>
          <w:rFonts w:cs="Arial"/>
          <w:lang w:eastAsia="en-GB"/>
        </w:rPr>
        <w:t xml:space="preserve">-carotene </w:t>
      </w:r>
      <w:r w:rsidRPr="00D87A02">
        <w:rPr>
          <w:rFonts w:cs="Arial"/>
        </w:rPr>
        <w:t>for these purposes. Governm</w:t>
      </w:r>
      <w:r>
        <w:rPr>
          <w:rFonts w:cs="Arial"/>
        </w:rPr>
        <w:t xml:space="preserve">ent submitters either opposed </w:t>
      </w:r>
      <w:r w:rsidRPr="00D87A02">
        <w:rPr>
          <w:rFonts w:hint="eastAsia"/>
        </w:rPr>
        <w:t>β</w:t>
      </w:r>
      <w:r>
        <w:rPr>
          <w:rFonts w:cs="Arial"/>
        </w:rPr>
        <w:t>-</w:t>
      </w:r>
      <w:r w:rsidRPr="00D87A02">
        <w:rPr>
          <w:rFonts w:cs="Arial"/>
        </w:rPr>
        <w:t xml:space="preserve">carotene addition or requested further consideration to justify </w:t>
      </w:r>
      <w:r w:rsidRPr="00D87A02">
        <w:rPr>
          <w:rFonts w:hint="eastAsia"/>
        </w:rPr>
        <w:t>β</w:t>
      </w:r>
      <w:r w:rsidRPr="00D87A02">
        <w:rPr>
          <w:rFonts w:cs="Arial"/>
          <w:lang w:eastAsia="en-GB"/>
        </w:rPr>
        <w:t xml:space="preserve">-carotene </w:t>
      </w:r>
      <w:r w:rsidRPr="00D87A02">
        <w:rPr>
          <w:rFonts w:cs="Arial"/>
        </w:rPr>
        <w:t>addition.</w:t>
      </w:r>
      <w:r>
        <w:rPr>
          <w:rFonts w:cs="Arial"/>
        </w:rPr>
        <w:t xml:space="preserve"> All seven submitters agreed that </w:t>
      </w:r>
      <w:r w:rsidRPr="00907E3D">
        <w:rPr>
          <w:rFonts w:cs="Arial" w:hint="eastAsia"/>
        </w:rPr>
        <w:t>β</w:t>
      </w:r>
      <w:r w:rsidRPr="00907E3D">
        <w:rPr>
          <w:rFonts w:cs="Arial"/>
        </w:rPr>
        <w:t xml:space="preserve">-carotene should </w:t>
      </w:r>
      <w:r>
        <w:rPr>
          <w:rFonts w:cs="Arial"/>
        </w:rPr>
        <w:t>be excluded from the total amount of vitamin A in infant formula.</w:t>
      </w:r>
    </w:p>
    <w:p w14:paraId="088072A9" w14:textId="77777777" w:rsidR="00776154" w:rsidRDefault="00776154" w:rsidP="00776154">
      <w:pPr>
        <w:tabs>
          <w:tab w:val="left" w:pos="2268"/>
        </w:tabs>
        <w:rPr>
          <w:rFonts w:cs="Arial"/>
        </w:rPr>
      </w:pPr>
    </w:p>
    <w:p w14:paraId="42BB7A29" w14:textId="77777777" w:rsidR="00776154" w:rsidRDefault="00776154" w:rsidP="00776154">
      <w:pPr>
        <w:tabs>
          <w:tab w:val="left" w:pos="2268"/>
        </w:tabs>
        <w:rPr>
          <w:rFonts w:cs="Arial"/>
        </w:rPr>
      </w:pPr>
      <w:r>
        <w:rPr>
          <w:rFonts w:cs="Arial"/>
        </w:rPr>
        <w:t xml:space="preserve">Three industry submitters supported the use of </w:t>
      </w:r>
      <w:r w:rsidRPr="0032132D">
        <w:rPr>
          <w:rFonts w:cs="Arial"/>
          <w:lang w:val="en-NZ" w:eastAsia="en-GB"/>
        </w:rPr>
        <w:t>μg RE</w:t>
      </w:r>
      <w:r>
        <w:rPr>
          <w:rFonts w:cs="Arial"/>
          <w:lang w:val="en-NZ" w:eastAsia="en-GB"/>
        </w:rPr>
        <w:t xml:space="preserve"> to clarify the units for vitamin A requirements and to align with Codex STAN 72-1981 and other international regulations.</w:t>
      </w:r>
    </w:p>
    <w:p w14:paraId="2D4A5CA6" w14:textId="4246588E" w:rsidR="00776154" w:rsidRDefault="00143572" w:rsidP="00776154">
      <w:pPr>
        <w:pStyle w:val="Heading4"/>
      </w:pPr>
      <w:r>
        <w:t>Nutrition r</w:t>
      </w:r>
      <w:r w:rsidR="00776154">
        <w:t>isk assessment</w:t>
      </w:r>
    </w:p>
    <w:p w14:paraId="18D11969" w14:textId="4E75A6C0" w:rsidR="00776154" w:rsidRDefault="00776154" w:rsidP="00776154">
      <w:pPr>
        <w:rPr>
          <w:lang w:eastAsia="en-AU"/>
        </w:rPr>
      </w:pPr>
      <w:r>
        <w:rPr>
          <w:lang w:eastAsia="en-AU"/>
        </w:rPr>
        <w:t xml:space="preserve">No further </w:t>
      </w:r>
      <w:r w:rsidR="00143572">
        <w:rPr>
          <w:lang w:eastAsia="en-AU"/>
        </w:rPr>
        <w:t xml:space="preserve">nutrition </w:t>
      </w:r>
      <w:r>
        <w:rPr>
          <w:lang w:eastAsia="en-AU"/>
        </w:rPr>
        <w:t>risk assessment was considered on this issue.</w:t>
      </w:r>
    </w:p>
    <w:p w14:paraId="28C8811A" w14:textId="77777777" w:rsidR="00776154" w:rsidRPr="00764198" w:rsidRDefault="00776154" w:rsidP="00776154">
      <w:pPr>
        <w:pStyle w:val="Heading4"/>
        <w:rPr>
          <w:lang w:eastAsia="en-AU"/>
        </w:rPr>
      </w:pPr>
      <w:r>
        <w:rPr>
          <w:lang w:eastAsia="en-AU"/>
        </w:rPr>
        <w:t>Options and discussion</w:t>
      </w:r>
    </w:p>
    <w:p w14:paraId="2F0D7F83" w14:textId="3FEEEFC3" w:rsidR="00776154" w:rsidRPr="00D87A02" w:rsidRDefault="00776154" w:rsidP="00776154">
      <w:pPr>
        <w:tabs>
          <w:tab w:val="left" w:pos="2268"/>
        </w:tabs>
        <w:rPr>
          <w:rFonts w:cs="Arial"/>
        </w:rPr>
      </w:pPr>
      <w:r w:rsidRPr="00335906">
        <w:rPr>
          <w:rFonts w:cs="Arial" w:hint="eastAsia"/>
        </w:rPr>
        <w:t>β</w:t>
      </w:r>
      <w:r w:rsidRPr="00335906">
        <w:rPr>
          <w:rFonts w:cs="Arial"/>
        </w:rPr>
        <w:t xml:space="preserve">-carotene </w:t>
      </w:r>
      <w:r>
        <w:rPr>
          <w:rFonts w:cs="Arial"/>
        </w:rPr>
        <w:t xml:space="preserve">is a natural component of milk. Human milk content of </w:t>
      </w:r>
      <w:r w:rsidRPr="00D87A02">
        <w:rPr>
          <w:rFonts w:hint="eastAsia"/>
        </w:rPr>
        <w:t>β</w:t>
      </w:r>
      <w:r>
        <w:rPr>
          <w:rFonts w:cs="Arial"/>
        </w:rPr>
        <w:t xml:space="preserve">-carotene is </w:t>
      </w:r>
      <w:r w:rsidRPr="00D87A02">
        <w:rPr>
          <w:rFonts w:cs="Arial"/>
        </w:rPr>
        <w:t>variable (</w:t>
      </w:r>
      <w:r w:rsidRPr="0038118A">
        <w:rPr>
          <w:rFonts w:cs="Arial"/>
        </w:rPr>
        <w:t>Canfield</w:t>
      </w:r>
      <w:r w:rsidR="000F1668" w:rsidRPr="0038118A">
        <w:rPr>
          <w:rFonts w:cs="Arial"/>
        </w:rPr>
        <w:t xml:space="preserve"> et al</w:t>
      </w:r>
      <w:r w:rsidRPr="0038118A">
        <w:rPr>
          <w:rFonts w:cs="Arial"/>
        </w:rPr>
        <w:t>, 2003</w:t>
      </w:r>
      <w:r w:rsidRPr="00D87A02">
        <w:rPr>
          <w:rFonts w:cs="Arial"/>
        </w:rPr>
        <w:t>) and in Australian mothers it was reported t</w:t>
      </w:r>
      <w:r>
        <w:rPr>
          <w:rFonts w:cs="Arial"/>
        </w:rPr>
        <w:t xml:space="preserve">o be about 32 </w:t>
      </w:r>
      <w:r w:rsidR="00143572">
        <w:rPr>
          <w:rFonts w:ascii="Calibri" w:hAnsi="Calibri" w:cs="Calibri"/>
        </w:rPr>
        <w:t>µ</w:t>
      </w:r>
      <w:r>
        <w:rPr>
          <w:rFonts w:cs="Arial"/>
        </w:rPr>
        <w:t>g/</w:t>
      </w:r>
      <w:r w:rsidR="00143572">
        <w:rPr>
          <w:rFonts w:cs="Arial"/>
        </w:rPr>
        <w:t>L</w:t>
      </w:r>
      <w:r>
        <w:rPr>
          <w:rFonts w:cs="Arial"/>
        </w:rPr>
        <w:t xml:space="preserve">. </w:t>
      </w:r>
      <w:r w:rsidRPr="00D87A02">
        <w:rPr>
          <w:rFonts w:hint="eastAsia"/>
        </w:rPr>
        <w:t>β</w:t>
      </w:r>
      <w:r w:rsidRPr="00D87A02">
        <w:rPr>
          <w:rFonts w:cs="Arial"/>
        </w:rPr>
        <w:t xml:space="preserve">-carotene </w:t>
      </w:r>
      <w:r w:rsidR="0038118A">
        <w:rPr>
          <w:rFonts w:cs="Arial"/>
        </w:rPr>
        <w:t xml:space="preserve">intakes </w:t>
      </w:r>
      <w:r w:rsidRPr="00D87A02">
        <w:rPr>
          <w:rFonts w:cs="Arial"/>
        </w:rPr>
        <w:t xml:space="preserve">based on this amount would be 26 </w:t>
      </w:r>
      <w:r w:rsidR="00143572">
        <w:rPr>
          <w:rFonts w:ascii="Calibri" w:hAnsi="Calibri" w:cs="Calibri"/>
        </w:rPr>
        <w:t>µ</w:t>
      </w:r>
      <w:r w:rsidRPr="00D87A02">
        <w:rPr>
          <w:rFonts w:cs="Arial"/>
        </w:rPr>
        <w:t>g/day. T</w:t>
      </w:r>
      <w:r>
        <w:rPr>
          <w:rFonts w:cs="Arial"/>
        </w:rPr>
        <w:t xml:space="preserve">he </w:t>
      </w:r>
      <w:r w:rsidR="00143572">
        <w:rPr>
          <w:rFonts w:cs="Arial"/>
        </w:rPr>
        <w:t>Institute of Medicine (</w:t>
      </w:r>
      <w:r>
        <w:rPr>
          <w:rFonts w:cs="Arial"/>
        </w:rPr>
        <w:t>IoM</w:t>
      </w:r>
      <w:r w:rsidR="0038118A">
        <w:rPr>
          <w:rFonts w:cs="Arial"/>
        </w:rPr>
        <w:t xml:space="preserve"> </w:t>
      </w:r>
      <w:r>
        <w:rPr>
          <w:rFonts w:cs="Arial"/>
        </w:rPr>
        <w:t>2000</w:t>
      </w:r>
      <w:r w:rsidRPr="00D87A02">
        <w:rPr>
          <w:rFonts w:cs="Arial"/>
        </w:rPr>
        <w:t xml:space="preserve">) </w:t>
      </w:r>
      <w:r>
        <w:rPr>
          <w:rFonts w:cs="Arial"/>
        </w:rPr>
        <w:t xml:space="preserve">reported the range of </w:t>
      </w:r>
      <w:r w:rsidRPr="00D87A02">
        <w:rPr>
          <w:rFonts w:hint="eastAsia"/>
        </w:rPr>
        <w:t>β</w:t>
      </w:r>
      <w:r>
        <w:rPr>
          <w:rFonts w:cs="Arial"/>
        </w:rPr>
        <w:t>-</w:t>
      </w:r>
      <w:r w:rsidRPr="00D87A02">
        <w:rPr>
          <w:rFonts w:cs="Arial"/>
        </w:rPr>
        <w:t xml:space="preserve">carotene intakes for </w:t>
      </w:r>
      <w:r w:rsidR="0038118A">
        <w:rPr>
          <w:rFonts w:cs="Arial"/>
        </w:rPr>
        <w:t xml:space="preserve">infants </w:t>
      </w:r>
      <w:r w:rsidRPr="00E03F4A">
        <w:rPr>
          <w:rFonts w:cs="Arial"/>
        </w:rPr>
        <w:t>0</w:t>
      </w:r>
      <w:r w:rsidR="00143572">
        <w:rPr>
          <w:rFonts w:cs="Arial"/>
        </w:rPr>
        <w:t>–</w:t>
      </w:r>
      <w:r w:rsidRPr="00E03F4A">
        <w:rPr>
          <w:rFonts w:cs="Arial"/>
        </w:rPr>
        <w:t>6 months to be 8</w:t>
      </w:r>
      <w:r w:rsidR="00143572">
        <w:rPr>
          <w:rFonts w:cs="Arial"/>
        </w:rPr>
        <w:t>–</w:t>
      </w:r>
      <w:r w:rsidRPr="00E03F4A">
        <w:rPr>
          <w:rFonts w:cs="Arial"/>
        </w:rPr>
        <w:t xml:space="preserve">163 </w:t>
      </w:r>
      <w:r w:rsidR="00143572">
        <w:rPr>
          <w:rFonts w:ascii="Calibri" w:hAnsi="Calibri" w:cs="Calibri"/>
        </w:rPr>
        <w:t>µ</w:t>
      </w:r>
      <w:r w:rsidRPr="00E03F4A">
        <w:rPr>
          <w:rFonts w:cs="Arial"/>
        </w:rPr>
        <w:t xml:space="preserve">g/day. </w:t>
      </w:r>
    </w:p>
    <w:p w14:paraId="33E19FDB" w14:textId="77777777" w:rsidR="00776154" w:rsidRPr="00D87A02" w:rsidRDefault="00776154" w:rsidP="00776154">
      <w:pPr>
        <w:tabs>
          <w:tab w:val="left" w:pos="2268"/>
        </w:tabs>
        <w:rPr>
          <w:rFonts w:cs="Arial"/>
        </w:rPr>
      </w:pPr>
    </w:p>
    <w:p w14:paraId="71BE512C" w14:textId="058BED04" w:rsidR="00776154" w:rsidRDefault="000F1668" w:rsidP="00776154">
      <w:pPr>
        <w:tabs>
          <w:tab w:val="left" w:pos="2268"/>
        </w:tabs>
        <w:rPr>
          <w:rFonts w:cs="Arial"/>
        </w:rPr>
      </w:pPr>
      <w:r>
        <w:rPr>
          <w:rFonts w:cs="Arial"/>
        </w:rPr>
        <w:t>β-</w:t>
      </w:r>
      <w:r w:rsidR="00776154" w:rsidRPr="00D87A02">
        <w:rPr>
          <w:rFonts w:cs="Arial"/>
        </w:rPr>
        <w:t>carotene occurs naturally in cow</w:t>
      </w:r>
      <w:r w:rsidR="00C73A77">
        <w:rPr>
          <w:rFonts w:cs="Arial"/>
        </w:rPr>
        <w:t>’</w:t>
      </w:r>
      <w:r w:rsidR="00776154" w:rsidRPr="00D87A02">
        <w:rPr>
          <w:rFonts w:cs="Arial"/>
        </w:rPr>
        <w:t xml:space="preserve">s </w:t>
      </w:r>
      <w:r w:rsidR="002D211C">
        <w:rPr>
          <w:rFonts w:cs="Arial"/>
        </w:rPr>
        <w:t xml:space="preserve">milk at variable levels and it is enriched </w:t>
      </w:r>
      <w:r w:rsidR="00776154" w:rsidRPr="00D87A02">
        <w:rPr>
          <w:rFonts w:cs="Arial"/>
        </w:rPr>
        <w:t>in the whey fraction of cow</w:t>
      </w:r>
      <w:r w:rsidR="00C73A77">
        <w:rPr>
          <w:rFonts w:cs="Arial"/>
        </w:rPr>
        <w:t>’</w:t>
      </w:r>
      <w:r w:rsidR="00776154" w:rsidRPr="00D87A02">
        <w:rPr>
          <w:rFonts w:cs="Arial"/>
        </w:rPr>
        <w:t xml:space="preserve">s milk which is an ingredient in infant formula products. The concentration of </w:t>
      </w:r>
      <w:r w:rsidR="00776154" w:rsidRPr="00D87A02">
        <w:rPr>
          <w:rFonts w:hint="eastAsia"/>
        </w:rPr>
        <w:t>β</w:t>
      </w:r>
      <w:r w:rsidR="00776154" w:rsidRPr="00D87A02">
        <w:rPr>
          <w:rFonts w:cs="Arial"/>
        </w:rPr>
        <w:t xml:space="preserve">-carotene in a commercial standard infant formula formulated for term infants was measured to be 25 </w:t>
      </w:r>
      <w:r w:rsidR="00EA5E74">
        <w:rPr>
          <w:rFonts w:ascii="Calibri" w:hAnsi="Calibri" w:cs="Calibri"/>
        </w:rPr>
        <w:t>µ</w:t>
      </w:r>
      <w:r w:rsidR="00776154" w:rsidRPr="00D87A02">
        <w:rPr>
          <w:rFonts w:cs="Arial"/>
        </w:rPr>
        <w:t>g/L (</w:t>
      </w:r>
      <w:r w:rsidR="00776154" w:rsidRPr="00A548D9">
        <w:rPr>
          <w:rFonts w:cs="Arial"/>
        </w:rPr>
        <w:t>Hansen</w:t>
      </w:r>
      <w:r w:rsidR="00A548D9" w:rsidRPr="00A548D9">
        <w:rPr>
          <w:rFonts w:cs="Arial"/>
        </w:rPr>
        <w:t xml:space="preserve"> et al.</w:t>
      </w:r>
      <w:r w:rsidR="00776154" w:rsidRPr="00A548D9">
        <w:rPr>
          <w:rFonts w:cs="Arial"/>
        </w:rPr>
        <w:t xml:space="preserve"> 2016).</w:t>
      </w:r>
      <w:r w:rsidR="00776154" w:rsidRPr="00D87A02">
        <w:rPr>
          <w:rFonts w:cs="Arial"/>
        </w:rPr>
        <w:t xml:space="preserve"> Based on an intake volume of 0.8 L/day, this amount corresponds to a daily intake of about 20</w:t>
      </w:r>
      <w:r w:rsidR="00EA5E74">
        <w:rPr>
          <w:rFonts w:cs="Arial"/>
        </w:rPr>
        <w:t> </w:t>
      </w:r>
      <w:r w:rsidR="00EA5E74">
        <w:rPr>
          <w:rFonts w:ascii="Calibri" w:hAnsi="Calibri" w:cs="Calibri"/>
        </w:rPr>
        <w:t>µ</w:t>
      </w:r>
      <w:r w:rsidR="00776154" w:rsidRPr="00D87A02">
        <w:rPr>
          <w:rFonts w:cs="Arial"/>
        </w:rPr>
        <w:t>g/day which is comparable to intakes f</w:t>
      </w:r>
      <w:r w:rsidR="00776154">
        <w:rPr>
          <w:rFonts w:cs="Arial"/>
        </w:rPr>
        <w:t xml:space="preserve">or a breastfed infant. Notably, </w:t>
      </w:r>
      <w:r w:rsidR="00776154" w:rsidRPr="00D87A02">
        <w:rPr>
          <w:rFonts w:hint="eastAsia"/>
        </w:rPr>
        <w:t>β</w:t>
      </w:r>
      <w:r w:rsidR="00776154" w:rsidRPr="00D87A02">
        <w:rPr>
          <w:rFonts w:cs="Arial"/>
        </w:rPr>
        <w:t>-carotene amounts are not consistent in commercial formulas across international jurisdictions or across different brands</w:t>
      </w:r>
      <w:r w:rsidR="00A548D9">
        <w:rPr>
          <w:rFonts w:cs="Arial"/>
        </w:rPr>
        <w:t xml:space="preserve"> and some pr</w:t>
      </w:r>
      <w:r w:rsidR="00776154" w:rsidRPr="00D87A02">
        <w:rPr>
          <w:rFonts w:cs="Arial"/>
        </w:rPr>
        <w:t xml:space="preserve">oducts contain </w:t>
      </w:r>
      <w:r w:rsidR="00A548D9">
        <w:rPr>
          <w:rFonts w:cs="Arial"/>
        </w:rPr>
        <w:t xml:space="preserve">no </w:t>
      </w:r>
      <w:r w:rsidR="00776154" w:rsidRPr="00D87A02">
        <w:rPr>
          <w:rFonts w:cs="Arial"/>
        </w:rPr>
        <w:t xml:space="preserve"> detectable amount of </w:t>
      </w:r>
      <w:r w:rsidR="00776154" w:rsidRPr="00D87A02">
        <w:rPr>
          <w:rFonts w:hint="eastAsia"/>
        </w:rPr>
        <w:t>β</w:t>
      </w:r>
      <w:r w:rsidR="00776154">
        <w:rPr>
          <w:rFonts w:cs="Arial"/>
        </w:rPr>
        <w:t>-</w:t>
      </w:r>
      <w:r w:rsidR="00776154" w:rsidRPr="00D87A02">
        <w:rPr>
          <w:rFonts w:cs="Arial"/>
        </w:rPr>
        <w:t xml:space="preserve">carotene </w:t>
      </w:r>
      <w:r w:rsidR="00776154" w:rsidRPr="00A548D9">
        <w:rPr>
          <w:rFonts w:cs="Arial"/>
        </w:rPr>
        <w:t>(Sommerburg</w:t>
      </w:r>
      <w:r w:rsidR="00A548D9" w:rsidRPr="00A548D9">
        <w:rPr>
          <w:rFonts w:cs="Arial"/>
        </w:rPr>
        <w:t xml:space="preserve"> et al. </w:t>
      </w:r>
      <w:r w:rsidR="00776154" w:rsidRPr="00A548D9">
        <w:rPr>
          <w:rFonts w:cs="Arial"/>
        </w:rPr>
        <w:t xml:space="preserve">2000, Bohn 2019). </w:t>
      </w:r>
    </w:p>
    <w:p w14:paraId="412116B0" w14:textId="77777777" w:rsidR="0038118A" w:rsidRDefault="0038118A" w:rsidP="00776154">
      <w:pPr>
        <w:tabs>
          <w:tab w:val="left" w:pos="2268"/>
        </w:tabs>
        <w:rPr>
          <w:rFonts w:cs="Arial"/>
        </w:rPr>
      </w:pPr>
    </w:p>
    <w:p w14:paraId="18AF379B" w14:textId="279C4342" w:rsidR="00776154" w:rsidRDefault="00776154" w:rsidP="00776154">
      <w:pPr>
        <w:tabs>
          <w:tab w:val="left" w:pos="2268"/>
        </w:tabs>
        <w:rPr>
          <w:rFonts w:cs="Arial"/>
        </w:rPr>
      </w:pPr>
      <w:r w:rsidRPr="00066861">
        <w:rPr>
          <w:rFonts w:cs="Arial"/>
        </w:rPr>
        <w:t xml:space="preserve">Food additive permissions under </w:t>
      </w:r>
      <w:r w:rsidR="00262B22">
        <w:rPr>
          <w:rFonts w:cs="Arial"/>
        </w:rPr>
        <w:t>the Code (Schedule 1</w:t>
      </w:r>
      <w:r w:rsidR="00327A0F">
        <w:rPr>
          <w:rFonts w:cs="Arial"/>
        </w:rPr>
        <w:t>5</w:t>
      </w:r>
      <w:r w:rsidR="00262B22">
        <w:rPr>
          <w:rFonts w:cs="Arial"/>
        </w:rPr>
        <w:t xml:space="preserve">) </w:t>
      </w:r>
      <w:r>
        <w:rPr>
          <w:rFonts w:cs="Arial"/>
        </w:rPr>
        <w:t>and Codex</w:t>
      </w:r>
      <w:r w:rsidRPr="00D87A02">
        <w:rPr>
          <w:rFonts w:cs="Arial"/>
        </w:rPr>
        <w:t xml:space="preserve"> </w:t>
      </w:r>
      <w:r>
        <w:rPr>
          <w:rFonts w:cs="Arial"/>
        </w:rPr>
        <w:t xml:space="preserve">do not include </w:t>
      </w:r>
      <w:r w:rsidRPr="00D87A02">
        <w:rPr>
          <w:rFonts w:hint="eastAsia"/>
        </w:rPr>
        <w:t>β</w:t>
      </w:r>
      <w:r w:rsidRPr="00D87A02">
        <w:rPr>
          <w:rFonts w:cs="Arial"/>
        </w:rPr>
        <w:t>-carotene.</w:t>
      </w:r>
      <w:r>
        <w:rPr>
          <w:rStyle w:val="FootnoteReference"/>
          <w:rFonts w:cs="Arial"/>
        </w:rPr>
        <w:footnoteReference w:id="11"/>
      </w:r>
      <w:r w:rsidRPr="00D87A02">
        <w:rPr>
          <w:rFonts w:cs="Arial"/>
        </w:rPr>
        <w:t xml:space="preserve"> Therefore, </w:t>
      </w:r>
      <w:r w:rsidRPr="00D87A02">
        <w:rPr>
          <w:rFonts w:hint="eastAsia"/>
        </w:rPr>
        <w:t>β</w:t>
      </w:r>
      <w:r w:rsidRPr="00A854D2">
        <w:rPr>
          <w:rFonts w:cs="Arial"/>
        </w:rPr>
        <w:t>-carotene</w:t>
      </w:r>
      <w:r w:rsidRPr="00D87A02">
        <w:rPr>
          <w:rFonts w:cs="Arial"/>
        </w:rPr>
        <w:t xml:space="preserve"> is not permitted to be added to impart a technological </w:t>
      </w:r>
      <w:r w:rsidRPr="00D87A02">
        <w:rPr>
          <w:rFonts w:cs="Arial"/>
        </w:rPr>
        <w:lastRenderedPageBreak/>
        <w:t>function such as colour or anti-oxidant. However, its presence as a component of an ingredient (the whey fraction of cow’s milk) does not pre-empt it from a technological function. This i</w:t>
      </w:r>
      <w:r w:rsidR="002D211C">
        <w:rPr>
          <w:rFonts w:cs="Arial"/>
        </w:rPr>
        <w:t>s not unusual for a vitamin</w:t>
      </w:r>
      <w:r w:rsidR="00450832">
        <w:rPr>
          <w:rFonts w:cs="Arial"/>
        </w:rPr>
        <w:t>. F</w:t>
      </w:r>
      <w:r w:rsidRPr="00D87A02">
        <w:rPr>
          <w:rFonts w:cs="Arial"/>
        </w:rPr>
        <w:t>or example</w:t>
      </w:r>
      <w:r w:rsidR="002D211C">
        <w:rPr>
          <w:rFonts w:cs="Arial"/>
        </w:rPr>
        <w:t>,</w:t>
      </w:r>
      <w:r w:rsidRPr="00D87A02">
        <w:rPr>
          <w:rFonts w:cs="Arial"/>
        </w:rPr>
        <w:t xml:space="preserve"> </w:t>
      </w:r>
      <w:r w:rsidR="00450832">
        <w:rPr>
          <w:rFonts w:cs="Arial"/>
        </w:rPr>
        <w:t>both vitamin C and</w:t>
      </w:r>
      <w:r w:rsidRPr="00D87A02">
        <w:rPr>
          <w:rFonts w:cs="Arial"/>
        </w:rPr>
        <w:t xml:space="preserve"> vitamin E </w:t>
      </w:r>
      <w:r w:rsidR="002D211C">
        <w:rPr>
          <w:rFonts w:cs="Arial"/>
        </w:rPr>
        <w:t xml:space="preserve">are nutrients that </w:t>
      </w:r>
      <w:r w:rsidRPr="00D87A02">
        <w:rPr>
          <w:rFonts w:cs="Arial"/>
        </w:rPr>
        <w:t>hav</w:t>
      </w:r>
      <w:r w:rsidR="00450832">
        <w:rPr>
          <w:rFonts w:cs="Arial"/>
        </w:rPr>
        <w:t>e anti-oxidant functionality</w:t>
      </w:r>
      <w:r>
        <w:rPr>
          <w:rFonts w:cs="Arial"/>
        </w:rPr>
        <w:t xml:space="preserve">. Excluding </w:t>
      </w:r>
      <w:r w:rsidRPr="00D87A02">
        <w:rPr>
          <w:rFonts w:hint="eastAsia"/>
        </w:rPr>
        <w:t>β</w:t>
      </w:r>
      <w:r w:rsidR="00EA5E74">
        <w:rPr>
          <w:rFonts w:cs="Arial"/>
        </w:rPr>
        <w:t>-</w:t>
      </w:r>
      <w:r w:rsidRPr="00D87A02">
        <w:rPr>
          <w:rFonts w:cs="Arial"/>
        </w:rPr>
        <w:t>carotene</w:t>
      </w:r>
      <w:r>
        <w:rPr>
          <w:rFonts w:cs="Arial"/>
        </w:rPr>
        <w:t xml:space="preserve"> from the vitamin A calculation addresses the uncertainty surrounding its bioavailability from infant formula</w:t>
      </w:r>
      <w:r w:rsidR="00450832">
        <w:rPr>
          <w:rFonts w:cs="Arial"/>
        </w:rPr>
        <w:t>.</w:t>
      </w:r>
    </w:p>
    <w:p w14:paraId="14F4E484" w14:textId="1F018F65" w:rsidR="00776154" w:rsidRDefault="00776154" w:rsidP="00776154">
      <w:pPr>
        <w:pStyle w:val="Heading4"/>
        <w:rPr>
          <w:lang w:eastAsia="en-AU"/>
        </w:rPr>
      </w:pPr>
      <w:r>
        <w:rPr>
          <w:lang w:eastAsia="en-AU"/>
        </w:rPr>
        <w:t xml:space="preserve">Proposed </w:t>
      </w:r>
      <w:r w:rsidR="00EA5E74">
        <w:rPr>
          <w:lang w:eastAsia="en-AU"/>
        </w:rPr>
        <w:t>option</w:t>
      </w:r>
    </w:p>
    <w:p w14:paraId="11EF6011" w14:textId="36BE1D51" w:rsidR="00776154" w:rsidRDefault="00776154" w:rsidP="00776154">
      <w:pPr>
        <w:rPr>
          <w:rFonts w:cs="Arial"/>
          <w:lang w:val="en-NZ" w:eastAsia="en-GB"/>
        </w:rPr>
      </w:pPr>
      <w:r w:rsidRPr="00A95A09">
        <w:rPr>
          <w:rFonts w:cs="Arial"/>
          <w:lang w:val="en-NZ" w:eastAsia="en-GB"/>
        </w:rPr>
        <w:t xml:space="preserve">Based on the </w:t>
      </w:r>
      <w:r>
        <w:rPr>
          <w:rFonts w:cs="Arial"/>
          <w:lang w:val="en-NZ" w:eastAsia="en-GB"/>
        </w:rPr>
        <w:t xml:space="preserve">above discussion and alignment with Codex STAN 72-1981, </w:t>
      </w:r>
      <w:r w:rsidR="004E6B57">
        <w:rPr>
          <w:lang w:eastAsia="en-AU" w:bidi="ar-SA"/>
        </w:rPr>
        <w:t>t</w:t>
      </w:r>
      <w:r>
        <w:rPr>
          <w:lang w:eastAsia="en-AU" w:bidi="ar-SA"/>
        </w:rPr>
        <w:t xml:space="preserve">he Codex Standard for Follow-Up Formula </w:t>
      </w:r>
      <w:r>
        <w:t xml:space="preserve">CXS 156-1987, </w:t>
      </w:r>
      <w:r>
        <w:rPr>
          <w:rFonts w:cs="Arial"/>
          <w:lang w:val="en-NZ" w:eastAsia="en-GB"/>
        </w:rPr>
        <w:t>the 2016 EU regulation and other international regulations</w:t>
      </w:r>
      <w:r w:rsidR="001E68AB">
        <w:rPr>
          <w:rFonts w:cs="Arial"/>
          <w:lang w:val="en-NZ" w:eastAsia="en-GB"/>
        </w:rPr>
        <w:t>,</w:t>
      </w:r>
      <w:r>
        <w:rPr>
          <w:rFonts w:cs="Arial"/>
          <w:lang w:val="en-NZ" w:eastAsia="en-GB"/>
        </w:rPr>
        <w:t xml:space="preserve"> FSANZ proposes to:</w:t>
      </w:r>
    </w:p>
    <w:p w14:paraId="274523ED" w14:textId="60500F01" w:rsidR="00776154" w:rsidRPr="00D63BFC" w:rsidRDefault="00776154" w:rsidP="00774FC6">
      <w:pPr>
        <w:pStyle w:val="ListParagraph"/>
        <w:numPr>
          <w:ilvl w:val="0"/>
          <w:numId w:val="17"/>
        </w:numPr>
      </w:pPr>
      <w:r>
        <w:rPr>
          <w:rFonts w:cs="Arial"/>
          <w:lang w:val="en-NZ" w:eastAsia="en-GB"/>
        </w:rPr>
        <w:t>e</w:t>
      </w:r>
      <w:r w:rsidRPr="00D63BFC">
        <w:rPr>
          <w:rFonts w:cs="Arial"/>
          <w:lang w:val="en-NZ" w:eastAsia="en-GB"/>
        </w:rPr>
        <w:t>xpress vitamin A r</w:t>
      </w:r>
      <w:r>
        <w:rPr>
          <w:rFonts w:cs="Arial"/>
          <w:lang w:val="en-NZ" w:eastAsia="en-GB"/>
        </w:rPr>
        <w:t xml:space="preserve">equirements as </w:t>
      </w:r>
      <w:r w:rsidR="00EA5E74" w:rsidRPr="00BC5468">
        <w:rPr>
          <w:rFonts w:cs="Arial"/>
          <w:lang w:val="en-NZ" w:eastAsia="en-GB"/>
        </w:rPr>
        <w:t>µ</w:t>
      </w:r>
      <w:r>
        <w:rPr>
          <w:rFonts w:cs="Arial"/>
          <w:lang w:val="en-NZ" w:eastAsia="en-GB"/>
        </w:rPr>
        <w:t>g RE/100</w:t>
      </w:r>
      <w:r w:rsidR="00EA5E74">
        <w:rPr>
          <w:rFonts w:cs="Arial"/>
          <w:lang w:val="en-NZ" w:eastAsia="en-GB"/>
        </w:rPr>
        <w:t xml:space="preserve"> </w:t>
      </w:r>
      <w:r>
        <w:rPr>
          <w:rFonts w:cs="Arial"/>
          <w:lang w:val="en-NZ" w:eastAsia="en-GB"/>
        </w:rPr>
        <w:t>kJ</w:t>
      </w:r>
    </w:p>
    <w:p w14:paraId="227FF3F8" w14:textId="77536428" w:rsidR="00776154" w:rsidRDefault="00776154" w:rsidP="00774FC6">
      <w:pPr>
        <w:pStyle w:val="ListParagraph"/>
        <w:numPr>
          <w:ilvl w:val="0"/>
          <w:numId w:val="17"/>
        </w:numPr>
      </w:pPr>
      <w:r w:rsidRPr="00D63BFC">
        <w:rPr>
          <w:rFonts w:cs="Arial"/>
          <w:lang w:val="en-NZ" w:eastAsia="en-GB"/>
        </w:rPr>
        <w:t xml:space="preserve">exclude </w:t>
      </w:r>
      <w:r w:rsidR="00BC5468" w:rsidRPr="00FE5F23">
        <w:rPr>
          <w:rFonts w:hint="eastAsia"/>
        </w:rPr>
        <w:t>β</w:t>
      </w:r>
      <w:r w:rsidRPr="00FE5F23">
        <w:t>-carotene</w:t>
      </w:r>
      <w:r>
        <w:t xml:space="preserve"> from the vitamin A calculation</w:t>
      </w:r>
    </w:p>
    <w:p w14:paraId="21BF45C4" w14:textId="77777777" w:rsidR="00776154" w:rsidRDefault="00776154" w:rsidP="00776154">
      <w:pPr>
        <w:rPr>
          <w:rFonts w:cs="Arial"/>
          <w:lang w:val="en-NZ" w:eastAsia="en-GB"/>
        </w:rPr>
      </w:pPr>
    </w:p>
    <w:p w14:paraId="305DCFB9" w14:textId="3A2A3B06" w:rsidR="00776154" w:rsidRDefault="00776154" w:rsidP="00776154">
      <w:pPr>
        <w:rPr>
          <w:rFonts w:cs="Arial"/>
          <w:lang w:val="en-NZ" w:eastAsia="en-GB"/>
        </w:rPr>
      </w:pPr>
      <w:r>
        <w:rPr>
          <w:rFonts w:cs="Arial"/>
          <w:lang w:val="en-NZ" w:eastAsia="en-GB"/>
        </w:rPr>
        <w:t>Based on history of use</w:t>
      </w:r>
      <w:r w:rsidR="001E68AB">
        <w:rPr>
          <w:rFonts w:cs="Arial"/>
          <w:lang w:val="en-NZ" w:eastAsia="en-GB"/>
        </w:rPr>
        <w:t>,</w:t>
      </w:r>
      <w:r>
        <w:rPr>
          <w:rFonts w:cs="Arial"/>
          <w:lang w:val="en-NZ" w:eastAsia="en-GB"/>
        </w:rPr>
        <w:t xml:space="preserve"> FSANZ proposes to retain the permission for </w:t>
      </w:r>
      <w:r w:rsidRPr="00FE5F23">
        <w:rPr>
          <w:rFonts w:hint="eastAsia"/>
        </w:rPr>
        <w:t>β</w:t>
      </w:r>
      <w:r w:rsidRPr="00FE5F23">
        <w:t>-carotene</w:t>
      </w:r>
      <w:r>
        <w:t xml:space="preserve"> as a permitted form</w:t>
      </w:r>
      <w:r w:rsidR="006949C2">
        <w:t xml:space="preserve"> of vitamin A in </w:t>
      </w:r>
      <w:r w:rsidR="00223774">
        <w:t xml:space="preserve">section </w:t>
      </w:r>
      <w:r w:rsidR="006949C2">
        <w:t>S29</w:t>
      </w:r>
      <w:r w:rsidR="00223774">
        <w:t>—</w:t>
      </w:r>
      <w:r w:rsidR="006949C2">
        <w:t>7</w:t>
      </w:r>
      <w:r>
        <w:t xml:space="preserve"> however this will not be included within the vitamin A calculation. </w:t>
      </w:r>
    </w:p>
    <w:p w14:paraId="2A077852" w14:textId="0C54B20E" w:rsidR="00776154" w:rsidRPr="00932E85" w:rsidRDefault="00193E8F" w:rsidP="00C73A77">
      <w:pPr>
        <w:pStyle w:val="Heading3"/>
      </w:pPr>
      <w:bookmarkStart w:id="336" w:name="_Toc442097336"/>
      <w:bookmarkStart w:id="337" w:name="_Toc442101309"/>
      <w:bookmarkStart w:id="338" w:name="_Toc442797257"/>
      <w:bookmarkStart w:id="339" w:name="_Toc443466011"/>
      <w:bookmarkStart w:id="340" w:name="_Toc70415478"/>
      <w:bookmarkStart w:id="341" w:name="_Toc73455641"/>
      <w:bookmarkStart w:id="342" w:name="_Toc73624914"/>
      <w:r>
        <w:t>7</w:t>
      </w:r>
      <w:r w:rsidR="00776154" w:rsidRPr="008E307D">
        <w:t>.2.2</w:t>
      </w:r>
      <w:r w:rsidR="00776154" w:rsidRPr="008E307D">
        <w:tab/>
      </w:r>
      <w:r w:rsidR="00776154">
        <w:t>Folic acid and f</w:t>
      </w:r>
      <w:r w:rsidR="00776154" w:rsidRPr="004E1852">
        <w:t>olate</w:t>
      </w:r>
      <w:bookmarkEnd w:id="336"/>
      <w:bookmarkEnd w:id="337"/>
      <w:bookmarkEnd w:id="338"/>
      <w:bookmarkEnd w:id="339"/>
      <w:r w:rsidR="00776154">
        <w:t xml:space="preserve"> equivalents</w:t>
      </w:r>
      <w:bookmarkEnd w:id="340"/>
      <w:bookmarkEnd w:id="341"/>
      <w:bookmarkEnd w:id="342"/>
      <w:r w:rsidR="00776154">
        <w:t xml:space="preserve"> </w:t>
      </w:r>
    </w:p>
    <w:p w14:paraId="7B9F9CAE" w14:textId="77777777" w:rsidR="00776154" w:rsidRDefault="00776154" w:rsidP="00776154">
      <w:pPr>
        <w:rPr>
          <w:szCs w:val="22"/>
        </w:rPr>
      </w:pPr>
      <w:r>
        <w:rPr>
          <w:lang w:eastAsia="en-AU" w:bidi="ar-SA"/>
        </w:rPr>
        <w:t>F</w:t>
      </w:r>
      <w:r w:rsidRPr="004C5642">
        <w:rPr>
          <w:lang w:eastAsia="en-AU" w:bidi="ar-SA"/>
        </w:rPr>
        <w:t xml:space="preserve">olate </w:t>
      </w:r>
      <w:r>
        <w:rPr>
          <w:lang w:eastAsia="en-AU" w:bidi="ar-SA"/>
        </w:rPr>
        <w:t xml:space="preserve">refers to the methylated form of the vitamin that occurs </w:t>
      </w:r>
      <w:r w:rsidRPr="004C5642">
        <w:rPr>
          <w:lang w:eastAsia="en-AU" w:bidi="ar-SA"/>
        </w:rPr>
        <w:t>naturally in food such as green leafy vegetables</w:t>
      </w:r>
      <w:r>
        <w:rPr>
          <w:lang w:eastAsia="en-AU" w:bidi="ar-SA"/>
        </w:rPr>
        <w:t xml:space="preserve"> and is biologically functional. F</w:t>
      </w:r>
      <w:r w:rsidRPr="004C5642">
        <w:rPr>
          <w:lang w:eastAsia="en-AU" w:bidi="ar-SA"/>
        </w:rPr>
        <w:t xml:space="preserve">olic acid is the synthetic form of folate </w:t>
      </w:r>
      <w:r>
        <w:rPr>
          <w:lang w:eastAsia="en-AU" w:bidi="ar-SA"/>
        </w:rPr>
        <w:t xml:space="preserve">that is </w:t>
      </w:r>
      <w:r w:rsidRPr="004C5642">
        <w:rPr>
          <w:lang w:eastAsia="en-AU" w:bidi="ar-SA"/>
        </w:rPr>
        <w:t>added to food</w:t>
      </w:r>
      <w:r>
        <w:rPr>
          <w:lang w:eastAsia="en-AU" w:bidi="ar-SA"/>
        </w:rPr>
        <w:t xml:space="preserve"> and supplements. Folate and folic acid differ in how efficiently they are absorbed in the gut. Dietary folate equivalents (DFE) are used to account for differences in the absorption efficiency.  </w:t>
      </w:r>
      <w:r>
        <w:t xml:space="preserve"> </w:t>
      </w:r>
    </w:p>
    <w:p w14:paraId="354AB693" w14:textId="7466315A" w:rsidR="00776154" w:rsidRDefault="00776154" w:rsidP="00776154">
      <w:pPr>
        <w:pStyle w:val="Heading4"/>
      </w:pPr>
      <w:r>
        <w:t>Current regulation</w:t>
      </w:r>
      <w:r w:rsidR="007A6CD5">
        <w:t>s</w:t>
      </w:r>
    </w:p>
    <w:p w14:paraId="0E4AE685" w14:textId="13FF4137" w:rsidR="00776154" w:rsidRDefault="00776154" w:rsidP="00776154">
      <w:pPr>
        <w:autoSpaceDE w:val="0"/>
        <w:autoSpaceDN w:val="0"/>
        <w:adjustRightInd w:val="0"/>
        <w:rPr>
          <w:lang w:eastAsia="en-AU" w:bidi="ar-SA"/>
        </w:rPr>
      </w:pPr>
      <w:r w:rsidRPr="00CB1C0A">
        <w:rPr>
          <w:lang w:eastAsia="en-AU" w:bidi="ar-SA"/>
        </w:rPr>
        <w:t xml:space="preserve">Neither Standard 2.9.1 nor Codex STAN 72-1981 apply DFE to set requirements for infant formula. </w:t>
      </w:r>
      <w:r>
        <w:rPr>
          <w:lang w:eastAsia="en-AU" w:bidi="ar-SA"/>
        </w:rPr>
        <w:t>T</w:t>
      </w:r>
      <w:r w:rsidRPr="00CB1C0A">
        <w:rPr>
          <w:lang w:eastAsia="en-AU" w:bidi="ar-SA"/>
        </w:rPr>
        <w:t xml:space="preserve">he </w:t>
      </w:r>
      <w:r>
        <w:rPr>
          <w:lang w:eastAsia="en-AU" w:bidi="ar-SA"/>
        </w:rPr>
        <w:t>minimum amount (</w:t>
      </w:r>
      <w:r w:rsidRPr="005804D8">
        <w:rPr>
          <w:rFonts w:cs="Arial"/>
          <w:lang w:eastAsia="en-AU" w:bidi="ar-SA"/>
        </w:rPr>
        <w:t xml:space="preserve">2 </w:t>
      </w:r>
      <w:r w:rsidRPr="00A45884">
        <w:rPr>
          <w:rFonts w:cs="Arial"/>
          <w:lang w:eastAsia="en-AU" w:bidi="ar-SA"/>
        </w:rPr>
        <w:t>µ</w:t>
      </w:r>
      <w:r w:rsidRPr="005804D8">
        <w:rPr>
          <w:rFonts w:cs="Arial"/>
          <w:lang w:eastAsia="en-AU" w:bidi="ar-SA"/>
        </w:rPr>
        <w:t>g</w:t>
      </w:r>
      <w:r>
        <w:rPr>
          <w:lang w:eastAsia="en-AU" w:bidi="ar-SA"/>
        </w:rPr>
        <w:t xml:space="preserve">) </w:t>
      </w:r>
      <w:r w:rsidRPr="00CB1C0A">
        <w:rPr>
          <w:lang w:eastAsia="en-AU" w:bidi="ar-SA"/>
        </w:rPr>
        <w:t>require</w:t>
      </w:r>
      <w:r>
        <w:rPr>
          <w:lang w:eastAsia="en-AU" w:bidi="ar-SA"/>
        </w:rPr>
        <w:t>d in</w:t>
      </w:r>
      <w:r w:rsidRPr="00CB1C0A">
        <w:rPr>
          <w:lang w:eastAsia="en-AU" w:bidi="ar-SA"/>
        </w:rPr>
        <w:t xml:space="preserve"> </w:t>
      </w:r>
      <w:r w:rsidR="00ED6A3B">
        <w:rPr>
          <w:lang w:eastAsia="en-AU" w:bidi="ar-SA"/>
        </w:rPr>
        <w:t>section S29—9</w:t>
      </w:r>
      <w:r w:rsidRPr="00CB1C0A">
        <w:rPr>
          <w:lang w:eastAsia="en-AU" w:bidi="ar-SA"/>
        </w:rPr>
        <w:t xml:space="preserve"> is</w:t>
      </w:r>
      <w:r>
        <w:rPr>
          <w:lang w:eastAsia="en-AU" w:bidi="ar-SA"/>
        </w:rPr>
        <w:t xml:space="preserve"> expressed as </w:t>
      </w:r>
      <w:r w:rsidRPr="00A45884">
        <w:rPr>
          <w:rFonts w:cs="Arial"/>
          <w:lang w:eastAsia="en-AU" w:bidi="ar-SA"/>
        </w:rPr>
        <w:t>µ</w:t>
      </w:r>
      <w:r w:rsidRPr="005804D8">
        <w:rPr>
          <w:rFonts w:cs="Arial"/>
          <w:lang w:eastAsia="en-AU" w:bidi="ar-SA"/>
        </w:rPr>
        <w:t>g</w:t>
      </w:r>
      <w:r>
        <w:rPr>
          <w:lang w:eastAsia="en-AU" w:bidi="ar-SA"/>
        </w:rPr>
        <w:t xml:space="preserve">/100 kJ </w:t>
      </w:r>
      <w:r w:rsidRPr="00CB1C0A">
        <w:rPr>
          <w:lang w:eastAsia="en-AU" w:bidi="ar-SA"/>
        </w:rPr>
        <w:t>folate</w:t>
      </w:r>
      <w:r>
        <w:rPr>
          <w:lang w:eastAsia="en-AU" w:bidi="ar-SA"/>
        </w:rPr>
        <w:t xml:space="preserve">, but folic acid is the only permitted form to be added under </w:t>
      </w:r>
      <w:r w:rsidR="00ED6A3B">
        <w:rPr>
          <w:lang w:eastAsia="en-AU" w:bidi="ar-SA"/>
        </w:rPr>
        <w:t xml:space="preserve">section </w:t>
      </w:r>
      <w:r w:rsidRPr="008279E6">
        <w:rPr>
          <w:bCs/>
          <w:lang w:eastAsia="en-AU" w:bidi="ar-SA"/>
        </w:rPr>
        <w:t>S29—7</w:t>
      </w:r>
      <w:r w:rsidRPr="00CB1C0A">
        <w:rPr>
          <w:lang w:eastAsia="en-AU" w:bidi="ar-SA"/>
        </w:rPr>
        <w:t xml:space="preserve">. </w:t>
      </w:r>
      <w:r w:rsidRPr="008279E6">
        <w:rPr>
          <w:lang w:eastAsia="en-AU" w:bidi="ar-SA"/>
        </w:rPr>
        <w:t>The Codex minimum am</w:t>
      </w:r>
      <w:r>
        <w:rPr>
          <w:lang w:eastAsia="en-AU" w:bidi="ar-SA"/>
        </w:rPr>
        <w:t>ount (</w:t>
      </w:r>
      <w:r w:rsidRPr="005804D8">
        <w:rPr>
          <w:rFonts w:cs="Arial"/>
          <w:lang w:eastAsia="en-AU" w:bidi="ar-SA"/>
        </w:rPr>
        <w:t xml:space="preserve">3.6 </w:t>
      </w:r>
      <w:r w:rsidRPr="00A45884">
        <w:rPr>
          <w:rFonts w:cs="Arial"/>
          <w:lang w:eastAsia="en-AU" w:bidi="ar-SA"/>
        </w:rPr>
        <w:t>µ</w:t>
      </w:r>
      <w:r w:rsidRPr="005804D8">
        <w:rPr>
          <w:rFonts w:cs="Arial"/>
          <w:lang w:eastAsia="en-AU" w:bidi="ar-SA"/>
        </w:rPr>
        <w:t>g</w:t>
      </w:r>
      <w:r>
        <w:rPr>
          <w:lang w:eastAsia="en-AU" w:bidi="ar-SA"/>
        </w:rPr>
        <w:t xml:space="preserve">) is expressed as </w:t>
      </w:r>
      <w:r w:rsidRPr="008279E6">
        <w:rPr>
          <w:lang w:eastAsia="en-AU" w:bidi="ar-SA"/>
        </w:rPr>
        <w:t xml:space="preserve">µg/100 kJ </w:t>
      </w:r>
      <w:r>
        <w:rPr>
          <w:lang w:eastAsia="en-AU" w:bidi="ar-SA"/>
        </w:rPr>
        <w:t>folic acid.</w:t>
      </w:r>
      <w:r w:rsidRPr="008279E6">
        <w:rPr>
          <w:lang w:eastAsia="en-AU" w:bidi="ar-SA"/>
        </w:rPr>
        <w:t xml:space="preserve"> </w:t>
      </w:r>
    </w:p>
    <w:p w14:paraId="6A7A29DF" w14:textId="77777777" w:rsidR="00776154" w:rsidRDefault="00776154" w:rsidP="00776154">
      <w:pPr>
        <w:autoSpaceDE w:val="0"/>
        <w:autoSpaceDN w:val="0"/>
        <w:adjustRightInd w:val="0"/>
        <w:rPr>
          <w:lang w:eastAsia="en-AU"/>
        </w:rPr>
      </w:pPr>
    </w:p>
    <w:p w14:paraId="6BA53AA2" w14:textId="59DA3D58" w:rsidR="00776154" w:rsidRDefault="00776154" w:rsidP="00776154">
      <w:pPr>
        <w:rPr>
          <w:szCs w:val="22"/>
        </w:rPr>
      </w:pPr>
      <w:r>
        <w:rPr>
          <w:lang w:eastAsia="en-AU" w:bidi="ar-SA"/>
        </w:rPr>
        <w:t>R</w:t>
      </w:r>
      <w:r w:rsidRPr="005B299B">
        <w:rPr>
          <w:lang w:eastAsia="en-AU" w:bidi="ar-SA"/>
        </w:rPr>
        <w:t>ecent EFSA (2014</w:t>
      </w:r>
      <w:r w:rsidR="00056097">
        <w:rPr>
          <w:lang w:eastAsia="en-AU" w:bidi="ar-SA"/>
        </w:rPr>
        <w:t>a</w:t>
      </w:r>
      <w:r w:rsidRPr="005B299B">
        <w:rPr>
          <w:lang w:eastAsia="en-AU" w:bidi="ar-SA"/>
        </w:rPr>
        <w:t>) recommendations on the composition of infant formula have proposed the use of DFE using the 1998 IoM conversions</w:t>
      </w:r>
      <w:r>
        <w:rPr>
          <w:lang w:eastAsia="en-AU" w:bidi="ar-SA"/>
        </w:rPr>
        <w:t xml:space="preserve"> (below</w:t>
      </w:r>
      <w:r w:rsidR="002074F2">
        <w:rPr>
          <w:lang w:eastAsia="en-AU" w:bidi="ar-SA"/>
        </w:rPr>
        <w:t>; IOM 1998</w:t>
      </w:r>
      <w:r>
        <w:rPr>
          <w:lang w:eastAsia="en-AU" w:bidi="ar-SA"/>
        </w:rPr>
        <w:t>)</w:t>
      </w:r>
      <w:r w:rsidRPr="005B299B">
        <w:rPr>
          <w:lang w:eastAsia="en-AU" w:bidi="ar-SA"/>
        </w:rPr>
        <w:t xml:space="preserve"> </w:t>
      </w:r>
      <w:r>
        <w:rPr>
          <w:lang w:eastAsia="en-AU" w:bidi="ar-SA"/>
        </w:rPr>
        <w:t>This recommendation has been adopted into EU 2016/127.</w:t>
      </w:r>
      <w:r w:rsidRPr="008279E6">
        <w:rPr>
          <w:szCs w:val="22"/>
        </w:rPr>
        <w:t xml:space="preserve"> </w:t>
      </w:r>
      <w:r>
        <w:t>The EU range for folate is 3.6</w:t>
      </w:r>
      <w:r w:rsidR="00EA5E74">
        <w:t>–</w:t>
      </w:r>
      <w:r>
        <w:t xml:space="preserve">11.4 </w:t>
      </w:r>
      <w:r w:rsidR="00EA5E74" w:rsidRPr="00A45884">
        <w:rPr>
          <w:rFonts w:cs="Arial"/>
        </w:rPr>
        <w:t>µ</w:t>
      </w:r>
      <w:r w:rsidRPr="005804D8">
        <w:rPr>
          <w:rFonts w:cs="Arial"/>
        </w:rPr>
        <w:t>g/</w:t>
      </w:r>
      <w:r>
        <w:t>100 kJ</w:t>
      </w:r>
      <w:r w:rsidR="00EA5E74">
        <w:t>.</w:t>
      </w:r>
    </w:p>
    <w:p w14:paraId="3CC744E6" w14:textId="77777777" w:rsidR="00776154" w:rsidRDefault="00776154" w:rsidP="00776154">
      <w:pPr>
        <w:rPr>
          <w:szCs w:val="22"/>
        </w:rPr>
      </w:pPr>
    </w:p>
    <w:p w14:paraId="43AB02B2" w14:textId="77777777" w:rsidR="00776154" w:rsidRDefault="00776154" w:rsidP="00776154">
      <w:pPr>
        <w:pBdr>
          <w:top w:val="single" w:sz="4" w:space="1" w:color="auto"/>
          <w:left w:val="single" w:sz="4" w:space="4" w:color="auto"/>
          <w:bottom w:val="single" w:sz="4" w:space="1" w:color="auto"/>
          <w:right w:val="single" w:sz="4" w:space="4" w:color="auto"/>
        </w:pBdr>
        <w:ind w:left="142"/>
        <w:jc w:val="center"/>
        <w:rPr>
          <w:szCs w:val="22"/>
        </w:rPr>
      </w:pPr>
      <w:r>
        <w:rPr>
          <w:szCs w:val="22"/>
        </w:rPr>
        <w:t>1 DFE = 1 μg food folate = 0.6 μg folic acid from fortified food or as a supplement consumed with food = 0.5 μg of a folic acid supplement taken on an empty stomach.</w:t>
      </w:r>
    </w:p>
    <w:p w14:paraId="12934A06" w14:textId="77777777" w:rsidR="00776154" w:rsidRDefault="00776154" w:rsidP="00776154">
      <w:pPr>
        <w:pStyle w:val="Heading4"/>
        <w:rPr>
          <w:lang w:eastAsia="en-AU"/>
        </w:rPr>
      </w:pPr>
      <w:r>
        <w:rPr>
          <w:lang w:eastAsia="en-AU"/>
        </w:rPr>
        <w:t xml:space="preserve">Previous consideration </w:t>
      </w:r>
    </w:p>
    <w:p w14:paraId="378B761D" w14:textId="377558B1" w:rsidR="00776154" w:rsidRDefault="00776154" w:rsidP="00776154">
      <w:pPr>
        <w:autoSpaceDE w:val="0"/>
        <w:autoSpaceDN w:val="0"/>
        <w:adjustRightInd w:val="0"/>
        <w:rPr>
          <w:lang w:eastAsia="en-AU" w:bidi="ar-SA"/>
        </w:rPr>
      </w:pPr>
      <w:r>
        <w:rPr>
          <w:lang w:eastAsia="en-AU" w:bidi="ar-SA"/>
        </w:rPr>
        <w:t xml:space="preserve">Milk and milk powder have naturally occurring levels of folate, thus infant formula generally contains a mixture of naturally occurring folate and added folic acid. Setting the minimum folate requirement as folic acid (as in the Codex standard) would exclude the contribution of naturally occurring folate. </w:t>
      </w:r>
      <w:r w:rsidRPr="00DC6A23">
        <w:t>According to M</w:t>
      </w:r>
      <w:r>
        <w:t>a</w:t>
      </w:r>
      <w:r w:rsidRPr="00DC6A23">
        <w:t>c</w:t>
      </w:r>
      <w:r>
        <w:t>L</w:t>
      </w:r>
      <w:r w:rsidRPr="00DC6A23">
        <w:t>ean et al</w:t>
      </w:r>
      <w:r w:rsidR="00422206">
        <w:t>.</w:t>
      </w:r>
      <w:r w:rsidRPr="00DC6A23">
        <w:t xml:space="preserve"> (2010)</w:t>
      </w:r>
      <w:r>
        <w:t>,</w:t>
      </w:r>
      <w:r w:rsidRPr="00DC6A23">
        <w:t xml:space="preserve"> up to 40% of the folate in </w:t>
      </w:r>
      <w:r w:rsidR="00D86C99">
        <w:t xml:space="preserve">the </w:t>
      </w:r>
      <w:r w:rsidRPr="00DC6A23">
        <w:t xml:space="preserve">finished product is inherent in the ingredients used to produce infant formula. </w:t>
      </w:r>
    </w:p>
    <w:p w14:paraId="7C3EF745" w14:textId="77777777" w:rsidR="00776154" w:rsidRDefault="00776154" w:rsidP="00776154">
      <w:pPr>
        <w:rPr>
          <w:lang w:eastAsia="en-AU" w:bidi="ar-SA"/>
        </w:rPr>
      </w:pPr>
    </w:p>
    <w:p w14:paraId="5C729BE2" w14:textId="12F11821" w:rsidR="00897B61" w:rsidRDefault="00776154" w:rsidP="00897B61">
      <w:pPr>
        <w:rPr>
          <w:szCs w:val="22"/>
        </w:rPr>
      </w:pPr>
      <w:r w:rsidRPr="00A93BF8">
        <w:rPr>
          <w:szCs w:val="22"/>
          <w:lang w:eastAsia="en-AU" w:bidi="ar-SA"/>
        </w:rPr>
        <w:t>DFE</w:t>
      </w:r>
      <w:r>
        <w:rPr>
          <w:szCs w:val="22"/>
          <w:lang w:eastAsia="en-AU" w:bidi="ar-SA"/>
        </w:rPr>
        <w:t xml:space="preserve"> </w:t>
      </w:r>
      <w:r w:rsidRPr="00A93BF8">
        <w:rPr>
          <w:szCs w:val="22"/>
          <w:lang w:eastAsia="en-AU" w:bidi="ar-SA"/>
        </w:rPr>
        <w:t>were</w:t>
      </w:r>
      <w:r>
        <w:rPr>
          <w:szCs w:val="22"/>
          <w:lang w:eastAsia="en-AU" w:bidi="ar-SA"/>
        </w:rPr>
        <w:t xml:space="preserve"> first</w:t>
      </w:r>
      <w:r w:rsidRPr="00A93BF8">
        <w:rPr>
          <w:szCs w:val="22"/>
          <w:lang w:eastAsia="en-AU" w:bidi="ar-SA"/>
        </w:rPr>
        <w:t xml:space="preserve"> in</w:t>
      </w:r>
      <w:r>
        <w:rPr>
          <w:szCs w:val="22"/>
          <w:lang w:eastAsia="en-AU" w:bidi="ar-SA"/>
        </w:rPr>
        <w:t xml:space="preserve">troduced as the units for the folate </w:t>
      </w:r>
      <w:r w:rsidR="00D86C99">
        <w:rPr>
          <w:szCs w:val="22"/>
          <w:lang w:eastAsia="en-AU" w:bidi="ar-SA"/>
        </w:rPr>
        <w:t>NRV</w:t>
      </w:r>
      <w:r>
        <w:rPr>
          <w:szCs w:val="22"/>
          <w:lang w:eastAsia="en-AU" w:bidi="ar-SA"/>
        </w:rPr>
        <w:t xml:space="preserve"> in </w:t>
      </w:r>
      <w:r w:rsidRPr="00A93BF8">
        <w:rPr>
          <w:szCs w:val="22"/>
          <w:lang w:eastAsia="en-AU" w:bidi="ar-SA"/>
        </w:rPr>
        <w:t>2006</w:t>
      </w:r>
      <w:r w:rsidR="00897B61">
        <w:rPr>
          <w:szCs w:val="22"/>
          <w:lang w:eastAsia="en-AU" w:bidi="ar-SA"/>
        </w:rPr>
        <w:t xml:space="preserve"> but this has not </w:t>
      </w:r>
      <w:r w:rsidRPr="00A93BF8">
        <w:rPr>
          <w:szCs w:val="22"/>
          <w:lang w:eastAsia="en-AU" w:bidi="ar-SA"/>
        </w:rPr>
        <w:t xml:space="preserve">been incorporated into the Code. Currently the Code </w:t>
      </w:r>
      <w:r w:rsidRPr="00A93BF8">
        <w:rPr>
          <w:szCs w:val="22"/>
        </w:rPr>
        <w:t>treats folic acid and folate as having equivalent bioavailability with</w:t>
      </w:r>
      <w:r w:rsidRPr="00A93BF8">
        <w:rPr>
          <w:szCs w:val="22"/>
          <w:lang w:eastAsia="en-AU" w:bidi="ar-SA"/>
        </w:rPr>
        <w:t xml:space="preserve"> values for folate and folic acid considered equal </w:t>
      </w:r>
      <w:r w:rsidRPr="00A93BF8">
        <w:rPr>
          <w:szCs w:val="22"/>
        </w:rPr>
        <w:t>(FSANZ, 2005).</w:t>
      </w:r>
      <w:r w:rsidR="00986F78">
        <w:rPr>
          <w:szCs w:val="22"/>
        </w:rPr>
        <w:t xml:space="preserve"> </w:t>
      </w:r>
      <w:r w:rsidR="00986F78" w:rsidRPr="00986F78">
        <w:rPr>
          <w:szCs w:val="22"/>
        </w:rPr>
        <w:t>A </w:t>
      </w:r>
      <w:hyperlink r:id="rId37" w:history="1">
        <w:r w:rsidR="00986F78" w:rsidRPr="00986F78">
          <w:rPr>
            <w:szCs w:val="22"/>
          </w:rPr>
          <w:t>consultation paper </w:t>
        </w:r>
      </w:hyperlink>
      <w:r w:rsidR="00986F78" w:rsidRPr="00986F78">
        <w:rPr>
          <w:szCs w:val="22"/>
        </w:rPr>
        <w:t xml:space="preserve">on the use of the 2006 NRVs as the basis of a revision of the current regulatory NRVs </w:t>
      </w:r>
      <w:r w:rsidR="00986F78">
        <w:rPr>
          <w:szCs w:val="22"/>
        </w:rPr>
        <w:t xml:space="preserve">(rNRV) </w:t>
      </w:r>
      <w:r w:rsidR="00986F78" w:rsidRPr="00986F78">
        <w:rPr>
          <w:szCs w:val="22"/>
        </w:rPr>
        <w:t>in the Code was released in 2010</w:t>
      </w:r>
      <w:r w:rsidR="00986F78">
        <w:rPr>
          <w:szCs w:val="22"/>
        </w:rPr>
        <w:t xml:space="preserve"> (</w:t>
      </w:r>
      <w:r w:rsidR="00986F78" w:rsidRPr="004743E9">
        <w:rPr>
          <w:szCs w:val="22"/>
        </w:rPr>
        <w:t>FSANZ 2010)</w:t>
      </w:r>
      <w:r w:rsidR="00986F78" w:rsidRPr="004743E9">
        <w:rPr>
          <w:rFonts w:ascii="Helvetica" w:hAnsi="Helvetica" w:cs="Helvetica"/>
          <w:color w:val="717171"/>
          <w:sz w:val="20"/>
          <w:szCs w:val="20"/>
          <w:shd w:val="clear" w:color="auto" w:fill="FFFFFF"/>
          <w:lang w:val="en-US"/>
        </w:rPr>
        <w:t>.</w:t>
      </w:r>
      <w:r w:rsidR="00986F78">
        <w:rPr>
          <w:rFonts w:ascii="Helvetica" w:hAnsi="Helvetica" w:cs="Helvetica"/>
          <w:color w:val="717171"/>
          <w:sz w:val="20"/>
          <w:szCs w:val="20"/>
          <w:shd w:val="clear" w:color="auto" w:fill="FFFFFF"/>
          <w:lang w:val="en-US"/>
        </w:rPr>
        <w:t xml:space="preserve"> </w:t>
      </w:r>
      <w:r w:rsidR="00986F78" w:rsidRPr="00986F78">
        <w:rPr>
          <w:szCs w:val="22"/>
        </w:rPr>
        <w:t>Submitters general</w:t>
      </w:r>
      <w:r w:rsidR="00101E8D">
        <w:rPr>
          <w:szCs w:val="22"/>
        </w:rPr>
        <w:t>ly</w:t>
      </w:r>
      <w:r w:rsidR="00986F78" w:rsidRPr="00986F78">
        <w:rPr>
          <w:szCs w:val="22"/>
        </w:rPr>
        <w:t xml:space="preserve"> supported the approach to update the rNRV </w:t>
      </w:r>
      <w:r w:rsidR="00986F78">
        <w:rPr>
          <w:szCs w:val="22"/>
        </w:rPr>
        <w:t xml:space="preserve">for folate </w:t>
      </w:r>
      <w:r w:rsidR="00986F78" w:rsidRPr="00986F78">
        <w:rPr>
          <w:szCs w:val="22"/>
        </w:rPr>
        <w:t xml:space="preserve">to DFE. </w:t>
      </w:r>
      <w:r w:rsidR="00986F78">
        <w:rPr>
          <w:szCs w:val="22"/>
          <w:lang w:eastAsia="en-AU" w:bidi="ar-SA"/>
        </w:rPr>
        <w:t>In 2018, P</w:t>
      </w:r>
      <w:r w:rsidR="00897B61" w:rsidRPr="00897B61">
        <w:rPr>
          <w:szCs w:val="22"/>
          <w:lang w:eastAsia="en-AU" w:bidi="ar-SA"/>
        </w:rPr>
        <w:t xml:space="preserve">roposal P1047 </w:t>
      </w:r>
      <w:r w:rsidR="00897B61" w:rsidRPr="00897B61">
        <w:rPr>
          <w:i/>
          <w:szCs w:val="22"/>
          <w:lang w:eastAsia="en-AU" w:bidi="ar-SA"/>
        </w:rPr>
        <w:t>Review of regulatory nutrient reference values</w:t>
      </w:r>
      <w:r w:rsidR="00897B61">
        <w:rPr>
          <w:i/>
          <w:szCs w:val="22"/>
          <w:lang w:eastAsia="en-AU" w:bidi="ar-SA"/>
        </w:rPr>
        <w:t xml:space="preserve"> </w:t>
      </w:r>
      <w:r w:rsidR="00897B61" w:rsidRPr="00897B61">
        <w:rPr>
          <w:szCs w:val="22"/>
          <w:lang w:eastAsia="en-AU" w:bidi="ar-SA"/>
        </w:rPr>
        <w:t xml:space="preserve">was commenced </w:t>
      </w:r>
      <w:r w:rsidR="00897B61">
        <w:rPr>
          <w:szCs w:val="22"/>
          <w:lang w:eastAsia="en-AU" w:bidi="ar-SA"/>
        </w:rPr>
        <w:t xml:space="preserve">and </w:t>
      </w:r>
      <w:r w:rsidR="00897B61">
        <w:rPr>
          <w:szCs w:val="22"/>
          <w:lang w:eastAsia="en-AU" w:bidi="ar-SA"/>
        </w:rPr>
        <w:lastRenderedPageBreak/>
        <w:t>introducing the term DFE into the Code is being considered as part of that r</w:t>
      </w:r>
      <w:r w:rsidR="00A548D9">
        <w:rPr>
          <w:szCs w:val="22"/>
          <w:lang w:eastAsia="en-AU" w:bidi="ar-SA"/>
        </w:rPr>
        <w:t xml:space="preserve">eview. However, the proposal is </w:t>
      </w:r>
      <w:r w:rsidR="00897B61" w:rsidRPr="00897B61">
        <w:rPr>
          <w:szCs w:val="22"/>
        </w:rPr>
        <w:t>not</w:t>
      </w:r>
      <w:r w:rsidR="00A548D9">
        <w:rPr>
          <w:szCs w:val="22"/>
        </w:rPr>
        <w:t xml:space="preserve"> currently</w:t>
      </w:r>
      <w:r w:rsidR="00897B61" w:rsidRPr="00897B61">
        <w:rPr>
          <w:szCs w:val="22"/>
        </w:rPr>
        <w:t xml:space="preserve"> </w:t>
      </w:r>
      <w:r w:rsidR="00897B61">
        <w:rPr>
          <w:szCs w:val="22"/>
        </w:rPr>
        <w:t xml:space="preserve">being progressed. </w:t>
      </w:r>
    </w:p>
    <w:p w14:paraId="0C68FC02" w14:textId="77EDF75A" w:rsidR="00897B61" w:rsidRPr="00897B61" w:rsidRDefault="00897B61" w:rsidP="00776154">
      <w:pPr>
        <w:rPr>
          <w:szCs w:val="22"/>
        </w:rPr>
      </w:pPr>
      <w:r w:rsidRPr="00897B61">
        <w:rPr>
          <w:szCs w:val="22"/>
        </w:rPr>
        <w:t xml:space="preserve"> </w:t>
      </w:r>
    </w:p>
    <w:p w14:paraId="3679796C" w14:textId="1D374365" w:rsidR="00776154" w:rsidRDefault="00776154" w:rsidP="00776154">
      <w:pPr>
        <w:rPr>
          <w:lang w:eastAsia="en-AU" w:bidi="ar-SA"/>
        </w:rPr>
      </w:pPr>
      <w:r>
        <w:rPr>
          <w:lang w:eastAsia="en-AU" w:bidi="ar-SA"/>
        </w:rPr>
        <w:t xml:space="preserve">Use of DFE </w:t>
      </w:r>
      <w:r w:rsidR="00262B22">
        <w:rPr>
          <w:lang w:eastAsia="en-AU" w:bidi="ar-SA"/>
        </w:rPr>
        <w:t xml:space="preserve">for infant formula products </w:t>
      </w:r>
      <w:r>
        <w:rPr>
          <w:lang w:eastAsia="en-AU" w:bidi="ar-SA"/>
        </w:rPr>
        <w:t>would require the appropriate conversions to be specified in the Code such as that defined by the IoM and recently adopted into</w:t>
      </w:r>
      <w:r w:rsidR="00717DD3" w:rsidRPr="00717DD3">
        <w:t xml:space="preserve"> </w:t>
      </w:r>
      <w:r w:rsidR="00717DD3">
        <w:t>EU 2016/127</w:t>
      </w:r>
      <w:r w:rsidR="00717DD3">
        <w:rPr>
          <w:lang w:eastAsia="en-AU" w:bidi="ar-SA"/>
        </w:rPr>
        <w:t>.</w:t>
      </w:r>
    </w:p>
    <w:p w14:paraId="6D33E259" w14:textId="77777777" w:rsidR="00776154" w:rsidRDefault="00776154" w:rsidP="00776154">
      <w:pPr>
        <w:rPr>
          <w:szCs w:val="22"/>
        </w:rPr>
      </w:pPr>
    </w:p>
    <w:p w14:paraId="7A7F606C" w14:textId="0F59A5F0" w:rsidR="00776154" w:rsidRDefault="00776154" w:rsidP="00776154">
      <w:pPr>
        <w:rPr>
          <w:lang w:eastAsia="en-AU" w:bidi="ar-SA"/>
        </w:rPr>
      </w:pPr>
      <w:r>
        <w:rPr>
          <w:lang w:eastAsia="en-AU" w:bidi="ar-SA"/>
        </w:rPr>
        <w:t>FSANZ’s preliminary view in 2016 was to retain the nutrient name as folate rather than folic acid</w:t>
      </w:r>
      <w:r w:rsidR="00D86C99">
        <w:rPr>
          <w:lang w:eastAsia="en-AU" w:bidi="ar-SA"/>
        </w:rPr>
        <w:t>,</w:t>
      </w:r>
      <w:r w:rsidRPr="002852BE">
        <w:rPr>
          <w:lang w:eastAsia="en-AU" w:bidi="ar-SA"/>
        </w:rPr>
        <w:t xml:space="preserve"> </w:t>
      </w:r>
      <w:r>
        <w:rPr>
          <w:lang w:eastAsia="en-AU" w:bidi="ar-SA"/>
        </w:rPr>
        <w:t xml:space="preserve">although this differs </w:t>
      </w:r>
      <w:r w:rsidR="00D86C99">
        <w:rPr>
          <w:lang w:eastAsia="en-AU" w:bidi="ar-SA"/>
        </w:rPr>
        <w:t xml:space="preserve">from </w:t>
      </w:r>
      <w:r w:rsidRPr="004253DE">
        <w:rPr>
          <w:lang w:eastAsia="en-AU" w:bidi="ar-SA"/>
        </w:rPr>
        <w:t>Codex</w:t>
      </w:r>
      <w:r>
        <w:rPr>
          <w:lang w:eastAsia="en-AU" w:bidi="ar-SA"/>
        </w:rPr>
        <w:t xml:space="preserve"> STAN 72-1981, and retain units of </w:t>
      </w:r>
      <w:r w:rsidRPr="00B35B17">
        <w:rPr>
          <w:lang w:eastAsia="en-AU" w:bidi="ar-SA"/>
        </w:rPr>
        <w:t>µ</w:t>
      </w:r>
      <w:r>
        <w:rPr>
          <w:lang w:eastAsia="en-AU" w:bidi="ar-SA"/>
        </w:rPr>
        <w:t xml:space="preserve">g folate. We sought further information from stakeholders to determine whether DFE should be applied and whether the permitted range for folic acid should </w:t>
      </w:r>
      <w:r w:rsidRPr="002279B0">
        <w:rPr>
          <w:lang w:eastAsia="en-AU" w:bidi="ar-SA"/>
        </w:rPr>
        <w:t>include or exclude the contribution of naturally occurring folate</w:t>
      </w:r>
      <w:r>
        <w:rPr>
          <w:lang w:eastAsia="en-AU" w:bidi="ar-SA"/>
        </w:rPr>
        <w:t>.</w:t>
      </w:r>
    </w:p>
    <w:p w14:paraId="03A30540" w14:textId="77777777" w:rsidR="00776154" w:rsidRDefault="00776154" w:rsidP="00776154">
      <w:pPr>
        <w:pStyle w:val="Heading4"/>
        <w:ind w:left="0" w:firstLine="0"/>
      </w:pPr>
      <w:r w:rsidRPr="00BA1FD9">
        <w:t>S</w:t>
      </w:r>
      <w:r>
        <w:t>takeholder views</w:t>
      </w:r>
    </w:p>
    <w:p w14:paraId="200D1F06" w14:textId="66F78E76" w:rsidR="00776154" w:rsidRDefault="00776154" w:rsidP="00776154">
      <w:r>
        <w:rPr>
          <w:lang w:val="en-AU" w:bidi="ar-SA"/>
        </w:rPr>
        <w:t>Eleven submissions (</w:t>
      </w:r>
      <w:r w:rsidR="00D86C99">
        <w:rPr>
          <w:lang w:val="en-AU" w:bidi="ar-SA"/>
        </w:rPr>
        <w:t>seven</w:t>
      </w:r>
      <w:r>
        <w:rPr>
          <w:lang w:val="en-AU" w:bidi="ar-SA"/>
        </w:rPr>
        <w:t xml:space="preserve"> industry, </w:t>
      </w:r>
      <w:r w:rsidR="00D86C99">
        <w:rPr>
          <w:lang w:val="en-AU" w:bidi="ar-SA"/>
        </w:rPr>
        <w:t>four</w:t>
      </w:r>
      <w:r>
        <w:rPr>
          <w:lang w:val="en-AU" w:bidi="ar-SA"/>
        </w:rPr>
        <w:t xml:space="preserve"> government) commented on the application of DFE to express folic acid amounts. All industry submitters and one </w:t>
      </w:r>
      <w:r w:rsidR="002D4A4A">
        <w:rPr>
          <w:lang w:val="en-AU" w:bidi="ar-SA"/>
        </w:rPr>
        <w:t>government</w:t>
      </w:r>
      <w:r>
        <w:rPr>
          <w:lang w:val="en-AU" w:bidi="ar-SA"/>
        </w:rPr>
        <w:t xml:space="preserve"> disagreed with the use of DFE for folate/folic acid expression as this would not be </w:t>
      </w:r>
      <w:r w:rsidRPr="00B35B17">
        <w:rPr>
          <w:lang w:val="en-AU" w:bidi="ar-SA"/>
        </w:rPr>
        <w:t xml:space="preserve">aligned with Codex STAN 72-1981. Several submitters also highlighted that despite EFSA’s recommendation to use DFE, EFSA also considered that the evidence base for the IoM definition of DFE was uncertain. </w:t>
      </w:r>
      <w:r>
        <w:rPr>
          <w:lang w:val="en-AU" w:bidi="ar-SA"/>
        </w:rPr>
        <w:t xml:space="preserve">Three </w:t>
      </w:r>
      <w:r w:rsidR="00633923">
        <w:rPr>
          <w:lang w:val="en-AU" w:bidi="ar-SA"/>
        </w:rPr>
        <w:t>government submitters</w:t>
      </w:r>
      <w:r>
        <w:rPr>
          <w:lang w:val="en-AU" w:bidi="ar-SA"/>
        </w:rPr>
        <w:t xml:space="preserve"> supported the application of DFE referring to EFSA’s opinion (2014</w:t>
      </w:r>
      <w:r w:rsidR="00056097">
        <w:rPr>
          <w:lang w:val="en-AU" w:bidi="ar-SA"/>
        </w:rPr>
        <w:t>a</w:t>
      </w:r>
      <w:r>
        <w:rPr>
          <w:lang w:val="en-AU" w:bidi="ar-SA"/>
        </w:rPr>
        <w:t xml:space="preserve">) and updated </w:t>
      </w:r>
      <w:r w:rsidR="00717DD3">
        <w:t>EU 2016/127.</w:t>
      </w:r>
    </w:p>
    <w:p w14:paraId="326BFA8E" w14:textId="77777777" w:rsidR="00776154" w:rsidRDefault="00776154" w:rsidP="00776154"/>
    <w:p w14:paraId="7377D719" w14:textId="1074F99F" w:rsidR="00776154" w:rsidRPr="005E493B" w:rsidRDefault="00776154" w:rsidP="00776154">
      <w:pPr>
        <w:rPr>
          <w:lang w:val="en-AU" w:bidi="ar-SA"/>
        </w:rPr>
      </w:pPr>
      <w:r>
        <w:rPr>
          <w:lang w:val="en-AU" w:bidi="ar-SA"/>
        </w:rPr>
        <w:t>Ten submissions (</w:t>
      </w:r>
      <w:r w:rsidR="00D86C99">
        <w:rPr>
          <w:lang w:val="en-AU" w:bidi="ar-SA"/>
        </w:rPr>
        <w:t>seven</w:t>
      </w:r>
      <w:r>
        <w:rPr>
          <w:lang w:val="en-AU" w:bidi="ar-SA"/>
        </w:rPr>
        <w:t xml:space="preserve"> industry, </w:t>
      </w:r>
      <w:r w:rsidR="00D86C99">
        <w:rPr>
          <w:lang w:val="en-AU" w:bidi="ar-SA"/>
        </w:rPr>
        <w:t>three</w:t>
      </w:r>
      <w:r>
        <w:rPr>
          <w:lang w:val="en-AU" w:bidi="ar-SA"/>
        </w:rPr>
        <w:t xml:space="preserve"> government) commented on the contribution of folate to the total amount of the vitamin in infant formula</w:t>
      </w:r>
      <w:r w:rsidRPr="007005EC">
        <w:rPr>
          <w:lang w:val="en-AU" w:bidi="ar-SA"/>
        </w:rPr>
        <w:t xml:space="preserve">. Two </w:t>
      </w:r>
      <w:r w:rsidR="003C377C">
        <w:rPr>
          <w:lang w:val="en-AU" w:bidi="ar-SA"/>
        </w:rPr>
        <w:t>government submitters</w:t>
      </w:r>
      <w:r w:rsidRPr="007005EC">
        <w:rPr>
          <w:lang w:val="en-AU" w:bidi="ar-SA"/>
        </w:rPr>
        <w:t xml:space="preserve"> considered that folate should be included </w:t>
      </w:r>
      <w:r>
        <w:rPr>
          <w:lang w:val="en-AU" w:bidi="ar-SA"/>
        </w:rPr>
        <w:t xml:space="preserve">citing the evidence reported in 2010 by MacLean </w:t>
      </w:r>
      <w:r w:rsidR="00422206">
        <w:rPr>
          <w:lang w:val="en-AU" w:bidi="ar-SA"/>
        </w:rPr>
        <w:t xml:space="preserve">et al. </w:t>
      </w:r>
      <w:r>
        <w:rPr>
          <w:lang w:val="en-AU" w:bidi="ar-SA"/>
        </w:rPr>
        <w:t>(see “Previous consideration”).</w:t>
      </w:r>
      <w:r w:rsidRPr="007005EC">
        <w:rPr>
          <w:lang w:val="en-AU" w:bidi="ar-SA"/>
        </w:rPr>
        <w:t xml:space="preserve"> </w:t>
      </w:r>
      <w:r>
        <w:rPr>
          <w:lang w:val="en-AU" w:bidi="ar-SA"/>
        </w:rPr>
        <w:t>The remaining submissions supported excluding naturally occurring folate citing the lack of reliable methodology to quantify both forms and the minimal amount of folate that is likely to be present in infant formula products.</w:t>
      </w:r>
    </w:p>
    <w:p w14:paraId="5783DF27" w14:textId="3D2932AF" w:rsidR="00776154" w:rsidRDefault="00D86C99" w:rsidP="00776154">
      <w:pPr>
        <w:pStyle w:val="Heading4"/>
      </w:pPr>
      <w:r>
        <w:t>Nutrition r</w:t>
      </w:r>
      <w:r w:rsidR="00776154">
        <w:t xml:space="preserve">isk assessment </w:t>
      </w:r>
    </w:p>
    <w:p w14:paraId="7914CBC8" w14:textId="5365E639" w:rsidR="00776154" w:rsidRPr="00741136" w:rsidRDefault="00776154" w:rsidP="00776154">
      <w:pPr>
        <w:autoSpaceDE w:val="0"/>
        <w:autoSpaceDN w:val="0"/>
        <w:adjustRightInd w:val="0"/>
        <w:rPr>
          <w:rFonts w:eastAsia="Arial Unicode MS"/>
        </w:rPr>
      </w:pPr>
      <w:r w:rsidRPr="00741136">
        <w:rPr>
          <w:rFonts w:eastAsia="Arial Unicode MS"/>
        </w:rPr>
        <w:t xml:space="preserve">No further </w:t>
      </w:r>
      <w:r w:rsidR="00D86C99">
        <w:rPr>
          <w:rFonts w:eastAsia="Arial Unicode MS"/>
        </w:rPr>
        <w:t xml:space="preserve">nutrition </w:t>
      </w:r>
      <w:r>
        <w:rPr>
          <w:rFonts w:eastAsia="Arial Unicode MS"/>
        </w:rPr>
        <w:t>risk assessment was considered on this issue.</w:t>
      </w:r>
    </w:p>
    <w:p w14:paraId="2DDAB816" w14:textId="77777777" w:rsidR="00776154" w:rsidRDefault="00776154" w:rsidP="00776154">
      <w:pPr>
        <w:pStyle w:val="Heading4"/>
      </w:pPr>
      <w:r>
        <w:t>Options and discussion</w:t>
      </w:r>
    </w:p>
    <w:p w14:paraId="3AD4E45B" w14:textId="0CF9EC8A" w:rsidR="00776154" w:rsidRDefault="00776154" w:rsidP="00776154">
      <w:pPr>
        <w:rPr>
          <w:lang w:val="en-AU" w:bidi="ar-SA"/>
        </w:rPr>
      </w:pPr>
      <w:r>
        <w:rPr>
          <w:lang w:val="en-AU" w:bidi="ar-SA"/>
        </w:rPr>
        <w:t>A recent study reported that concentrations of folate in ten cow’s milk- and soy-based infant formulas were low or below the level of detection (</w:t>
      </w:r>
      <w:r w:rsidRPr="009B15A6">
        <w:rPr>
          <w:lang w:val="en-AU" w:bidi="ar-SA"/>
        </w:rPr>
        <w:t xml:space="preserve">Campos-Gimenez </w:t>
      </w:r>
      <w:r w:rsidR="00276663">
        <w:rPr>
          <w:lang w:val="en-AU" w:bidi="ar-SA"/>
        </w:rPr>
        <w:t xml:space="preserve">et al. </w:t>
      </w:r>
      <w:r w:rsidRPr="009B15A6">
        <w:rPr>
          <w:lang w:val="en-AU" w:bidi="ar-SA"/>
        </w:rPr>
        <w:t>2018</w:t>
      </w:r>
      <w:r>
        <w:rPr>
          <w:lang w:val="en-AU" w:bidi="ar-SA"/>
        </w:rPr>
        <w:t>). The major component measured in all formulas was folic acid, added to meet the requirement for this vitamin. Existing official methodology for folate analysis was used, with modifications to ensure optimi</w:t>
      </w:r>
      <w:r w:rsidR="00D86C99">
        <w:rPr>
          <w:lang w:val="en-AU" w:bidi="ar-SA"/>
        </w:rPr>
        <w:t>s</w:t>
      </w:r>
      <w:r>
        <w:rPr>
          <w:lang w:val="en-AU" w:bidi="ar-SA"/>
        </w:rPr>
        <w:t xml:space="preserve">ed extraction and detection of all folates from the food matrix. These results provide updated evidence from that reported in MacLean </w:t>
      </w:r>
      <w:r w:rsidR="00422206">
        <w:rPr>
          <w:lang w:val="en-AU" w:bidi="ar-SA"/>
        </w:rPr>
        <w:t>et al.</w:t>
      </w:r>
      <w:r>
        <w:rPr>
          <w:lang w:val="en-AU" w:bidi="ar-SA"/>
        </w:rPr>
        <w:t xml:space="preserve"> (2010) and indicate that applying extra analysis to measure the contribution of folate from ingredients (e.g. cow</w:t>
      </w:r>
      <w:r w:rsidR="00C73A77">
        <w:rPr>
          <w:lang w:val="en-AU" w:bidi="ar-SA"/>
        </w:rPr>
        <w:t>’</w:t>
      </w:r>
      <w:r>
        <w:rPr>
          <w:lang w:val="en-AU" w:bidi="ar-SA"/>
        </w:rPr>
        <w:t xml:space="preserve">s milk) in infant formula would not be justified.  </w:t>
      </w:r>
    </w:p>
    <w:p w14:paraId="14495206" w14:textId="77777777" w:rsidR="00776154" w:rsidRDefault="00776154" w:rsidP="00776154">
      <w:pPr>
        <w:rPr>
          <w:lang w:val="en-AU" w:bidi="ar-SA"/>
        </w:rPr>
      </w:pPr>
    </w:p>
    <w:p w14:paraId="5BDC7749" w14:textId="07CA3C15" w:rsidR="00776154" w:rsidRDefault="00776154" w:rsidP="00776154">
      <w:pPr>
        <w:rPr>
          <w:lang w:val="en-AU" w:bidi="ar-SA"/>
        </w:rPr>
      </w:pPr>
      <w:r>
        <w:rPr>
          <w:lang w:val="en-AU" w:bidi="ar-SA"/>
        </w:rPr>
        <w:t>The EU requires the use of DFE to express the folate amount in infant formula.</w:t>
      </w:r>
      <w:r>
        <w:rPr>
          <w:rStyle w:val="FootnoteReference"/>
          <w:lang w:val="en-AU" w:bidi="ar-SA"/>
        </w:rPr>
        <w:footnoteReference w:id="12"/>
      </w:r>
      <w:r>
        <w:rPr>
          <w:lang w:val="en-AU" w:bidi="ar-SA"/>
        </w:rPr>
        <w:t xml:space="preserve"> The regulation was based on the 2014 EFSA recommendation on the essential </w:t>
      </w:r>
      <w:r w:rsidRPr="00D33EF2">
        <w:rPr>
          <w:lang w:val="en-AU" w:bidi="ar-SA"/>
        </w:rPr>
        <w:t xml:space="preserve">composition of </w:t>
      </w:r>
      <w:r w:rsidR="00127597">
        <w:rPr>
          <w:lang w:val="en-AU" w:bidi="ar-SA"/>
        </w:rPr>
        <w:t>infant formula</w:t>
      </w:r>
      <w:r w:rsidR="00127597" w:rsidRPr="00D33EF2">
        <w:rPr>
          <w:lang w:val="en-AU" w:bidi="ar-SA"/>
        </w:rPr>
        <w:t xml:space="preserve"> </w:t>
      </w:r>
      <w:r w:rsidRPr="00D33EF2">
        <w:rPr>
          <w:lang w:val="en-AU" w:bidi="ar-SA"/>
        </w:rPr>
        <w:t>(EFSA 2014</w:t>
      </w:r>
      <w:r w:rsidR="00EE37E7">
        <w:rPr>
          <w:lang w:val="en-AU" w:bidi="ar-SA"/>
        </w:rPr>
        <w:t>b</w:t>
      </w:r>
      <w:r w:rsidRPr="00D33EF2">
        <w:rPr>
          <w:lang w:val="en-AU" w:bidi="ar-SA"/>
        </w:rPr>
        <w:t>) which</w:t>
      </w:r>
      <w:r>
        <w:rPr>
          <w:lang w:val="en-AU" w:bidi="ar-SA"/>
        </w:rPr>
        <w:t xml:space="preserve"> in turn references the 2014 EFSA </w:t>
      </w:r>
      <w:r w:rsidR="004743E9">
        <w:t xml:space="preserve">Scientific Opinion on Dietary References Values </w:t>
      </w:r>
      <w:r w:rsidR="004743E9" w:rsidRPr="00D33EF2">
        <w:rPr>
          <w:lang w:val="en-AU" w:bidi="ar-SA"/>
        </w:rPr>
        <w:t>(EFSA 2014</w:t>
      </w:r>
      <w:r w:rsidR="004743E9">
        <w:rPr>
          <w:lang w:val="en-AU" w:bidi="ar-SA"/>
        </w:rPr>
        <w:t>a</w:t>
      </w:r>
      <w:r w:rsidR="004743E9" w:rsidRPr="00D33EF2">
        <w:rPr>
          <w:lang w:val="en-AU" w:bidi="ar-SA"/>
        </w:rPr>
        <w:t>)</w:t>
      </w:r>
      <w:r>
        <w:rPr>
          <w:lang w:val="en-AU" w:bidi="ar-SA"/>
        </w:rPr>
        <w:t>.</w:t>
      </w:r>
      <w:r w:rsidR="00EE37E7">
        <w:rPr>
          <w:lang w:val="en-AU" w:bidi="ar-SA"/>
        </w:rPr>
        <w:t xml:space="preserve"> However, a</w:t>
      </w:r>
      <w:r>
        <w:rPr>
          <w:lang w:val="en-AU" w:bidi="ar-SA"/>
        </w:rPr>
        <w:t xml:space="preserve">s </w:t>
      </w:r>
      <w:r w:rsidR="00EE37E7">
        <w:rPr>
          <w:lang w:val="en-AU" w:bidi="ar-SA"/>
        </w:rPr>
        <w:t xml:space="preserve">noted in </w:t>
      </w:r>
      <w:r w:rsidR="004743E9">
        <w:rPr>
          <w:lang w:val="en-AU" w:bidi="ar-SA"/>
        </w:rPr>
        <w:t>submission</w:t>
      </w:r>
      <w:r w:rsidR="00EE37E7">
        <w:rPr>
          <w:lang w:val="en-AU" w:bidi="ar-SA"/>
        </w:rPr>
        <w:t>s</w:t>
      </w:r>
      <w:r w:rsidR="004743E9">
        <w:rPr>
          <w:lang w:val="en-AU" w:bidi="ar-SA"/>
        </w:rPr>
        <w:t xml:space="preserve"> to FSANZ’s 2016 Consultation paper</w:t>
      </w:r>
      <w:r w:rsidRPr="00D33EF2">
        <w:rPr>
          <w:lang w:val="en-AU" w:bidi="ar-SA"/>
        </w:rPr>
        <w:t xml:space="preserve">, the </w:t>
      </w:r>
      <w:r w:rsidR="00EE37E7">
        <w:rPr>
          <w:lang w:val="en-AU" w:bidi="ar-SA"/>
        </w:rPr>
        <w:t xml:space="preserve">evidence base for the </w:t>
      </w:r>
      <w:r>
        <w:rPr>
          <w:lang w:val="en-AU" w:bidi="ar-SA"/>
        </w:rPr>
        <w:t>definition for DFE and the figures used by the IoM</w:t>
      </w:r>
      <w:r w:rsidR="00EE37E7">
        <w:rPr>
          <w:lang w:val="en-AU" w:bidi="ar-SA"/>
        </w:rPr>
        <w:t xml:space="preserve"> is uncertain</w:t>
      </w:r>
      <w:r>
        <w:rPr>
          <w:lang w:val="en-AU" w:bidi="ar-SA"/>
        </w:rPr>
        <w:t xml:space="preserve">. </w:t>
      </w:r>
    </w:p>
    <w:p w14:paraId="33D913D2" w14:textId="77777777" w:rsidR="00776154" w:rsidRDefault="00776154" w:rsidP="00776154">
      <w:pPr>
        <w:rPr>
          <w:lang w:val="en-AU" w:bidi="ar-SA"/>
        </w:rPr>
      </w:pPr>
    </w:p>
    <w:p w14:paraId="29DA3323" w14:textId="0BBEFC19" w:rsidR="00776154" w:rsidRDefault="00776154" w:rsidP="00776154">
      <w:pPr>
        <w:rPr>
          <w:lang w:val="en-AU" w:bidi="ar-SA"/>
        </w:rPr>
      </w:pPr>
      <w:r>
        <w:rPr>
          <w:lang w:val="en-AU" w:bidi="ar-SA"/>
        </w:rPr>
        <w:t xml:space="preserve">FSANZ notes that the folic acid requirement </w:t>
      </w:r>
      <w:r w:rsidR="00B96544">
        <w:rPr>
          <w:lang w:val="en-AU" w:bidi="ar-SA"/>
        </w:rPr>
        <w:t xml:space="preserve">in the </w:t>
      </w:r>
      <w:r w:rsidR="00B96544">
        <w:t>Codex Draft Standard for FUF</w:t>
      </w:r>
      <w:r w:rsidR="00B96544">
        <w:rPr>
          <w:lang w:bidi="ar-SA"/>
        </w:rPr>
        <w:t xml:space="preserve"> </w:t>
      </w:r>
      <w:r>
        <w:rPr>
          <w:lang w:bidi="ar-SA"/>
        </w:rPr>
        <w:t>(</w:t>
      </w:r>
      <w:r w:rsidR="00717DD3">
        <w:rPr>
          <w:lang w:bidi="ar-SA"/>
        </w:rPr>
        <w:t xml:space="preserve">Codex </w:t>
      </w:r>
      <w:r w:rsidR="00717DD3">
        <w:t>REP20/NFSDU Appendix VI</w:t>
      </w:r>
      <w:r w:rsidR="00193E8F">
        <w:t>, 2019</w:t>
      </w:r>
      <w:r>
        <w:rPr>
          <w:lang w:bidi="ar-SA"/>
        </w:rPr>
        <w:t xml:space="preserve">) is </w:t>
      </w:r>
      <w:r w:rsidRPr="00A45884">
        <w:rPr>
          <w:rFonts w:cs="Arial"/>
          <w:lang w:bidi="ar-SA"/>
        </w:rPr>
        <w:t>µ</w:t>
      </w:r>
      <w:r w:rsidRPr="005804D8">
        <w:rPr>
          <w:rFonts w:cs="Arial"/>
          <w:lang w:bidi="ar-SA"/>
        </w:rPr>
        <w:t>g</w:t>
      </w:r>
      <w:r>
        <w:rPr>
          <w:lang w:bidi="ar-SA"/>
        </w:rPr>
        <w:t>/100</w:t>
      </w:r>
      <w:r w:rsidR="00127597">
        <w:rPr>
          <w:lang w:bidi="ar-SA"/>
        </w:rPr>
        <w:t> </w:t>
      </w:r>
      <w:r>
        <w:rPr>
          <w:lang w:bidi="ar-SA"/>
        </w:rPr>
        <w:t xml:space="preserve">kJ folic acid which </w:t>
      </w:r>
      <w:r w:rsidRPr="00610904">
        <w:rPr>
          <w:lang w:bidi="ar-SA"/>
        </w:rPr>
        <w:t xml:space="preserve">aligns with the </w:t>
      </w:r>
      <w:r>
        <w:rPr>
          <w:lang w:bidi="ar-SA"/>
        </w:rPr>
        <w:t xml:space="preserve">Codex infant formula standard Codex STAN 72-1981. </w:t>
      </w:r>
      <w:r>
        <w:rPr>
          <w:lang w:val="en-AU" w:bidi="ar-SA"/>
        </w:rPr>
        <w:t xml:space="preserve">In addition, excluding the contribution of folate from ingredients such as cow’s milk (see above) eliminates the need for using DFE as units for expressing folic acid amounts.  </w:t>
      </w:r>
    </w:p>
    <w:p w14:paraId="32E88302" w14:textId="17914B3D" w:rsidR="00776154" w:rsidRDefault="00776154" w:rsidP="00776154">
      <w:pPr>
        <w:pStyle w:val="Heading4"/>
      </w:pPr>
      <w:r>
        <w:t xml:space="preserve">Proposed </w:t>
      </w:r>
      <w:r w:rsidR="00127597">
        <w:t>option</w:t>
      </w:r>
    </w:p>
    <w:p w14:paraId="1CF6AD89" w14:textId="512E690B" w:rsidR="00776154" w:rsidRDefault="00776154" w:rsidP="00776154">
      <w:r>
        <w:t>Based on the above considerations</w:t>
      </w:r>
      <w:r w:rsidR="001E68AB">
        <w:t>,</w:t>
      </w:r>
      <w:r>
        <w:t xml:space="preserve"> FSANZ proposes to express the requirements for folic acid/folate as </w:t>
      </w:r>
      <w:r w:rsidRPr="00A45884">
        <w:rPr>
          <w:rFonts w:cs="Arial"/>
        </w:rPr>
        <w:t>µ</w:t>
      </w:r>
      <w:r w:rsidRPr="005804D8">
        <w:rPr>
          <w:rFonts w:cs="Arial"/>
        </w:rPr>
        <w:t>g</w:t>
      </w:r>
      <w:r>
        <w:t xml:space="preserve"> folic acid/100 kJ. The contribution of folate from ingredients (naturally occurring folate) will not be included in the permitted range for this vitamin</w:t>
      </w:r>
      <w:r w:rsidR="00127597">
        <w:t>. As such</w:t>
      </w:r>
      <w:r>
        <w:t xml:space="preserve"> there is no need </w:t>
      </w:r>
      <w:r w:rsidR="00127597">
        <w:t xml:space="preserve">to </w:t>
      </w:r>
      <w:r>
        <w:t>us</w:t>
      </w:r>
      <w:r w:rsidR="00127597">
        <w:t>e</w:t>
      </w:r>
      <w:r>
        <w:t xml:space="preserve"> DFE as units of expression in folic acid amounts.</w:t>
      </w:r>
      <w:bookmarkStart w:id="343" w:name="_Toc442097337"/>
      <w:bookmarkStart w:id="344" w:name="_Toc442101310"/>
      <w:bookmarkStart w:id="345" w:name="_Toc442797258"/>
      <w:bookmarkStart w:id="346" w:name="_Toc443466012"/>
    </w:p>
    <w:p w14:paraId="3E6C1106" w14:textId="4A15894B" w:rsidR="00776154" w:rsidRPr="00A071D9" w:rsidRDefault="00193E8F" w:rsidP="00C73A77">
      <w:pPr>
        <w:pStyle w:val="Heading3"/>
      </w:pPr>
      <w:bookmarkStart w:id="347" w:name="_Toc70415479"/>
      <w:bookmarkStart w:id="348" w:name="_Toc73455642"/>
      <w:bookmarkStart w:id="349" w:name="_Toc73624915"/>
      <w:r>
        <w:t>7</w:t>
      </w:r>
      <w:r w:rsidR="00776154" w:rsidRPr="00BE4D83">
        <w:t>.2.3</w:t>
      </w:r>
      <w:r w:rsidR="00776154" w:rsidRPr="00BE4D83">
        <w:tab/>
        <w:t>Vitamin E</w:t>
      </w:r>
      <w:bookmarkEnd w:id="343"/>
      <w:bookmarkEnd w:id="344"/>
      <w:bookmarkEnd w:id="345"/>
      <w:bookmarkEnd w:id="346"/>
      <w:r w:rsidR="00776154" w:rsidRPr="00BE4D83">
        <w:t xml:space="preserve"> and tocopherol equivalents</w:t>
      </w:r>
      <w:bookmarkEnd w:id="347"/>
      <w:bookmarkEnd w:id="348"/>
      <w:bookmarkEnd w:id="349"/>
    </w:p>
    <w:p w14:paraId="52D5EC1E" w14:textId="18A6269B" w:rsidR="00776154" w:rsidRPr="005D7F5A" w:rsidRDefault="00776154" w:rsidP="00776154">
      <w:pPr>
        <w:keepNext/>
        <w:keepLines/>
        <w:rPr>
          <w:rFonts w:cs="Arial"/>
          <w:szCs w:val="22"/>
        </w:rPr>
      </w:pPr>
      <w:r w:rsidRPr="00CA668E">
        <w:rPr>
          <w:rFonts w:cs="Arial"/>
          <w:szCs w:val="22"/>
        </w:rPr>
        <w:t>Vitamin E</w:t>
      </w:r>
      <w:r>
        <w:rPr>
          <w:rFonts w:cs="Arial"/>
          <w:szCs w:val="22"/>
        </w:rPr>
        <w:t xml:space="preserve"> refers to</w:t>
      </w:r>
      <w:r w:rsidRPr="00CA668E">
        <w:rPr>
          <w:rFonts w:cs="Arial"/>
          <w:szCs w:val="22"/>
        </w:rPr>
        <w:t xml:space="preserve"> a group of </w:t>
      </w:r>
      <w:r>
        <w:rPr>
          <w:rFonts w:cs="Arial"/>
          <w:szCs w:val="22"/>
        </w:rPr>
        <w:t xml:space="preserve">compounds that include </w:t>
      </w:r>
      <w:r w:rsidRPr="00CA668E">
        <w:rPr>
          <w:rFonts w:cs="Arial"/>
          <w:szCs w:val="22"/>
        </w:rPr>
        <w:t>naturally</w:t>
      </w:r>
      <w:r>
        <w:rPr>
          <w:rFonts w:cs="Arial"/>
          <w:szCs w:val="22"/>
        </w:rPr>
        <w:t xml:space="preserve"> </w:t>
      </w:r>
      <w:r w:rsidRPr="00CA668E">
        <w:rPr>
          <w:rFonts w:cs="Arial"/>
          <w:szCs w:val="22"/>
        </w:rPr>
        <w:t xml:space="preserve">occurring </w:t>
      </w:r>
      <w:r>
        <w:rPr>
          <w:rFonts w:cs="Arial"/>
          <w:szCs w:val="22"/>
        </w:rPr>
        <w:t xml:space="preserve">tocopherols and tocotrienols </w:t>
      </w:r>
      <w:r w:rsidRPr="00CA668E">
        <w:rPr>
          <w:rFonts w:cs="Arial"/>
          <w:szCs w:val="22"/>
        </w:rPr>
        <w:t xml:space="preserve">and </w:t>
      </w:r>
      <w:r>
        <w:rPr>
          <w:rFonts w:cs="Arial"/>
          <w:szCs w:val="22"/>
        </w:rPr>
        <w:t xml:space="preserve">several </w:t>
      </w:r>
      <w:r w:rsidRPr="00CA668E">
        <w:rPr>
          <w:rFonts w:cs="Arial"/>
          <w:szCs w:val="22"/>
        </w:rPr>
        <w:t>synthetic homologues</w:t>
      </w:r>
      <w:r>
        <w:rPr>
          <w:rFonts w:cs="Arial"/>
          <w:szCs w:val="22"/>
        </w:rPr>
        <w:t>.</w:t>
      </w:r>
      <w:r w:rsidRPr="00716C88">
        <w:t xml:space="preserve"> </w:t>
      </w:r>
      <w:r w:rsidRPr="00CA668E">
        <w:rPr>
          <w:rFonts w:cs="Arial"/>
          <w:szCs w:val="22"/>
        </w:rPr>
        <w:t xml:space="preserve">Vitamin E activity is </w:t>
      </w:r>
      <w:r>
        <w:rPr>
          <w:rFonts w:cs="Arial"/>
          <w:szCs w:val="22"/>
        </w:rPr>
        <w:t xml:space="preserve">either identified as </w:t>
      </w:r>
      <w:r w:rsidR="00BC5468" w:rsidRPr="005F5D83">
        <w:rPr>
          <w:rFonts w:cs="Arial"/>
        </w:rPr>
        <w:t>α</w:t>
      </w:r>
      <w:r>
        <w:rPr>
          <w:rFonts w:cs="Arial"/>
        </w:rPr>
        <w:t>-</w:t>
      </w:r>
      <w:r w:rsidRPr="00BE2ED8">
        <w:rPr>
          <w:rFonts w:cs="Arial"/>
        </w:rPr>
        <w:t xml:space="preserve">tocopherol only or </w:t>
      </w:r>
      <w:r w:rsidR="00BC5468" w:rsidRPr="005F5D83">
        <w:rPr>
          <w:rFonts w:cs="Arial"/>
        </w:rPr>
        <w:t>α</w:t>
      </w:r>
      <w:r w:rsidRPr="00BE2ED8">
        <w:rPr>
          <w:rFonts w:cs="Arial"/>
        </w:rPr>
        <w:t>-Tocopherol Equivalents (α-TE)</w:t>
      </w:r>
      <w:r>
        <w:rPr>
          <w:rFonts w:cs="Arial"/>
        </w:rPr>
        <w:t xml:space="preserve">. </w:t>
      </w:r>
      <w:r w:rsidRPr="005D7F5A">
        <w:rPr>
          <w:rFonts w:cs="Arial"/>
        </w:rPr>
        <w:t>Vitamin E prevents oxidation of PUFA, including LC-PUFA, thus the amount required is influenced by the unsaturated fatty acid content of infant formula.</w:t>
      </w:r>
    </w:p>
    <w:p w14:paraId="73D02C0A" w14:textId="77777777" w:rsidR="00776154" w:rsidRDefault="00776154" w:rsidP="00776154">
      <w:pPr>
        <w:pStyle w:val="Heading4"/>
      </w:pPr>
      <w:r>
        <w:t>Current regulations</w:t>
      </w:r>
    </w:p>
    <w:p w14:paraId="1436601D" w14:textId="48308D8F" w:rsidR="00776154" w:rsidRDefault="00ED6A3B" w:rsidP="00776154">
      <w:pPr>
        <w:rPr>
          <w:rFonts w:cs="Arial"/>
        </w:rPr>
      </w:pPr>
      <w:r>
        <w:rPr>
          <w:lang w:eastAsia="en-AU" w:bidi="ar-SA"/>
        </w:rPr>
        <w:t>Section S29—9</w:t>
      </w:r>
      <w:r w:rsidR="00776154">
        <w:rPr>
          <w:i/>
          <w:lang w:eastAsia="en-AU" w:bidi="ar-SA"/>
        </w:rPr>
        <w:t xml:space="preserve"> </w:t>
      </w:r>
      <w:r w:rsidR="00776154" w:rsidRPr="005E6AB3">
        <w:rPr>
          <w:lang w:eastAsia="en-AU" w:bidi="ar-SA"/>
        </w:rPr>
        <w:t xml:space="preserve">lists the vitamin E </w:t>
      </w:r>
      <w:r w:rsidR="00262B22">
        <w:rPr>
          <w:lang w:eastAsia="en-AU" w:bidi="ar-SA"/>
        </w:rPr>
        <w:t xml:space="preserve">range in </w:t>
      </w:r>
      <w:r w:rsidR="00776154">
        <w:rPr>
          <w:lang w:eastAsia="en-AU" w:bidi="ar-SA"/>
        </w:rPr>
        <w:t>units</w:t>
      </w:r>
      <w:r w:rsidR="00262B22">
        <w:rPr>
          <w:lang w:eastAsia="en-AU" w:bidi="ar-SA"/>
        </w:rPr>
        <w:t xml:space="preserve"> of</w:t>
      </w:r>
      <w:r w:rsidR="00776154" w:rsidRPr="005E6AB3">
        <w:rPr>
          <w:lang w:eastAsia="en-AU" w:bidi="ar-SA"/>
        </w:rPr>
        <w:t xml:space="preserve"> </w:t>
      </w:r>
      <w:r w:rsidR="00776154">
        <w:rPr>
          <w:lang w:eastAsia="en-AU" w:bidi="ar-SA"/>
        </w:rPr>
        <w:t xml:space="preserve">mg </w:t>
      </w:r>
      <w:r w:rsidR="00262B22">
        <w:rPr>
          <w:lang w:eastAsia="en-AU" w:bidi="ar-SA"/>
        </w:rPr>
        <w:t>/</w:t>
      </w:r>
      <w:r w:rsidR="00776154">
        <w:rPr>
          <w:lang w:eastAsia="en-AU" w:bidi="ar-SA"/>
        </w:rPr>
        <w:t>100 kJ</w:t>
      </w:r>
      <w:r w:rsidR="00262B22">
        <w:rPr>
          <w:lang w:eastAsia="en-AU" w:bidi="ar-SA"/>
        </w:rPr>
        <w:t xml:space="preserve"> with </w:t>
      </w:r>
      <w:r w:rsidR="00776154">
        <w:t xml:space="preserve">permitted forms of vitamin E are synthetic or natural forms of </w:t>
      </w:r>
      <w:r w:rsidR="00776154">
        <w:rPr>
          <w:rFonts w:cs="Arial"/>
        </w:rPr>
        <w:t>α</w:t>
      </w:r>
      <w:r w:rsidR="00776154">
        <w:t>-tocopherol</w:t>
      </w:r>
      <w:r w:rsidR="00262B22">
        <w:t xml:space="preserve"> (s</w:t>
      </w:r>
      <w:r w:rsidR="00262B22">
        <w:rPr>
          <w:lang w:eastAsia="en-AU" w:bidi="ar-SA"/>
        </w:rPr>
        <w:t>ection S29—7)</w:t>
      </w:r>
      <w:r w:rsidR="00776154" w:rsidRPr="005E6AB3">
        <w:rPr>
          <w:lang w:eastAsia="en-AU" w:bidi="ar-SA"/>
        </w:rPr>
        <w:t>.</w:t>
      </w:r>
      <w:r w:rsidR="00776154">
        <w:rPr>
          <w:i/>
          <w:lang w:eastAsia="en-AU" w:bidi="ar-SA"/>
        </w:rPr>
        <w:t xml:space="preserve"> </w:t>
      </w:r>
      <w:r w:rsidR="00776154">
        <w:rPr>
          <w:lang w:eastAsia="en-AU" w:bidi="ar-SA"/>
        </w:rPr>
        <w:t xml:space="preserve">Codex STAN 72-1981 lists units of vitamin E as </w:t>
      </w:r>
      <w:r w:rsidR="00776154">
        <w:rPr>
          <w:rFonts w:cs="Arial"/>
          <w:lang w:eastAsia="en-AU" w:bidi="ar-SA"/>
        </w:rPr>
        <w:t>α</w:t>
      </w:r>
      <w:r w:rsidR="00776154" w:rsidRPr="004C17C4">
        <w:rPr>
          <w:rFonts w:cs="Arial"/>
          <w:szCs w:val="22"/>
        </w:rPr>
        <w:t>-TE</w:t>
      </w:r>
      <w:r w:rsidR="00776154">
        <w:rPr>
          <w:rFonts w:cs="Arial"/>
          <w:szCs w:val="22"/>
        </w:rPr>
        <w:t xml:space="preserve"> although</w:t>
      </w:r>
      <w:r w:rsidR="00776154">
        <w:rPr>
          <w:lang w:eastAsia="en-AU" w:bidi="ar-SA"/>
        </w:rPr>
        <w:t xml:space="preserve"> a note specifies that 1 mg </w:t>
      </w:r>
      <w:r w:rsidR="00776154" w:rsidRPr="00BE2ED8">
        <w:rPr>
          <w:rFonts w:cs="Arial"/>
        </w:rPr>
        <w:t>α-TE</w:t>
      </w:r>
      <w:r w:rsidR="00776154">
        <w:rPr>
          <w:rFonts w:cs="Arial"/>
        </w:rPr>
        <w:t xml:space="preserve"> = 1 mg d-</w:t>
      </w:r>
      <w:r w:rsidR="00776154" w:rsidRPr="00BE2ED8">
        <w:rPr>
          <w:rFonts w:cs="Arial"/>
        </w:rPr>
        <w:t>α-tocopherol</w:t>
      </w:r>
      <w:r w:rsidR="00776154">
        <w:rPr>
          <w:rFonts w:cs="Arial"/>
        </w:rPr>
        <w:t xml:space="preserve">. </w:t>
      </w:r>
    </w:p>
    <w:p w14:paraId="05120258" w14:textId="77777777" w:rsidR="00776154" w:rsidRDefault="00776154" w:rsidP="00776154">
      <w:pPr>
        <w:rPr>
          <w:rFonts w:cs="Arial"/>
        </w:rPr>
      </w:pPr>
    </w:p>
    <w:p w14:paraId="1EF09A3A" w14:textId="2391ACFA" w:rsidR="00776154" w:rsidRDefault="00776154" w:rsidP="00776154">
      <w:pPr>
        <w:rPr>
          <w:rFonts w:cs="Arial"/>
        </w:rPr>
      </w:pPr>
      <w:r>
        <w:rPr>
          <w:rFonts w:cs="Arial"/>
        </w:rPr>
        <w:t>Standard 2.9.1</w:t>
      </w:r>
      <w:r w:rsidR="00262B22">
        <w:rPr>
          <w:lang w:eastAsia="en-AU" w:bidi="ar-SA"/>
        </w:rPr>
        <w:t>—12(3)</w:t>
      </w:r>
      <w:r w:rsidR="00262B22">
        <w:rPr>
          <w:i/>
          <w:lang w:eastAsia="en-AU" w:bidi="ar-SA"/>
        </w:rPr>
        <w:t xml:space="preserve"> </w:t>
      </w:r>
      <w:r w:rsidRPr="006A24A7">
        <w:rPr>
          <w:rFonts w:cs="Arial"/>
        </w:rPr>
        <w:t xml:space="preserve">and Codex STAN 72-1981 </w:t>
      </w:r>
      <w:r w:rsidR="00262B22">
        <w:rPr>
          <w:rFonts w:cs="Arial"/>
        </w:rPr>
        <w:t xml:space="preserve">both </w:t>
      </w:r>
      <w:r w:rsidRPr="006A24A7">
        <w:rPr>
          <w:rFonts w:cs="Arial"/>
        </w:rPr>
        <w:t>specify a minimum amount of vitamin E per g</w:t>
      </w:r>
      <w:r w:rsidR="00C17152">
        <w:rPr>
          <w:rFonts w:cs="Arial"/>
        </w:rPr>
        <w:t>ram</w:t>
      </w:r>
      <w:r w:rsidRPr="006A24A7">
        <w:rPr>
          <w:rFonts w:cs="Arial"/>
        </w:rPr>
        <w:t xml:space="preserve"> of PUFA</w:t>
      </w:r>
      <w:r w:rsidRPr="006A24A7">
        <w:rPr>
          <w:rFonts w:cs="Arial"/>
          <w:i/>
        </w:rPr>
        <w:t xml:space="preserve">. </w:t>
      </w:r>
      <w:r w:rsidRPr="006A24A7">
        <w:rPr>
          <w:rFonts w:cs="Arial"/>
        </w:rPr>
        <w:t>Standard 2.9.1</w:t>
      </w:r>
      <w:r w:rsidR="00262B22">
        <w:rPr>
          <w:lang w:eastAsia="en-AU" w:bidi="ar-SA"/>
        </w:rPr>
        <w:t xml:space="preserve">—12(3) </w:t>
      </w:r>
      <w:r w:rsidRPr="006A24A7">
        <w:rPr>
          <w:rFonts w:cs="Arial"/>
        </w:rPr>
        <w:t>sets a minimum amount of 0.5 mg vitamin E per g</w:t>
      </w:r>
      <w:r w:rsidR="00C17152">
        <w:rPr>
          <w:rFonts w:cs="Arial"/>
        </w:rPr>
        <w:t>ram</w:t>
      </w:r>
      <w:r w:rsidRPr="006A24A7">
        <w:rPr>
          <w:rFonts w:cs="Arial"/>
        </w:rPr>
        <w:t xml:space="preserve"> of any PUFA whereas</w:t>
      </w:r>
      <w:r w:rsidRPr="006A24A7">
        <w:rPr>
          <w:rFonts w:cs="Arial"/>
          <w:i/>
        </w:rPr>
        <w:t xml:space="preserve"> </w:t>
      </w:r>
      <w:r w:rsidRPr="006A24A7">
        <w:rPr>
          <w:rFonts w:cs="Arial"/>
        </w:rPr>
        <w:t>Codex STAN 72-1981 also lists ‘factors of equivalence’ from 0.5 mg/g for LA and increasing in increments of 0.25 mg/g to 1.5 mg/g for DHA according to the number of fatty acid double bonds in individual PUFAs in an infant formula. These factors are applied to determine the minimum amount of vitamin E for a particular PUFA mixture in infant formula.</w:t>
      </w:r>
    </w:p>
    <w:p w14:paraId="0F5955A6" w14:textId="77777777" w:rsidR="00776154" w:rsidRDefault="00776154" w:rsidP="00776154">
      <w:pPr>
        <w:pStyle w:val="Heading4"/>
      </w:pPr>
      <w:r>
        <w:t>Previous consideration</w:t>
      </w:r>
    </w:p>
    <w:p w14:paraId="71378C15" w14:textId="070684C5" w:rsidR="00776154" w:rsidRDefault="00776154" w:rsidP="00776154">
      <w:r>
        <w:t xml:space="preserve">In 2016 FSANZ considered that mg </w:t>
      </w:r>
      <w:r w:rsidRPr="00BE2ED8">
        <w:rPr>
          <w:rFonts w:cs="Arial"/>
        </w:rPr>
        <w:t>α-TE</w:t>
      </w:r>
      <w:r>
        <w:t xml:space="preserve"> should be adopted as the units for vitamin E to indicate the relative activities of natu</w:t>
      </w:r>
      <w:r w:rsidR="00BC5468">
        <w:t xml:space="preserve">ral and synthetic forms of </w:t>
      </w:r>
      <w:r w:rsidR="00BC5468" w:rsidRPr="005F5D83">
        <w:rPr>
          <w:rFonts w:cs="Arial"/>
        </w:rPr>
        <w:t>α</w:t>
      </w:r>
      <w:r>
        <w:t xml:space="preserve">-tocopherol. </w:t>
      </w:r>
    </w:p>
    <w:p w14:paraId="7B05E61B" w14:textId="77777777" w:rsidR="00776154" w:rsidRPr="005D7F5A" w:rsidRDefault="00776154" w:rsidP="00776154"/>
    <w:p w14:paraId="2C5989FA" w14:textId="23E691FE" w:rsidR="00776154" w:rsidRPr="005D7F5A" w:rsidRDefault="00776154" w:rsidP="00776154">
      <w:pPr>
        <w:rPr>
          <w:lang w:eastAsia="en-AU" w:bidi="ar-SA"/>
        </w:rPr>
      </w:pPr>
      <w:r w:rsidRPr="005D7F5A">
        <w:t>FSANZ</w:t>
      </w:r>
      <w:r w:rsidR="00943023">
        <w:t>’s</w:t>
      </w:r>
      <w:r w:rsidRPr="005D7F5A">
        <w:t xml:space="preserve"> </w:t>
      </w:r>
      <w:r>
        <w:rPr>
          <w:rFonts w:eastAsia="Arial Unicode MS"/>
          <w:szCs w:val="22"/>
          <w:lang w:val="en-AU" w:bidi="ar-SA"/>
        </w:rPr>
        <w:t xml:space="preserve">preliminary view was also to retain the current approach to vitamin E </w:t>
      </w:r>
      <w:r w:rsidRPr="00F438D4">
        <w:rPr>
          <w:rFonts w:eastAsia="Arial Unicode MS"/>
          <w:szCs w:val="22"/>
          <w:lang w:val="en-AU" w:bidi="ar-SA"/>
        </w:rPr>
        <w:t>requirements</w:t>
      </w:r>
      <w:r>
        <w:rPr>
          <w:rFonts w:eastAsia="Arial Unicode MS"/>
          <w:szCs w:val="22"/>
          <w:lang w:val="en-AU" w:bidi="ar-SA"/>
        </w:rPr>
        <w:t xml:space="preserve"> relating to the PUFA content of infant formula</w:t>
      </w:r>
      <w:r>
        <w:rPr>
          <w:lang w:eastAsia="en-AU" w:bidi="ar-SA"/>
        </w:rPr>
        <w:t xml:space="preserve">. It was not considered necessary to </w:t>
      </w:r>
      <w:r w:rsidRPr="00F438D4">
        <w:rPr>
          <w:lang w:eastAsia="en-AU" w:bidi="ar-SA"/>
        </w:rPr>
        <w:t>adopt</w:t>
      </w:r>
      <w:r>
        <w:rPr>
          <w:lang w:eastAsia="en-AU" w:bidi="ar-SA"/>
        </w:rPr>
        <w:t xml:space="preserve"> </w:t>
      </w:r>
      <w:r w:rsidRPr="00F438D4">
        <w:rPr>
          <w:lang w:eastAsia="en-AU" w:bidi="ar-SA"/>
        </w:rPr>
        <w:t xml:space="preserve">the </w:t>
      </w:r>
      <w:r>
        <w:rPr>
          <w:lang w:eastAsia="en-AU" w:bidi="ar-SA"/>
        </w:rPr>
        <w:t>‘factors of equivalence’</w:t>
      </w:r>
      <w:r w:rsidRPr="0066001B">
        <w:rPr>
          <w:lang w:eastAsia="en-AU" w:bidi="ar-SA"/>
        </w:rPr>
        <w:t xml:space="preserve"> </w:t>
      </w:r>
      <w:r w:rsidRPr="00F438D4">
        <w:rPr>
          <w:lang w:eastAsia="en-AU" w:bidi="ar-SA"/>
        </w:rPr>
        <w:t xml:space="preserve">for α-TE to </w:t>
      </w:r>
      <w:r>
        <w:rPr>
          <w:lang w:eastAsia="en-AU" w:bidi="ar-SA"/>
        </w:rPr>
        <w:t xml:space="preserve">individual </w:t>
      </w:r>
      <w:r w:rsidRPr="00F438D4">
        <w:rPr>
          <w:lang w:eastAsia="en-AU" w:bidi="ar-SA"/>
        </w:rPr>
        <w:t xml:space="preserve">PUFA </w:t>
      </w:r>
      <w:r>
        <w:rPr>
          <w:lang w:eastAsia="en-AU" w:bidi="ar-SA"/>
        </w:rPr>
        <w:t>outlined in Codex STAN 72-1981.</w:t>
      </w:r>
      <w:r w:rsidRPr="00F438D4">
        <w:rPr>
          <w:lang w:eastAsia="en-AU" w:bidi="ar-SA"/>
        </w:rPr>
        <w:t xml:space="preserve"> </w:t>
      </w:r>
    </w:p>
    <w:p w14:paraId="020F1284" w14:textId="77777777" w:rsidR="00776154" w:rsidRDefault="00776154" w:rsidP="00776154">
      <w:pPr>
        <w:pStyle w:val="Heading4"/>
        <w:ind w:left="0" w:firstLine="0"/>
      </w:pPr>
      <w:r w:rsidRPr="00BA1FD9">
        <w:t>S</w:t>
      </w:r>
      <w:r>
        <w:t>takeholder views</w:t>
      </w:r>
    </w:p>
    <w:p w14:paraId="17460B80" w14:textId="74095DA3" w:rsidR="00776154" w:rsidRDefault="00776154" w:rsidP="00776154">
      <w:pPr>
        <w:rPr>
          <w:lang w:eastAsia="en-AU" w:bidi="ar-SA"/>
        </w:rPr>
      </w:pPr>
      <w:r w:rsidRPr="00152C5D">
        <w:rPr>
          <w:lang w:eastAsia="en-AU" w:bidi="ar-SA"/>
        </w:rPr>
        <w:t>Three submitters (</w:t>
      </w:r>
      <w:r w:rsidR="00943023">
        <w:rPr>
          <w:lang w:eastAsia="en-AU" w:bidi="ar-SA"/>
        </w:rPr>
        <w:t>two</w:t>
      </w:r>
      <w:r w:rsidRPr="00152C5D">
        <w:rPr>
          <w:lang w:eastAsia="en-AU" w:bidi="ar-SA"/>
        </w:rPr>
        <w:t xml:space="preserve"> industry, </w:t>
      </w:r>
      <w:r w:rsidR="00943023">
        <w:rPr>
          <w:lang w:eastAsia="en-AU" w:bidi="ar-SA"/>
        </w:rPr>
        <w:t>one</w:t>
      </w:r>
      <w:r w:rsidRPr="00152C5D">
        <w:rPr>
          <w:lang w:eastAsia="en-AU" w:bidi="ar-SA"/>
        </w:rPr>
        <w:t xml:space="preserve"> government) commented </w:t>
      </w:r>
      <w:r w:rsidR="00943023">
        <w:rPr>
          <w:lang w:eastAsia="en-AU" w:bidi="ar-SA"/>
        </w:rPr>
        <w:t xml:space="preserve">on </w:t>
      </w:r>
      <w:r w:rsidRPr="00152C5D">
        <w:rPr>
          <w:lang w:eastAsia="en-AU" w:bidi="ar-SA"/>
        </w:rPr>
        <w:t xml:space="preserve">the issues related to vitamin E equivalents and units of expression. All supported FSANZ’s 2016 view to express vitamin E in units of mg α-TE/100 kJ and that the current requirements relating to the PUFA content </w:t>
      </w:r>
      <w:r w:rsidR="00943023">
        <w:rPr>
          <w:lang w:eastAsia="en-AU" w:bidi="ar-SA"/>
        </w:rPr>
        <w:t>are</w:t>
      </w:r>
      <w:r w:rsidR="00943023" w:rsidRPr="00152C5D">
        <w:rPr>
          <w:lang w:eastAsia="en-AU" w:bidi="ar-SA"/>
        </w:rPr>
        <w:t xml:space="preserve"> </w:t>
      </w:r>
      <w:r w:rsidRPr="00152C5D">
        <w:rPr>
          <w:lang w:eastAsia="en-AU" w:bidi="ar-SA"/>
        </w:rPr>
        <w:t>retained.</w:t>
      </w:r>
    </w:p>
    <w:p w14:paraId="7533F428" w14:textId="284E8D4E" w:rsidR="00776154" w:rsidRDefault="00943023" w:rsidP="00776154">
      <w:pPr>
        <w:pStyle w:val="Heading4"/>
      </w:pPr>
      <w:r>
        <w:lastRenderedPageBreak/>
        <w:t>Nutrition r</w:t>
      </w:r>
      <w:r w:rsidR="00776154">
        <w:t xml:space="preserve">isk assessment </w:t>
      </w:r>
    </w:p>
    <w:p w14:paraId="652A9E63" w14:textId="0C51B22F" w:rsidR="00776154" w:rsidRPr="00741136" w:rsidRDefault="00776154" w:rsidP="00776154">
      <w:pPr>
        <w:autoSpaceDE w:val="0"/>
        <w:autoSpaceDN w:val="0"/>
        <w:adjustRightInd w:val="0"/>
        <w:rPr>
          <w:rFonts w:eastAsia="Arial Unicode MS"/>
        </w:rPr>
      </w:pPr>
      <w:r w:rsidRPr="00741136">
        <w:rPr>
          <w:rFonts w:eastAsia="Arial Unicode MS"/>
        </w:rPr>
        <w:t xml:space="preserve">No further </w:t>
      </w:r>
      <w:r w:rsidR="00943023">
        <w:rPr>
          <w:rFonts w:eastAsia="Arial Unicode MS"/>
        </w:rPr>
        <w:t xml:space="preserve">nutrition </w:t>
      </w:r>
      <w:r>
        <w:rPr>
          <w:rFonts w:eastAsia="Arial Unicode MS"/>
        </w:rPr>
        <w:t>risk assessment was considered on this issue.</w:t>
      </w:r>
    </w:p>
    <w:p w14:paraId="2F0B1F8C" w14:textId="77777777" w:rsidR="00776154" w:rsidRDefault="00776154" w:rsidP="00776154">
      <w:pPr>
        <w:pStyle w:val="Heading4"/>
      </w:pPr>
      <w:r>
        <w:t>Options and discussion</w:t>
      </w:r>
    </w:p>
    <w:p w14:paraId="58C600B2" w14:textId="77777777" w:rsidR="00776154" w:rsidRDefault="00776154" w:rsidP="00776154">
      <w:pPr>
        <w:rPr>
          <w:lang w:eastAsia="en-AU" w:bidi="ar-SA"/>
        </w:rPr>
      </w:pPr>
      <w:r>
        <w:rPr>
          <w:lang w:eastAsia="en-AU" w:bidi="ar-SA"/>
        </w:rPr>
        <w:t>FSANZ notes that adopting</w:t>
      </w:r>
      <w:r w:rsidRPr="000A2E8D">
        <w:t xml:space="preserve"> </w:t>
      </w:r>
      <w:r>
        <w:t xml:space="preserve">mg </w:t>
      </w:r>
      <w:r w:rsidRPr="00BE2ED8">
        <w:rPr>
          <w:rFonts w:cs="Arial"/>
        </w:rPr>
        <w:t>α-TE</w:t>
      </w:r>
      <w:r>
        <w:rPr>
          <w:lang w:eastAsia="en-AU" w:bidi="ar-SA"/>
        </w:rPr>
        <w:t xml:space="preserve"> </w:t>
      </w:r>
      <w:r>
        <w:t>as the units for vitamin E received</w:t>
      </w:r>
      <w:r>
        <w:rPr>
          <w:lang w:eastAsia="en-AU" w:bidi="ar-SA"/>
        </w:rPr>
        <w:t xml:space="preserve"> no submitter comments in the 2012 consultation and all comments received in the 2016 consultation were in support of this change. </w:t>
      </w:r>
    </w:p>
    <w:p w14:paraId="3F158767" w14:textId="77777777" w:rsidR="00776154" w:rsidRDefault="00776154" w:rsidP="00776154">
      <w:pPr>
        <w:rPr>
          <w:lang w:eastAsia="en-AU" w:bidi="ar-SA"/>
        </w:rPr>
      </w:pPr>
    </w:p>
    <w:p w14:paraId="37F852FC" w14:textId="282C23A5" w:rsidR="00776154" w:rsidRPr="000A2E8D" w:rsidRDefault="00776154" w:rsidP="00776154">
      <w:r w:rsidRPr="00482CFA">
        <w:rPr>
          <w:lang w:eastAsia="en-AU" w:bidi="ar-SA"/>
        </w:rPr>
        <w:t xml:space="preserve">The 2016 nutrition </w:t>
      </w:r>
      <w:r w:rsidR="00943023">
        <w:rPr>
          <w:lang w:eastAsia="en-AU" w:bidi="ar-SA"/>
        </w:rPr>
        <w:t xml:space="preserve">risk </w:t>
      </w:r>
      <w:r w:rsidRPr="00482CFA">
        <w:rPr>
          <w:lang w:eastAsia="en-AU" w:bidi="ar-SA"/>
        </w:rPr>
        <w:t xml:space="preserve">assessment concluded that application of the Codex STAN 72-1981 conversions for PUFA content (i.e. </w:t>
      </w:r>
      <w:r w:rsidR="00943023">
        <w:rPr>
          <w:lang w:eastAsia="en-AU" w:bidi="ar-SA"/>
        </w:rPr>
        <w:t>‘</w:t>
      </w:r>
      <w:r w:rsidRPr="00482CFA">
        <w:rPr>
          <w:lang w:eastAsia="en-AU" w:bidi="ar-SA"/>
        </w:rPr>
        <w:t>factors of equivalence’) makes only a marginal difference to the minimum vitamin E amount compared to the approach currently used in Standard 2.9.1. There was limited evidence to indicate that the use of different factors depending on the number of PUFA double bonds is warranted.</w:t>
      </w:r>
    </w:p>
    <w:p w14:paraId="4C945BD9" w14:textId="77777777" w:rsidR="00776154" w:rsidRDefault="00776154" w:rsidP="00776154">
      <w:pPr>
        <w:pStyle w:val="Heading4"/>
      </w:pPr>
      <w:r>
        <w:t>Proposed approach</w:t>
      </w:r>
    </w:p>
    <w:p w14:paraId="422F1D71" w14:textId="74FB7331" w:rsidR="00776154" w:rsidRDefault="00776154" w:rsidP="00776154">
      <w:r>
        <w:rPr>
          <w:lang w:val="en-AU" w:bidi="ar-SA"/>
        </w:rPr>
        <w:t xml:space="preserve">Based on the conclusions of the 2016 nutrition </w:t>
      </w:r>
      <w:r w:rsidR="00943023">
        <w:rPr>
          <w:lang w:val="en-AU" w:bidi="ar-SA"/>
        </w:rPr>
        <w:t xml:space="preserve">risk </w:t>
      </w:r>
      <w:r>
        <w:rPr>
          <w:lang w:val="en-AU" w:bidi="ar-SA"/>
        </w:rPr>
        <w:t>assessment and support from stakeholders</w:t>
      </w:r>
      <w:r w:rsidR="00C17152">
        <w:rPr>
          <w:lang w:val="en-AU" w:bidi="ar-SA"/>
        </w:rPr>
        <w:t>,</w:t>
      </w:r>
      <w:r>
        <w:rPr>
          <w:lang w:val="en-AU" w:bidi="ar-SA"/>
        </w:rPr>
        <w:t xml:space="preserve"> FSANZ proposes that </w:t>
      </w:r>
      <w:r w:rsidRPr="00BE2ED8">
        <w:rPr>
          <w:rFonts w:cs="Arial"/>
        </w:rPr>
        <w:t>α-TE</w:t>
      </w:r>
      <w:r>
        <w:t xml:space="preserve"> should be adopted as the units for vitamin E to indicate the relative activities of natu</w:t>
      </w:r>
      <w:r w:rsidR="00BC5468">
        <w:t xml:space="preserve">ral and synthetic forms of </w:t>
      </w:r>
      <w:r w:rsidR="00BC5468" w:rsidRPr="005F5D83">
        <w:rPr>
          <w:rFonts w:cs="Arial"/>
        </w:rPr>
        <w:t>α</w:t>
      </w:r>
      <w:r>
        <w:t xml:space="preserve">-tocopherol. FSANZ also proposes that the current Standard 2.9.1 </w:t>
      </w:r>
      <w:r w:rsidRPr="001A12EA">
        <w:rPr>
          <w:lang w:val="en-AU"/>
        </w:rPr>
        <w:t xml:space="preserve">vitamin E requirements relating to the PUFA content of infant formula </w:t>
      </w:r>
      <w:r>
        <w:rPr>
          <w:lang w:val="en-AU"/>
        </w:rPr>
        <w:t>is</w:t>
      </w:r>
      <w:r w:rsidRPr="001A12EA">
        <w:rPr>
          <w:lang w:val="en-AU"/>
        </w:rPr>
        <w:t xml:space="preserve"> </w:t>
      </w:r>
      <w:r w:rsidRPr="001A12EA">
        <w:t xml:space="preserve">retained. </w:t>
      </w:r>
    </w:p>
    <w:p w14:paraId="24895962" w14:textId="70875441" w:rsidR="00776154" w:rsidRPr="008E307D" w:rsidRDefault="00193E8F" w:rsidP="00C73A77">
      <w:pPr>
        <w:pStyle w:val="Heading3"/>
      </w:pPr>
      <w:bookmarkStart w:id="350" w:name="_Toc442097338"/>
      <w:bookmarkStart w:id="351" w:name="_Toc442101311"/>
      <w:bookmarkStart w:id="352" w:name="_Toc442797259"/>
      <w:bookmarkStart w:id="353" w:name="_Toc443466013"/>
      <w:bookmarkStart w:id="354" w:name="_Toc70415480"/>
      <w:bookmarkStart w:id="355" w:name="_Toc73455643"/>
      <w:bookmarkStart w:id="356" w:name="_Toc73624916"/>
      <w:bookmarkStart w:id="357" w:name="_Toc419280148"/>
      <w:bookmarkStart w:id="358" w:name="_Toc427310827"/>
      <w:bookmarkStart w:id="359" w:name="_Toc431488478"/>
      <w:bookmarkStart w:id="360" w:name="_Toc432434659"/>
      <w:r>
        <w:t>7</w:t>
      </w:r>
      <w:r w:rsidR="00776154">
        <w:t>.2.4</w:t>
      </w:r>
      <w:r w:rsidR="00776154" w:rsidRPr="008E307D">
        <w:tab/>
        <w:t>Niacin</w:t>
      </w:r>
      <w:bookmarkEnd w:id="350"/>
      <w:bookmarkEnd w:id="351"/>
      <w:bookmarkEnd w:id="352"/>
      <w:bookmarkEnd w:id="353"/>
      <w:r w:rsidR="00776154">
        <w:t xml:space="preserve"> equivalents</w:t>
      </w:r>
      <w:bookmarkEnd w:id="354"/>
      <w:bookmarkEnd w:id="355"/>
      <w:bookmarkEnd w:id="356"/>
      <w:r w:rsidR="00776154">
        <w:t xml:space="preserve"> </w:t>
      </w:r>
      <w:r w:rsidR="00776154" w:rsidRPr="008E307D">
        <w:t xml:space="preserve"> </w:t>
      </w:r>
    </w:p>
    <w:p w14:paraId="4436DC91" w14:textId="085AD301" w:rsidR="00776154" w:rsidRDefault="00776154" w:rsidP="00776154">
      <w:pPr>
        <w:rPr>
          <w:lang w:eastAsia="en-AU"/>
        </w:rPr>
      </w:pPr>
      <w:r w:rsidRPr="00466AFB">
        <w:rPr>
          <w:lang w:eastAsia="en-AU" w:bidi="ar-SA"/>
        </w:rPr>
        <w:t xml:space="preserve">Preformed niacin </w:t>
      </w:r>
      <w:r>
        <w:rPr>
          <w:lang w:eastAsia="en-AU" w:bidi="ar-SA"/>
        </w:rPr>
        <w:t xml:space="preserve">is the term used to </w:t>
      </w:r>
      <w:r w:rsidRPr="00466AFB">
        <w:rPr>
          <w:lang w:eastAsia="en-AU" w:bidi="ar-SA"/>
        </w:rPr>
        <w:t>refer</w:t>
      </w:r>
      <w:r>
        <w:rPr>
          <w:lang w:eastAsia="en-AU" w:bidi="ar-SA"/>
        </w:rPr>
        <w:t xml:space="preserve"> </w:t>
      </w:r>
      <w:r w:rsidRPr="00466AFB">
        <w:rPr>
          <w:lang w:eastAsia="en-AU" w:bidi="ar-SA"/>
        </w:rPr>
        <w:t>to the niacin present in foods.</w:t>
      </w:r>
      <w:r>
        <w:rPr>
          <w:lang w:eastAsia="en-AU" w:bidi="ar-SA"/>
        </w:rPr>
        <w:t xml:space="preserve"> </w:t>
      </w:r>
      <w:r w:rsidRPr="00466AFB">
        <w:rPr>
          <w:lang w:eastAsia="en-AU" w:bidi="ar-SA"/>
        </w:rPr>
        <w:t>In humans, niacin can be synthesi</w:t>
      </w:r>
      <w:r>
        <w:rPr>
          <w:lang w:eastAsia="en-AU" w:bidi="ar-SA"/>
        </w:rPr>
        <w:t>s</w:t>
      </w:r>
      <w:r w:rsidRPr="00466AFB">
        <w:rPr>
          <w:lang w:eastAsia="en-AU" w:bidi="ar-SA"/>
        </w:rPr>
        <w:t xml:space="preserve">ed from tryptophan. Niacin requirements are therefore </w:t>
      </w:r>
      <w:r>
        <w:rPr>
          <w:lang w:eastAsia="en-AU" w:bidi="ar-SA"/>
        </w:rPr>
        <w:t xml:space="preserve">commonly </w:t>
      </w:r>
      <w:r w:rsidRPr="00466AFB">
        <w:rPr>
          <w:lang w:eastAsia="en-AU" w:bidi="ar-SA"/>
        </w:rPr>
        <w:t xml:space="preserve">expressed as niacin equivalents </w:t>
      </w:r>
      <w:r>
        <w:rPr>
          <w:lang w:eastAsia="en-AU" w:bidi="ar-SA"/>
        </w:rPr>
        <w:t xml:space="preserve">(NE) </w:t>
      </w:r>
      <w:r w:rsidRPr="00466AFB">
        <w:rPr>
          <w:lang w:eastAsia="en-AU" w:bidi="ar-SA"/>
        </w:rPr>
        <w:t xml:space="preserve">which take account </w:t>
      </w:r>
      <w:r>
        <w:rPr>
          <w:lang w:eastAsia="en-AU" w:bidi="ar-SA"/>
        </w:rPr>
        <w:t xml:space="preserve">of </w:t>
      </w:r>
      <w:r w:rsidRPr="00466AFB">
        <w:rPr>
          <w:lang w:eastAsia="en-AU" w:bidi="ar-SA"/>
        </w:rPr>
        <w:t xml:space="preserve">the </w:t>
      </w:r>
      <w:r>
        <w:rPr>
          <w:lang w:eastAsia="en-AU" w:bidi="ar-SA"/>
        </w:rPr>
        <w:t xml:space="preserve">niacin in the diet as well as the </w:t>
      </w:r>
      <w:r w:rsidRPr="00466AFB">
        <w:rPr>
          <w:lang w:eastAsia="en-AU" w:bidi="ar-SA"/>
        </w:rPr>
        <w:t>con</w:t>
      </w:r>
      <w:r>
        <w:rPr>
          <w:lang w:eastAsia="en-AU" w:bidi="ar-SA"/>
        </w:rPr>
        <w:t>version of tryptophan to niacin</w:t>
      </w:r>
      <w:r w:rsidRPr="00466AFB">
        <w:rPr>
          <w:lang w:eastAsia="en-AU" w:bidi="ar-SA"/>
        </w:rPr>
        <w:t>.</w:t>
      </w:r>
      <w:r>
        <w:rPr>
          <w:lang w:eastAsia="en-AU" w:bidi="ar-SA"/>
        </w:rPr>
        <w:t xml:space="preserve"> Both </w:t>
      </w:r>
      <w:r w:rsidR="00474BE2">
        <w:rPr>
          <w:lang w:eastAsia="en-AU" w:bidi="ar-SA"/>
        </w:rPr>
        <w:t>Schedule 29</w:t>
      </w:r>
      <w:r>
        <w:rPr>
          <w:lang w:eastAsia="en-AU" w:bidi="ar-SA"/>
        </w:rPr>
        <w:t xml:space="preserve"> and </w:t>
      </w:r>
      <w:r w:rsidRPr="0045460B">
        <w:rPr>
          <w:lang w:eastAsia="en-AU" w:bidi="ar-SA"/>
        </w:rPr>
        <w:t xml:space="preserve">Codex STAN 72-1981 </w:t>
      </w:r>
      <w:r>
        <w:rPr>
          <w:lang w:eastAsia="en-AU"/>
        </w:rPr>
        <w:t xml:space="preserve">list the niacin requirements as preformed niacin. </w:t>
      </w:r>
    </w:p>
    <w:p w14:paraId="07B889F6" w14:textId="77777777" w:rsidR="00776154" w:rsidRDefault="00776154" w:rsidP="00776154">
      <w:pPr>
        <w:pStyle w:val="Heading4"/>
      </w:pPr>
      <w:r>
        <w:t>Current regulations</w:t>
      </w:r>
    </w:p>
    <w:p w14:paraId="4D914954" w14:textId="16B0FB34" w:rsidR="00776154" w:rsidRDefault="00776154" w:rsidP="00776154">
      <w:pPr>
        <w:rPr>
          <w:lang w:eastAsia="en-AU"/>
        </w:rPr>
      </w:pPr>
      <w:r>
        <w:rPr>
          <w:lang w:eastAsia="en-AU" w:bidi="ar-SA"/>
        </w:rPr>
        <w:t xml:space="preserve">Both </w:t>
      </w:r>
      <w:r w:rsidR="00403D6B">
        <w:rPr>
          <w:lang w:eastAsia="en-AU" w:bidi="ar-SA"/>
        </w:rPr>
        <w:t>Schedule 29</w:t>
      </w:r>
      <w:r>
        <w:rPr>
          <w:lang w:eastAsia="en-AU" w:bidi="ar-SA"/>
        </w:rPr>
        <w:t xml:space="preserve"> and </w:t>
      </w:r>
      <w:r w:rsidRPr="0045460B">
        <w:rPr>
          <w:lang w:eastAsia="en-AU" w:bidi="ar-SA"/>
        </w:rPr>
        <w:t xml:space="preserve">Codex STAN 72-1981 </w:t>
      </w:r>
      <w:r>
        <w:rPr>
          <w:lang w:eastAsia="en-AU"/>
        </w:rPr>
        <w:t>list the niacin requirements as preformed niacin.</w:t>
      </w:r>
    </w:p>
    <w:p w14:paraId="59B706BD" w14:textId="77777777" w:rsidR="00776154" w:rsidRDefault="00776154" w:rsidP="00776154">
      <w:pPr>
        <w:pStyle w:val="Heading4"/>
        <w:rPr>
          <w:lang w:eastAsia="en-AU"/>
        </w:rPr>
      </w:pPr>
      <w:r>
        <w:t xml:space="preserve">Previous consideration </w:t>
      </w:r>
    </w:p>
    <w:p w14:paraId="5D8A57BA" w14:textId="77777777" w:rsidR="00776154" w:rsidRDefault="00776154" w:rsidP="00776154">
      <w:r>
        <w:rPr>
          <w:lang w:eastAsia="en-AU"/>
        </w:rPr>
        <w:t xml:space="preserve">In 2016, FSANZ considered that </w:t>
      </w:r>
      <w:r>
        <w:t>it is appropriate to retain the requirement for niacin in infant formula to be limited to the contribution from preformed niacin.</w:t>
      </w:r>
    </w:p>
    <w:p w14:paraId="1F5456F6" w14:textId="77777777" w:rsidR="00776154" w:rsidRDefault="00776154" w:rsidP="00776154">
      <w:pPr>
        <w:pStyle w:val="Heading4"/>
        <w:ind w:left="0" w:firstLine="0"/>
      </w:pPr>
      <w:r w:rsidRPr="00BA1FD9">
        <w:t>S</w:t>
      </w:r>
      <w:r>
        <w:t>takeholder views</w:t>
      </w:r>
    </w:p>
    <w:p w14:paraId="0198CD6C" w14:textId="77777777" w:rsidR="00776154" w:rsidRPr="000A2E8D" w:rsidRDefault="00776154" w:rsidP="00776154">
      <w:r>
        <w:t xml:space="preserve">No submitter comments were received on this issue. </w:t>
      </w:r>
    </w:p>
    <w:p w14:paraId="5E0D6899" w14:textId="77777777" w:rsidR="00776154" w:rsidRDefault="00776154" w:rsidP="00776154">
      <w:pPr>
        <w:pStyle w:val="Heading4"/>
      </w:pPr>
      <w:r>
        <w:t xml:space="preserve">Risk assessment </w:t>
      </w:r>
    </w:p>
    <w:p w14:paraId="4372908C" w14:textId="77777777" w:rsidR="00776154" w:rsidRPr="000A2E8D" w:rsidRDefault="00776154" w:rsidP="00776154">
      <w:pPr>
        <w:autoSpaceDE w:val="0"/>
        <w:autoSpaceDN w:val="0"/>
        <w:adjustRightInd w:val="0"/>
        <w:rPr>
          <w:rFonts w:eastAsia="Arial Unicode MS"/>
        </w:rPr>
      </w:pPr>
      <w:r w:rsidRPr="00741136">
        <w:rPr>
          <w:rFonts w:eastAsia="Arial Unicode MS"/>
        </w:rPr>
        <w:t xml:space="preserve">No further </w:t>
      </w:r>
      <w:r>
        <w:rPr>
          <w:rFonts w:eastAsia="Arial Unicode MS"/>
        </w:rPr>
        <w:t>risk assessment was considered on this issue.</w:t>
      </w:r>
    </w:p>
    <w:p w14:paraId="1D201D6F" w14:textId="77777777" w:rsidR="00776154" w:rsidRDefault="00776154" w:rsidP="00776154">
      <w:pPr>
        <w:pStyle w:val="Heading4"/>
      </w:pPr>
      <w:r>
        <w:t>Options and discussion</w:t>
      </w:r>
    </w:p>
    <w:p w14:paraId="7415E53E" w14:textId="77777777" w:rsidR="00776154" w:rsidRPr="00102495" w:rsidRDefault="00776154" w:rsidP="00776154">
      <w:pPr>
        <w:rPr>
          <w:lang w:eastAsia="en-AU"/>
        </w:rPr>
      </w:pPr>
      <w:r>
        <w:rPr>
          <w:lang w:eastAsia="en-AU"/>
        </w:rPr>
        <w:t xml:space="preserve">As preformed niacin refers to the niacin present in foods and does not include the </w:t>
      </w:r>
      <w:r w:rsidRPr="00466AFB">
        <w:rPr>
          <w:lang w:eastAsia="en-AU" w:bidi="ar-SA"/>
        </w:rPr>
        <w:t xml:space="preserve">niacin </w:t>
      </w:r>
      <w:r>
        <w:rPr>
          <w:lang w:eastAsia="en-AU" w:bidi="ar-SA"/>
        </w:rPr>
        <w:t xml:space="preserve">that </w:t>
      </w:r>
      <w:r w:rsidRPr="00466AFB">
        <w:rPr>
          <w:lang w:eastAsia="en-AU" w:bidi="ar-SA"/>
        </w:rPr>
        <w:t>can be synthesi</w:t>
      </w:r>
      <w:r>
        <w:rPr>
          <w:lang w:eastAsia="en-AU" w:bidi="ar-SA"/>
        </w:rPr>
        <w:t xml:space="preserve">sed in the human body the permission of preformed niacin only in infant formula will be </w:t>
      </w:r>
      <w:r>
        <w:rPr>
          <w:lang w:eastAsia="en-AU"/>
        </w:rPr>
        <w:t>sufficient niacin to meet infant requirements.</w:t>
      </w:r>
    </w:p>
    <w:p w14:paraId="07086507" w14:textId="77777777" w:rsidR="00776154" w:rsidRPr="00B57A91" w:rsidRDefault="00776154" w:rsidP="00776154">
      <w:pPr>
        <w:pStyle w:val="Heading4"/>
      </w:pPr>
      <w:r>
        <w:lastRenderedPageBreak/>
        <w:t>Proposed approach</w:t>
      </w:r>
    </w:p>
    <w:p w14:paraId="6818676D" w14:textId="5ED86C19" w:rsidR="00776154" w:rsidRDefault="00776154" w:rsidP="00776154">
      <w:pPr>
        <w:rPr>
          <w:lang w:eastAsia="en-AU" w:bidi="ar-SA"/>
        </w:rPr>
      </w:pPr>
      <w:r w:rsidRPr="00B57A91">
        <w:rPr>
          <w:lang w:eastAsia="en-AU" w:bidi="ar-SA"/>
        </w:rPr>
        <w:t>FSANZ proposes that the current requirement in S</w:t>
      </w:r>
      <w:r w:rsidR="007C5B53">
        <w:rPr>
          <w:lang w:eastAsia="en-AU" w:bidi="ar-SA"/>
        </w:rPr>
        <w:t xml:space="preserve">chedule 29 </w:t>
      </w:r>
      <w:r w:rsidRPr="00B57A91">
        <w:rPr>
          <w:lang w:eastAsia="en-AU" w:bidi="ar-SA"/>
        </w:rPr>
        <w:t>for niacin be retained. The niacin amount in infant formula will be restricted to p</w:t>
      </w:r>
      <w:r>
        <w:rPr>
          <w:lang w:eastAsia="en-AU" w:bidi="ar-SA"/>
        </w:rPr>
        <w:t>re</w:t>
      </w:r>
      <w:r w:rsidRPr="00B57A91">
        <w:rPr>
          <w:lang w:eastAsia="en-AU" w:bidi="ar-SA"/>
        </w:rPr>
        <w:t>formed niacin.</w:t>
      </w:r>
    </w:p>
    <w:p w14:paraId="64FC08CB" w14:textId="27052F45" w:rsidR="00776154" w:rsidRPr="00E00A0D" w:rsidRDefault="00193E8F" w:rsidP="00776154">
      <w:pPr>
        <w:pStyle w:val="Heading2"/>
      </w:pPr>
      <w:bookmarkStart w:id="361" w:name="_Toc70415481"/>
      <w:bookmarkStart w:id="362" w:name="_Toc73455644"/>
      <w:bookmarkStart w:id="363" w:name="_Toc73624917"/>
      <w:bookmarkStart w:id="364" w:name="_Toc76138293"/>
      <w:bookmarkStart w:id="365" w:name="_Toc437858796"/>
      <w:bookmarkStart w:id="366" w:name="_Toc440462466"/>
      <w:bookmarkStart w:id="367" w:name="_Toc440470863"/>
      <w:r>
        <w:t>7</w:t>
      </w:r>
      <w:r w:rsidR="00776154">
        <w:t>.3</w:t>
      </w:r>
      <w:r w:rsidR="00776154">
        <w:tab/>
      </w:r>
      <w:r w:rsidR="00776154" w:rsidRPr="003F4027">
        <w:t>Permitted range</w:t>
      </w:r>
      <w:r w:rsidR="002D0686">
        <w:t>s</w:t>
      </w:r>
      <w:r w:rsidR="00776154">
        <w:t xml:space="preserve"> for micronutrients</w:t>
      </w:r>
      <w:bookmarkEnd w:id="361"/>
      <w:bookmarkEnd w:id="362"/>
      <w:bookmarkEnd w:id="363"/>
      <w:bookmarkEnd w:id="364"/>
      <w:r w:rsidR="00776154">
        <w:t xml:space="preserve"> </w:t>
      </w:r>
      <w:bookmarkEnd w:id="357"/>
      <w:bookmarkEnd w:id="358"/>
      <w:bookmarkEnd w:id="359"/>
      <w:bookmarkEnd w:id="360"/>
      <w:bookmarkEnd w:id="365"/>
      <w:bookmarkEnd w:id="366"/>
      <w:bookmarkEnd w:id="367"/>
      <w:r w:rsidR="00776154" w:rsidRPr="00E00A0D">
        <w:t xml:space="preserve"> </w:t>
      </w:r>
    </w:p>
    <w:p w14:paraId="33EA3EBF" w14:textId="7D6175A8" w:rsidR="00776154" w:rsidRPr="00E82FE6" w:rsidRDefault="00776154" w:rsidP="00776154">
      <w:pPr>
        <w:rPr>
          <w:lang w:eastAsia="en-AU" w:bidi="ar-SA"/>
        </w:rPr>
      </w:pPr>
      <w:r w:rsidRPr="00E82FE6">
        <w:rPr>
          <w:lang w:eastAsia="en-AU" w:bidi="ar-SA"/>
        </w:rPr>
        <w:t xml:space="preserve">A permitted range is established for each of the 25 vitamins, minerals and electrolytes required in infant formula. The table to section S29—9 lists the minimum amounts for every listed micronutrient, and maximum amounts only where necessary. GULs for the other micronutrients are located in section S29—10. In Codex STAN 72-1981, section 3.1 (d) and (e) set out minimum amounts and maximum amounts or GULs for vitamins and minerals. The approach adopted in the two standards is similar, with both setting minimum amounts and either a maximum amount or a GUL for the same range of micronutrients although the </w:t>
      </w:r>
      <w:r w:rsidR="00D71042">
        <w:rPr>
          <w:lang w:eastAsia="en-AU" w:bidi="ar-SA"/>
        </w:rPr>
        <w:t>specified</w:t>
      </w:r>
      <w:r w:rsidR="00D71042" w:rsidRPr="00E82FE6">
        <w:rPr>
          <w:lang w:eastAsia="en-AU" w:bidi="ar-SA"/>
        </w:rPr>
        <w:t xml:space="preserve"> </w:t>
      </w:r>
      <w:r w:rsidRPr="00E82FE6">
        <w:rPr>
          <w:lang w:eastAsia="en-AU" w:bidi="ar-SA"/>
        </w:rPr>
        <w:t xml:space="preserve">minimum and maximum amounts may vary. </w:t>
      </w:r>
    </w:p>
    <w:p w14:paraId="3C75E78D" w14:textId="77777777" w:rsidR="00776154" w:rsidRPr="00E82FE6" w:rsidRDefault="00776154" w:rsidP="00776154">
      <w:pPr>
        <w:rPr>
          <w:lang w:eastAsia="en-AU" w:bidi="ar-SA"/>
        </w:rPr>
      </w:pPr>
    </w:p>
    <w:p w14:paraId="1240CE9D" w14:textId="2D1F464E" w:rsidR="00776154" w:rsidRDefault="00776154" w:rsidP="00776154">
      <w:pPr>
        <w:rPr>
          <w:lang w:eastAsia="en-AU" w:bidi="ar-SA"/>
        </w:rPr>
      </w:pPr>
      <w:r w:rsidRPr="00E82FE6">
        <w:rPr>
          <w:lang w:eastAsia="en-AU" w:bidi="ar-SA"/>
        </w:rPr>
        <w:t>This section discusses the suitability of aligning the permitted ranges with Codex STAN 72-1981, based on previous support for this approach from s</w:t>
      </w:r>
      <w:r w:rsidR="00193E8F">
        <w:rPr>
          <w:lang w:eastAsia="en-AU" w:bidi="ar-SA"/>
        </w:rPr>
        <w:t>takeholders (refer to 2</w:t>
      </w:r>
      <w:r>
        <w:rPr>
          <w:lang w:eastAsia="en-AU" w:bidi="ar-SA"/>
        </w:rPr>
        <w:t xml:space="preserve">016 </w:t>
      </w:r>
      <w:r w:rsidR="00D71042">
        <w:rPr>
          <w:lang w:eastAsia="en-AU" w:bidi="ar-SA"/>
        </w:rPr>
        <w:t>C</w:t>
      </w:r>
      <w:r w:rsidRPr="00E82FE6">
        <w:rPr>
          <w:lang w:eastAsia="en-AU" w:bidi="ar-SA"/>
        </w:rPr>
        <w:t xml:space="preserve">onsultation paper). The conclusions of the </w:t>
      </w:r>
      <w:r>
        <w:rPr>
          <w:lang w:eastAsia="en-AU" w:bidi="ar-SA"/>
        </w:rPr>
        <w:t xml:space="preserve">2016 </w:t>
      </w:r>
      <w:r w:rsidRPr="00E82FE6">
        <w:rPr>
          <w:lang w:eastAsia="en-AU" w:bidi="ar-SA"/>
        </w:rPr>
        <w:t xml:space="preserve">nutrition </w:t>
      </w:r>
      <w:r w:rsidR="00D71042">
        <w:rPr>
          <w:lang w:eastAsia="en-AU" w:bidi="ar-SA"/>
        </w:rPr>
        <w:t xml:space="preserve">risk </w:t>
      </w:r>
      <w:r w:rsidRPr="00E82FE6">
        <w:rPr>
          <w:lang w:eastAsia="en-AU" w:bidi="ar-SA"/>
        </w:rPr>
        <w:t>assessment are taken into consideration along with submitter</w:t>
      </w:r>
      <w:r>
        <w:rPr>
          <w:lang w:eastAsia="en-AU" w:bidi="ar-SA"/>
        </w:rPr>
        <w:t xml:space="preserve"> comments,</w:t>
      </w:r>
      <w:r w:rsidRPr="00206362">
        <w:rPr>
          <w:lang w:eastAsia="en-AU" w:bidi="ar-SA"/>
        </w:rPr>
        <w:t xml:space="preserve"> potential implications on trade</w:t>
      </w:r>
      <w:r w:rsidRPr="00B929A6">
        <w:rPr>
          <w:lang w:eastAsia="en-AU" w:bidi="ar-SA"/>
        </w:rPr>
        <w:t>, and new information that has become available.</w:t>
      </w:r>
      <w:r>
        <w:rPr>
          <w:lang w:eastAsia="en-AU" w:bidi="ar-SA"/>
        </w:rPr>
        <w:t xml:space="preserve"> </w:t>
      </w:r>
    </w:p>
    <w:p w14:paraId="5B430DF6" w14:textId="77777777" w:rsidR="00776154" w:rsidRDefault="00776154" w:rsidP="00776154">
      <w:pPr>
        <w:rPr>
          <w:lang w:eastAsia="en-AU" w:bidi="ar-SA"/>
        </w:rPr>
      </w:pPr>
    </w:p>
    <w:p w14:paraId="367B87A9" w14:textId="37CE1DE7" w:rsidR="00776154" w:rsidRPr="00533BC9" w:rsidRDefault="00776154" w:rsidP="00776154">
      <w:pPr>
        <w:rPr>
          <w:lang w:eastAsia="en-AU" w:bidi="ar-SA"/>
        </w:rPr>
      </w:pPr>
      <w:r>
        <w:rPr>
          <w:lang w:eastAsia="en-AU" w:bidi="ar-SA"/>
        </w:rPr>
        <w:t xml:space="preserve">New information includes the revised EU regulations for infant formula products (EU 2016/127) which was published after the release of FSANZ’s 2016 </w:t>
      </w:r>
      <w:r w:rsidR="00D71042">
        <w:rPr>
          <w:lang w:eastAsia="en-AU" w:bidi="ar-SA"/>
        </w:rPr>
        <w:t>C</w:t>
      </w:r>
      <w:r>
        <w:rPr>
          <w:lang w:eastAsia="en-AU" w:bidi="ar-SA"/>
        </w:rPr>
        <w:t xml:space="preserve">onsultation paper. </w:t>
      </w:r>
      <w:r w:rsidRPr="00533BC9">
        <w:rPr>
          <w:lang w:eastAsia="en-AU" w:bidi="ar-SA"/>
        </w:rPr>
        <w:t>The</w:t>
      </w:r>
      <w:r>
        <w:rPr>
          <w:lang w:eastAsia="en-AU" w:bidi="ar-SA"/>
        </w:rPr>
        <w:t xml:space="preserve"> approach used </w:t>
      </w:r>
      <w:r w:rsidRPr="00533BC9">
        <w:rPr>
          <w:lang w:eastAsia="en-AU" w:bidi="ar-SA"/>
        </w:rPr>
        <w:t>to specify permitted range of vitamins and minerals</w:t>
      </w:r>
      <w:r>
        <w:rPr>
          <w:lang w:eastAsia="en-AU" w:bidi="ar-SA"/>
        </w:rPr>
        <w:t xml:space="preserve"> in the EU </w:t>
      </w:r>
      <w:r w:rsidR="00D71042">
        <w:rPr>
          <w:lang w:eastAsia="en-AU" w:bidi="ar-SA"/>
        </w:rPr>
        <w:t xml:space="preserve">2016/127 </w:t>
      </w:r>
      <w:r>
        <w:rPr>
          <w:lang w:eastAsia="en-AU" w:bidi="ar-SA"/>
        </w:rPr>
        <w:t>was based on:</w:t>
      </w:r>
    </w:p>
    <w:p w14:paraId="3C102A73" w14:textId="77777777" w:rsidR="00776154" w:rsidRPr="00533BC9" w:rsidRDefault="00776154" w:rsidP="00776154">
      <w:pPr>
        <w:pStyle w:val="FSBullet"/>
        <w:rPr>
          <w:lang w:eastAsia="en-AU" w:bidi="ar-SA"/>
        </w:rPr>
      </w:pPr>
      <w:r>
        <w:rPr>
          <w:lang w:eastAsia="en-AU" w:bidi="ar-SA"/>
        </w:rPr>
        <w:t>EFSA Scientific Opinion on the e</w:t>
      </w:r>
      <w:r w:rsidRPr="00533BC9">
        <w:rPr>
          <w:lang w:eastAsia="en-AU" w:bidi="ar-SA"/>
        </w:rPr>
        <w:t>ssential composition of infant and follow-on formulae</w:t>
      </w:r>
      <w:r>
        <w:rPr>
          <w:lang w:eastAsia="en-AU" w:bidi="ar-SA"/>
        </w:rPr>
        <w:t xml:space="preserve"> (2014)</w:t>
      </w:r>
    </w:p>
    <w:p w14:paraId="53393F44" w14:textId="5E487BF2" w:rsidR="00776154" w:rsidRDefault="00776154" w:rsidP="00776154">
      <w:pPr>
        <w:pStyle w:val="FSBullet"/>
        <w:rPr>
          <w:lang w:eastAsia="en-AU" w:bidi="ar-SA"/>
        </w:rPr>
      </w:pPr>
      <w:r w:rsidRPr="00533BC9">
        <w:rPr>
          <w:lang w:eastAsia="en-AU" w:bidi="ar-SA"/>
        </w:rPr>
        <w:t>EFSA Opinion Nutrient requirements and dietary intakes of infants and young children in the EU</w:t>
      </w:r>
      <w:r>
        <w:rPr>
          <w:lang w:eastAsia="en-AU" w:bidi="ar-SA"/>
        </w:rPr>
        <w:t xml:space="preserve"> (2014)</w:t>
      </w:r>
    </w:p>
    <w:p w14:paraId="1DC7DFDD" w14:textId="77777777" w:rsidR="00C17152" w:rsidRPr="00C17152" w:rsidRDefault="00C17152" w:rsidP="00A45884">
      <w:pPr>
        <w:rPr>
          <w:lang w:eastAsia="en-AU" w:bidi="ar-SA"/>
        </w:rPr>
      </w:pPr>
    </w:p>
    <w:p w14:paraId="563CE41A" w14:textId="70873C0B" w:rsidR="00776154" w:rsidRPr="00533BC9" w:rsidRDefault="00776154" w:rsidP="00776154">
      <w:pPr>
        <w:rPr>
          <w:lang w:eastAsia="en-AU" w:bidi="ar-SA"/>
        </w:rPr>
      </w:pPr>
      <w:r>
        <w:rPr>
          <w:lang w:eastAsia="en-AU" w:bidi="ar-SA"/>
        </w:rPr>
        <w:t xml:space="preserve">However, the EFSA </w:t>
      </w:r>
      <w:r w:rsidRPr="00533BC9">
        <w:rPr>
          <w:lang w:eastAsia="en-AU" w:bidi="ar-SA"/>
        </w:rPr>
        <w:t xml:space="preserve">Panel did not specifically evaluate UL/ML and thus they </w:t>
      </w:r>
      <w:r>
        <w:rPr>
          <w:lang w:eastAsia="en-AU" w:bidi="ar-SA"/>
        </w:rPr>
        <w:t>made limited comments on UL/ML. W</w:t>
      </w:r>
      <w:r w:rsidRPr="00533BC9">
        <w:rPr>
          <w:lang w:eastAsia="en-AU" w:bidi="ar-SA"/>
        </w:rPr>
        <w:t>here EFSA did comme</w:t>
      </w:r>
      <w:r>
        <w:rPr>
          <w:lang w:eastAsia="en-AU" w:bidi="ar-SA"/>
        </w:rPr>
        <w:t>nt, these have been noted in the section for that micronutrient. Additionally, FSANZ has noted EFSA’s g</w:t>
      </w:r>
      <w:r w:rsidRPr="00533BC9">
        <w:rPr>
          <w:lang w:eastAsia="en-AU" w:bidi="ar-SA"/>
        </w:rPr>
        <w:t xml:space="preserve">eneral comments on maximum limits </w:t>
      </w:r>
      <w:r>
        <w:rPr>
          <w:lang w:eastAsia="en-AU" w:bidi="ar-SA"/>
        </w:rPr>
        <w:t>(</w:t>
      </w:r>
      <w:r w:rsidR="008410B2">
        <w:rPr>
          <w:lang w:eastAsia="en-AU" w:bidi="ar-SA"/>
        </w:rPr>
        <w:t>Box 7.1)</w:t>
      </w:r>
      <w:r>
        <w:rPr>
          <w:lang w:eastAsia="en-AU" w:bidi="ar-SA"/>
        </w:rPr>
        <w:t xml:space="preserve"> which have also been taken into consideration.</w:t>
      </w:r>
    </w:p>
    <w:p w14:paraId="79078F76" w14:textId="77777777" w:rsidR="00776154" w:rsidRDefault="00776154" w:rsidP="00776154">
      <w:pPr>
        <w:rPr>
          <w:lang w:eastAsia="en-AU" w:bidi="ar-SA"/>
        </w:rPr>
      </w:pPr>
    </w:p>
    <w:tbl>
      <w:tblPr>
        <w:tblStyle w:val="TableGrid"/>
        <w:tblW w:w="0" w:type="auto"/>
        <w:tblLook w:val="04A0" w:firstRow="1" w:lastRow="0" w:firstColumn="1" w:lastColumn="0" w:noHBand="0" w:noVBand="1"/>
      </w:tblPr>
      <w:tblGrid>
        <w:gridCol w:w="8898"/>
      </w:tblGrid>
      <w:tr w:rsidR="00776154" w:rsidRPr="00C45787" w14:paraId="1C07F5CD" w14:textId="77777777" w:rsidTr="00776154">
        <w:trPr>
          <w:trHeight w:val="3572"/>
        </w:trPr>
        <w:tc>
          <w:tcPr>
            <w:tcW w:w="8898" w:type="dxa"/>
            <w:shd w:val="clear" w:color="auto" w:fill="DAEEF3" w:themeFill="accent5" w:themeFillTint="33"/>
          </w:tcPr>
          <w:p w14:paraId="32178FCA" w14:textId="28E7C9BF" w:rsidR="00776154" w:rsidRPr="00C45787" w:rsidRDefault="00193E8F" w:rsidP="00776154">
            <w:pPr>
              <w:jc w:val="both"/>
              <w:rPr>
                <w:rFonts w:cs="Arial"/>
                <w:b/>
                <w:i/>
                <w:szCs w:val="20"/>
              </w:rPr>
            </w:pPr>
            <w:r>
              <w:rPr>
                <w:rFonts w:cs="Arial"/>
                <w:b/>
                <w:i/>
                <w:szCs w:val="20"/>
              </w:rPr>
              <w:t>Box 7</w:t>
            </w:r>
            <w:r w:rsidR="00776154">
              <w:rPr>
                <w:rFonts w:cs="Arial"/>
                <w:b/>
                <w:i/>
                <w:szCs w:val="20"/>
              </w:rPr>
              <w:t>.</w:t>
            </w:r>
            <w:r w:rsidR="008410B2">
              <w:rPr>
                <w:rFonts w:cs="Arial"/>
                <w:b/>
                <w:i/>
                <w:szCs w:val="20"/>
              </w:rPr>
              <w:t>1</w:t>
            </w:r>
            <w:r w:rsidR="00776154" w:rsidRPr="00C45787">
              <w:rPr>
                <w:rFonts w:cs="Arial"/>
                <w:b/>
                <w:i/>
                <w:szCs w:val="20"/>
              </w:rPr>
              <w:t>: EFSA (2014) Codex STAN 72-1981 guidance on carbohydrates in infant formula</w:t>
            </w:r>
          </w:p>
          <w:p w14:paraId="4CF3FDD7" w14:textId="77777777" w:rsidR="00776154" w:rsidRPr="00C45787" w:rsidRDefault="00776154" w:rsidP="00776154">
            <w:pPr>
              <w:rPr>
                <w:rFonts w:cs="Arial"/>
                <w:b/>
                <w:szCs w:val="20"/>
                <w:lang w:eastAsia="en-AU" w:bidi="ar-SA"/>
              </w:rPr>
            </w:pPr>
          </w:p>
          <w:p w14:paraId="475E098E" w14:textId="77777777" w:rsidR="00776154" w:rsidRPr="00C45787" w:rsidRDefault="00776154" w:rsidP="00776154">
            <w:pPr>
              <w:rPr>
                <w:rFonts w:cs="Arial"/>
                <w:szCs w:val="20"/>
                <w:lang w:eastAsia="en-AU" w:bidi="ar-SA"/>
              </w:rPr>
            </w:pPr>
            <w:r>
              <w:rPr>
                <w:rFonts w:cs="Arial"/>
                <w:b/>
                <w:szCs w:val="20"/>
                <w:lang w:eastAsia="en-AU" w:bidi="ar-SA"/>
              </w:rPr>
              <w:t xml:space="preserve">Abstract of the 2014 </w:t>
            </w:r>
            <w:r w:rsidRPr="00C45787">
              <w:rPr>
                <w:rFonts w:cs="Arial"/>
                <w:b/>
                <w:szCs w:val="20"/>
                <w:lang w:eastAsia="en-AU" w:bidi="ar-SA"/>
              </w:rPr>
              <w:t>EFSA Scientific Opinion:</w:t>
            </w:r>
            <w:r w:rsidRPr="00C45787">
              <w:rPr>
                <w:rFonts w:cs="Arial"/>
                <w:szCs w:val="20"/>
                <w:lang w:eastAsia="en-AU" w:bidi="ar-SA"/>
              </w:rPr>
              <w:t xml:space="preserve"> </w:t>
            </w:r>
          </w:p>
          <w:p w14:paraId="7DA16E5D" w14:textId="77777777" w:rsidR="00776154" w:rsidRPr="00C45787" w:rsidRDefault="00776154" w:rsidP="00776154">
            <w:pPr>
              <w:rPr>
                <w:rFonts w:cs="Arial"/>
                <w:szCs w:val="20"/>
                <w:lang w:eastAsia="en-AU" w:bidi="ar-SA"/>
              </w:rPr>
            </w:pPr>
            <w:r w:rsidRPr="00C45787">
              <w:rPr>
                <w:rFonts w:cs="Arial"/>
                <w:szCs w:val="20"/>
                <w:lang w:eastAsia="en-AU" w:bidi="ar-SA"/>
              </w:rPr>
              <w:t>“From a nutritional point of view, the minimum contents of nutrients in infant and follow-on formula proposed by the Panel cover the nutritional needs of virtually all healthy infants born at term and there is no need to exceed these amounts in formulae, as nutrients which are not used or stored have to be excreted and this may put a burden on the infant’s metabolism. Therefore the panel, emphasises that maximum amounts should be interpreted not as target values but rather as upper limits which should not be exceeded.”</w:t>
            </w:r>
          </w:p>
          <w:p w14:paraId="3513E790" w14:textId="77777777" w:rsidR="00776154" w:rsidRPr="00C45787" w:rsidRDefault="00776154" w:rsidP="00776154">
            <w:pPr>
              <w:rPr>
                <w:rFonts w:cs="Arial"/>
                <w:szCs w:val="20"/>
                <w:lang w:eastAsia="en-AU" w:bidi="ar-SA"/>
              </w:rPr>
            </w:pPr>
          </w:p>
          <w:p w14:paraId="57A749DD" w14:textId="77777777" w:rsidR="00776154" w:rsidRPr="00C45787" w:rsidRDefault="00776154" w:rsidP="00776154">
            <w:pPr>
              <w:rPr>
                <w:rFonts w:cs="Arial"/>
                <w:b/>
                <w:szCs w:val="20"/>
                <w:lang w:eastAsia="en-AU" w:bidi="ar-SA"/>
              </w:rPr>
            </w:pPr>
            <w:r w:rsidRPr="00C45787">
              <w:rPr>
                <w:rFonts w:cs="Arial"/>
                <w:b/>
                <w:szCs w:val="20"/>
                <w:lang w:eastAsia="en-AU" w:bidi="ar-SA"/>
              </w:rPr>
              <w:t xml:space="preserve">Summary of the 2014 EFSA Opinion (paragraph 5): </w:t>
            </w:r>
          </w:p>
          <w:p w14:paraId="47C99939" w14:textId="42CD5D52" w:rsidR="00776154" w:rsidRPr="00C45787" w:rsidRDefault="00776154" w:rsidP="00D71042">
            <w:pPr>
              <w:rPr>
                <w:rFonts w:cs="Arial"/>
                <w:color w:val="FF0000"/>
                <w:szCs w:val="20"/>
              </w:rPr>
            </w:pPr>
            <w:r w:rsidRPr="00C45787">
              <w:rPr>
                <w:rFonts w:cs="Arial"/>
                <w:szCs w:val="20"/>
                <w:lang w:eastAsia="en-AU" w:bidi="ar-SA"/>
              </w:rPr>
              <w:t xml:space="preserve">“Specifications for the currently permitted maximum amounts of micronutrients in formulae were mostly calculated as three to five times the minimum amounts established at the time and took into account established history of apparent safe use (Codex </w:t>
            </w:r>
            <w:r w:rsidR="00D71042">
              <w:rPr>
                <w:rFonts w:cs="Arial"/>
                <w:szCs w:val="20"/>
                <w:lang w:eastAsia="en-AU" w:bidi="ar-SA"/>
              </w:rPr>
              <w:t>STAN</w:t>
            </w:r>
            <w:r w:rsidR="00D71042" w:rsidRPr="00C45787">
              <w:rPr>
                <w:rFonts w:cs="Arial"/>
                <w:szCs w:val="20"/>
                <w:lang w:eastAsia="en-AU" w:bidi="ar-SA"/>
              </w:rPr>
              <w:t xml:space="preserve"> </w:t>
            </w:r>
            <w:r w:rsidRPr="00C45787">
              <w:rPr>
                <w:rFonts w:cs="Arial"/>
                <w:szCs w:val="20"/>
                <w:lang w:eastAsia="en-AU" w:bidi="ar-SA"/>
              </w:rPr>
              <w:t xml:space="preserve">72-1981, Codex </w:t>
            </w:r>
            <w:r w:rsidR="00D71042">
              <w:rPr>
                <w:rFonts w:cs="Arial"/>
                <w:szCs w:val="20"/>
                <w:lang w:eastAsia="en-AU" w:bidi="ar-SA"/>
              </w:rPr>
              <w:t>STAN</w:t>
            </w:r>
            <w:r w:rsidR="00D71042" w:rsidRPr="00C45787">
              <w:rPr>
                <w:rFonts w:cs="Arial"/>
                <w:szCs w:val="20"/>
                <w:lang w:eastAsia="en-AU" w:bidi="ar-SA"/>
              </w:rPr>
              <w:t xml:space="preserve"> </w:t>
            </w:r>
            <w:r w:rsidRPr="00C45787">
              <w:rPr>
                <w:rFonts w:cs="Arial"/>
                <w:szCs w:val="20"/>
                <w:lang w:eastAsia="en-AU" w:bidi="ar-SA"/>
              </w:rPr>
              <w:t>156-1987, the Directive 2006/141/EC and the SCF) and were not based on scientific evidence for adverse effects owing to the lack of such evidence for most nutrients</w:t>
            </w:r>
            <w:r w:rsidRPr="00C45787">
              <w:rPr>
                <w:rFonts w:cs="Arial"/>
                <w:szCs w:val="20"/>
              </w:rPr>
              <w:t>.</w:t>
            </w:r>
            <w:r w:rsidR="00D71042">
              <w:rPr>
                <w:rFonts w:cs="Arial"/>
                <w:szCs w:val="20"/>
              </w:rPr>
              <w:t>”</w:t>
            </w:r>
          </w:p>
        </w:tc>
      </w:tr>
    </w:tbl>
    <w:p w14:paraId="786D87FF" w14:textId="77777777" w:rsidR="00776154" w:rsidRDefault="00776154" w:rsidP="00776154">
      <w:pPr>
        <w:rPr>
          <w:lang w:eastAsia="en-AU" w:bidi="ar-SA"/>
        </w:rPr>
      </w:pPr>
    </w:p>
    <w:p w14:paraId="1D072944" w14:textId="77777777" w:rsidR="00776154" w:rsidRDefault="00776154" w:rsidP="00776154">
      <w:pPr>
        <w:rPr>
          <w:lang w:eastAsia="en-AU" w:bidi="ar-SA"/>
        </w:rPr>
      </w:pPr>
      <w:r w:rsidRPr="004065BE">
        <w:rPr>
          <w:lang w:eastAsia="en-AU" w:bidi="ar-SA"/>
        </w:rPr>
        <w:t xml:space="preserve">Although infant formula for older infants aged 6 months and above (i.e. follow-on or follow-up formula) is not part of the scope for this proposal, FSANZ has also considered, where </w:t>
      </w:r>
      <w:r w:rsidRPr="004065BE">
        <w:rPr>
          <w:lang w:eastAsia="en-AU" w:bidi="ar-SA"/>
        </w:rPr>
        <w:lastRenderedPageBreak/>
        <w:t>relevant, the current draft of the revised Codex standard on the composition of follow-up formula. Generally there is considerable overlap in the requirements between the two Codex standards as this represents current international regulation on infant formula composition.</w:t>
      </w:r>
    </w:p>
    <w:p w14:paraId="36C6D146" w14:textId="77777777" w:rsidR="00776154" w:rsidRDefault="00776154" w:rsidP="00776154">
      <w:pPr>
        <w:rPr>
          <w:lang w:eastAsia="en-AU" w:bidi="ar-SA"/>
        </w:rPr>
      </w:pPr>
    </w:p>
    <w:p w14:paraId="04572D6B" w14:textId="2C98B98E" w:rsidR="00776154" w:rsidRDefault="00776154" w:rsidP="00776154">
      <w:pPr>
        <w:rPr>
          <w:lang w:eastAsia="en-AU" w:bidi="ar-SA"/>
        </w:rPr>
      </w:pPr>
      <w:r>
        <w:rPr>
          <w:lang w:eastAsia="en-AU" w:bidi="ar-SA"/>
        </w:rPr>
        <w:t xml:space="preserve">The </w:t>
      </w:r>
      <w:r w:rsidR="00D71042">
        <w:rPr>
          <w:lang w:eastAsia="en-AU" w:bidi="ar-SA"/>
        </w:rPr>
        <w:t xml:space="preserve">nutrition </w:t>
      </w:r>
      <w:r>
        <w:rPr>
          <w:lang w:eastAsia="en-AU" w:bidi="ar-SA"/>
        </w:rPr>
        <w:t xml:space="preserve">risk assessment for the 2016 Consultation </w:t>
      </w:r>
      <w:r w:rsidR="00D71042">
        <w:rPr>
          <w:lang w:eastAsia="en-AU" w:bidi="ar-SA"/>
        </w:rPr>
        <w:t>p</w:t>
      </w:r>
      <w:r>
        <w:rPr>
          <w:lang w:eastAsia="en-AU" w:bidi="ar-SA"/>
        </w:rPr>
        <w:t>aper examined the basis for the minimum and maximum amounts for each micronutrient</w:t>
      </w:r>
      <w:r w:rsidR="00C17152">
        <w:rPr>
          <w:lang w:eastAsia="en-AU" w:bidi="ar-SA"/>
        </w:rPr>
        <w:t>.</w:t>
      </w:r>
      <w:r>
        <w:rPr>
          <w:lang w:eastAsia="en-AU" w:bidi="ar-SA"/>
        </w:rPr>
        <w:t xml:space="preserve"> As a result, micronutrients could be categorised into three groups: </w:t>
      </w:r>
    </w:p>
    <w:p w14:paraId="1F76242F" w14:textId="6D8A2ADF" w:rsidR="00776154" w:rsidRPr="00533BC9" w:rsidRDefault="00193E8F" w:rsidP="00776154">
      <w:pPr>
        <w:pStyle w:val="FSBullet"/>
        <w:rPr>
          <w:lang w:eastAsia="en-AU" w:bidi="ar-SA"/>
        </w:rPr>
      </w:pPr>
      <w:r>
        <w:rPr>
          <w:lang w:eastAsia="en-AU" w:bidi="ar-SA"/>
        </w:rPr>
        <w:t>T</w:t>
      </w:r>
      <w:r w:rsidR="00776154" w:rsidRPr="00533BC9">
        <w:rPr>
          <w:lang w:eastAsia="en-AU" w:bidi="ar-SA"/>
        </w:rPr>
        <w:t>he permitted range already aligns with Codex STAN 72-1981 and potentially no change was needed</w:t>
      </w:r>
      <w:r>
        <w:rPr>
          <w:lang w:eastAsia="en-AU" w:bidi="ar-SA"/>
        </w:rPr>
        <w:t>.</w:t>
      </w:r>
    </w:p>
    <w:p w14:paraId="1256EF67" w14:textId="2005A329" w:rsidR="00776154" w:rsidRPr="00533BC9" w:rsidRDefault="00193E8F" w:rsidP="00776154">
      <w:pPr>
        <w:pStyle w:val="FSBullet"/>
        <w:rPr>
          <w:lang w:eastAsia="en-AU" w:bidi="ar-SA"/>
        </w:rPr>
      </w:pPr>
      <w:r>
        <w:rPr>
          <w:lang w:eastAsia="en-AU" w:bidi="ar-SA"/>
        </w:rPr>
        <w:t>T</w:t>
      </w:r>
      <w:r w:rsidR="00776154" w:rsidRPr="00533BC9">
        <w:rPr>
          <w:lang w:eastAsia="en-AU" w:bidi="ar-SA"/>
        </w:rPr>
        <w:t>he permitted range is not aligned but the 2016 assessment sugg</w:t>
      </w:r>
      <w:r>
        <w:rPr>
          <w:lang w:eastAsia="en-AU" w:bidi="ar-SA"/>
        </w:rPr>
        <w:t>ested alignment was appropriate.</w:t>
      </w:r>
    </w:p>
    <w:p w14:paraId="2C2AEB1B" w14:textId="6F5875DA" w:rsidR="00776154" w:rsidRPr="00533BC9" w:rsidRDefault="00193E8F" w:rsidP="00776154">
      <w:pPr>
        <w:pStyle w:val="FSBullet"/>
        <w:rPr>
          <w:lang w:eastAsia="en-AU" w:bidi="ar-SA"/>
        </w:rPr>
      </w:pPr>
      <w:r>
        <w:rPr>
          <w:lang w:eastAsia="en-AU" w:bidi="ar-SA"/>
        </w:rPr>
        <w:t>T</w:t>
      </w:r>
      <w:r w:rsidR="00776154" w:rsidRPr="00533BC9">
        <w:rPr>
          <w:lang w:eastAsia="en-AU" w:bidi="ar-SA"/>
        </w:rPr>
        <w:t xml:space="preserve">here was uncertainty </w:t>
      </w:r>
      <w:r w:rsidR="00D71042">
        <w:rPr>
          <w:lang w:eastAsia="en-AU" w:bidi="ar-SA"/>
        </w:rPr>
        <w:t>whether</w:t>
      </w:r>
      <w:r w:rsidR="00D71042" w:rsidRPr="00533BC9">
        <w:rPr>
          <w:lang w:eastAsia="en-AU" w:bidi="ar-SA"/>
        </w:rPr>
        <w:t xml:space="preserve"> </w:t>
      </w:r>
      <w:r w:rsidR="00776154" w:rsidRPr="00533BC9">
        <w:rPr>
          <w:lang w:eastAsia="en-AU" w:bidi="ar-SA"/>
        </w:rPr>
        <w:t>alignment was appropriate and further information was sought in the 2016 consultation.</w:t>
      </w:r>
    </w:p>
    <w:p w14:paraId="058A367D" w14:textId="77777777" w:rsidR="00776154" w:rsidRPr="00533BC9" w:rsidRDefault="00776154" w:rsidP="00776154">
      <w:r w:rsidRPr="00533BC9">
        <w:t xml:space="preserve">The discussion below on the permitted ranges for micronutrients is organised according to these three categories. </w:t>
      </w:r>
    </w:p>
    <w:p w14:paraId="22591E6C" w14:textId="72D4F17F" w:rsidR="00776154" w:rsidRPr="000E6B06" w:rsidRDefault="002D0686" w:rsidP="000E6B06">
      <w:pPr>
        <w:spacing w:before="240" w:after="240"/>
        <w:rPr>
          <w:b/>
          <w:sz w:val="28"/>
          <w:szCs w:val="28"/>
        </w:rPr>
      </w:pPr>
      <w:bookmarkStart w:id="368" w:name="_Toc70415482"/>
      <w:bookmarkStart w:id="369" w:name="_Toc73455645"/>
      <w:bookmarkStart w:id="370" w:name="_Toc73624918"/>
      <w:r w:rsidRPr="000E6B06">
        <w:rPr>
          <w:b/>
          <w:sz w:val="28"/>
          <w:szCs w:val="28"/>
        </w:rPr>
        <w:t>7.3:</w:t>
      </w:r>
      <w:r w:rsidRPr="000E6B06">
        <w:rPr>
          <w:b/>
          <w:sz w:val="28"/>
          <w:szCs w:val="28"/>
        </w:rPr>
        <w:tab/>
      </w:r>
      <w:r w:rsidR="00776154" w:rsidRPr="000E6B06">
        <w:rPr>
          <w:b/>
          <w:sz w:val="28"/>
          <w:szCs w:val="28"/>
        </w:rPr>
        <w:t>Permitted range is aligned with Codex</w:t>
      </w:r>
      <w:bookmarkEnd w:id="368"/>
      <w:bookmarkEnd w:id="369"/>
      <w:bookmarkEnd w:id="370"/>
      <w:r w:rsidR="00776154" w:rsidRPr="000E6B06">
        <w:rPr>
          <w:b/>
          <w:sz w:val="28"/>
          <w:szCs w:val="28"/>
        </w:rPr>
        <w:t xml:space="preserve"> </w:t>
      </w:r>
    </w:p>
    <w:p w14:paraId="4FF0D3E0" w14:textId="4E0AE50B" w:rsidR="00776154" w:rsidRDefault="00776154" w:rsidP="00776154">
      <w:r>
        <w:t xml:space="preserve">This section covers vitamin A and vitamin D which are nutrients that are currently aligned with Codex STAN 72-1981 and the preliminary view from the 2016 </w:t>
      </w:r>
      <w:r w:rsidR="00D71042">
        <w:t xml:space="preserve">Consultation paper </w:t>
      </w:r>
      <w:r>
        <w:t xml:space="preserve">was that the current permitted range should be retained. </w:t>
      </w:r>
    </w:p>
    <w:p w14:paraId="64FD0C84" w14:textId="0B31BB2D" w:rsidR="00776154" w:rsidRDefault="00193E8F" w:rsidP="002D0686">
      <w:pPr>
        <w:pStyle w:val="Heading3"/>
      </w:pPr>
      <w:bookmarkStart w:id="371" w:name="_Toc442797262"/>
      <w:bookmarkStart w:id="372" w:name="_Toc443466016"/>
      <w:r>
        <w:t>7</w:t>
      </w:r>
      <w:r w:rsidR="002D0686">
        <w:t>.3.1</w:t>
      </w:r>
      <w:r w:rsidR="002D0686">
        <w:tab/>
      </w:r>
      <w:r w:rsidR="00776154">
        <w:t>Vitamin A (maximum)</w:t>
      </w:r>
    </w:p>
    <w:p w14:paraId="5AD6237B" w14:textId="77777777" w:rsidR="00776154" w:rsidRDefault="00776154" w:rsidP="00776154">
      <w:pPr>
        <w:pStyle w:val="Heading4"/>
      </w:pPr>
      <w:r w:rsidRPr="00BA1FD9">
        <w:t>Current regulations</w:t>
      </w:r>
    </w:p>
    <w:p w14:paraId="40CC1F8E" w14:textId="7EEC4B75" w:rsidR="00776154" w:rsidRDefault="007C5B53" w:rsidP="00776154">
      <w:r>
        <w:t>Section S29—9</w:t>
      </w:r>
      <w:r w:rsidR="00776154" w:rsidRPr="00BA1FD9">
        <w:t xml:space="preserve"> and Codex</w:t>
      </w:r>
      <w:r w:rsidR="00776154">
        <w:t xml:space="preserve"> STAN 72-1981 vitamin A </w:t>
      </w:r>
      <w:r w:rsidR="00A7134C">
        <w:t xml:space="preserve">minimum and </w:t>
      </w:r>
      <w:r w:rsidR="00776154">
        <w:t>maximum</w:t>
      </w:r>
      <w:r w:rsidR="00776154" w:rsidRPr="00BA1FD9">
        <w:t xml:space="preserve"> </w:t>
      </w:r>
      <w:r w:rsidR="00776154">
        <w:t xml:space="preserve">are </w:t>
      </w:r>
      <w:r w:rsidR="00776154" w:rsidRPr="00BA1FD9">
        <w:t xml:space="preserve">aligned at </w:t>
      </w:r>
      <w:r w:rsidR="00A7134C">
        <w:t>14</w:t>
      </w:r>
      <w:r w:rsidR="00D71042">
        <w:t>–</w:t>
      </w:r>
      <w:r w:rsidR="00776154" w:rsidRPr="00BA1FD9">
        <w:t>43 µg/100 kJ</w:t>
      </w:r>
      <w:r w:rsidR="00A7134C">
        <w:t xml:space="preserve">. </w:t>
      </w:r>
      <w:r w:rsidR="00776154">
        <w:t xml:space="preserve">The maximum under EU Directive 2006 </w:t>
      </w:r>
      <w:r w:rsidR="00776154" w:rsidRPr="00BA1FD9">
        <w:t xml:space="preserve">was 43 µg/100 kJ but </w:t>
      </w:r>
      <w:r w:rsidR="00776154">
        <w:t xml:space="preserve">this was decreased to </w:t>
      </w:r>
      <w:r w:rsidR="00776154" w:rsidRPr="00BA1FD9">
        <w:t>27.2 µg/100 kJ</w:t>
      </w:r>
      <w:r w:rsidR="00776154">
        <w:t xml:space="preserve"> in EU </w:t>
      </w:r>
      <w:r w:rsidR="00D71042">
        <w:t>2016/127</w:t>
      </w:r>
      <w:r w:rsidR="00776154">
        <w:t>.</w:t>
      </w:r>
      <w:r w:rsidR="00A7134C">
        <w:t xml:space="preserve"> FSANZ 2021 label survey showed the</w:t>
      </w:r>
      <w:r w:rsidR="00A7134C" w:rsidRPr="00A7134C">
        <w:t xml:space="preserve"> average </w:t>
      </w:r>
      <w:r w:rsidR="00A7134C">
        <w:t xml:space="preserve">vitamin A </w:t>
      </w:r>
      <w:r w:rsidR="00A7134C" w:rsidRPr="00A7134C">
        <w:t>conte</w:t>
      </w:r>
      <w:r w:rsidR="00A7134C">
        <w:t>nt in products on the ANZ market ranged between</w:t>
      </w:r>
      <w:r w:rsidR="00A7134C" w:rsidRPr="00A7134C">
        <w:t xml:space="preserve"> 17.99 </w:t>
      </w:r>
      <w:r w:rsidR="00D71042">
        <w:t>and</w:t>
      </w:r>
      <w:r w:rsidR="00A7134C" w:rsidRPr="00A7134C">
        <w:t xml:space="preserve"> 38.88</w:t>
      </w:r>
      <w:r w:rsidR="00A7134C">
        <w:t xml:space="preserve"> </w:t>
      </w:r>
      <w:r w:rsidR="00A7134C" w:rsidRPr="00BA1FD9">
        <w:t>µg/100 kJ</w:t>
      </w:r>
      <w:r w:rsidR="007F4A71">
        <w:t xml:space="preserve"> (Figure 7.3.1)</w:t>
      </w:r>
      <w:r w:rsidR="00A7134C">
        <w:t>.</w:t>
      </w:r>
    </w:p>
    <w:p w14:paraId="13259278" w14:textId="77777777" w:rsidR="009106D5" w:rsidRDefault="009106D5" w:rsidP="00776154"/>
    <w:p w14:paraId="71E35177" w14:textId="233F99D9" w:rsidR="00776154" w:rsidRPr="007515C5" w:rsidRDefault="007149FF" w:rsidP="009106D5">
      <w:r>
        <w:rPr>
          <w:noProof/>
          <w:lang w:eastAsia="en-GB" w:bidi="ar-SA"/>
        </w:rPr>
        <w:drawing>
          <wp:inline distT="0" distB="0" distL="0" distR="0" wp14:anchorId="3E7BE0AB" wp14:editId="4160AB70">
            <wp:extent cx="5656580" cy="2088000"/>
            <wp:effectExtent l="0" t="0" r="1270" b="762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38B93BFD" w14:textId="3DA6A67F" w:rsidR="00776154" w:rsidRPr="006D0C0E" w:rsidRDefault="00193E8F" w:rsidP="0011607A">
      <w:pPr>
        <w:pStyle w:val="FSCaption"/>
        <w:rPr>
          <w:rFonts w:eastAsia="Calibri"/>
        </w:rPr>
      </w:pPr>
      <w:r>
        <w:rPr>
          <w:rFonts w:eastAsia="Calibri"/>
        </w:rPr>
        <w:t>Figure 7</w:t>
      </w:r>
      <w:r w:rsidR="007F4A71">
        <w:rPr>
          <w:rFonts w:eastAsia="Calibri"/>
        </w:rPr>
        <w:t>.3.1</w:t>
      </w:r>
      <w:r w:rsidR="00776154" w:rsidRPr="00B635B7">
        <w:rPr>
          <w:rFonts w:eastAsia="Calibri"/>
        </w:rPr>
        <w:tab/>
        <w:t xml:space="preserve">Comparison of the permitted ranges for </w:t>
      </w:r>
      <w:r w:rsidR="007149FF">
        <w:rPr>
          <w:rFonts w:eastAsia="Calibri"/>
        </w:rPr>
        <w:t>v</w:t>
      </w:r>
      <w:r w:rsidR="00776154" w:rsidRPr="00B635B7">
        <w:rPr>
          <w:rFonts w:eastAsia="Calibri"/>
        </w:rPr>
        <w:t>itamin A across standards (Standard 2.9.1, Codex STAN 72-1981 and EU 2016</w:t>
      </w:r>
      <w:r w:rsidR="00D71042">
        <w:rPr>
          <w:rFonts w:eastAsia="Calibri"/>
        </w:rPr>
        <w:t>/127</w:t>
      </w:r>
      <w:r w:rsidR="00776154" w:rsidRPr="00B635B7">
        <w:rPr>
          <w:rFonts w:eastAsia="Calibri"/>
        </w:rPr>
        <w:t>), human milk concentration, and the FSANZ survey of the average content in products on the ANZ market.</w:t>
      </w:r>
    </w:p>
    <w:p w14:paraId="353F3932" w14:textId="77777777" w:rsidR="00776154" w:rsidRDefault="00776154" w:rsidP="00776154">
      <w:pPr>
        <w:pStyle w:val="Heading4"/>
      </w:pPr>
      <w:r w:rsidRPr="00BA1FD9">
        <w:t>Previous consideration</w:t>
      </w:r>
    </w:p>
    <w:p w14:paraId="5581F64C" w14:textId="759D6EA8" w:rsidR="00776154" w:rsidRPr="00680121" w:rsidRDefault="00776154" w:rsidP="00776154">
      <w:pPr>
        <w:rPr>
          <w:lang w:val="en-AU" w:bidi="ar-SA"/>
        </w:rPr>
      </w:pPr>
      <w:r>
        <w:rPr>
          <w:lang w:bidi="ar-SA"/>
        </w:rPr>
        <w:t>In 2016 FSANZ</w:t>
      </w:r>
      <w:r w:rsidRPr="00680121">
        <w:rPr>
          <w:lang w:bidi="ar-SA"/>
        </w:rPr>
        <w:t xml:space="preserve"> </w:t>
      </w:r>
      <w:r>
        <w:rPr>
          <w:lang w:bidi="ar-SA"/>
        </w:rPr>
        <w:t xml:space="preserve">proposed to retain the permitted range for vitamin A. The 2016 nutrition </w:t>
      </w:r>
      <w:r w:rsidR="007149FF">
        <w:rPr>
          <w:lang w:bidi="ar-SA"/>
        </w:rPr>
        <w:t xml:space="preserve">risk </w:t>
      </w:r>
      <w:r>
        <w:rPr>
          <w:lang w:bidi="ar-SA"/>
        </w:rPr>
        <w:t xml:space="preserve">assessment determined that the existing maximum could lead to exceedance of the NHMRC UL for vitamin A (600 </w:t>
      </w:r>
      <w:r w:rsidR="007149FF">
        <w:rPr>
          <w:rFonts w:ascii="Calibri" w:hAnsi="Calibri" w:cs="Calibri"/>
          <w:lang w:bidi="ar-SA"/>
        </w:rPr>
        <w:t>µ</w:t>
      </w:r>
      <w:r>
        <w:rPr>
          <w:lang w:bidi="ar-SA"/>
        </w:rPr>
        <w:t>g/day for infants 0</w:t>
      </w:r>
      <w:r w:rsidR="00D70A45">
        <w:rPr>
          <w:lang w:bidi="ar-SA"/>
        </w:rPr>
        <w:t>–</w:t>
      </w:r>
      <w:r>
        <w:rPr>
          <w:lang w:bidi="ar-SA"/>
        </w:rPr>
        <w:t xml:space="preserve">12 months) but this exceedance was unlikely to </w:t>
      </w:r>
      <w:r>
        <w:rPr>
          <w:lang w:bidi="ar-SA"/>
        </w:rPr>
        <w:lastRenderedPageBreak/>
        <w:t>occur continuously over the period of formula feeding. There was no additional evidence that the current maximum amount was associated with adverse health effects.</w:t>
      </w:r>
    </w:p>
    <w:p w14:paraId="75D2B838" w14:textId="77777777" w:rsidR="00776154" w:rsidRDefault="00776154" w:rsidP="00776154">
      <w:pPr>
        <w:pStyle w:val="Heading4"/>
        <w:ind w:left="0" w:firstLine="0"/>
      </w:pPr>
      <w:r w:rsidRPr="00BA1FD9">
        <w:t>S</w:t>
      </w:r>
      <w:r>
        <w:t>takeholder views</w:t>
      </w:r>
    </w:p>
    <w:p w14:paraId="2FF22ACA" w14:textId="69DCB43D" w:rsidR="00776154" w:rsidRDefault="00776154" w:rsidP="00776154">
      <w:pPr>
        <w:rPr>
          <w:lang w:val="en-AU" w:bidi="ar-SA"/>
        </w:rPr>
      </w:pPr>
      <w:r>
        <w:rPr>
          <w:lang w:val="en-AU" w:bidi="ar-SA"/>
        </w:rPr>
        <w:t>Two submitters (</w:t>
      </w:r>
      <w:r w:rsidR="007149FF">
        <w:rPr>
          <w:lang w:val="en-AU" w:bidi="ar-SA"/>
        </w:rPr>
        <w:t>one</w:t>
      </w:r>
      <w:r>
        <w:rPr>
          <w:lang w:val="en-AU" w:bidi="ar-SA"/>
        </w:rPr>
        <w:t xml:space="preserve"> government, </w:t>
      </w:r>
      <w:r w:rsidR="007149FF">
        <w:rPr>
          <w:lang w:val="en-AU" w:bidi="ar-SA"/>
        </w:rPr>
        <w:t>one</w:t>
      </w:r>
      <w:r>
        <w:rPr>
          <w:lang w:val="en-AU" w:bidi="ar-SA"/>
        </w:rPr>
        <w:t xml:space="preserve"> industry) commented on the permitted range for vitamin A. The government submitter supported </w:t>
      </w:r>
      <w:r w:rsidR="00276663">
        <w:rPr>
          <w:lang w:val="en-AU" w:bidi="ar-SA"/>
        </w:rPr>
        <w:t>a lower maximum (</w:t>
      </w:r>
      <w:r>
        <w:rPr>
          <w:lang w:val="en-AU" w:bidi="ar-SA"/>
        </w:rPr>
        <w:t xml:space="preserve">27.2 </w:t>
      </w:r>
      <w:r w:rsidR="007149FF">
        <w:rPr>
          <w:rFonts w:ascii="Calibri" w:hAnsi="Calibri" w:cs="Calibri"/>
          <w:lang w:val="en-AU" w:bidi="ar-SA"/>
        </w:rPr>
        <w:t>µ</w:t>
      </w:r>
      <w:r>
        <w:rPr>
          <w:lang w:val="en-AU" w:bidi="ar-SA"/>
        </w:rPr>
        <w:t>g RE/100</w:t>
      </w:r>
      <w:r w:rsidR="007149FF">
        <w:rPr>
          <w:lang w:val="en-AU" w:bidi="ar-SA"/>
        </w:rPr>
        <w:t> </w:t>
      </w:r>
      <w:r>
        <w:rPr>
          <w:lang w:val="en-AU" w:bidi="ar-SA"/>
        </w:rPr>
        <w:t>kJ</w:t>
      </w:r>
      <w:r w:rsidR="00276663">
        <w:rPr>
          <w:lang w:val="en-AU" w:bidi="ar-SA"/>
        </w:rPr>
        <w:t>)</w:t>
      </w:r>
      <w:r>
        <w:rPr>
          <w:lang w:val="en-AU" w:bidi="ar-SA"/>
        </w:rPr>
        <w:t xml:space="preserve"> to align with EU </w:t>
      </w:r>
      <w:r w:rsidR="007149FF">
        <w:rPr>
          <w:lang w:val="en-AU" w:bidi="ar-SA"/>
        </w:rPr>
        <w:t>2016/127</w:t>
      </w:r>
      <w:r>
        <w:rPr>
          <w:lang w:val="en-AU" w:bidi="ar-SA"/>
        </w:rPr>
        <w:t>. The industry submitter supported retaining the current maximum</w:t>
      </w:r>
      <w:r w:rsidR="00276663">
        <w:rPr>
          <w:lang w:val="en-AU" w:bidi="ar-SA"/>
        </w:rPr>
        <w:t>.</w:t>
      </w:r>
    </w:p>
    <w:p w14:paraId="78605754" w14:textId="502E6606" w:rsidR="00776154" w:rsidRDefault="007149FF" w:rsidP="00776154">
      <w:pPr>
        <w:pStyle w:val="Heading4"/>
      </w:pPr>
      <w:r>
        <w:t>Nutrition r</w:t>
      </w:r>
      <w:r w:rsidR="00776154" w:rsidRPr="00BA1FD9">
        <w:t>isk assessment</w:t>
      </w:r>
    </w:p>
    <w:p w14:paraId="23032A74" w14:textId="4CB0924A" w:rsidR="00776154" w:rsidRDefault="00776154" w:rsidP="00776154">
      <w:r>
        <w:rPr>
          <w:lang w:val="en-AU" w:bidi="ar-SA"/>
        </w:rPr>
        <w:t xml:space="preserve">Further </w:t>
      </w:r>
      <w:r w:rsidR="007149FF">
        <w:rPr>
          <w:lang w:val="en-AU" w:bidi="ar-SA"/>
        </w:rPr>
        <w:t xml:space="preserve">nutrition </w:t>
      </w:r>
      <w:r>
        <w:rPr>
          <w:lang w:val="en-AU" w:bidi="ar-SA"/>
        </w:rPr>
        <w:t xml:space="preserve">risk assessment </w:t>
      </w:r>
      <w:r w:rsidR="00B05DBA">
        <w:rPr>
          <w:lang w:val="en-AU" w:bidi="ar-SA"/>
        </w:rPr>
        <w:t>(</w:t>
      </w:r>
      <w:r w:rsidR="002170C5">
        <w:rPr>
          <w:lang w:val="en-AU" w:bidi="ar-SA"/>
        </w:rPr>
        <w:t xml:space="preserve">SD1) </w:t>
      </w:r>
      <w:r>
        <w:rPr>
          <w:lang w:val="en-AU" w:bidi="ar-SA"/>
        </w:rPr>
        <w:t xml:space="preserve">considered the scientific basis for the maximum level set in EU 2016/127 and </w:t>
      </w:r>
      <w:r>
        <w:t xml:space="preserve">potential risks to infant health and safety if the maximum vitamin A amount was decreased to 27.2 </w:t>
      </w:r>
      <w:r w:rsidR="007149FF">
        <w:rPr>
          <w:rFonts w:ascii="Calibri" w:hAnsi="Calibri" w:cs="Calibri"/>
        </w:rPr>
        <w:t>µ</w:t>
      </w:r>
      <w:r>
        <w:t>g RE/100</w:t>
      </w:r>
      <w:r w:rsidR="007149FF">
        <w:t xml:space="preserve"> </w:t>
      </w:r>
      <w:r>
        <w:t>kJ. There was no explicit rationale explained in the 2014 EFSA opinion on infant formula composition. EFSA (2014</w:t>
      </w:r>
      <w:r w:rsidR="00056097">
        <w:t>b</w:t>
      </w:r>
      <w:r>
        <w:t>) also cited two recent studies which reported human milk concentrations of vitamin A to be 50</w:t>
      </w:r>
      <w:r w:rsidR="007149FF">
        <w:t>–</w:t>
      </w:r>
      <w:r>
        <w:rPr>
          <w:rFonts w:cs="Arial"/>
        </w:rPr>
        <w:t xml:space="preserve">54 µg RE/100 kJ which is higher than the maximum amount set under Codex STAN 72-1981 and </w:t>
      </w:r>
      <w:r w:rsidR="00880403">
        <w:rPr>
          <w:rFonts w:cs="Arial"/>
        </w:rPr>
        <w:t>section S29—9</w:t>
      </w:r>
      <w:r>
        <w:rPr>
          <w:rFonts w:cs="Arial"/>
        </w:rPr>
        <w:t xml:space="preserve">. </w:t>
      </w:r>
    </w:p>
    <w:p w14:paraId="4B805E36" w14:textId="77777777" w:rsidR="00776154" w:rsidRDefault="00776154" w:rsidP="00776154"/>
    <w:p w14:paraId="3D30EC54" w14:textId="45D772F5" w:rsidR="00AD4FAD" w:rsidRPr="00680121" w:rsidRDefault="00776154" w:rsidP="00776154">
      <w:pPr>
        <w:rPr>
          <w:lang w:val="en-AU"/>
        </w:rPr>
      </w:pPr>
      <w:r>
        <w:t xml:space="preserve">Regarding potential risks to infant health and safety, the risk assessment concluded </w:t>
      </w:r>
      <w:r>
        <w:rPr>
          <w:rFonts w:cs="Arial"/>
        </w:rPr>
        <w:t xml:space="preserve">use of the </w:t>
      </w:r>
      <w:r w:rsidR="00AD4FAD" w:rsidRPr="00BD1DB9">
        <w:rPr>
          <w:rFonts w:cs="Arial"/>
        </w:rPr>
        <w:t xml:space="preserve">EU 2016/127 </w:t>
      </w:r>
      <w:r w:rsidR="00AD4FAD">
        <w:rPr>
          <w:rFonts w:cs="Arial"/>
        </w:rPr>
        <w:t>minimum amount (</w:t>
      </w:r>
      <w:r w:rsidR="00AD4FAD" w:rsidRPr="00750A45">
        <w:rPr>
          <w:rFonts w:cs="Arial"/>
        </w:rPr>
        <w:t>16.7 µg RE/100 kJ</w:t>
      </w:r>
      <w:r w:rsidR="00AD4FAD">
        <w:rPr>
          <w:rFonts w:cs="Arial"/>
        </w:rPr>
        <w:t>)</w:t>
      </w:r>
      <w:r w:rsidR="00AD4FAD" w:rsidRPr="00750A45">
        <w:rPr>
          <w:rFonts w:cs="Arial"/>
        </w:rPr>
        <w:t xml:space="preserve"> </w:t>
      </w:r>
      <w:r w:rsidR="00AD4FAD">
        <w:rPr>
          <w:rFonts w:cs="Arial"/>
        </w:rPr>
        <w:t>and maximum amount (27.2 </w:t>
      </w:r>
      <w:r w:rsidR="00AD4FAD" w:rsidRPr="005269C2">
        <w:rPr>
          <w:rFonts w:cs="Arial"/>
        </w:rPr>
        <w:t>µg</w:t>
      </w:r>
      <w:r w:rsidR="00AD4FAD">
        <w:rPr>
          <w:rFonts w:cs="Arial"/>
        </w:rPr>
        <w:t xml:space="preserve"> RE</w:t>
      </w:r>
      <w:r w:rsidR="00AD4FAD" w:rsidRPr="005269C2">
        <w:rPr>
          <w:rFonts w:cs="Arial"/>
        </w:rPr>
        <w:t>/100 kJ</w:t>
      </w:r>
      <w:r w:rsidR="00287DB3">
        <w:rPr>
          <w:rFonts w:cs="Arial"/>
        </w:rPr>
        <w:t xml:space="preserve">) poses a low </w:t>
      </w:r>
      <w:r w:rsidR="00AD4FAD" w:rsidRPr="00750A45">
        <w:rPr>
          <w:rFonts w:cs="Arial"/>
        </w:rPr>
        <w:t>risk to infant health.</w:t>
      </w:r>
    </w:p>
    <w:p w14:paraId="3B5F644F" w14:textId="77777777" w:rsidR="00776154" w:rsidRDefault="00776154" w:rsidP="00776154">
      <w:pPr>
        <w:pStyle w:val="Heading4"/>
      </w:pPr>
      <w:r w:rsidRPr="00BA1FD9">
        <w:t>Options and discussion</w:t>
      </w:r>
    </w:p>
    <w:p w14:paraId="5597F387" w14:textId="7371DA5A" w:rsidR="00776154" w:rsidRPr="0075026F" w:rsidRDefault="00776154" w:rsidP="00776154">
      <w:pPr>
        <w:rPr>
          <w:rFonts w:cs="Arial"/>
        </w:rPr>
      </w:pPr>
      <w:r w:rsidRPr="0075026F">
        <w:rPr>
          <w:rFonts w:cs="Arial"/>
        </w:rPr>
        <w:t xml:space="preserve">Although not explicitly stated, EU </w:t>
      </w:r>
      <w:r w:rsidR="007149FF" w:rsidRPr="0075026F">
        <w:rPr>
          <w:rFonts w:cs="Arial"/>
        </w:rPr>
        <w:t xml:space="preserve">2016/127 </w:t>
      </w:r>
      <w:r w:rsidRPr="0075026F">
        <w:rPr>
          <w:rFonts w:cs="Arial"/>
        </w:rPr>
        <w:t xml:space="preserve">appears to be based on the EFSA 2014 paper on DRVs which considered that the UL (800 </w:t>
      </w:r>
      <w:r w:rsidR="007149FF" w:rsidRPr="00A45884">
        <w:rPr>
          <w:rFonts w:cs="Arial"/>
        </w:rPr>
        <w:t>µ</w:t>
      </w:r>
      <w:r w:rsidRPr="0075026F">
        <w:rPr>
          <w:rFonts w:cs="Arial"/>
        </w:rPr>
        <w:t>g RE/day; derived in 2002</w:t>
      </w:r>
      <w:r w:rsidRPr="0075026F">
        <w:rPr>
          <w:rFonts w:cs="Arial"/>
          <w:vertAlign w:val="superscript"/>
        </w:rPr>
        <w:footnoteReference w:id="13"/>
      </w:r>
      <w:r w:rsidRPr="0075026F">
        <w:rPr>
          <w:rFonts w:cs="Arial"/>
        </w:rPr>
        <w:t xml:space="preserve"> and set for children aged one to three years, i.e. not infants) could be exceeded with regular consumption of formula containing vitamin A at the maximum level of 43 </w:t>
      </w:r>
      <w:r w:rsidR="007149FF" w:rsidRPr="00A45884">
        <w:rPr>
          <w:rFonts w:cs="Arial"/>
        </w:rPr>
        <w:t>µ</w:t>
      </w:r>
      <w:r w:rsidRPr="0075026F">
        <w:rPr>
          <w:rFonts w:cs="Arial"/>
        </w:rPr>
        <w:t xml:space="preserve">g/100 kJ. </w:t>
      </w:r>
    </w:p>
    <w:p w14:paraId="41667129" w14:textId="77777777" w:rsidR="00776154" w:rsidRPr="006E311A" w:rsidRDefault="00776154" w:rsidP="00776154">
      <w:pPr>
        <w:rPr>
          <w:rFonts w:cs="Arial"/>
        </w:rPr>
      </w:pPr>
    </w:p>
    <w:p w14:paraId="12101A0C" w14:textId="00877B1F" w:rsidR="00776154" w:rsidRPr="00A60BB7" w:rsidRDefault="00776154" w:rsidP="00776154">
      <w:pPr>
        <w:rPr>
          <w:rFonts w:cs="Arial"/>
        </w:rPr>
      </w:pPr>
      <w:r w:rsidRPr="00C46AA4">
        <w:rPr>
          <w:rFonts w:cs="Arial"/>
        </w:rPr>
        <w:t xml:space="preserve">The maximum vitamin A amount is a regulated maximum upper level which means that the amount present in the formula at any time is 43 </w:t>
      </w:r>
      <w:r w:rsidR="007149FF" w:rsidRPr="00A45884">
        <w:rPr>
          <w:rFonts w:cs="Arial"/>
        </w:rPr>
        <w:t>µ</w:t>
      </w:r>
      <w:r w:rsidRPr="0075026F">
        <w:rPr>
          <w:rFonts w:cs="Arial"/>
        </w:rPr>
        <w:t>g RE/100</w:t>
      </w:r>
      <w:r w:rsidR="007149FF" w:rsidRPr="0075026F">
        <w:rPr>
          <w:rFonts w:cs="Arial"/>
        </w:rPr>
        <w:t xml:space="preserve"> </w:t>
      </w:r>
      <w:r w:rsidRPr="0075026F">
        <w:rPr>
          <w:rFonts w:cs="Arial"/>
        </w:rPr>
        <w:t xml:space="preserve">kJ or less. Although evidence has been presented that the NHMRC UL can be exceeded at median intake if the maximum permitted amount is used, no evidence of adverse effects has been presented at this level. </w:t>
      </w:r>
      <w:r w:rsidRPr="006E311A">
        <w:rPr>
          <w:rFonts w:cs="Arial"/>
        </w:rPr>
        <w:t xml:space="preserve">The </w:t>
      </w:r>
      <w:r w:rsidR="007149FF" w:rsidRPr="006E311A">
        <w:rPr>
          <w:rFonts w:cs="Arial"/>
        </w:rPr>
        <w:t xml:space="preserve">2021 </w:t>
      </w:r>
      <w:r w:rsidRPr="006E311A">
        <w:rPr>
          <w:rFonts w:cs="Arial"/>
        </w:rPr>
        <w:t>FSANZ survey of the range of vitamin A content of products on the market confirmed that this maximum amount is unlikely to be exceeded</w:t>
      </w:r>
      <w:r w:rsidR="00AD4FAD" w:rsidRPr="00C46AA4">
        <w:rPr>
          <w:rFonts w:cs="Arial"/>
        </w:rPr>
        <w:t xml:space="preserve"> (see Figure 7</w:t>
      </w:r>
      <w:r w:rsidRPr="00A60BB7">
        <w:rPr>
          <w:rFonts w:cs="Arial"/>
        </w:rPr>
        <w:t>.3.1.1 for further details).</w:t>
      </w:r>
    </w:p>
    <w:p w14:paraId="0EC40445" w14:textId="77777777" w:rsidR="00776154" w:rsidRPr="00A60BB7" w:rsidRDefault="00776154" w:rsidP="00776154">
      <w:pPr>
        <w:rPr>
          <w:rFonts w:cs="Arial"/>
        </w:rPr>
      </w:pPr>
    </w:p>
    <w:p w14:paraId="10E4909A" w14:textId="5AF68095" w:rsidR="00776154" w:rsidRPr="00A60BB7" w:rsidRDefault="00776154" w:rsidP="00776154">
      <w:pPr>
        <w:rPr>
          <w:rFonts w:cs="Arial"/>
          <w:lang w:val="en-AU" w:bidi="ar-SA"/>
        </w:rPr>
      </w:pPr>
      <w:r w:rsidRPr="00A60BB7">
        <w:rPr>
          <w:rFonts w:cs="Arial"/>
        </w:rPr>
        <w:t xml:space="preserve">The recent review </w:t>
      </w:r>
      <w:r w:rsidR="007149FF" w:rsidRPr="00A60BB7">
        <w:rPr>
          <w:rFonts w:cs="Arial"/>
        </w:rPr>
        <w:t xml:space="preserve">of </w:t>
      </w:r>
      <w:r w:rsidRPr="00A45884">
        <w:rPr>
          <w:rFonts w:cs="Arial"/>
        </w:rPr>
        <w:t xml:space="preserve">the Codex standard of follow-up formula determined that the maximum vitamin A amount be retained at 43 </w:t>
      </w:r>
      <w:r w:rsidR="007149FF" w:rsidRPr="00A45884">
        <w:rPr>
          <w:rFonts w:cs="Arial"/>
        </w:rPr>
        <w:t>µ</w:t>
      </w:r>
      <w:r w:rsidRPr="0075026F">
        <w:rPr>
          <w:rFonts w:cs="Arial"/>
        </w:rPr>
        <w:t>g/100 kJ. The lower maximum level set by the EU falls within the proposed permitted range of vitamin A, so would not present any concerns</w:t>
      </w:r>
      <w:r w:rsidR="00AD4FAD" w:rsidRPr="006E311A">
        <w:rPr>
          <w:rFonts w:cs="Arial"/>
        </w:rPr>
        <w:t xml:space="preserve"> for trade from the EU (Figure 7.3.1.1). Figure 7</w:t>
      </w:r>
      <w:r w:rsidRPr="006E311A">
        <w:rPr>
          <w:rFonts w:cs="Arial"/>
        </w:rPr>
        <w:t xml:space="preserve">.3.1.1 also </w:t>
      </w:r>
      <w:r w:rsidR="007149FF" w:rsidRPr="006E311A">
        <w:rPr>
          <w:rFonts w:cs="Arial"/>
        </w:rPr>
        <w:t xml:space="preserve">shows </w:t>
      </w:r>
      <w:r w:rsidRPr="006E311A">
        <w:rPr>
          <w:rFonts w:cs="Arial"/>
        </w:rPr>
        <w:t xml:space="preserve">that the Codex </w:t>
      </w:r>
      <w:r w:rsidR="004D44DC" w:rsidRPr="006E311A">
        <w:rPr>
          <w:rFonts w:cs="Arial"/>
        </w:rPr>
        <w:t xml:space="preserve">permitted </w:t>
      </w:r>
      <w:r w:rsidRPr="006E311A">
        <w:rPr>
          <w:rFonts w:cs="Arial"/>
        </w:rPr>
        <w:t>range is consi</w:t>
      </w:r>
      <w:r w:rsidRPr="00C46AA4">
        <w:rPr>
          <w:rFonts w:cs="Arial"/>
        </w:rPr>
        <w:t xml:space="preserve">stent with human milk concentrations, whereas the EU range has a much lower maximum. </w:t>
      </w:r>
    </w:p>
    <w:p w14:paraId="2B8C2D01" w14:textId="77777777" w:rsidR="00776154" w:rsidRPr="00BA1FD9" w:rsidRDefault="00776154" w:rsidP="00776154">
      <w:pPr>
        <w:pStyle w:val="Heading4"/>
      </w:pPr>
      <w:r w:rsidRPr="00BA1FD9">
        <w:t>Prop</w:t>
      </w:r>
      <w:r>
        <w:t>o</w:t>
      </w:r>
      <w:r w:rsidRPr="00BA1FD9">
        <w:t xml:space="preserve">sed </w:t>
      </w:r>
      <w:r>
        <w:t>approach</w:t>
      </w:r>
    </w:p>
    <w:p w14:paraId="3BA736A9" w14:textId="156FB48F" w:rsidR="00776154" w:rsidRDefault="00776154" w:rsidP="00776154">
      <w:r>
        <w:t xml:space="preserve">Based on alignment with </w:t>
      </w:r>
      <w:r w:rsidRPr="00BA1FD9">
        <w:t>Codex</w:t>
      </w:r>
      <w:r>
        <w:t xml:space="preserve"> STAN 72-1981, </w:t>
      </w:r>
      <w:r w:rsidR="00B96544">
        <w:t xml:space="preserve">Codex Draft Standard for FUF </w:t>
      </w:r>
      <w:r>
        <w:t>and human milk concentrations, FSANZ proposes to retain the current maximum amount for vitamin A</w:t>
      </w:r>
      <w:r w:rsidRPr="007D249F">
        <w:t xml:space="preserve"> </w:t>
      </w:r>
      <w:r>
        <w:t xml:space="preserve">in </w:t>
      </w:r>
      <w:r w:rsidR="00880403">
        <w:t>section S29—</w:t>
      </w:r>
      <w:r w:rsidR="00944FE2">
        <w:t>9</w:t>
      </w:r>
      <w:r>
        <w:t>. This is also based on the absence of data indicating that the current maximum of 43 µg/100 kJ is associated with adverse health effects</w:t>
      </w:r>
      <w:r w:rsidR="001E68AB">
        <w:t xml:space="preserve"> in infants</w:t>
      </w:r>
      <w:r>
        <w:t xml:space="preserve">, the </w:t>
      </w:r>
      <w:r>
        <w:lastRenderedPageBreak/>
        <w:t xml:space="preserve">uncertainty around the basis for EU </w:t>
      </w:r>
      <w:r w:rsidR="00CF073A">
        <w:t>2016/127</w:t>
      </w:r>
      <w:r>
        <w:t xml:space="preserve">, and the objective of this Proposal to align with Codex STAN 72-1981 where possible.  </w:t>
      </w:r>
    </w:p>
    <w:p w14:paraId="18E8CD2F" w14:textId="77777777" w:rsidR="00776154" w:rsidRDefault="00776154" w:rsidP="00776154"/>
    <w:p w14:paraId="36144B1B" w14:textId="77777777" w:rsidR="00776154" w:rsidRDefault="00776154" w:rsidP="00776154">
      <w:r>
        <w:t>The minimum vitamin A</w:t>
      </w:r>
      <w:r w:rsidRPr="00DA7309">
        <w:t xml:space="preserve"> amount is retained as no submissions indicated concerns about FSANZ’s 2016 conclusions and no new information has been identified.    </w:t>
      </w:r>
    </w:p>
    <w:p w14:paraId="59B4390B" w14:textId="243F360E" w:rsidR="00776154" w:rsidRDefault="00193E8F" w:rsidP="002D0686">
      <w:pPr>
        <w:pStyle w:val="Heading3"/>
      </w:pPr>
      <w:r>
        <w:t>7</w:t>
      </w:r>
      <w:r w:rsidR="00776154">
        <w:t>.3.2</w:t>
      </w:r>
      <w:r w:rsidR="00776154">
        <w:tab/>
      </w:r>
      <w:bookmarkEnd w:id="371"/>
      <w:bookmarkEnd w:id="372"/>
      <w:r w:rsidR="00776154">
        <w:t xml:space="preserve">Vitamin D </w:t>
      </w:r>
    </w:p>
    <w:p w14:paraId="71FD3E46" w14:textId="77777777" w:rsidR="00776154" w:rsidRPr="003B135E" w:rsidRDefault="00776154" w:rsidP="00776154">
      <w:pPr>
        <w:pStyle w:val="Heading4"/>
        <w:rPr>
          <w:lang w:eastAsia="en-AU"/>
        </w:rPr>
      </w:pPr>
      <w:r>
        <w:rPr>
          <w:lang w:eastAsia="en-AU"/>
        </w:rPr>
        <w:t>Current regulations</w:t>
      </w:r>
    </w:p>
    <w:p w14:paraId="1B4AF71F" w14:textId="70E1C37F" w:rsidR="00776154" w:rsidRDefault="00776154" w:rsidP="00776154">
      <w:r>
        <w:t xml:space="preserve">The permitted range </w:t>
      </w:r>
      <w:r w:rsidR="007527C3">
        <w:t xml:space="preserve">for vitamin D </w:t>
      </w:r>
      <w:r>
        <w:t xml:space="preserve">in </w:t>
      </w:r>
      <w:r w:rsidR="006F0EB0">
        <w:t>section S29—9</w:t>
      </w:r>
      <w:r>
        <w:t xml:space="preserve"> </w:t>
      </w:r>
      <w:r w:rsidR="007527C3">
        <w:t>(0.2</w:t>
      </w:r>
      <w:r w:rsidR="009022BE">
        <w:t>5</w:t>
      </w:r>
      <w:r w:rsidR="007527C3">
        <w:t xml:space="preserve"> – 0.63 </w:t>
      </w:r>
      <w:r w:rsidR="007527C3">
        <w:rPr>
          <w:rFonts w:ascii="Times New Roman" w:hAnsi="Times New Roman"/>
        </w:rPr>
        <w:t>µ</w:t>
      </w:r>
      <w:r w:rsidR="007527C3">
        <w:t xml:space="preserve">g/100 kJ) is comparable to that in </w:t>
      </w:r>
      <w:r>
        <w:t>C</w:t>
      </w:r>
      <w:r w:rsidRPr="00E53773">
        <w:t>odex</w:t>
      </w:r>
      <w:r>
        <w:t xml:space="preserve"> STAN 72-1981 </w:t>
      </w:r>
      <w:r w:rsidR="007527C3">
        <w:t xml:space="preserve">(0.25 – 0.6 </w:t>
      </w:r>
      <w:r w:rsidR="007527C3">
        <w:rPr>
          <w:rFonts w:ascii="Times New Roman" w:hAnsi="Times New Roman"/>
        </w:rPr>
        <w:t>µ</w:t>
      </w:r>
      <w:r w:rsidR="007527C3">
        <w:t>g/100 kJ)</w:t>
      </w:r>
      <w:r>
        <w:t xml:space="preserve">. The permitted range for vitamin D under EU 2016/127 was </w:t>
      </w:r>
      <w:r w:rsidR="007527C3">
        <w:t xml:space="preserve">recently revised </w:t>
      </w:r>
      <w:r>
        <w:t>to 0.48</w:t>
      </w:r>
      <w:r w:rsidR="009022BE">
        <w:t xml:space="preserve"> </w:t>
      </w:r>
      <w:r w:rsidR="00CF073A">
        <w:t>–</w:t>
      </w:r>
      <w:r w:rsidR="009022BE">
        <w:t xml:space="preserve"> </w:t>
      </w:r>
      <w:r>
        <w:t xml:space="preserve">0.6 </w:t>
      </w:r>
      <w:r w:rsidRPr="00695811">
        <w:t xml:space="preserve">µg/100 kJ </w:t>
      </w:r>
      <w:r w:rsidRPr="00456BBD">
        <w:t>(</w:t>
      </w:r>
      <w:r w:rsidR="00032A9F">
        <w:t xml:space="preserve">European Commission </w:t>
      </w:r>
      <w:r w:rsidR="00087219">
        <w:t xml:space="preserve">2019). </w:t>
      </w:r>
    </w:p>
    <w:p w14:paraId="3EA543F8" w14:textId="77777777" w:rsidR="005023EF" w:rsidRDefault="005023EF" w:rsidP="00776154"/>
    <w:p w14:paraId="25F7251F" w14:textId="198E8B68" w:rsidR="00776154" w:rsidRDefault="00910346" w:rsidP="00776154">
      <w:r>
        <w:rPr>
          <w:noProof/>
          <w:lang w:eastAsia="en-GB" w:bidi="ar-SA"/>
        </w:rPr>
        <w:drawing>
          <wp:inline distT="0" distB="0" distL="0" distR="0" wp14:anchorId="1102835E" wp14:editId="0E2E1FFB">
            <wp:extent cx="5579533" cy="1882191"/>
            <wp:effectExtent l="0" t="0" r="2540" b="381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595651" cy="1887628"/>
                    </a:xfrm>
                    <a:prstGeom prst="rect">
                      <a:avLst/>
                    </a:prstGeom>
                    <a:noFill/>
                  </pic:spPr>
                </pic:pic>
              </a:graphicData>
            </a:graphic>
          </wp:inline>
        </w:drawing>
      </w:r>
    </w:p>
    <w:p w14:paraId="1557ED55" w14:textId="38A0E5A5" w:rsidR="00776154" w:rsidRDefault="00193E8F" w:rsidP="0011607A">
      <w:pPr>
        <w:pStyle w:val="FSCaption"/>
      </w:pPr>
      <w:r>
        <w:rPr>
          <w:rFonts w:eastAsia="Calibri"/>
          <w:szCs w:val="22"/>
        </w:rPr>
        <w:t>Figure 7</w:t>
      </w:r>
      <w:r w:rsidR="00776154">
        <w:rPr>
          <w:rFonts w:eastAsia="Calibri"/>
          <w:szCs w:val="22"/>
        </w:rPr>
        <w:t>.3.2</w:t>
      </w:r>
      <w:r w:rsidR="00776154" w:rsidRPr="00B635B7">
        <w:rPr>
          <w:rFonts w:eastAsia="Calibri"/>
          <w:szCs w:val="22"/>
        </w:rPr>
        <w:tab/>
      </w:r>
      <w:r w:rsidR="00776154">
        <w:t xml:space="preserve">Comparison of the permitted ranges for </w:t>
      </w:r>
      <w:r w:rsidR="00CF073A">
        <w:t>v</w:t>
      </w:r>
      <w:r w:rsidR="00776154">
        <w:t>itamin D across standards (Standard 2.9.1, Codex STAN 72-1981 and EU 2016</w:t>
      </w:r>
      <w:r w:rsidR="00CF073A">
        <w:t>/127</w:t>
      </w:r>
      <w:r w:rsidR="00776154">
        <w:t xml:space="preserve">), human milk concentration, and the FSANZ survey of the </w:t>
      </w:r>
      <w:r w:rsidR="00776154" w:rsidRPr="00970565">
        <w:t>average content in products on the ANZ market</w:t>
      </w:r>
      <w:r w:rsidR="00776154">
        <w:t>.</w:t>
      </w:r>
    </w:p>
    <w:p w14:paraId="69388BE6" w14:textId="77777777" w:rsidR="00776154" w:rsidRDefault="00776154" w:rsidP="00776154">
      <w:pPr>
        <w:pStyle w:val="Heading4"/>
        <w:rPr>
          <w:lang w:eastAsia="en-AU"/>
        </w:rPr>
      </w:pPr>
      <w:r>
        <w:rPr>
          <w:lang w:eastAsia="en-AU"/>
        </w:rPr>
        <w:t>Previous consideration</w:t>
      </w:r>
    </w:p>
    <w:p w14:paraId="395BF556" w14:textId="108B2106" w:rsidR="00776154" w:rsidRDefault="00776154" w:rsidP="00776154">
      <w:pPr>
        <w:rPr>
          <w:lang w:eastAsia="en-AU" w:bidi="ar-SA"/>
        </w:rPr>
      </w:pPr>
      <w:r>
        <w:rPr>
          <w:lang w:eastAsia="en-AU" w:bidi="ar-SA"/>
        </w:rPr>
        <w:t>In 2016 FSANZ considere</w:t>
      </w:r>
      <w:r w:rsidR="0077322E">
        <w:rPr>
          <w:lang w:eastAsia="en-AU" w:bidi="ar-SA"/>
        </w:rPr>
        <w:t xml:space="preserve">d it appropriate to retain the </w:t>
      </w:r>
      <w:r>
        <w:rPr>
          <w:lang w:eastAsia="en-AU" w:bidi="ar-SA"/>
        </w:rPr>
        <w:t xml:space="preserve">vitamin D range </w:t>
      </w:r>
      <w:r w:rsidR="0077322E">
        <w:rPr>
          <w:lang w:eastAsia="en-AU" w:bidi="ar-SA"/>
        </w:rPr>
        <w:t xml:space="preserve">to </w:t>
      </w:r>
      <w:r w:rsidR="0077322E">
        <w:t xml:space="preserve">0.25 – 0.63 </w:t>
      </w:r>
      <w:r w:rsidR="0077322E">
        <w:rPr>
          <w:rFonts w:ascii="Times New Roman" w:hAnsi="Times New Roman"/>
        </w:rPr>
        <w:t>µ</w:t>
      </w:r>
      <w:r w:rsidR="0077322E">
        <w:t xml:space="preserve">g/100 kJ </w:t>
      </w:r>
      <w:r w:rsidR="0077322E">
        <w:rPr>
          <w:lang w:eastAsia="en-AU" w:bidi="ar-SA"/>
        </w:rPr>
        <w:t xml:space="preserve">as this </w:t>
      </w:r>
      <w:r>
        <w:rPr>
          <w:lang w:eastAsia="en-AU" w:bidi="ar-SA"/>
        </w:rPr>
        <w:t xml:space="preserve">was </w:t>
      </w:r>
      <w:r w:rsidRPr="00F4778C">
        <w:rPr>
          <w:lang w:eastAsia="en-AU" w:bidi="ar-SA"/>
        </w:rPr>
        <w:t>unlikely to pose a risk to infant health</w:t>
      </w:r>
      <w:r w:rsidR="007527C3">
        <w:rPr>
          <w:lang w:eastAsia="en-AU" w:bidi="ar-SA"/>
        </w:rPr>
        <w:t xml:space="preserve"> and a change</w:t>
      </w:r>
      <w:r w:rsidR="009022BE">
        <w:rPr>
          <w:lang w:eastAsia="en-AU" w:bidi="ar-SA"/>
        </w:rPr>
        <w:t xml:space="preserve"> would </w:t>
      </w:r>
      <w:r w:rsidR="007527C3">
        <w:rPr>
          <w:lang w:eastAsia="en-AU" w:bidi="ar-SA"/>
        </w:rPr>
        <w:t>result in inconsistency with Codex STAN 72-1981</w:t>
      </w:r>
      <w:r>
        <w:rPr>
          <w:lang w:eastAsia="en-AU" w:bidi="ar-SA"/>
        </w:rPr>
        <w:t xml:space="preserve">. FSANZ also concluded in 2016 that the current range was achievable for industry, thus not impacting on the manufacturing of infant formula. </w:t>
      </w:r>
    </w:p>
    <w:p w14:paraId="17DFA49C" w14:textId="77777777" w:rsidR="00776154" w:rsidRDefault="00776154" w:rsidP="00776154">
      <w:pPr>
        <w:pStyle w:val="Heading4"/>
        <w:ind w:left="0" w:firstLine="0"/>
      </w:pPr>
      <w:r w:rsidRPr="00BA1FD9">
        <w:t>S</w:t>
      </w:r>
      <w:r>
        <w:t>takeholder views</w:t>
      </w:r>
    </w:p>
    <w:p w14:paraId="79BAA945" w14:textId="611B9B08" w:rsidR="00776154" w:rsidRDefault="00776154" w:rsidP="00776154">
      <w:pPr>
        <w:autoSpaceDE w:val="0"/>
        <w:autoSpaceDN w:val="0"/>
        <w:adjustRightInd w:val="0"/>
        <w:rPr>
          <w:rFonts w:ascii="ArialMT" w:hAnsi="ArialMT" w:cs="ArialMT"/>
          <w:szCs w:val="22"/>
          <w:lang w:eastAsia="en-GB" w:bidi="ar-SA"/>
        </w:rPr>
      </w:pPr>
      <w:r>
        <w:rPr>
          <w:lang w:eastAsia="en-AU" w:bidi="ar-SA"/>
        </w:rPr>
        <w:t>Six</w:t>
      </w:r>
      <w:r w:rsidRPr="00152C5D">
        <w:rPr>
          <w:lang w:eastAsia="en-AU" w:bidi="ar-SA"/>
        </w:rPr>
        <w:t xml:space="preserve"> sub</w:t>
      </w:r>
      <w:r>
        <w:rPr>
          <w:lang w:eastAsia="en-AU" w:bidi="ar-SA"/>
        </w:rPr>
        <w:t>mitters (</w:t>
      </w:r>
      <w:r w:rsidR="00CF073A">
        <w:rPr>
          <w:lang w:eastAsia="en-AU" w:bidi="ar-SA"/>
        </w:rPr>
        <w:t>one</w:t>
      </w:r>
      <w:r w:rsidRPr="00152C5D">
        <w:rPr>
          <w:lang w:eastAsia="en-AU" w:bidi="ar-SA"/>
        </w:rPr>
        <w:t xml:space="preserve"> government</w:t>
      </w:r>
      <w:r>
        <w:rPr>
          <w:lang w:eastAsia="en-AU" w:bidi="ar-SA"/>
        </w:rPr>
        <w:t xml:space="preserve">, </w:t>
      </w:r>
      <w:r w:rsidR="00CF073A">
        <w:rPr>
          <w:lang w:eastAsia="en-AU" w:bidi="ar-SA"/>
        </w:rPr>
        <w:t>five</w:t>
      </w:r>
      <w:r>
        <w:rPr>
          <w:lang w:eastAsia="en-AU" w:bidi="ar-SA"/>
        </w:rPr>
        <w:t xml:space="preserve"> industry)</w:t>
      </w:r>
      <w:r>
        <w:rPr>
          <w:rFonts w:ascii="ArialMT" w:hAnsi="ArialMT" w:cs="ArialMT"/>
          <w:szCs w:val="22"/>
          <w:lang w:eastAsia="en-GB" w:bidi="ar-SA"/>
        </w:rPr>
        <w:t xml:space="preserve"> commented on the permitted range for vitamin D. One government submission supported retaining the current </w:t>
      </w:r>
      <w:r w:rsidR="00067C5E">
        <w:rPr>
          <w:rFonts w:ascii="ArialMT" w:hAnsi="ArialMT" w:cs="ArialMT"/>
          <w:szCs w:val="22"/>
          <w:lang w:eastAsia="en-GB" w:bidi="ar-SA"/>
        </w:rPr>
        <w:t>section S29—9</w:t>
      </w:r>
      <w:r>
        <w:rPr>
          <w:rFonts w:ascii="ArialMT" w:hAnsi="ArialMT" w:cs="ArialMT"/>
          <w:szCs w:val="22"/>
          <w:lang w:eastAsia="en-GB" w:bidi="ar-SA"/>
        </w:rPr>
        <w:t xml:space="preserve"> range. </w:t>
      </w:r>
      <w:r w:rsidR="00174AAB">
        <w:rPr>
          <w:rFonts w:ascii="ArialMT" w:hAnsi="ArialMT" w:cs="ArialMT"/>
          <w:szCs w:val="22"/>
          <w:lang w:eastAsia="en-GB" w:bidi="ar-SA"/>
        </w:rPr>
        <w:t>However</w:t>
      </w:r>
      <w:r>
        <w:rPr>
          <w:rFonts w:ascii="ArialMT" w:hAnsi="ArialMT" w:cs="ArialMT"/>
          <w:szCs w:val="22"/>
          <w:lang w:eastAsia="en-GB" w:bidi="ar-SA"/>
        </w:rPr>
        <w:t>, industry submitters supported alignment with the EU maximum</w:t>
      </w:r>
      <w:r w:rsidR="009022BE">
        <w:rPr>
          <w:rFonts w:ascii="ArialMT" w:hAnsi="ArialMT" w:cs="ArialMT"/>
          <w:szCs w:val="22"/>
          <w:lang w:eastAsia="en-GB" w:bidi="ar-SA"/>
        </w:rPr>
        <w:t xml:space="preserve"> (at that time  set to 0.72 </w:t>
      </w:r>
      <w:r w:rsidR="009022BE" w:rsidRPr="00731710">
        <w:t>µ</w:t>
      </w:r>
      <w:r w:rsidR="009022BE">
        <w:t>g/100 kJ)</w:t>
      </w:r>
      <w:r w:rsidR="009022BE">
        <w:rPr>
          <w:rFonts w:ascii="ArialMT" w:hAnsi="ArialMT" w:cs="ArialMT"/>
          <w:szCs w:val="22"/>
          <w:lang w:eastAsia="en-GB" w:bidi="ar-SA"/>
        </w:rPr>
        <w:t xml:space="preserve"> </w:t>
      </w:r>
      <w:r w:rsidR="009D3222">
        <w:rPr>
          <w:rFonts w:ascii="ArialMT" w:hAnsi="ArialMT" w:cs="ArialMT"/>
          <w:szCs w:val="22"/>
          <w:lang w:eastAsia="en-GB" w:bidi="ar-SA"/>
        </w:rPr>
        <w:t>to enable a broader c</w:t>
      </w:r>
      <w:r>
        <w:rPr>
          <w:rFonts w:ascii="ArialMT" w:hAnsi="ArialMT" w:cs="ArialMT"/>
          <w:szCs w:val="22"/>
          <w:lang w:eastAsia="en-GB" w:bidi="ar-SA"/>
        </w:rPr>
        <w:t>ommon range</w:t>
      </w:r>
      <w:r w:rsidR="009022BE" w:rsidRPr="009022BE">
        <w:rPr>
          <w:rFonts w:ascii="ArialMT" w:hAnsi="ArialMT" w:cs="ArialMT"/>
          <w:szCs w:val="22"/>
          <w:lang w:eastAsia="en-GB" w:bidi="ar-SA"/>
        </w:rPr>
        <w:t xml:space="preserve"> </w:t>
      </w:r>
      <w:r>
        <w:rPr>
          <w:rFonts w:ascii="ArialMT" w:hAnsi="ArialMT" w:cs="ArialMT"/>
          <w:szCs w:val="22"/>
          <w:lang w:eastAsia="en-GB" w:bidi="ar-SA"/>
        </w:rPr>
        <w:t xml:space="preserve">between </w:t>
      </w:r>
      <w:r w:rsidR="009022BE">
        <w:rPr>
          <w:rFonts w:ascii="ArialMT" w:hAnsi="ArialMT" w:cs="ArialMT"/>
          <w:szCs w:val="22"/>
          <w:lang w:eastAsia="en-GB" w:bidi="ar-SA"/>
        </w:rPr>
        <w:t xml:space="preserve">the Code, </w:t>
      </w:r>
      <w:r>
        <w:rPr>
          <w:rFonts w:ascii="ArialMT" w:hAnsi="ArialMT" w:cs="ArialMT"/>
          <w:szCs w:val="22"/>
          <w:lang w:eastAsia="en-GB" w:bidi="ar-SA"/>
        </w:rPr>
        <w:t xml:space="preserve">Codex STAN 72-1981 </w:t>
      </w:r>
      <w:r w:rsidR="009022BE">
        <w:rPr>
          <w:rFonts w:ascii="ArialMT" w:hAnsi="ArialMT" w:cs="ArialMT"/>
          <w:szCs w:val="22"/>
          <w:lang w:eastAsia="en-GB" w:bidi="ar-SA"/>
        </w:rPr>
        <w:t>a</w:t>
      </w:r>
      <w:r>
        <w:rPr>
          <w:rFonts w:ascii="ArialMT" w:hAnsi="ArialMT" w:cs="ArialMT"/>
          <w:szCs w:val="22"/>
          <w:lang w:eastAsia="en-GB" w:bidi="ar-SA"/>
        </w:rPr>
        <w:t xml:space="preserve">nd EU </w:t>
      </w:r>
      <w:r w:rsidR="00174AAB">
        <w:rPr>
          <w:rFonts w:ascii="ArialMT" w:hAnsi="ArialMT" w:cs="ArialMT"/>
          <w:szCs w:val="22"/>
          <w:lang w:eastAsia="en-GB" w:bidi="ar-SA"/>
        </w:rPr>
        <w:t>2016/127</w:t>
      </w:r>
      <w:r w:rsidR="009022BE">
        <w:rPr>
          <w:rFonts w:ascii="ArialMT" w:hAnsi="ArialMT" w:cs="ArialMT"/>
          <w:szCs w:val="22"/>
          <w:lang w:eastAsia="en-GB" w:bidi="ar-SA"/>
        </w:rPr>
        <w:t xml:space="preserve"> regulations. </w:t>
      </w:r>
    </w:p>
    <w:p w14:paraId="08FCA98A" w14:textId="7A65C0CB" w:rsidR="00776154" w:rsidRDefault="00174AAB" w:rsidP="00776154">
      <w:pPr>
        <w:pStyle w:val="Heading4"/>
      </w:pPr>
      <w:r>
        <w:t>Nutrition r</w:t>
      </w:r>
      <w:r w:rsidR="00776154">
        <w:t xml:space="preserve">isk assessment </w:t>
      </w:r>
    </w:p>
    <w:p w14:paraId="6000D525" w14:textId="731FF45B" w:rsidR="00776154" w:rsidRDefault="00776154" w:rsidP="00776154">
      <w:pPr>
        <w:rPr>
          <w:lang w:val="en-AU" w:bidi="ar-SA"/>
        </w:rPr>
      </w:pPr>
      <w:r>
        <w:rPr>
          <w:lang w:val="en-AU" w:bidi="ar-SA"/>
        </w:rPr>
        <w:t xml:space="preserve">No further </w:t>
      </w:r>
      <w:r w:rsidR="00174AAB">
        <w:rPr>
          <w:lang w:val="en-AU" w:bidi="ar-SA"/>
        </w:rPr>
        <w:t xml:space="preserve">nutrition </w:t>
      </w:r>
      <w:r>
        <w:rPr>
          <w:lang w:val="en-AU" w:bidi="ar-SA"/>
        </w:rPr>
        <w:t>risk assessment has been considered</w:t>
      </w:r>
      <w:r w:rsidR="009022BE">
        <w:rPr>
          <w:lang w:val="en-AU" w:bidi="ar-SA"/>
        </w:rPr>
        <w:t xml:space="preserve">. </w:t>
      </w:r>
      <w:r>
        <w:rPr>
          <w:lang w:val="en-AU" w:bidi="ar-SA"/>
        </w:rPr>
        <w:t xml:space="preserve"> </w:t>
      </w:r>
    </w:p>
    <w:p w14:paraId="1AFDC742" w14:textId="77777777" w:rsidR="00776154" w:rsidRDefault="00776154" w:rsidP="00776154">
      <w:pPr>
        <w:pStyle w:val="Heading4"/>
      </w:pPr>
      <w:r>
        <w:t>Options and discussion</w:t>
      </w:r>
    </w:p>
    <w:p w14:paraId="14D1E826" w14:textId="3E353B8A" w:rsidR="00776154" w:rsidRPr="005B1330" w:rsidRDefault="009D3222" w:rsidP="00776154">
      <w:r>
        <w:rPr>
          <w:lang w:val="en-AU" w:bidi="ar-SA"/>
        </w:rPr>
        <w:t>C</w:t>
      </w:r>
      <w:r w:rsidR="00776154">
        <w:rPr>
          <w:lang w:val="en-AU" w:bidi="ar-SA"/>
        </w:rPr>
        <w:t>omments</w:t>
      </w:r>
      <w:r>
        <w:rPr>
          <w:lang w:val="en-AU" w:bidi="ar-SA"/>
        </w:rPr>
        <w:t xml:space="preserve"> from industry submitters on the vitamin D maximum</w:t>
      </w:r>
      <w:r w:rsidR="00776154">
        <w:rPr>
          <w:lang w:val="en-AU" w:bidi="ar-SA"/>
        </w:rPr>
        <w:t xml:space="preserve"> reflect the previous EU </w:t>
      </w:r>
      <w:r>
        <w:rPr>
          <w:lang w:val="en-AU" w:bidi="ar-SA"/>
        </w:rPr>
        <w:t>regulation</w:t>
      </w:r>
      <w:r w:rsidR="00776154">
        <w:rPr>
          <w:lang w:val="en-AU" w:bidi="ar-SA"/>
        </w:rPr>
        <w:t xml:space="preserve">. Since </w:t>
      </w:r>
      <w:r>
        <w:rPr>
          <w:lang w:val="en-AU" w:bidi="ar-SA"/>
        </w:rPr>
        <w:t>2016, the EU has amended the vitamin D max</w:t>
      </w:r>
      <w:r w:rsidR="00776154">
        <w:rPr>
          <w:lang w:val="en-AU" w:bidi="ar-SA"/>
        </w:rPr>
        <w:t>imum level</w:t>
      </w:r>
      <w:r w:rsidR="009968E5">
        <w:rPr>
          <w:lang w:val="en-AU" w:bidi="ar-SA"/>
        </w:rPr>
        <w:t xml:space="preserve"> as it was concluded that some infants may consume amounts of vitamin D that exceed the upper </w:t>
      </w:r>
      <w:r w:rsidR="009968E5">
        <w:rPr>
          <w:lang w:val="en-AU" w:bidi="ar-SA"/>
        </w:rPr>
        <w:lastRenderedPageBreak/>
        <w:t>intake level</w:t>
      </w:r>
      <w:r w:rsidR="00B75B6B">
        <w:rPr>
          <w:lang w:val="en-AU" w:bidi="ar-SA"/>
        </w:rPr>
        <w:t xml:space="preserve"> (EFSA 2018)</w:t>
      </w:r>
      <w:r w:rsidR="009968E5">
        <w:rPr>
          <w:lang w:val="en-AU" w:bidi="ar-SA"/>
        </w:rPr>
        <w:t xml:space="preserve">. The EU </w:t>
      </w:r>
      <w:r>
        <w:rPr>
          <w:lang w:val="en-AU" w:bidi="ar-SA"/>
        </w:rPr>
        <w:t>permitte</w:t>
      </w:r>
      <w:r w:rsidR="009968E5">
        <w:rPr>
          <w:lang w:val="en-AU" w:bidi="ar-SA"/>
        </w:rPr>
        <w:t>d range wa</w:t>
      </w:r>
      <w:r>
        <w:rPr>
          <w:lang w:val="en-AU" w:bidi="ar-SA"/>
        </w:rPr>
        <w:t xml:space="preserve">s </w:t>
      </w:r>
      <w:r w:rsidR="009968E5">
        <w:rPr>
          <w:lang w:val="en-AU" w:bidi="ar-SA"/>
        </w:rPr>
        <w:t xml:space="preserve">amended to </w:t>
      </w:r>
      <w:r>
        <w:rPr>
          <w:lang w:val="en-AU" w:bidi="ar-SA"/>
        </w:rPr>
        <w:t xml:space="preserve">0.48 - </w:t>
      </w:r>
      <w:r w:rsidR="00776154">
        <w:t xml:space="preserve">0.6 </w:t>
      </w:r>
      <w:r w:rsidR="00776154" w:rsidRPr="00695811">
        <w:t>µg/100 kJ</w:t>
      </w:r>
      <w:r w:rsidR="009968E5">
        <w:t xml:space="preserve"> in 2019</w:t>
      </w:r>
      <w:r>
        <w:t>.</w:t>
      </w:r>
      <w:r w:rsidR="009968E5">
        <w:t xml:space="preserve"> FSANZ notes that the Codex Draft Standard for FUF</w:t>
      </w:r>
      <w:r w:rsidR="009968E5">
        <w:rPr>
          <w:szCs w:val="20"/>
          <w:lang w:eastAsia="en-AU"/>
        </w:rPr>
        <w:t xml:space="preserve"> (2020)</w:t>
      </w:r>
      <w:r w:rsidR="009968E5">
        <w:t xml:space="preserve"> has proposed a vitamin D range of 0.24 – 0.72 </w:t>
      </w:r>
      <w:r w:rsidR="009968E5" w:rsidRPr="00695811">
        <w:t>µg/100 kJ</w:t>
      </w:r>
      <w:r w:rsidR="009968E5">
        <w:t xml:space="preserve"> (i.e. the higher maximum but the same minimum as that set in the Code and Codex STAN 72-1981). </w:t>
      </w:r>
    </w:p>
    <w:p w14:paraId="53C3C3FC" w14:textId="77777777" w:rsidR="00776154" w:rsidRDefault="00776154" w:rsidP="00776154">
      <w:pPr>
        <w:pStyle w:val="Heading4"/>
      </w:pPr>
      <w:r>
        <w:t>Proposed approach</w:t>
      </w:r>
    </w:p>
    <w:p w14:paraId="47751747" w14:textId="32A767B8" w:rsidR="00776154" w:rsidRPr="00A14E0B" w:rsidRDefault="00776154" w:rsidP="00776154">
      <w:r>
        <w:t>FSANZ proposes to retain the current permitted range for vitamin D on the basis that no safety concerns have been identified using this range, the range aligns most closely with international regulations and is wide enough to be achievable for product</w:t>
      </w:r>
      <w:r w:rsidR="00193E8F">
        <w:t xml:space="preserve"> formulation and manufacturing.</w:t>
      </w:r>
    </w:p>
    <w:p w14:paraId="720ACB71" w14:textId="738ADC97" w:rsidR="00776154" w:rsidRPr="000E6B06" w:rsidRDefault="002D0686" w:rsidP="000E6B06">
      <w:pPr>
        <w:spacing w:before="240" w:after="240"/>
        <w:rPr>
          <w:b/>
          <w:sz w:val="28"/>
          <w:szCs w:val="28"/>
        </w:rPr>
      </w:pPr>
      <w:bookmarkStart w:id="373" w:name="_Toc70415483"/>
      <w:bookmarkStart w:id="374" w:name="_Toc73455646"/>
      <w:bookmarkStart w:id="375" w:name="_Toc73624919"/>
      <w:r w:rsidRPr="000E6B06">
        <w:rPr>
          <w:b/>
          <w:sz w:val="28"/>
          <w:szCs w:val="28"/>
        </w:rPr>
        <w:t>7.3:</w:t>
      </w:r>
      <w:r w:rsidRPr="000E6B06">
        <w:rPr>
          <w:b/>
          <w:sz w:val="28"/>
          <w:szCs w:val="28"/>
        </w:rPr>
        <w:tab/>
      </w:r>
      <w:r w:rsidR="00776154" w:rsidRPr="000E6B06">
        <w:rPr>
          <w:b/>
          <w:sz w:val="28"/>
          <w:szCs w:val="28"/>
        </w:rPr>
        <w:t>Permitted range is not aligned with Codex</w:t>
      </w:r>
      <w:bookmarkEnd w:id="373"/>
      <w:bookmarkEnd w:id="374"/>
      <w:bookmarkEnd w:id="375"/>
      <w:r w:rsidR="00776154" w:rsidRPr="000E6B06">
        <w:rPr>
          <w:b/>
          <w:sz w:val="28"/>
          <w:szCs w:val="28"/>
        </w:rPr>
        <w:t xml:space="preserve">  </w:t>
      </w:r>
    </w:p>
    <w:p w14:paraId="232BA749" w14:textId="2F0572EE" w:rsidR="00776154" w:rsidRDefault="00776154" w:rsidP="00776154">
      <w:r>
        <w:t>This section covers the permitted range of eighteen micronutrients that are not currently aligned with Codex STAN 72-198</w:t>
      </w:r>
      <w:r w:rsidR="00174AAB">
        <w:t>1</w:t>
      </w:r>
      <w:r>
        <w:t xml:space="preserve"> and the preliminary view from the 2016 </w:t>
      </w:r>
      <w:r w:rsidR="00174AAB">
        <w:t xml:space="preserve">Consultation paper </w:t>
      </w:r>
      <w:r>
        <w:t xml:space="preserve">was that the range could be aligned. </w:t>
      </w:r>
    </w:p>
    <w:p w14:paraId="5CBD7176" w14:textId="77777777" w:rsidR="00776154" w:rsidRDefault="00776154" w:rsidP="00776154"/>
    <w:p w14:paraId="6AB6A2D1" w14:textId="50786F39" w:rsidR="00776154" w:rsidRDefault="00776154" w:rsidP="00776154">
      <w:r>
        <w:t xml:space="preserve">No comments were raised in submissions for eleven of these nutrients (calcium, chloride, magnesium, manganese, folate, niacin, pantothenic acid, potassium, sodium, vitamin B12, and vitamin E). Therefore, no further consideration related to the permitted range was undertaken in this </w:t>
      </w:r>
      <w:r w:rsidR="00174AAB">
        <w:t>consultation paper</w:t>
      </w:r>
      <w:r>
        <w:t>. The proposed approach for these nutrients is to align with the Codex range (</w:t>
      </w:r>
      <w:r w:rsidR="00193E8F" w:rsidRPr="00F1262C">
        <w:t>Table</w:t>
      </w:r>
      <w:r w:rsidR="00193E8F">
        <w:rPr>
          <w:i/>
        </w:rPr>
        <w:t xml:space="preserve"> </w:t>
      </w:r>
      <w:r w:rsidR="00193E8F" w:rsidRPr="00F1262C">
        <w:t>7</w:t>
      </w:r>
      <w:r w:rsidR="00F1262C">
        <w:t>.4</w:t>
      </w:r>
      <w:r>
        <w:t>).</w:t>
      </w:r>
    </w:p>
    <w:p w14:paraId="7B911BCA" w14:textId="77777777" w:rsidR="00776154" w:rsidRDefault="00776154" w:rsidP="00776154"/>
    <w:p w14:paraId="08E41BDB" w14:textId="682D0EB2" w:rsidR="00776154" w:rsidRPr="00FE6D8D" w:rsidRDefault="00776154" w:rsidP="00E9515E">
      <w:pPr>
        <w:pStyle w:val="FSTitle"/>
      </w:pPr>
      <w:bookmarkStart w:id="376" w:name="_Toc74061245"/>
      <w:r w:rsidRPr="00FE6D8D">
        <w:t xml:space="preserve">Table </w:t>
      </w:r>
      <w:r w:rsidR="00193E8F">
        <w:t>7</w:t>
      </w:r>
      <w:r w:rsidR="00174AAB">
        <w:t>.</w:t>
      </w:r>
      <w:r w:rsidR="00F1262C">
        <w:t>4</w:t>
      </w:r>
      <w:r w:rsidR="00F1262C">
        <w:tab/>
      </w:r>
      <w:r w:rsidRPr="00FE6D8D">
        <w:t xml:space="preserve">Permitted range of micronutrients: propose to align with </w:t>
      </w:r>
      <w:r>
        <w:t>Codex</w:t>
      </w:r>
      <w:bookmarkEnd w:id="376"/>
    </w:p>
    <w:tbl>
      <w:tblPr>
        <w:tblStyle w:val="MediumShading1-Accent3"/>
        <w:tblW w:w="92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7.3.2  Permitted range of micronutrients: propose to align with Codex"/>
        <w:tblDescription w:val="This table summarises standards and regualtions of specific micronutrients that FSANZ proposes to aling with Codex. "/>
      </w:tblPr>
      <w:tblGrid>
        <w:gridCol w:w="1918"/>
        <w:gridCol w:w="1396"/>
        <w:gridCol w:w="1077"/>
        <w:gridCol w:w="1558"/>
        <w:gridCol w:w="1558"/>
        <w:gridCol w:w="1702"/>
      </w:tblGrid>
      <w:tr w:rsidR="00442A7D" w:rsidRPr="00FB0202" w14:paraId="379DB9E1" w14:textId="77777777" w:rsidTr="00014EC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41" w:type="pct"/>
            <w:vMerge w:val="restart"/>
            <w:shd w:val="clear" w:color="auto" w:fill="E5DFEC" w:themeFill="accent4" w:themeFillTint="33"/>
            <w:vAlign w:val="center"/>
          </w:tcPr>
          <w:p w14:paraId="7657A9AE" w14:textId="77777777" w:rsidR="00442A7D" w:rsidRDefault="00442A7D" w:rsidP="00776154">
            <w:pPr>
              <w:keepNext/>
              <w:keepLines/>
              <w:spacing w:beforeLines="40" w:before="96" w:afterLines="40" w:after="96"/>
              <w:jc w:val="center"/>
              <w:rPr>
                <w:rFonts w:cs="Arial"/>
                <w:bCs w:val="0"/>
                <w:color w:val="auto"/>
                <w:szCs w:val="20"/>
              </w:rPr>
            </w:pPr>
            <w:r w:rsidRPr="00840CE5">
              <w:rPr>
                <w:rFonts w:cs="Arial"/>
                <w:bCs w:val="0"/>
                <w:color w:val="auto"/>
                <w:szCs w:val="20"/>
              </w:rPr>
              <w:t>Micronutrient</w:t>
            </w:r>
          </w:p>
          <w:p w14:paraId="320D639F" w14:textId="061D224A" w:rsidR="00442A7D" w:rsidRPr="00840CE5" w:rsidRDefault="00442A7D" w:rsidP="00776154">
            <w:pPr>
              <w:keepNext/>
              <w:keepLines/>
              <w:spacing w:beforeLines="40" w:before="96" w:afterLines="40" w:after="96"/>
              <w:jc w:val="center"/>
              <w:rPr>
                <w:rFonts w:cs="Arial"/>
                <w:bCs w:val="0"/>
                <w:color w:val="auto"/>
                <w:szCs w:val="20"/>
              </w:rPr>
            </w:pPr>
            <w:r>
              <w:rPr>
                <w:rFonts w:cs="Arial"/>
                <w:bCs w:val="0"/>
                <w:color w:val="auto"/>
                <w:szCs w:val="20"/>
              </w:rPr>
              <w:t>(units)</w:t>
            </w:r>
          </w:p>
        </w:tc>
        <w:tc>
          <w:tcPr>
            <w:tcW w:w="1343" w:type="pct"/>
            <w:gridSpan w:val="2"/>
            <w:shd w:val="clear" w:color="auto" w:fill="EAF1DD" w:themeFill="accent3" w:themeFillTint="33"/>
            <w:vAlign w:val="center"/>
          </w:tcPr>
          <w:p w14:paraId="2369C53A" w14:textId="77777777" w:rsidR="00442A7D" w:rsidRDefault="00442A7D" w:rsidP="00442A7D">
            <w:pPr>
              <w:keepNext/>
              <w:keepLines/>
              <w:jc w:val="center"/>
              <w:cnfStyle w:val="100000000000" w:firstRow="1" w:lastRow="0" w:firstColumn="0" w:lastColumn="0" w:oddVBand="0" w:evenVBand="0" w:oddHBand="0" w:evenHBand="0" w:firstRowFirstColumn="0" w:firstRowLastColumn="0" w:lastRowFirstColumn="0" w:lastRowLastColumn="0"/>
              <w:rPr>
                <w:rFonts w:cs="Arial"/>
                <w:bCs w:val="0"/>
                <w:color w:val="auto"/>
                <w:szCs w:val="20"/>
              </w:rPr>
            </w:pPr>
            <w:r w:rsidRPr="00840CE5">
              <w:rPr>
                <w:rFonts w:cs="Arial"/>
                <w:bCs w:val="0"/>
                <w:color w:val="auto"/>
                <w:szCs w:val="20"/>
              </w:rPr>
              <w:t>Standard 2.9.1</w:t>
            </w:r>
          </w:p>
          <w:p w14:paraId="72433632" w14:textId="03300D4E" w:rsidR="00442A7D" w:rsidRPr="00840CE5" w:rsidRDefault="00442A7D" w:rsidP="00442A7D">
            <w:pPr>
              <w:keepNext/>
              <w:keepLines/>
              <w:jc w:val="center"/>
              <w:cnfStyle w:val="100000000000" w:firstRow="1" w:lastRow="0" w:firstColumn="0" w:lastColumn="0" w:oddVBand="0" w:evenVBand="0" w:oddHBand="0" w:evenHBand="0" w:firstRowFirstColumn="0" w:firstRowLastColumn="0" w:lastRowFirstColumn="0" w:lastRowLastColumn="0"/>
              <w:rPr>
                <w:rFonts w:cs="Arial"/>
                <w:bCs w:val="0"/>
                <w:color w:val="auto"/>
                <w:szCs w:val="20"/>
              </w:rPr>
            </w:pPr>
            <w:r>
              <w:rPr>
                <w:rFonts w:cs="Arial"/>
                <w:bCs w:val="0"/>
                <w:color w:val="auto"/>
                <w:szCs w:val="20"/>
              </w:rPr>
              <w:t>(Schedule 29)</w:t>
            </w:r>
          </w:p>
        </w:tc>
        <w:tc>
          <w:tcPr>
            <w:tcW w:w="1692" w:type="pct"/>
            <w:gridSpan w:val="2"/>
            <w:shd w:val="clear" w:color="auto" w:fill="DAEEF3" w:themeFill="accent5" w:themeFillTint="33"/>
            <w:vAlign w:val="center"/>
          </w:tcPr>
          <w:p w14:paraId="178311F4" w14:textId="0140AB24" w:rsidR="00442A7D" w:rsidRPr="00840CE5" w:rsidRDefault="00442A7D" w:rsidP="00174AAB">
            <w:pPr>
              <w:keepNext/>
              <w:keepLines/>
              <w:spacing w:beforeLines="40" w:before="96" w:afterLines="40" w:after="96"/>
              <w:jc w:val="center"/>
              <w:cnfStyle w:val="100000000000" w:firstRow="1" w:lastRow="0" w:firstColumn="0" w:lastColumn="0" w:oddVBand="0" w:evenVBand="0" w:oddHBand="0" w:evenHBand="0" w:firstRowFirstColumn="0" w:firstRowLastColumn="0" w:lastRowFirstColumn="0" w:lastRowLastColumn="0"/>
              <w:rPr>
                <w:rFonts w:cs="Arial"/>
                <w:bCs w:val="0"/>
                <w:color w:val="auto"/>
                <w:szCs w:val="20"/>
              </w:rPr>
            </w:pPr>
            <w:r w:rsidRPr="00840CE5">
              <w:rPr>
                <w:rFonts w:cs="Arial"/>
                <w:bCs w:val="0"/>
                <w:color w:val="auto"/>
                <w:szCs w:val="20"/>
              </w:rPr>
              <w:t>Codex STAN 72-1981</w:t>
            </w:r>
          </w:p>
        </w:tc>
        <w:tc>
          <w:tcPr>
            <w:tcW w:w="924" w:type="pct"/>
            <w:vMerge w:val="restart"/>
            <w:shd w:val="clear" w:color="auto" w:fill="DDD9C3" w:themeFill="background2" w:themeFillShade="E6"/>
            <w:vAlign w:val="center"/>
          </w:tcPr>
          <w:p w14:paraId="1A5485CD" w14:textId="2E179879" w:rsidR="00442A7D" w:rsidRPr="00840CE5" w:rsidRDefault="00442A7D" w:rsidP="00174AAB">
            <w:pPr>
              <w:keepNext/>
              <w:keepLines/>
              <w:spacing w:beforeLines="40" w:before="96" w:afterLines="40" w:after="96"/>
              <w:jc w:val="center"/>
              <w:cnfStyle w:val="100000000000" w:firstRow="1" w:lastRow="0" w:firstColumn="0" w:lastColumn="0" w:oddVBand="0" w:evenVBand="0" w:oddHBand="0" w:evenHBand="0" w:firstRowFirstColumn="0" w:firstRowLastColumn="0" w:lastRowFirstColumn="0" w:lastRowLastColumn="0"/>
              <w:rPr>
                <w:rFonts w:cs="Arial"/>
                <w:bCs w:val="0"/>
                <w:color w:val="auto"/>
                <w:szCs w:val="20"/>
              </w:rPr>
            </w:pPr>
            <w:r w:rsidRPr="00840CE5">
              <w:rPr>
                <w:rFonts w:cs="Arial"/>
                <w:bCs w:val="0"/>
                <w:color w:val="auto"/>
                <w:szCs w:val="20"/>
              </w:rPr>
              <w:t>Content in products on the market^</w:t>
            </w:r>
          </w:p>
        </w:tc>
      </w:tr>
      <w:tr w:rsidR="00442A7D" w:rsidRPr="00FB0202" w14:paraId="3645D38A" w14:textId="77777777" w:rsidTr="00014EC6">
        <w:trPr>
          <w:cnfStyle w:val="100000000000" w:firstRow="1" w:lastRow="0" w:firstColumn="0" w:lastColumn="0" w:oddVBand="0" w:evenVBand="0" w:oddHBand="0" w:evenHBand="0" w:firstRowFirstColumn="0" w:firstRowLastColumn="0" w:lastRowFirstColumn="0" w:lastRowLastColumn="0"/>
          <w:trHeight w:val="308"/>
          <w:tblHeader/>
        </w:trPr>
        <w:tc>
          <w:tcPr>
            <w:cnfStyle w:val="001000000000" w:firstRow="0" w:lastRow="0" w:firstColumn="1" w:lastColumn="0" w:oddVBand="0" w:evenVBand="0" w:oddHBand="0" w:evenHBand="0" w:firstRowFirstColumn="0" w:firstRowLastColumn="0" w:lastRowFirstColumn="0" w:lastRowLastColumn="0"/>
            <w:tcW w:w="1041" w:type="pct"/>
            <w:vMerge/>
            <w:shd w:val="clear" w:color="auto" w:fill="E5DFEC" w:themeFill="accent4" w:themeFillTint="33"/>
          </w:tcPr>
          <w:p w14:paraId="38F0AD41" w14:textId="77777777" w:rsidR="00442A7D" w:rsidRPr="00FB0202" w:rsidRDefault="00442A7D" w:rsidP="00776154">
            <w:pPr>
              <w:spacing w:beforeLines="40" w:before="96" w:afterLines="40" w:after="96"/>
              <w:jc w:val="center"/>
              <w:rPr>
                <w:rFonts w:cs="Arial"/>
                <w:b w:val="0"/>
                <w:bCs w:val="0"/>
                <w:szCs w:val="20"/>
              </w:rPr>
            </w:pPr>
          </w:p>
        </w:tc>
        <w:tc>
          <w:tcPr>
            <w:tcW w:w="758" w:type="pct"/>
            <w:shd w:val="clear" w:color="auto" w:fill="EAF1DD" w:themeFill="accent3" w:themeFillTint="33"/>
            <w:vAlign w:val="center"/>
          </w:tcPr>
          <w:p w14:paraId="40EFEC08" w14:textId="77777777" w:rsidR="00442A7D" w:rsidRPr="00840CE5" w:rsidRDefault="00442A7D" w:rsidP="00776154">
            <w:pPr>
              <w:jc w:val="center"/>
              <w:cnfStyle w:val="100000000000" w:firstRow="1" w:lastRow="0" w:firstColumn="0" w:lastColumn="0" w:oddVBand="0" w:evenVBand="0" w:oddHBand="0" w:evenHBand="0" w:firstRowFirstColumn="0" w:firstRowLastColumn="0" w:lastRowFirstColumn="0" w:lastRowLastColumn="0"/>
              <w:rPr>
                <w:rFonts w:cs="Arial"/>
                <w:color w:val="auto"/>
                <w:szCs w:val="20"/>
              </w:rPr>
            </w:pPr>
            <w:r w:rsidRPr="00840CE5">
              <w:rPr>
                <w:rFonts w:cs="Arial"/>
                <w:color w:val="auto"/>
                <w:szCs w:val="20"/>
              </w:rPr>
              <w:t>Min</w:t>
            </w:r>
          </w:p>
        </w:tc>
        <w:tc>
          <w:tcPr>
            <w:tcW w:w="585" w:type="pct"/>
            <w:shd w:val="clear" w:color="auto" w:fill="EAF1DD" w:themeFill="accent3" w:themeFillTint="33"/>
            <w:vAlign w:val="center"/>
          </w:tcPr>
          <w:p w14:paraId="4F3ED7F5" w14:textId="77777777" w:rsidR="00442A7D" w:rsidRPr="00840CE5" w:rsidRDefault="00442A7D" w:rsidP="00776154">
            <w:pPr>
              <w:jc w:val="center"/>
              <w:cnfStyle w:val="100000000000" w:firstRow="1" w:lastRow="0" w:firstColumn="0" w:lastColumn="0" w:oddVBand="0" w:evenVBand="0" w:oddHBand="0" w:evenHBand="0" w:firstRowFirstColumn="0" w:firstRowLastColumn="0" w:lastRowFirstColumn="0" w:lastRowLastColumn="0"/>
              <w:rPr>
                <w:rFonts w:cs="Arial"/>
                <w:color w:val="auto"/>
                <w:szCs w:val="20"/>
              </w:rPr>
            </w:pPr>
            <w:r w:rsidRPr="00840CE5">
              <w:rPr>
                <w:rFonts w:cs="Arial"/>
                <w:color w:val="auto"/>
                <w:szCs w:val="20"/>
              </w:rPr>
              <w:t>Max</w:t>
            </w:r>
          </w:p>
        </w:tc>
        <w:tc>
          <w:tcPr>
            <w:tcW w:w="846" w:type="pct"/>
            <w:shd w:val="clear" w:color="auto" w:fill="DAEEF3" w:themeFill="accent5" w:themeFillTint="33"/>
            <w:vAlign w:val="center"/>
          </w:tcPr>
          <w:p w14:paraId="38EF9ECE" w14:textId="77777777" w:rsidR="00442A7D" w:rsidRPr="00840CE5" w:rsidRDefault="00442A7D" w:rsidP="00776154">
            <w:pPr>
              <w:jc w:val="center"/>
              <w:cnfStyle w:val="100000000000" w:firstRow="1" w:lastRow="0" w:firstColumn="0" w:lastColumn="0" w:oddVBand="0" w:evenVBand="0" w:oddHBand="0" w:evenHBand="0" w:firstRowFirstColumn="0" w:firstRowLastColumn="0" w:lastRowFirstColumn="0" w:lastRowLastColumn="0"/>
              <w:rPr>
                <w:rFonts w:cs="Arial"/>
                <w:color w:val="auto"/>
                <w:szCs w:val="20"/>
              </w:rPr>
            </w:pPr>
            <w:r w:rsidRPr="00840CE5">
              <w:rPr>
                <w:rFonts w:cs="Arial"/>
                <w:color w:val="auto"/>
                <w:szCs w:val="20"/>
              </w:rPr>
              <w:t>Min</w:t>
            </w:r>
          </w:p>
        </w:tc>
        <w:tc>
          <w:tcPr>
            <w:tcW w:w="846" w:type="pct"/>
            <w:shd w:val="clear" w:color="auto" w:fill="DAEEF3" w:themeFill="accent5" w:themeFillTint="33"/>
            <w:vAlign w:val="center"/>
          </w:tcPr>
          <w:p w14:paraId="5BAC25A4" w14:textId="77777777" w:rsidR="00442A7D" w:rsidRPr="00840CE5" w:rsidRDefault="00442A7D" w:rsidP="00776154">
            <w:pPr>
              <w:jc w:val="center"/>
              <w:cnfStyle w:val="100000000000" w:firstRow="1" w:lastRow="0" w:firstColumn="0" w:lastColumn="0" w:oddVBand="0" w:evenVBand="0" w:oddHBand="0" w:evenHBand="0" w:firstRowFirstColumn="0" w:firstRowLastColumn="0" w:lastRowFirstColumn="0" w:lastRowLastColumn="0"/>
              <w:rPr>
                <w:rFonts w:cs="Arial"/>
                <w:color w:val="auto"/>
                <w:szCs w:val="20"/>
              </w:rPr>
            </w:pPr>
            <w:r w:rsidRPr="00840CE5">
              <w:rPr>
                <w:rFonts w:cs="Arial"/>
                <w:color w:val="auto"/>
                <w:szCs w:val="20"/>
              </w:rPr>
              <w:t>Max</w:t>
            </w:r>
          </w:p>
        </w:tc>
        <w:tc>
          <w:tcPr>
            <w:tcW w:w="924" w:type="pct"/>
            <w:vMerge/>
            <w:shd w:val="clear" w:color="auto" w:fill="DDD9C3" w:themeFill="background2" w:themeFillShade="E6"/>
          </w:tcPr>
          <w:p w14:paraId="762CF87D" w14:textId="77777777" w:rsidR="00442A7D" w:rsidRPr="00FB0202" w:rsidRDefault="00442A7D" w:rsidP="00776154">
            <w:pPr>
              <w:spacing w:beforeLines="40" w:before="96" w:afterLines="40" w:after="96"/>
              <w:jc w:val="center"/>
              <w:cnfStyle w:val="100000000000" w:firstRow="1" w:lastRow="0" w:firstColumn="0" w:lastColumn="0" w:oddVBand="0" w:evenVBand="0" w:oddHBand="0" w:evenHBand="0" w:firstRowFirstColumn="0" w:firstRowLastColumn="0" w:lastRowFirstColumn="0" w:lastRowLastColumn="0"/>
              <w:rPr>
                <w:rFonts w:cs="Arial"/>
                <w:strike/>
                <w:szCs w:val="20"/>
              </w:rPr>
            </w:pPr>
          </w:p>
        </w:tc>
      </w:tr>
      <w:tr w:rsidR="00014EC6" w:rsidRPr="00FB0202" w14:paraId="04C4F1FF" w14:textId="77777777" w:rsidTr="00014EC6">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5000" w:type="pct"/>
            <w:gridSpan w:val="6"/>
            <w:shd w:val="clear" w:color="auto" w:fill="F2F2F2" w:themeFill="background1" w:themeFillShade="F2"/>
          </w:tcPr>
          <w:p w14:paraId="2FD11FFD" w14:textId="49B49091" w:rsidR="00014EC6" w:rsidRPr="00014EC6" w:rsidRDefault="00014EC6" w:rsidP="00776154">
            <w:pPr>
              <w:keepNext/>
              <w:keepLines/>
              <w:rPr>
                <w:rFonts w:eastAsia="Arial Unicode MS" w:cs="Arial"/>
                <w:szCs w:val="20"/>
              </w:rPr>
            </w:pPr>
            <w:r>
              <w:rPr>
                <w:rFonts w:eastAsia="Arial Unicode MS" w:cs="Arial"/>
                <w:szCs w:val="20"/>
              </w:rPr>
              <w:t>Vitamins</w:t>
            </w:r>
          </w:p>
        </w:tc>
      </w:tr>
      <w:tr w:rsidR="00442A7D" w:rsidRPr="00FB0202" w14:paraId="60802C11" w14:textId="77777777" w:rsidTr="00014EC6">
        <w:trPr>
          <w:cnfStyle w:val="000000010000" w:firstRow="0" w:lastRow="0" w:firstColumn="0" w:lastColumn="0" w:oddVBand="0" w:evenVBand="0" w:oddHBand="0" w:evenHBand="1"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041" w:type="pct"/>
            <w:shd w:val="clear" w:color="auto" w:fill="FFFFFF" w:themeFill="background1"/>
            <w:vAlign w:val="center"/>
          </w:tcPr>
          <w:p w14:paraId="5CBF6585" w14:textId="77777777" w:rsidR="00442A7D" w:rsidRPr="00442A7D" w:rsidRDefault="00442A7D" w:rsidP="00442A7D">
            <w:pPr>
              <w:rPr>
                <w:rFonts w:cs="Arial"/>
                <w:b w:val="0"/>
                <w:szCs w:val="20"/>
              </w:rPr>
            </w:pPr>
            <w:r w:rsidRPr="00442A7D">
              <w:rPr>
                <w:rFonts w:cs="Arial"/>
                <w:b w:val="0"/>
                <w:szCs w:val="20"/>
              </w:rPr>
              <w:t>Vitamin B12</w:t>
            </w:r>
          </w:p>
          <w:p w14:paraId="12848940" w14:textId="3D5F5DB6" w:rsidR="00442A7D" w:rsidRPr="00442A7D" w:rsidRDefault="00442A7D" w:rsidP="00442A7D">
            <w:pPr>
              <w:rPr>
                <w:rFonts w:cs="Arial"/>
                <w:b w:val="0"/>
                <w:bCs w:val="0"/>
                <w:szCs w:val="20"/>
              </w:rPr>
            </w:pPr>
            <w:r w:rsidRPr="00442A7D">
              <w:rPr>
                <w:rFonts w:cs="Arial"/>
                <w:b w:val="0"/>
                <w:szCs w:val="20"/>
              </w:rPr>
              <w:t>µg/100 kJ</w:t>
            </w:r>
          </w:p>
        </w:tc>
        <w:tc>
          <w:tcPr>
            <w:tcW w:w="758" w:type="pct"/>
            <w:shd w:val="clear" w:color="auto" w:fill="FFFFFF" w:themeFill="background1"/>
            <w:vAlign w:val="center"/>
          </w:tcPr>
          <w:p w14:paraId="59F9952F" w14:textId="77777777" w:rsidR="00442A7D" w:rsidRPr="00FB0202" w:rsidRDefault="00442A7D" w:rsidP="00776154">
            <w:pPr>
              <w:jc w:val="center"/>
              <w:cnfStyle w:val="000000010000" w:firstRow="0" w:lastRow="0" w:firstColumn="0" w:lastColumn="0" w:oddVBand="0" w:evenVBand="0" w:oddHBand="0" w:evenHBand="1" w:firstRowFirstColumn="0" w:firstRowLastColumn="0" w:lastRowFirstColumn="0" w:lastRowLastColumn="0"/>
              <w:rPr>
                <w:rFonts w:cs="Arial"/>
                <w:szCs w:val="20"/>
              </w:rPr>
            </w:pPr>
            <w:r w:rsidRPr="00FB0202">
              <w:rPr>
                <w:rFonts w:cs="Arial"/>
                <w:szCs w:val="20"/>
              </w:rPr>
              <w:t>0.025</w:t>
            </w:r>
          </w:p>
        </w:tc>
        <w:tc>
          <w:tcPr>
            <w:tcW w:w="584" w:type="pct"/>
            <w:shd w:val="clear" w:color="auto" w:fill="FFFFFF" w:themeFill="background1"/>
            <w:vAlign w:val="center"/>
          </w:tcPr>
          <w:p w14:paraId="56DD083C" w14:textId="77777777" w:rsidR="00442A7D" w:rsidRPr="00FB0202" w:rsidRDefault="00442A7D" w:rsidP="00776154">
            <w:pPr>
              <w:jc w:val="center"/>
              <w:cnfStyle w:val="000000010000" w:firstRow="0" w:lastRow="0" w:firstColumn="0" w:lastColumn="0" w:oddVBand="0" w:evenVBand="0" w:oddHBand="0" w:evenHBand="1" w:firstRowFirstColumn="0" w:firstRowLastColumn="0" w:lastRowFirstColumn="0" w:lastRowLastColumn="0"/>
              <w:rPr>
                <w:rFonts w:cs="Arial"/>
                <w:szCs w:val="20"/>
              </w:rPr>
            </w:pPr>
            <w:r w:rsidRPr="00FB0202">
              <w:rPr>
                <w:rFonts w:cs="Arial"/>
                <w:szCs w:val="20"/>
              </w:rPr>
              <w:t>0.17 (GUL)</w:t>
            </w:r>
          </w:p>
        </w:tc>
        <w:tc>
          <w:tcPr>
            <w:tcW w:w="846" w:type="pct"/>
            <w:shd w:val="clear" w:color="auto" w:fill="FFFFFF" w:themeFill="background1"/>
            <w:vAlign w:val="center"/>
          </w:tcPr>
          <w:p w14:paraId="7891DB22" w14:textId="77777777" w:rsidR="00442A7D" w:rsidRPr="00FB0202" w:rsidRDefault="00442A7D" w:rsidP="00776154">
            <w:pPr>
              <w:jc w:val="center"/>
              <w:cnfStyle w:val="000000010000" w:firstRow="0" w:lastRow="0" w:firstColumn="0" w:lastColumn="0" w:oddVBand="0" w:evenVBand="0" w:oddHBand="0" w:evenHBand="1" w:firstRowFirstColumn="0" w:firstRowLastColumn="0" w:lastRowFirstColumn="0" w:lastRowLastColumn="0"/>
              <w:rPr>
                <w:rFonts w:cs="Arial"/>
                <w:szCs w:val="20"/>
              </w:rPr>
            </w:pPr>
            <w:r w:rsidRPr="00FB0202">
              <w:rPr>
                <w:rFonts w:cs="Arial"/>
                <w:szCs w:val="20"/>
              </w:rPr>
              <w:t>0.025</w:t>
            </w:r>
          </w:p>
        </w:tc>
        <w:tc>
          <w:tcPr>
            <w:tcW w:w="846" w:type="pct"/>
            <w:shd w:val="clear" w:color="auto" w:fill="FFFFFF" w:themeFill="background1"/>
            <w:vAlign w:val="center"/>
          </w:tcPr>
          <w:p w14:paraId="0E90926D" w14:textId="062279A0" w:rsidR="00442A7D" w:rsidRPr="00FB0202" w:rsidRDefault="00442A7D" w:rsidP="00FF5B13">
            <w:pPr>
              <w:jc w:val="center"/>
              <w:cnfStyle w:val="000000010000" w:firstRow="0" w:lastRow="0" w:firstColumn="0" w:lastColumn="0" w:oddVBand="0" w:evenVBand="0" w:oddHBand="0" w:evenHBand="1" w:firstRowFirstColumn="0" w:firstRowLastColumn="0" w:lastRowFirstColumn="0" w:lastRowLastColumn="0"/>
              <w:rPr>
                <w:rFonts w:cs="Arial"/>
                <w:szCs w:val="20"/>
              </w:rPr>
            </w:pPr>
            <w:r w:rsidRPr="00FB0202">
              <w:rPr>
                <w:rFonts w:cs="Arial"/>
                <w:szCs w:val="20"/>
              </w:rPr>
              <w:t>0.36 (GUL)</w:t>
            </w:r>
          </w:p>
        </w:tc>
        <w:tc>
          <w:tcPr>
            <w:tcW w:w="924" w:type="pct"/>
            <w:shd w:val="clear" w:color="auto" w:fill="FFFFFF" w:themeFill="background1"/>
            <w:vAlign w:val="center"/>
          </w:tcPr>
          <w:p w14:paraId="5B4E28CD" w14:textId="77777777" w:rsidR="00442A7D" w:rsidRPr="00FB0202" w:rsidRDefault="00442A7D" w:rsidP="00776154">
            <w:pPr>
              <w:jc w:val="center"/>
              <w:cnfStyle w:val="000000010000" w:firstRow="0" w:lastRow="0" w:firstColumn="0" w:lastColumn="0" w:oddVBand="0" w:evenVBand="0" w:oddHBand="0" w:evenHBand="1" w:firstRowFirstColumn="0" w:firstRowLastColumn="0" w:lastRowFirstColumn="0" w:lastRowLastColumn="0"/>
              <w:rPr>
                <w:rFonts w:cs="Arial"/>
                <w:szCs w:val="20"/>
                <w:highlight w:val="yellow"/>
              </w:rPr>
            </w:pPr>
            <w:r w:rsidRPr="00FB0202">
              <w:rPr>
                <w:rFonts w:eastAsia="Arial Unicode MS" w:cs="Arial"/>
                <w:szCs w:val="20"/>
              </w:rPr>
              <w:t>0.04–0.16</w:t>
            </w:r>
          </w:p>
        </w:tc>
      </w:tr>
      <w:tr w:rsidR="00442A7D" w:rsidRPr="00FB0202" w14:paraId="1F407494" w14:textId="77777777" w:rsidTr="00014EC6">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041" w:type="pct"/>
            <w:shd w:val="clear" w:color="auto" w:fill="FFFFFF" w:themeFill="background1"/>
            <w:vAlign w:val="center"/>
          </w:tcPr>
          <w:p w14:paraId="635A62F1" w14:textId="77777777" w:rsidR="00442A7D" w:rsidRPr="00442A7D" w:rsidRDefault="00442A7D" w:rsidP="00442A7D">
            <w:pPr>
              <w:rPr>
                <w:rFonts w:cs="Arial"/>
                <w:b w:val="0"/>
                <w:szCs w:val="20"/>
              </w:rPr>
            </w:pPr>
            <w:r w:rsidRPr="00442A7D">
              <w:rPr>
                <w:rFonts w:cs="Arial"/>
                <w:b w:val="0"/>
                <w:szCs w:val="20"/>
              </w:rPr>
              <w:t>Folate</w:t>
            </w:r>
          </w:p>
          <w:p w14:paraId="30278216" w14:textId="000CD114" w:rsidR="00442A7D" w:rsidRPr="00442A7D" w:rsidRDefault="00442A7D" w:rsidP="00014EC6">
            <w:pPr>
              <w:rPr>
                <w:rFonts w:cs="Arial"/>
                <w:b w:val="0"/>
                <w:szCs w:val="20"/>
              </w:rPr>
            </w:pPr>
            <w:r w:rsidRPr="00442A7D">
              <w:rPr>
                <w:rFonts w:cs="Arial"/>
                <w:b w:val="0"/>
                <w:szCs w:val="20"/>
              </w:rPr>
              <w:t>(</w:t>
            </w:r>
            <w:r w:rsidRPr="00014EC6">
              <w:rPr>
                <w:rFonts w:cs="Arial"/>
                <w:b w:val="0"/>
                <w:szCs w:val="20"/>
              </w:rPr>
              <w:t>µg/100 kJ</w:t>
            </w:r>
          </w:p>
        </w:tc>
        <w:tc>
          <w:tcPr>
            <w:tcW w:w="758" w:type="pct"/>
            <w:shd w:val="clear" w:color="auto" w:fill="FFFFFF" w:themeFill="background1"/>
            <w:vAlign w:val="center"/>
          </w:tcPr>
          <w:p w14:paraId="4AD27F38" w14:textId="0B2CE208" w:rsidR="00442A7D" w:rsidRPr="00FE6D8D" w:rsidRDefault="00442A7D" w:rsidP="00776154">
            <w:pPr>
              <w:jc w:val="center"/>
              <w:cnfStyle w:val="000000100000" w:firstRow="0" w:lastRow="0" w:firstColumn="0" w:lastColumn="0" w:oddVBand="0" w:evenVBand="0" w:oddHBand="1" w:evenHBand="0" w:firstRowFirstColumn="0" w:firstRowLastColumn="0" w:lastRowFirstColumn="0" w:lastRowLastColumn="0"/>
              <w:rPr>
                <w:rFonts w:cs="Arial"/>
                <w:bCs/>
                <w:szCs w:val="20"/>
              </w:rPr>
            </w:pPr>
            <w:r>
              <w:rPr>
                <w:rFonts w:cs="Arial"/>
                <w:bCs/>
                <w:szCs w:val="20"/>
              </w:rPr>
              <w:t>2</w:t>
            </w:r>
          </w:p>
        </w:tc>
        <w:tc>
          <w:tcPr>
            <w:tcW w:w="584" w:type="pct"/>
            <w:shd w:val="clear" w:color="auto" w:fill="FFFFFF" w:themeFill="background1"/>
            <w:vAlign w:val="center"/>
          </w:tcPr>
          <w:p w14:paraId="08675C8A" w14:textId="709563ED" w:rsidR="00442A7D" w:rsidRPr="00FE6D8D" w:rsidRDefault="00442A7D" w:rsidP="00442A7D">
            <w:pPr>
              <w:jc w:val="center"/>
              <w:cnfStyle w:val="000000100000" w:firstRow="0" w:lastRow="0" w:firstColumn="0" w:lastColumn="0" w:oddVBand="0" w:evenVBand="0" w:oddHBand="1" w:evenHBand="0" w:firstRowFirstColumn="0" w:firstRowLastColumn="0" w:lastRowFirstColumn="0" w:lastRowLastColumn="0"/>
              <w:rPr>
                <w:rFonts w:cs="Arial"/>
                <w:bCs/>
                <w:szCs w:val="20"/>
              </w:rPr>
            </w:pPr>
            <w:r>
              <w:rPr>
                <w:rFonts w:cs="Arial"/>
                <w:bCs/>
                <w:szCs w:val="20"/>
              </w:rPr>
              <w:t xml:space="preserve">8.0 </w:t>
            </w:r>
          </w:p>
        </w:tc>
        <w:tc>
          <w:tcPr>
            <w:tcW w:w="846" w:type="pct"/>
            <w:shd w:val="clear" w:color="auto" w:fill="FFFFFF" w:themeFill="background1"/>
            <w:vAlign w:val="center"/>
          </w:tcPr>
          <w:p w14:paraId="0055E1C5" w14:textId="77777777" w:rsidR="00442A7D" w:rsidRPr="00FE6D8D" w:rsidRDefault="00442A7D" w:rsidP="00776154">
            <w:pPr>
              <w:jc w:val="center"/>
              <w:cnfStyle w:val="000000100000" w:firstRow="0" w:lastRow="0" w:firstColumn="0" w:lastColumn="0" w:oddVBand="0" w:evenVBand="0" w:oddHBand="1" w:evenHBand="0" w:firstRowFirstColumn="0" w:firstRowLastColumn="0" w:lastRowFirstColumn="0" w:lastRowLastColumn="0"/>
              <w:rPr>
                <w:rFonts w:cs="Arial"/>
                <w:bCs/>
                <w:szCs w:val="20"/>
              </w:rPr>
            </w:pPr>
            <w:r w:rsidRPr="00FE6D8D">
              <w:rPr>
                <w:rFonts w:cs="Arial"/>
                <w:bCs/>
                <w:szCs w:val="20"/>
              </w:rPr>
              <w:t>2.5</w:t>
            </w:r>
          </w:p>
        </w:tc>
        <w:tc>
          <w:tcPr>
            <w:tcW w:w="846" w:type="pct"/>
            <w:shd w:val="clear" w:color="auto" w:fill="FFFFFF" w:themeFill="background1"/>
            <w:vAlign w:val="center"/>
          </w:tcPr>
          <w:p w14:paraId="79C2E88D" w14:textId="77777777" w:rsidR="00442A7D" w:rsidRPr="00FE6D8D" w:rsidRDefault="00442A7D" w:rsidP="00776154">
            <w:pPr>
              <w:jc w:val="center"/>
              <w:cnfStyle w:val="000000100000" w:firstRow="0" w:lastRow="0" w:firstColumn="0" w:lastColumn="0" w:oddVBand="0" w:evenVBand="0" w:oddHBand="1" w:evenHBand="0" w:firstRowFirstColumn="0" w:firstRowLastColumn="0" w:lastRowFirstColumn="0" w:lastRowLastColumn="0"/>
              <w:rPr>
                <w:rFonts w:cs="Arial"/>
                <w:bCs/>
                <w:szCs w:val="20"/>
              </w:rPr>
            </w:pPr>
            <w:r w:rsidRPr="00FE6D8D">
              <w:rPr>
                <w:rFonts w:cs="Arial"/>
                <w:bCs/>
                <w:szCs w:val="20"/>
              </w:rPr>
              <w:t>12 (GUL)</w:t>
            </w:r>
          </w:p>
        </w:tc>
        <w:tc>
          <w:tcPr>
            <w:tcW w:w="924" w:type="pct"/>
            <w:shd w:val="clear" w:color="auto" w:fill="FFFFFF" w:themeFill="background1"/>
            <w:vAlign w:val="center"/>
          </w:tcPr>
          <w:p w14:paraId="45606CF3" w14:textId="46020022" w:rsidR="00442A7D" w:rsidRPr="00FE6D8D" w:rsidRDefault="00442A7D" w:rsidP="00776154">
            <w:pPr>
              <w:jc w:val="center"/>
              <w:cnfStyle w:val="000000100000" w:firstRow="0" w:lastRow="0" w:firstColumn="0" w:lastColumn="0" w:oddVBand="0" w:evenVBand="0" w:oddHBand="1" w:evenHBand="0" w:firstRowFirstColumn="0" w:firstRowLastColumn="0" w:lastRowFirstColumn="0" w:lastRowLastColumn="0"/>
              <w:rPr>
                <w:rFonts w:cs="Arial"/>
                <w:bCs/>
                <w:szCs w:val="20"/>
              </w:rPr>
            </w:pPr>
            <w:r>
              <w:rPr>
                <w:rFonts w:cs="Arial"/>
                <w:bCs/>
                <w:szCs w:val="20"/>
              </w:rPr>
              <w:t>NR</w:t>
            </w:r>
          </w:p>
        </w:tc>
      </w:tr>
      <w:tr w:rsidR="00442A7D" w:rsidRPr="00FB0202" w14:paraId="06406A6E" w14:textId="77777777" w:rsidTr="00014EC6">
        <w:trPr>
          <w:cnfStyle w:val="000000010000" w:firstRow="0" w:lastRow="0" w:firstColumn="0" w:lastColumn="0" w:oddVBand="0" w:evenVBand="0" w:oddHBand="0" w:evenHBand="1"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041" w:type="pct"/>
            <w:shd w:val="clear" w:color="auto" w:fill="FFFFFF" w:themeFill="background1"/>
            <w:vAlign w:val="center"/>
          </w:tcPr>
          <w:p w14:paraId="082BD832" w14:textId="77777777" w:rsidR="00442A7D" w:rsidRPr="00442A7D" w:rsidRDefault="00442A7D" w:rsidP="00442A7D">
            <w:pPr>
              <w:rPr>
                <w:rFonts w:cs="Arial"/>
                <w:b w:val="0"/>
                <w:szCs w:val="20"/>
              </w:rPr>
            </w:pPr>
            <w:r w:rsidRPr="00442A7D">
              <w:rPr>
                <w:rFonts w:cs="Arial"/>
                <w:b w:val="0"/>
                <w:szCs w:val="20"/>
              </w:rPr>
              <w:t>Pantothenic Acid</w:t>
            </w:r>
          </w:p>
          <w:p w14:paraId="06C5247E" w14:textId="1EE9AF7C" w:rsidR="00442A7D" w:rsidRPr="00442A7D" w:rsidRDefault="00442A7D" w:rsidP="00442A7D">
            <w:pPr>
              <w:rPr>
                <w:rFonts w:cs="Arial"/>
                <w:b w:val="0"/>
                <w:bCs w:val="0"/>
                <w:szCs w:val="20"/>
              </w:rPr>
            </w:pPr>
            <w:r w:rsidRPr="00442A7D">
              <w:rPr>
                <w:rFonts w:cs="Arial"/>
                <w:b w:val="0"/>
                <w:szCs w:val="20"/>
              </w:rPr>
              <w:t>(µg/100 kJ)</w:t>
            </w:r>
          </w:p>
        </w:tc>
        <w:tc>
          <w:tcPr>
            <w:tcW w:w="758" w:type="pct"/>
            <w:shd w:val="clear" w:color="auto" w:fill="FFFFFF" w:themeFill="background1"/>
            <w:vAlign w:val="center"/>
          </w:tcPr>
          <w:p w14:paraId="5B58ECF5" w14:textId="77777777" w:rsidR="00442A7D" w:rsidRPr="00FB0202" w:rsidRDefault="00442A7D" w:rsidP="00776154">
            <w:pPr>
              <w:jc w:val="center"/>
              <w:cnfStyle w:val="000000010000" w:firstRow="0" w:lastRow="0" w:firstColumn="0" w:lastColumn="0" w:oddVBand="0" w:evenVBand="0" w:oddHBand="0" w:evenHBand="1" w:firstRowFirstColumn="0" w:firstRowLastColumn="0" w:lastRowFirstColumn="0" w:lastRowLastColumn="0"/>
              <w:rPr>
                <w:rFonts w:cs="Arial"/>
                <w:szCs w:val="20"/>
              </w:rPr>
            </w:pPr>
            <w:r w:rsidRPr="00FB0202">
              <w:rPr>
                <w:rFonts w:cs="Arial"/>
                <w:szCs w:val="20"/>
              </w:rPr>
              <w:t>70</w:t>
            </w:r>
          </w:p>
        </w:tc>
        <w:tc>
          <w:tcPr>
            <w:tcW w:w="584" w:type="pct"/>
            <w:shd w:val="clear" w:color="auto" w:fill="FFFFFF" w:themeFill="background1"/>
            <w:vAlign w:val="center"/>
          </w:tcPr>
          <w:p w14:paraId="7D876A5C" w14:textId="77777777" w:rsidR="00442A7D" w:rsidRPr="00FB0202" w:rsidRDefault="00442A7D" w:rsidP="00776154">
            <w:pPr>
              <w:jc w:val="center"/>
              <w:cnfStyle w:val="000000010000" w:firstRow="0" w:lastRow="0" w:firstColumn="0" w:lastColumn="0" w:oddVBand="0" w:evenVBand="0" w:oddHBand="0" w:evenHBand="1" w:firstRowFirstColumn="0" w:firstRowLastColumn="0" w:lastRowFirstColumn="0" w:lastRowLastColumn="0"/>
              <w:rPr>
                <w:rFonts w:cs="Arial"/>
                <w:szCs w:val="20"/>
              </w:rPr>
            </w:pPr>
            <w:r w:rsidRPr="00FB0202">
              <w:rPr>
                <w:rFonts w:cs="Arial"/>
                <w:szCs w:val="20"/>
              </w:rPr>
              <w:t>360 (GUL)</w:t>
            </w:r>
          </w:p>
        </w:tc>
        <w:tc>
          <w:tcPr>
            <w:tcW w:w="846" w:type="pct"/>
            <w:shd w:val="clear" w:color="auto" w:fill="FFFFFF" w:themeFill="background1"/>
            <w:vAlign w:val="center"/>
          </w:tcPr>
          <w:p w14:paraId="4F085930" w14:textId="77777777" w:rsidR="00442A7D" w:rsidRPr="00FB0202" w:rsidRDefault="00442A7D" w:rsidP="00776154">
            <w:pPr>
              <w:jc w:val="center"/>
              <w:cnfStyle w:val="000000010000" w:firstRow="0" w:lastRow="0" w:firstColumn="0" w:lastColumn="0" w:oddVBand="0" w:evenVBand="0" w:oddHBand="0" w:evenHBand="1" w:firstRowFirstColumn="0" w:firstRowLastColumn="0" w:lastRowFirstColumn="0" w:lastRowLastColumn="0"/>
              <w:rPr>
                <w:rFonts w:cs="Arial"/>
                <w:szCs w:val="20"/>
              </w:rPr>
            </w:pPr>
            <w:r w:rsidRPr="00FB0202">
              <w:rPr>
                <w:rFonts w:cs="Arial"/>
                <w:szCs w:val="20"/>
              </w:rPr>
              <w:t>96</w:t>
            </w:r>
          </w:p>
        </w:tc>
        <w:tc>
          <w:tcPr>
            <w:tcW w:w="846" w:type="pct"/>
            <w:shd w:val="clear" w:color="auto" w:fill="FFFFFF" w:themeFill="background1"/>
            <w:vAlign w:val="center"/>
          </w:tcPr>
          <w:p w14:paraId="0E525364" w14:textId="3F25A6B4" w:rsidR="00442A7D" w:rsidRPr="00FB0202" w:rsidRDefault="00442A7D" w:rsidP="00FF5B13">
            <w:pPr>
              <w:jc w:val="center"/>
              <w:cnfStyle w:val="000000010000" w:firstRow="0" w:lastRow="0" w:firstColumn="0" w:lastColumn="0" w:oddVBand="0" w:evenVBand="0" w:oddHBand="0" w:evenHBand="1" w:firstRowFirstColumn="0" w:firstRowLastColumn="0" w:lastRowFirstColumn="0" w:lastRowLastColumn="0"/>
              <w:rPr>
                <w:rFonts w:cs="Arial"/>
                <w:szCs w:val="20"/>
              </w:rPr>
            </w:pPr>
            <w:r w:rsidRPr="00FB0202">
              <w:rPr>
                <w:rFonts w:cs="Arial"/>
                <w:szCs w:val="20"/>
              </w:rPr>
              <w:t>478 (GUL)</w:t>
            </w:r>
          </w:p>
        </w:tc>
        <w:tc>
          <w:tcPr>
            <w:tcW w:w="924" w:type="pct"/>
            <w:shd w:val="clear" w:color="auto" w:fill="FFFFFF" w:themeFill="background1"/>
            <w:vAlign w:val="center"/>
          </w:tcPr>
          <w:p w14:paraId="0755EBB6" w14:textId="77777777" w:rsidR="00442A7D" w:rsidRPr="00FB0202" w:rsidRDefault="00442A7D" w:rsidP="00776154">
            <w:pPr>
              <w:jc w:val="center"/>
              <w:cnfStyle w:val="000000010000" w:firstRow="0" w:lastRow="0" w:firstColumn="0" w:lastColumn="0" w:oddVBand="0" w:evenVBand="0" w:oddHBand="0" w:evenHBand="1" w:firstRowFirstColumn="0" w:firstRowLastColumn="0" w:lastRowFirstColumn="0" w:lastRowLastColumn="0"/>
              <w:rPr>
                <w:rFonts w:cs="Arial"/>
                <w:szCs w:val="20"/>
                <w:highlight w:val="yellow"/>
              </w:rPr>
            </w:pPr>
            <w:r w:rsidRPr="00FB0202">
              <w:rPr>
                <w:rFonts w:eastAsia="Arial Unicode MS" w:cs="Arial"/>
                <w:szCs w:val="20"/>
              </w:rPr>
              <w:t>84.04–227.3</w:t>
            </w:r>
          </w:p>
        </w:tc>
      </w:tr>
      <w:tr w:rsidR="00442A7D" w:rsidRPr="00FB0202" w14:paraId="517D02F4" w14:textId="77777777" w:rsidTr="00014EC6">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041" w:type="pct"/>
            <w:shd w:val="clear" w:color="auto" w:fill="FFFFFF" w:themeFill="background1"/>
            <w:vAlign w:val="center"/>
          </w:tcPr>
          <w:p w14:paraId="4BD9DAA5" w14:textId="0AC8FA51" w:rsidR="00442A7D" w:rsidRPr="00442A7D" w:rsidRDefault="00442A7D" w:rsidP="00442A7D">
            <w:pPr>
              <w:rPr>
                <w:rFonts w:cs="Arial"/>
                <w:b w:val="0"/>
                <w:szCs w:val="20"/>
              </w:rPr>
            </w:pPr>
            <w:r>
              <w:rPr>
                <w:rFonts w:cs="Arial"/>
                <w:b w:val="0"/>
                <w:szCs w:val="20"/>
              </w:rPr>
              <w:t>Niacin (</w:t>
            </w:r>
            <w:r w:rsidRPr="00442A7D">
              <w:rPr>
                <w:rFonts w:cs="Arial"/>
                <w:b w:val="0"/>
                <w:szCs w:val="20"/>
              </w:rPr>
              <w:t>preformed)</w:t>
            </w:r>
          </w:p>
          <w:p w14:paraId="703FB21C" w14:textId="3C0780E2" w:rsidR="00442A7D" w:rsidRPr="00442A7D" w:rsidRDefault="00442A7D" w:rsidP="00442A7D">
            <w:pPr>
              <w:rPr>
                <w:rFonts w:cs="Arial"/>
                <w:b w:val="0"/>
                <w:szCs w:val="20"/>
              </w:rPr>
            </w:pPr>
            <w:r w:rsidRPr="00442A7D">
              <w:rPr>
                <w:rFonts w:cs="Arial"/>
                <w:b w:val="0"/>
                <w:szCs w:val="20"/>
              </w:rPr>
              <w:t>(µg/100 kJ)</w:t>
            </w:r>
          </w:p>
        </w:tc>
        <w:tc>
          <w:tcPr>
            <w:tcW w:w="758" w:type="pct"/>
            <w:shd w:val="clear" w:color="auto" w:fill="FFFFFF" w:themeFill="background1"/>
            <w:vAlign w:val="center"/>
          </w:tcPr>
          <w:p w14:paraId="70E046E6" w14:textId="77777777" w:rsidR="00442A7D" w:rsidRPr="00FB0202" w:rsidRDefault="00442A7D" w:rsidP="00776154">
            <w:pPr>
              <w:jc w:val="center"/>
              <w:cnfStyle w:val="000000100000" w:firstRow="0" w:lastRow="0" w:firstColumn="0" w:lastColumn="0" w:oddVBand="0" w:evenVBand="0" w:oddHBand="1" w:evenHBand="0" w:firstRowFirstColumn="0" w:firstRowLastColumn="0" w:lastRowFirstColumn="0" w:lastRowLastColumn="0"/>
              <w:rPr>
                <w:rFonts w:cs="Arial"/>
                <w:szCs w:val="20"/>
              </w:rPr>
            </w:pPr>
            <w:r w:rsidRPr="00FB0202">
              <w:rPr>
                <w:rFonts w:cs="Arial"/>
                <w:szCs w:val="20"/>
              </w:rPr>
              <w:t>130</w:t>
            </w:r>
          </w:p>
        </w:tc>
        <w:tc>
          <w:tcPr>
            <w:tcW w:w="584" w:type="pct"/>
            <w:shd w:val="clear" w:color="auto" w:fill="FFFFFF" w:themeFill="background1"/>
            <w:vAlign w:val="center"/>
          </w:tcPr>
          <w:p w14:paraId="670CE47B" w14:textId="77777777" w:rsidR="00442A7D" w:rsidRPr="00FB0202" w:rsidRDefault="00442A7D" w:rsidP="00776154">
            <w:pPr>
              <w:jc w:val="center"/>
              <w:cnfStyle w:val="000000100000" w:firstRow="0" w:lastRow="0" w:firstColumn="0" w:lastColumn="0" w:oddVBand="0" w:evenVBand="0" w:oddHBand="1" w:evenHBand="0" w:firstRowFirstColumn="0" w:firstRowLastColumn="0" w:lastRowFirstColumn="0" w:lastRowLastColumn="0"/>
              <w:rPr>
                <w:rFonts w:cs="Arial"/>
                <w:szCs w:val="20"/>
              </w:rPr>
            </w:pPr>
            <w:r w:rsidRPr="00FB0202">
              <w:rPr>
                <w:rFonts w:cs="Arial"/>
                <w:szCs w:val="20"/>
              </w:rPr>
              <w:t>480 (GUL)</w:t>
            </w:r>
          </w:p>
        </w:tc>
        <w:tc>
          <w:tcPr>
            <w:tcW w:w="846" w:type="pct"/>
            <w:shd w:val="clear" w:color="auto" w:fill="FFFFFF" w:themeFill="background1"/>
            <w:vAlign w:val="center"/>
          </w:tcPr>
          <w:p w14:paraId="74A6377E" w14:textId="77777777" w:rsidR="00442A7D" w:rsidRPr="00FB0202" w:rsidRDefault="00442A7D" w:rsidP="00776154">
            <w:pPr>
              <w:jc w:val="center"/>
              <w:cnfStyle w:val="000000100000" w:firstRow="0" w:lastRow="0" w:firstColumn="0" w:lastColumn="0" w:oddVBand="0" w:evenVBand="0" w:oddHBand="1" w:evenHBand="0" w:firstRowFirstColumn="0" w:firstRowLastColumn="0" w:lastRowFirstColumn="0" w:lastRowLastColumn="0"/>
              <w:rPr>
                <w:rFonts w:cs="Arial"/>
                <w:szCs w:val="20"/>
              </w:rPr>
            </w:pPr>
            <w:r w:rsidRPr="00FB0202">
              <w:rPr>
                <w:rFonts w:cs="Arial"/>
                <w:szCs w:val="20"/>
              </w:rPr>
              <w:t>70</w:t>
            </w:r>
          </w:p>
        </w:tc>
        <w:tc>
          <w:tcPr>
            <w:tcW w:w="846" w:type="pct"/>
            <w:shd w:val="clear" w:color="auto" w:fill="FFFFFF" w:themeFill="background1"/>
            <w:vAlign w:val="center"/>
          </w:tcPr>
          <w:p w14:paraId="27ABE3CC" w14:textId="4A190396" w:rsidR="00442A7D" w:rsidRPr="00FB0202" w:rsidRDefault="00442A7D" w:rsidP="00FF5B13">
            <w:pPr>
              <w:jc w:val="center"/>
              <w:cnfStyle w:val="000000100000" w:firstRow="0" w:lastRow="0" w:firstColumn="0" w:lastColumn="0" w:oddVBand="0" w:evenVBand="0" w:oddHBand="1" w:evenHBand="0" w:firstRowFirstColumn="0" w:firstRowLastColumn="0" w:lastRowFirstColumn="0" w:lastRowLastColumn="0"/>
              <w:rPr>
                <w:rFonts w:cs="Arial"/>
                <w:szCs w:val="20"/>
              </w:rPr>
            </w:pPr>
            <w:r w:rsidRPr="00FB0202">
              <w:rPr>
                <w:rFonts w:cs="Arial"/>
                <w:szCs w:val="20"/>
              </w:rPr>
              <w:t>360 (GUL)</w:t>
            </w:r>
          </w:p>
        </w:tc>
        <w:tc>
          <w:tcPr>
            <w:tcW w:w="924" w:type="pct"/>
            <w:shd w:val="clear" w:color="auto" w:fill="FFFFFF" w:themeFill="background1"/>
            <w:vAlign w:val="center"/>
          </w:tcPr>
          <w:p w14:paraId="084EC8E1" w14:textId="77777777" w:rsidR="00442A7D" w:rsidRPr="00FB0202" w:rsidRDefault="00442A7D" w:rsidP="00776154">
            <w:pPr>
              <w:jc w:val="center"/>
              <w:cnfStyle w:val="000000100000" w:firstRow="0" w:lastRow="0" w:firstColumn="0" w:lastColumn="0" w:oddVBand="0" w:evenVBand="0" w:oddHBand="1" w:evenHBand="0" w:firstRowFirstColumn="0" w:firstRowLastColumn="0" w:lastRowFirstColumn="0" w:lastRowLastColumn="0"/>
              <w:rPr>
                <w:rFonts w:eastAsia="Arial Unicode MS" w:cs="Arial"/>
                <w:szCs w:val="20"/>
              </w:rPr>
            </w:pPr>
            <w:r w:rsidRPr="00FB0202">
              <w:rPr>
                <w:rFonts w:cs="Arial"/>
                <w:szCs w:val="20"/>
              </w:rPr>
              <w:t>130.1–272.7</w:t>
            </w:r>
          </w:p>
        </w:tc>
      </w:tr>
      <w:tr w:rsidR="00442A7D" w:rsidRPr="00FB0202" w14:paraId="0154AECF" w14:textId="77777777" w:rsidTr="00014EC6">
        <w:trPr>
          <w:cnfStyle w:val="000000010000" w:firstRow="0" w:lastRow="0" w:firstColumn="0" w:lastColumn="0" w:oddVBand="0" w:evenVBand="0" w:oddHBand="0" w:evenHBand="1"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041" w:type="pct"/>
            <w:shd w:val="clear" w:color="auto" w:fill="FFFFFF" w:themeFill="background1"/>
            <w:vAlign w:val="center"/>
          </w:tcPr>
          <w:p w14:paraId="47BFFF83" w14:textId="77777777" w:rsidR="00442A7D" w:rsidRPr="00442A7D" w:rsidRDefault="00442A7D" w:rsidP="00442A7D">
            <w:pPr>
              <w:rPr>
                <w:rFonts w:cs="Arial"/>
                <w:b w:val="0"/>
                <w:szCs w:val="20"/>
              </w:rPr>
            </w:pPr>
            <w:r w:rsidRPr="00442A7D">
              <w:rPr>
                <w:rFonts w:cs="Arial"/>
                <w:b w:val="0"/>
                <w:szCs w:val="20"/>
              </w:rPr>
              <w:t>Vitamin E</w:t>
            </w:r>
          </w:p>
          <w:p w14:paraId="43E732B7" w14:textId="14FC1FE9" w:rsidR="00442A7D" w:rsidRPr="00442A7D" w:rsidRDefault="00442A7D" w:rsidP="00442A7D">
            <w:pPr>
              <w:rPr>
                <w:rFonts w:cs="Arial"/>
                <w:b w:val="0"/>
                <w:szCs w:val="20"/>
              </w:rPr>
            </w:pPr>
            <w:r w:rsidRPr="00442A7D">
              <w:rPr>
                <w:rFonts w:cs="Arial"/>
                <w:b w:val="0"/>
                <w:szCs w:val="20"/>
              </w:rPr>
              <w:t>(mg/100 kJ)</w:t>
            </w:r>
          </w:p>
        </w:tc>
        <w:tc>
          <w:tcPr>
            <w:tcW w:w="758" w:type="pct"/>
            <w:shd w:val="clear" w:color="auto" w:fill="FFFFFF" w:themeFill="background1"/>
            <w:vAlign w:val="center"/>
          </w:tcPr>
          <w:p w14:paraId="434697AD" w14:textId="77777777" w:rsidR="00442A7D" w:rsidRPr="00FB0202" w:rsidRDefault="00442A7D" w:rsidP="00776154">
            <w:pPr>
              <w:jc w:val="center"/>
              <w:cnfStyle w:val="000000010000" w:firstRow="0" w:lastRow="0" w:firstColumn="0" w:lastColumn="0" w:oddVBand="0" w:evenVBand="0" w:oddHBand="0" w:evenHBand="1" w:firstRowFirstColumn="0" w:firstRowLastColumn="0" w:lastRowFirstColumn="0" w:lastRowLastColumn="0"/>
              <w:rPr>
                <w:rFonts w:cs="Arial"/>
                <w:szCs w:val="20"/>
              </w:rPr>
            </w:pPr>
            <w:r w:rsidRPr="00FB0202">
              <w:rPr>
                <w:rFonts w:cs="Arial"/>
                <w:szCs w:val="20"/>
              </w:rPr>
              <w:t>0.11</w:t>
            </w:r>
          </w:p>
        </w:tc>
        <w:tc>
          <w:tcPr>
            <w:tcW w:w="584" w:type="pct"/>
            <w:shd w:val="clear" w:color="auto" w:fill="FFFFFF" w:themeFill="background1"/>
            <w:vAlign w:val="center"/>
          </w:tcPr>
          <w:p w14:paraId="06359088" w14:textId="77777777" w:rsidR="00442A7D" w:rsidRPr="00FB0202" w:rsidRDefault="00442A7D" w:rsidP="00776154">
            <w:pPr>
              <w:jc w:val="center"/>
              <w:cnfStyle w:val="000000010000" w:firstRow="0" w:lastRow="0" w:firstColumn="0" w:lastColumn="0" w:oddVBand="0" w:evenVBand="0" w:oddHBand="0" w:evenHBand="1" w:firstRowFirstColumn="0" w:firstRowLastColumn="0" w:lastRowFirstColumn="0" w:lastRowLastColumn="0"/>
              <w:rPr>
                <w:rFonts w:cs="Arial"/>
                <w:szCs w:val="20"/>
              </w:rPr>
            </w:pPr>
            <w:r w:rsidRPr="00FB0202">
              <w:rPr>
                <w:rFonts w:cs="Arial"/>
                <w:szCs w:val="20"/>
              </w:rPr>
              <w:t>1.1</w:t>
            </w:r>
          </w:p>
        </w:tc>
        <w:tc>
          <w:tcPr>
            <w:tcW w:w="846" w:type="pct"/>
            <w:shd w:val="clear" w:color="auto" w:fill="FFFFFF" w:themeFill="background1"/>
            <w:vAlign w:val="center"/>
          </w:tcPr>
          <w:p w14:paraId="3BA2B71A" w14:textId="15FF6733" w:rsidR="00442A7D" w:rsidRPr="00FB0202" w:rsidRDefault="00442A7D" w:rsidP="00442A7D">
            <w:pPr>
              <w:pStyle w:val="FSTableText"/>
              <w:jc w:val="center"/>
              <w:cnfStyle w:val="000000010000" w:firstRow="0" w:lastRow="0" w:firstColumn="0" w:lastColumn="0" w:oddVBand="0" w:evenVBand="0" w:oddHBand="0" w:evenHBand="1" w:firstRowFirstColumn="0" w:firstRowLastColumn="0" w:lastRowFirstColumn="0" w:lastRowLastColumn="0"/>
            </w:pPr>
            <w:r w:rsidRPr="00FB0202">
              <w:t>0.12</w:t>
            </w:r>
            <w:r>
              <w:t xml:space="preserve"> </w:t>
            </w:r>
            <w:r w:rsidRPr="00FB0202">
              <w:t>(α-TE)</w:t>
            </w:r>
          </w:p>
        </w:tc>
        <w:tc>
          <w:tcPr>
            <w:tcW w:w="846" w:type="pct"/>
            <w:shd w:val="clear" w:color="auto" w:fill="FFFFFF" w:themeFill="background1"/>
            <w:vAlign w:val="center"/>
          </w:tcPr>
          <w:p w14:paraId="664A77E2" w14:textId="45F3C0EE" w:rsidR="00442A7D" w:rsidRPr="00FB0202" w:rsidRDefault="00442A7D" w:rsidP="00442A7D">
            <w:pPr>
              <w:jc w:val="center"/>
              <w:cnfStyle w:val="000000010000" w:firstRow="0" w:lastRow="0" w:firstColumn="0" w:lastColumn="0" w:oddVBand="0" w:evenVBand="0" w:oddHBand="0" w:evenHBand="1" w:firstRowFirstColumn="0" w:firstRowLastColumn="0" w:lastRowFirstColumn="0" w:lastRowLastColumn="0"/>
              <w:rPr>
                <w:rFonts w:cs="Arial"/>
                <w:szCs w:val="20"/>
              </w:rPr>
            </w:pPr>
            <w:r w:rsidRPr="00FB0202">
              <w:rPr>
                <w:rFonts w:cs="Arial"/>
                <w:szCs w:val="20"/>
              </w:rPr>
              <w:t>1.2 (GUL)</w:t>
            </w:r>
            <w:r>
              <w:rPr>
                <w:rFonts w:cs="Arial"/>
                <w:szCs w:val="20"/>
              </w:rPr>
              <w:t xml:space="preserve"> </w:t>
            </w:r>
            <w:r w:rsidRPr="00FB0202">
              <w:rPr>
                <w:rFonts w:cs="Arial"/>
                <w:szCs w:val="20"/>
              </w:rPr>
              <w:t>(α-TE)</w:t>
            </w:r>
          </w:p>
        </w:tc>
        <w:tc>
          <w:tcPr>
            <w:tcW w:w="924" w:type="pct"/>
            <w:shd w:val="clear" w:color="auto" w:fill="FFFFFF" w:themeFill="background1"/>
            <w:vAlign w:val="center"/>
          </w:tcPr>
          <w:p w14:paraId="51E60B84" w14:textId="77777777" w:rsidR="00442A7D" w:rsidRPr="00FB0202" w:rsidRDefault="00442A7D" w:rsidP="00776154">
            <w:pPr>
              <w:jc w:val="center"/>
              <w:cnfStyle w:val="000000010000" w:firstRow="0" w:lastRow="0" w:firstColumn="0" w:lastColumn="0" w:oddVBand="0" w:evenVBand="0" w:oddHBand="0" w:evenHBand="1" w:firstRowFirstColumn="0" w:firstRowLastColumn="0" w:lastRowFirstColumn="0" w:lastRowLastColumn="0"/>
              <w:rPr>
                <w:rFonts w:eastAsia="Arial Unicode MS" w:cs="Arial"/>
                <w:szCs w:val="20"/>
              </w:rPr>
            </w:pPr>
            <w:r w:rsidRPr="00FB0202">
              <w:rPr>
                <w:rFonts w:eastAsia="Arial Unicode MS" w:cs="Arial"/>
                <w:szCs w:val="20"/>
              </w:rPr>
              <w:t>0.26–0.58</w:t>
            </w:r>
          </w:p>
        </w:tc>
      </w:tr>
      <w:tr w:rsidR="00014EC6" w:rsidRPr="00FB0202" w14:paraId="57E104D1" w14:textId="77777777" w:rsidTr="001075C4">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1" w:type="pct"/>
            <w:gridSpan w:val="6"/>
            <w:shd w:val="clear" w:color="auto" w:fill="F2F2F2" w:themeFill="background1" w:themeFillShade="F2"/>
            <w:vAlign w:val="center"/>
          </w:tcPr>
          <w:p w14:paraId="28C2E53C" w14:textId="32BF0EFF" w:rsidR="00014EC6" w:rsidRPr="00014EC6" w:rsidRDefault="00014EC6" w:rsidP="00442A7D">
            <w:pPr>
              <w:keepNext/>
              <w:keepLines/>
              <w:rPr>
                <w:rFonts w:eastAsia="Arial Unicode MS" w:cs="Arial"/>
                <w:szCs w:val="20"/>
              </w:rPr>
            </w:pPr>
            <w:r>
              <w:rPr>
                <w:rFonts w:eastAsia="Arial Unicode MS" w:cs="Arial"/>
                <w:szCs w:val="20"/>
              </w:rPr>
              <w:t>Minerals</w:t>
            </w:r>
          </w:p>
        </w:tc>
      </w:tr>
      <w:tr w:rsidR="00442A7D" w:rsidRPr="00FB0202" w14:paraId="2AFCB8E9" w14:textId="77777777" w:rsidTr="00014EC6">
        <w:trPr>
          <w:cnfStyle w:val="000000010000" w:firstRow="0" w:lastRow="0" w:firstColumn="0" w:lastColumn="0" w:oddVBand="0" w:evenVBand="0" w:oddHBand="0" w:evenHBand="1"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041" w:type="pct"/>
            <w:shd w:val="clear" w:color="auto" w:fill="FFFFFF" w:themeFill="background1"/>
            <w:vAlign w:val="center"/>
          </w:tcPr>
          <w:p w14:paraId="12222430" w14:textId="77777777" w:rsidR="00442A7D" w:rsidRPr="00442A7D" w:rsidRDefault="00442A7D" w:rsidP="00442A7D">
            <w:pPr>
              <w:rPr>
                <w:rFonts w:cs="Arial"/>
                <w:b w:val="0"/>
                <w:szCs w:val="20"/>
              </w:rPr>
            </w:pPr>
            <w:r w:rsidRPr="00442A7D">
              <w:rPr>
                <w:rFonts w:cs="Arial"/>
                <w:b w:val="0"/>
                <w:szCs w:val="20"/>
              </w:rPr>
              <w:t>Calcium</w:t>
            </w:r>
          </w:p>
          <w:p w14:paraId="6E8298FB" w14:textId="2AA2FE29" w:rsidR="00442A7D" w:rsidRPr="00442A7D" w:rsidRDefault="00442A7D" w:rsidP="00442A7D">
            <w:pPr>
              <w:rPr>
                <w:rFonts w:cs="Arial"/>
                <w:b w:val="0"/>
                <w:szCs w:val="20"/>
              </w:rPr>
            </w:pPr>
            <w:r w:rsidRPr="00442A7D">
              <w:rPr>
                <w:rFonts w:cs="Arial"/>
                <w:b w:val="0"/>
                <w:szCs w:val="20"/>
              </w:rPr>
              <w:t>(mg/100 kJ)</w:t>
            </w:r>
          </w:p>
        </w:tc>
        <w:tc>
          <w:tcPr>
            <w:tcW w:w="758" w:type="pct"/>
            <w:shd w:val="clear" w:color="auto" w:fill="FFFFFF" w:themeFill="background1"/>
            <w:vAlign w:val="center"/>
          </w:tcPr>
          <w:p w14:paraId="15B0B2BF" w14:textId="77777777" w:rsidR="00442A7D" w:rsidRPr="00FB0202" w:rsidRDefault="00442A7D" w:rsidP="00776154">
            <w:pPr>
              <w:jc w:val="center"/>
              <w:cnfStyle w:val="000000010000" w:firstRow="0" w:lastRow="0" w:firstColumn="0" w:lastColumn="0" w:oddVBand="0" w:evenVBand="0" w:oddHBand="0" w:evenHBand="1" w:firstRowFirstColumn="0" w:firstRowLastColumn="0" w:lastRowFirstColumn="0" w:lastRowLastColumn="0"/>
              <w:rPr>
                <w:rFonts w:cs="Arial"/>
                <w:szCs w:val="20"/>
              </w:rPr>
            </w:pPr>
            <w:r w:rsidRPr="00FB0202">
              <w:rPr>
                <w:rFonts w:cs="Arial"/>
                <w:szCs w:val="20"/>
              </w:rPr>
              <w:t>12</w:t>
            </w:r>
          </w:p>
        </w:tc>
        <w:tc>
          <w:tcPr>
            <w:tcW w:w="585" w:type="pct"/>
            <w:shd w:val="clear" w:color="auto" w:fill="FFFFFF" w:themeFill="background1"/>
            <w:vAlign w:val="center"/>
          </w:tcPr>
          <w:p w14:paraId="36C614C4" w14:textId="77777777" w:rsidR="00442A7D" w:rsidRPr="00FB0202" w:rsidRDefault="00442A7D" w:rsidP="00776154">
            <w:pPr>
              <w:jc w:val="center"/>
              <w:cnfStyle w:val="000000010000" w:firstRow="0" w:lastRow="0" w:firstColumn="0" w:lastColumn="0" w:oddVBand="0" w:evenVBand="0" w:oddHBand="0" w:evenHBand="1" w:firstRowFirstColumn="0" w:firstRowLastColumn="0" w:lastRowFirstColumn="0" w:lastRowLastColumn="0"/>
              <w:rPr>
                <w:rFonts w:cs="Arial"/>
                <w:szCs w:val="20"/>
              </w:rPr>
            </w:pPr>
            <w:r w:rsidRPr="00FB0202">
              <w:rPr>
                <w:rFonts w:cs="Arial"/>
                <w:szCs w:val="20"/>
              </w:rPr>
              <w:t>33 (GUL)</w:t>
            </w:r>
          </w:p>
        </w:tc>
        <w:tc>
          <w:tcPr>
            <w:tcW w:w="846" w:type="pct"/>
            <w:shd w:val="clear" w:color="auto" w:fill="FFFFFF" w:themeFill="background1"/>
            <w:vAlign w:val="center"/>
          </w:tcPr>
          <w:p w14:paraId="681772B3" w14:textId="77777777" w:rsidR="00442A7D" w:rsidRPr="00FB0202" w:rsidRDefault="00442A7D" w:rsidP="00776154">
            <w:pPr>
              <w:jc w:val="center"/>
              <w:cnfStyle w:val="000000010000" w:firstRow="0" w:lastRow="0" w:firstColumn="0" w:lastColumn="0" w:oddVBand="0" w:evenVBand="0" w:oddHBand="0" w:evenHBand="1" w:firstRowFirstColumn="0" w:firstRowLastColumn="0" w:lastRowFirstColumn="0" w:lastRowLastColumn="0"/>
              <w:rPr>
                <w:rFonts w:cs="Arial"/>
                <w:szCs w:val="20"/>
              </w:rPr>
            </w:pPr>
            <w:r w:rsidRPr="00FB0202">
              <w:rPr>
                <w:rFonts w:cs="Arial"/>
                <w:szCs w:val="20"/>
              </w:rPr>
              <w:t>12</w:t>
            </w:r>
          </w:p>
        </w:tc>
        <w:tc>
          <w:tcPr>
            <w:tcW w:w="846" w:type="pct"/>
            <w:shd w:val="clear" w:color="auto" w:fill="FFFFFF" w:themeFill="background1"/>
            <w:vAlign w:val="center"/>
          </w:tcPr>
          <w:p w14:paraId="77D6C499" w14:textId="69368E92" w:rsidR="00442A7D" w:rsidRPr="00FB0202" w:rsidRDefault="00442A7D" w:rsidP="00174AAB">
            <w:pPr>
              <w:jc w:val="center"/>
              <w:cnfStyle w:val="000000010000" w:firstRow="0" w:lastRow="0" w:firstColumn="0" w:lastColumn="0" w:oddVBand="0" w:evenVBand="0" w:oddHBand="0" w:evenHBand="1" w:firstRowFirstColumn="0" w:firstRowLastColumn="0" w:lastRowFirstColumn="0" w:lastRowLastColumn="0"/>
              <w:rPr>
                <w:rFonts w:cs="Arial"/>
                <w:szCs w:val="20"/>
              </w:rPr>
            </w:pPr>
            <w:r w:rsidRPr="00FB0202">
              <w:rPr>
                <w:rFonts w:cs="Arial"/>
                <w:szCs w:val="20"/>
              </w:rPr>
              <w:t>35</w:t>
            </w:r>
            <w:r>
              <w:rPr>
                <w:rFonts w:cs="Arial"/>
                <w:szCs w:val="20"/>
              </w:rPr>
              <w:t xml:space="preserve"> </w:t>
            </w:r>
            <w:r w:rsidRPr="00FB0202">
              <w:rPr>
                <w:rFonts w:cs="Arial"/>
                <w:szCs w:val="20"/>
              </w:rPr>
              <w:t>(GUL)</w:t>
            </w:r>
          </w:p>
        </w:tc>
        <w:tc>
          <w:tcPr>
            <w:tcW w:w="924" w:type="pct"/>
            <w:shd w:val="clear" w:color="auto" w:fill="FFFFFF" w:themeFill="background1"/>
            <w:vAlign w:val="center"/>
          </w:tcPr>
          <w:p w14:paraId="054108D6" w14:textId="77777777" w:rsidR="00442A7D" w:rsidRPr="00FB0202" w:rsidRDefault="00442A7D" w:rsidP="00776154">
            <w:pPr>
              <w:jc w:val="center"/>
              <w:cnfStyle w:val="000000010000" w:firstRow="0" w:lastRow="0" w:firstColumn="0" w:lastColumn="0" w:oddVBand="0" w:evenVBand="0" w:oddHBand="0" w:evenHBand="1" w:firstRowFirstColumn="0" w:firstRowLastColumn="0" w:lastRowFirstColumn="0" w:lastRowLastColumn="0"/>
              <w:rPr>
                <w:rFonts w:eastAsia="Arial Unicode MS" w:cs="Arial"/>
                <w:szCs w:val="20"/>
              </w:rPr>
            </w:pPr>
            <w:r w:rsidRPr="00FB0202">
              <w:rPr>
                <w:rFonts w:eastAsia="Arial Unicode MS" w:cs="Arial"/>
                <w:szCs w:val="20"/>
              </w:rPr>
              <w:t>15.38–23.57</w:t>
            </w:r>
          </w:p>
        </w:tc>
      </w:tr>
      <w:tr w:rsidR="00442A7D" w:rsidRPr="00FB0202" w14:paraId="73C1B732" w14:textId="77777777" w:rsidTr="00014EC6">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041" w:type="pct"/>
            <w:shd w:val="clear" w:color="auto" w:fill="FFFFFF" w:themeFill="background1"/>
            <w:vAlign w:val="center"/>
          </w:tcPr>
          <w:p w14:paraId="5A4984AA" w14:textId="77777777" w:rsidR="00442A7D" w:rsidRPr="00442A7D" w:rsidRDefault="00442A7D" w:rsidP="00442A7D">
            <w:pPr>
              <w:rPr>
                <w:rFonts w:cs="Arial"/>
                <w:b w:val="0"/>
                <w:szCs w:val="20"/>
              </w:rPr>
            </w:pPr>
            <w:r w:rsidRPr="00442A7D">
              <w:rPr>
                <w:rFonts w:cs="Arial"/>
                <w:b w:val="0"/>
                <w:szCs w:val="20"/>
              </w:rPr>
              <w:t>Manganese</w:t>
            </w:r>
          </w:p>
          <w:p w14:paraId="3C4E7AD7" w14:textId="723D976C" w:rsidR="00442A7D" w:rsidRPr="00442A7D" w:rsidRDefault="00442A7D" w:rsidP="00442A7D">
            <w:pPr>
              <w:rPr>
                <w:rFonts w:cs="Arial"/>
                <w:b w:val="0"/>
                <w:szCs w:val="20"/>
              </w:rPr>
            </w:pPr>
            <w:r w:rsidRPr="00442A7D">
              <w:rPr>
                <w:rFonts w:cs="Arial"/>
                <w:b w:val="0"/>
                <w:szCs w:val="20"/>
              </w:rPr>
              <w:t>(µg/100 kJ)</w:t>
            </w:r>
          </w:p>
        </w:tc>
        <w:tc>
          <w:tcPr>
            <w:tcW w:w="758" w:type="pct"/>
            <w:shd w:val="clear" w:color="auto" w:fill="FFFFFF" w:themeFill="background1"/>
            <w:vAlign w:val="center"/>
          </w:tcPr>
          <w:p w14:paraId="7C193D52" w14:textId="77777777" w:rsidR="00442A7D" w:rsidRPr="00FB0202" w:rsidRDefault="00442A7D" w:rsidP="00776154">
            <w:pPr>
              <w:jc w:val="center"/>
              <w:cnfStyle w:val="000000100000" w:firstRow="0" w:lastRow="0" w:firstColumn="0" w:lastColumn="0" w:oddVBand="0" w:evenVBand="0" w:oddHBand="1" w:evenHBand="0" w:firstRowFirstColumn="0" w:firstRowLastColumn="0" w:lastRowFirstColumn="0" w:lastRowLastColumn="0"/>
              <w:rPr>
                <w:rFonts w:cs="Arial"/>
                <w:szCs w:val="20"/>
              </w:rPr>
            </w:pPr>
            <w:r w:rsidRPr="00FB0202">
              <w:rPr>
                <w:rFonts w:eastAsia="Arial Unicode MS" w:cs="Arial"/>
                <w:szCs w:val="20"/>
              </w:rPr>
              <w:t>0.</w:t>
            </w:r>
            <w:r w:rsidRPr="00FB0202">
              <w:rPr>
                <w:rFonts w:cs="Arial"/>
                <w:szCs w:val="20"/>
              </w:rPr>
              <w:t>24</w:t>
            </w:r>
          </w:p>
        </w:tc>
        <w:tc>
          <w:tcPr>
            <w:tcW w:w="585" w:type="pct"/>
            <w:shd w:val="clear" w:color="auto" w:fill="FFFFFF" w:themeFill="background1"/>
            <w:vAlign w:val="center"/>
          </w:tcPr>
          <w:p w14:paraId="6F527EFA" w14:textId="77777777" w:rsidR="00442A7D" w:rsidRPr="00FB0202" w:rsidRDefault="00442A7D" w:rsidP="00776154">
            <w:pPr>
              <w:jc w:val="center"/>
              <w:cnfStyle w:val="000000100000" w:firstRow="0" w:lastRow="0" w:firstColumn="0" w:lastColumn="0" w:oddVBand="0" w:evenVBand="0" w:oddHBand="1" w:evenHBand="0" w:firstRowFirstColumn="0" w:firstRowLastColumn="0" w:lastRowFirstColumn="0" w:lastRowLastColumn="0"/>
              <w:rPr>
                <w:rFonts w:cs="Arial"/>
                <w:szCs w:val="20"/>
              </w:rPr>
            </w:pPr>
            <w:r w:rsidRPr="00FB0202">
              <w:rPr>
                <w:rFonts w:cs="Arial"/>
                <w:szCs w:val="20"/>
              </w:rPr>
              <w:t>24</w:t>
            </w:r>
          </w:p>
        </w:tc>
        <w:tc>
          <w:tcPr>
            <w:tcW w:w="846" w:type="pct"/>
            <w:shd w:val="clear" w:color="auto" w:fill="FFFFFF" w:themeFill="background1"/>
            <w:vAlign w:val="center"/>
          </w:tcPr>
          <w:p w14:paraId="4ADE3754" w14:textId="77777777" w:rsidR="00442A7D" w:rsidRPr="00FB0202" w:rsidRDefault="00442A7D" w:rsidP="00776154">
            <w:pPr>
              <w:jc w:val="center"/>
              <w:cnfStyle w:val="000000100000" w:firstRow="0" w:lastRow="0" w:firstColumn="0" w:lastColumn="0" w:oddVBand="0" w:evenVBand="0" w:oddHBand="1" w:evenHBand="0" w:firstRowFirstColumn="0" w:firstRowLastColumn="0" w:lastRowFirstColumn="0" w:lastRowLastColumn="0"/>
              <w:rPr>
                <w:rFonts w:cs="Arial"/>
                <w:szCs w:val="20"/>
              </w:rPr>
            </w:pPr>
            <w:r w:rsidRPr="00FB0202">
              <w:rPr>
                <w:rFonts w:eastAsia="Arial Unicode MS" w:cs="Arial"/>
                <w:szCs w:val="20"/>
              </w:rPr>
              <w:t>0.</w:t>
            </w:r>
            <w:r w:rsidRPr="00FB0202">
              <w:rPr>
                <w:rFonts w:cs="Arial"/>
                <w:szCs w:val="20"/>
              </w:rPr>
              <w:t>25</w:t>
            </w:r>
          </w:p>
        </w:tc>
        <w:tc>
          <w:tcPr>
            <w:tcW w:w="846" w:type="pct"/>
            <w:shd w:val="clear" w:color="auto" w:fill="FFFFFF" w:themeFill="background1"/>
            <w:vAlign w:val="center"/>
          </w:tcPr>
          <w:p w14:paraId="49FD6AC1" w14:textId="48AD96BF" w:rsidR="00442A7D" w:rsidRPr="00FB0202" w:rsidRDefault="00442A7D" w:rsidP="00174AAB">
            <w:pPr>
              <w:jc w:val="center"/>
              <w:cnfStyle w:val="000000100000" w:firstRow="0" w:lastRow="0" w:firstColumn="0" w:lastColumn="0" w:oddVBand="0" w:evenVBand="0" w:oddHBand="1" w:evenHBand="0" w:firstRowFirstColumn="0" w:firstRowLastColumn="0" w:lastRowFirstColumn="0" w:lastRowLastColumn="0"/>
              <w:rPr>
                <w:rFonts w:cs="Arial"/>
                <w:szCs w:val="20"/>
              </w:rPr>
            </w:pPr>
            <w:r w:rsidRPr="00FB0202">
              <w:rPr>
                <w:rFonts w:cs="Arial"/>
                <w:szCs w:val="20"/>
              </w:rPr>
              <w:t xml:space="preserve">24 </w:t>
            </w:r>
            <w:r>
              <w:rPr>
                <w:rFonts w:cs="Arial"/>
                <w:szCs w:val="20"/>
              </w:rPr>
              <w:t xml:space="preserve"> </w:t>
            </w:r>
            <w:r w:rsidRPr="00FB0202">
              <w:rPr>
                <w:rFonts w:cs="Arial"/>
                <w:szCs w:val="20"/>
              </w:rPr>
              <w:t>(GUL)</w:t>
            </w:r>
          </w:p>
        </w:tc>
        <w:tc>
          <w:tcPr>
            <w:tcW w:w="924" w:type="pct"/>
            <w:shd w:val="clear" w:color="auto" w:fill="FFFFFF" w:themeFill="background1"/>
            <w:vAlign w:val="center"/>
          </w:tcPr>
          <w:p w14:paraId="19F554C5" w14:textId="77777777" w:rsidR="00442A7D" w:rsidRPr="00FB0202" w:rsidRDefault="00442A7D" w:rsidP="00776154">
            <w:pPr>
              <w:jc w:val="center"/>
              <w:cnfStyle w:val="000000100000" w:firstRow="0" w:lastRow="0" w:firstColumn="0" w:lastColumn="0" w:oddVBand="0" w:evenVBand="0" w:oddHBand="1" w:evenHBand="0" w:firstRowFirstColumn="0" w:firstRowLastColumn="0" w:lastRowFirstColumn="0" w:lastRowLastColumn="0"/>
              <w:rPr>
                <w:rFonts w:eastAsia="Arial Unicode MS" w:cs="Arial"/>
                <w:szCs w:val="20"/>
              </w:rPr>
            </w:pPr>
            <w:r w:rsidRPr="00FB0202">
              <w:rPr>
                <w:rFonts w:eastAsia="Arial Unicode MS" w:cs="Arial"/>
                <w:szCs w:val="20"/>
              </w:rPr>
              <w:t>1.53–18.71</w:t>
            </w:r>
          </w:p>
        </w:tc>
      </w:tr>
      <w:tr w:rsidR="00442A7D" w:rsidRPr="00FB0202" w14:paraId="29B6DDF7" w14:textId="77777777" w:rsidTr="00014EC6">
        <w:trPr>
          <w:cnfStyle w:val="000000010000" w:firstRow="0" w:lastRow="0" w:firstColumn="0" w:lastColumn="0" w:oddVBand="0" w:evenVBand="0" w:oddHBand="0" w:evenHBand="1"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041" w:type="pct"/>
            <w:shd w:val="clear" w:color="auto" w:fill="FFFFFF" w:themeFill="background1"/>
            <w:vAlign w:val="center"/>
          </w:tcPr>
          <w:p w14:paraId="3F446509" w14:textId="77777777" w:rsidR="00442A7D" w:rsidRPr="00442A7D" w:rsidRDefault="00442A7D" w:rsidP="00442A7D">
            <w:pPr>
              <w:rPr>
                <w:rFonts w:cs="Arial"/>
                <w:b w:val="0"/>
                <w:szCs w:val="20"/>
              </w:rPr>
            </w:pPr>
            <w:r w:rsidRPr="00442A7D">
              <w:rPr>
                <w:rFonts w:cs="Arial"/>
                <w:b w:val="0"/>
                <w:szCs w:val="20"/>
              </w:rPr>
              <w:t>Magnesium</w:t>
            </w:r>
          </w:p>
          <w:p w14:paraId="699DEAC1" w14:textId="6B406942" w:rsidR="00442A7D" w:rsidRPr="00442A7D" w:rsidRDefault="00442A7D" w:rsidP="00442A7D">
            <w:pPr>
              <w:rPr>
                <w:rFonts w:cs="Arial"/>
                <w:b w:val="0"/>
                <w:szCs w:val="20"/>
              </w:rPr>
            </w:pPr>
            <w:r w:rsidRPr="00442A7D">
              <w:rPr>
                <w:rFonts w:cs="Arial"/>
                <w:b w:val="0"/>
                <w:szCs w:val="20"/>
              </w:rPr>
              <w:t>(mg/100 kJ)</w:t>
            </w:r>
          </w:p>
        </w:tc>
        <w:tc>
          <w:tcPr>
            <w:tcW w:w="758" w:type="pct"/>
            <w:shd w:val="clear" w:color="auto" w:fill="FFFFFF" w:themeFill="background1"/>
            <w:vAlign w:val="center"/>
          </w:tcPr>
          <w:p w14:paraId="47771500" w14:textId="77777777" w:rsidR="00442A7D" w:rsidRPr="00FB0202" w:rsidRDefault="00442A7D" w:rsidP="00776154">
            <w:pPr>
              <w:jc w:val="center"/>
              <w:cnfStyle w:val="000000010000" w:firstRow="0" w:lastRow="0" w:firstColumn="0" w:lastColumn="0" w:oddVBand="0" w:evenVBand="0" w:oddHBand="0" w:evenHBand="1" w:firstRowFirstColumn="0" w:firstRowLastColumn="0" w:lastRowFirstColumn="0" w:lastRowLastColumn="0"/>
              <w:rPr>
                <w:rFonts w:cs="Arial"/>
                <w:szCs w:val="20"/>
              </w:rPr>
            </w:pPr>
            <w:r w:rsidRPr="00FB0202">
              <w:rPr>
                <w:rFonts w:cs="Arial"/>
                <w:szCs w:val="20"/>
              </w:rPr>
              <w:t>1.2</w:t>
            </w:r>
          </w:p>
        </w:tc>
        <w:tc>
          <w:tcPr>
            <w:tcW w:w="585" w:type="pct"/>
            <w:shd w:val="clear" w:color="auto" w:fill="FFFFFF" w:themeFill="background1"/>
            <w:vAlign w:val="center"/>
          </w:tcPr>
          <w:p w14:paraId="3E6D72E6" w14:textId="77777777" w:rsidR="00442A7D" w:rsidRPr="00FB0202" w:rsidRDefault="00442A7D" w:rsidP="00776154">
            <w:pPr>
              <w:jc w:val="center"/>
              <w:cnfStyle w:val="000000010000" w:firstRow="0" w:lastRow="0" w:firstColumn="0" w:lastColumn="0" w:oddVBand="0" w:evenVBand="0" w:oddHBand="0" w:evenHBand="1" w:firstRowFirstColumn="0" w:firstRowLastColumn="0" w:lastRowFirstColumn="0" w:lastRowLastColumn="0"/>
              <w:rPr>
                <w:rFonts w:cs="Arial"/>
                <w:szCs w:val="20"/>
              </w:rPr>
            </w:pPr>
            <w:r w:rsidRPr="00FB0202">
              <w:rPr>
                <w:rFonts w:cs="Arial"/>
                <w:szCs w:val="20"/>
              </w:rPr>
              <w:t>4.0</w:t>
            </w:r>
          </w:p>
        </w:tc>
        <w:tc>
          <w:tcPr>
            <w:tcW w:w="846" w:type="pct"/>
            <w:shd w:val="clear" w:color="auto" w:fill="FFFFFF" w:themeFill="background1"/>
            <w:vAlign w:val="center"/>
          </w:tcPr>
          <w:p w14:paraId="07DDA97D" w14:textId="77777777" w:rsidR="00442A7D" w:rsidRPr="00FB0202" w:rsidRDefault="00442A7D" w:rsidP="00776154">
            <w:pPr>
              <w:jc w:val="center"/>
              <w:cnfStyle w:val="000000010000" w:firstRow="0" w:lastRow="0" w:firstColumn="0" w:lastColumn="0" w:oddVBand="0" w:evenVBand="0" w:oddHBand="0" w:evenHBand="1" w:firstRowFirstColumn="0" w:firstRowLastColumn="0" w:lastRowFirstColumn="0" w:lastRowLastColumn="0"/>
              <w:rPr>
                <w:rFonts w:cs="Arial"/>
                <w:szCs w:val="20"/>
              </w:rPr>
            </w:pPr>
            <w:r w:rsidRPr="00FB0202">
              <w:rPr>
                <w:rFonts w:cs="Arial"/>
                <w:szCs w:val="20"/>
              </w:rPr>
              <w:t>1.2</w:t>
            </w:r>
          </w:p>
        </w:tc>
        <w:tc>
          <w:tcPr>
            <w:tcW w:w="846" w:type="pct"/>
            <w:shd w:val="clear" w:color="auto" w:fill="FFFFFF" w:themeFill="background1"/>
            <w:vAlign w:val="center"/>
          </w:tcPr>
          <w:p w14:paraId="0BE4644F" w14:textId="7A37DA51" w:rsidR="00442A7D" w:rsidRPr="00FB0202" w:rsidRDefault="00442A7D" w:rsidP="00174AAB">
            <w:pPr>
              <w:jc w:val="center"/>
              <w:cnfStyle w:val="000000010000" w:firstRow="0" w:lastRow="0" w:firstColumn="0" w:lastColumn="0" w:oddVBand="0" w:evenVBand="0" w:oddHBand="0" w:evenHBand="1" w:firstRowFirstColumn="0" w:firstRowLastColumn="0" w:lastRowFirstColumn="0" w:lastRowLastColumn="0"/>
              <w:rPr>
                <w:rFonts w:cs="Arial"/>
                <w:szCs w:val="20"/>
              </w:rPr>
            </w:pPr>
            <w:r w:rsidRPr="00FB0202">
              <w:rPr>
                <w:rFonts w:cs="Arial"/>
                <w:szCs w:val="20"/>
              </w:rPr>
              <w:t>3.6</w:t>
            </w:r>
            <w:r>
              <w:rPr>
                <w:rFonts w:cs="Arial"/>
                <w:szCs w:val="20"/>
              </w:rPr>
              <w:t xml:space="preserve"> </w:t>
            </w:r>
            <w:r w:rsidRPr="00FB0202">
              <w:rPr>
                <w:rFonts w:cs="Arial"/>
                <w:szCs w:val="20"/>
              </w:rPr>
              <w:t>(GUL)</w:t>
            </w:r>
          </w:p>
        </w:tc>
        <w:tc>
          <w:tcPr>
            <w:tcW w:w="924" w:type="pct"/>
            <w:shd w:val="clear" w:color="auto" w:fill="FFFFFF" w:themeFill="background1"/>
            <w:vAlign w:val="center"/>
          </w:tcPr>
          <w:p w14:paraId="53E8EC1C" w14:textId="77777777" w:rsidR="00442A7D" w:rsidRPr="00FB0202" w:rsidRDefault="00442A7D" w:rsidP="00776154">
            <w:pPr>
              <w:jc w:val="center"/>
              <w:cnfStyle w:val="000000010000" w:firstRow="0" w:lastRow="0" w:firstColumn="0" w:lastColumn="0" w:oddVBand="0" w:evenVBand="0" w:oddHBand="0" w:evenHBand="1" w:firstRowFirstColumn="0" w:firstRowLastColumn="0" w:lastRowFirstColumn="0" w:lastRowLastColumn="0"/>
              <w:rPr>
                <w:rFonts w:eastAsia="Arial Unicode MS" w:cs="Arial"/>
                <w:szCs w:val="20"/>
              </w:rPr>
            </w:pPr>
            <w:r w:rsidRPr="00FB0202">
              <w:rPr>
                <w:rFonts w:eastAsia="Arial Unicode MS" w:cs="Arial"/>
                <w:szCs w:val="20"/>
              </w:rPr>
              <w:t>1.65–2.52</w:t>
            </w:r>
          </w:p>
        </w:tc>
      </w:tr>
      <w:tr w:rsidR="00014EC6" w:rsidRPr="00FB0202" w14:paraId="07D60033" w14:textId="77777777" w:rsidTr="001075C4">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 w:type="pct"/>
            <w:gridSpan w:val="6"/>
            <w:shd w:val="clear" w:color="auto" w:fill="F2F2F2" w:themeFill="background1" w:themeFillShade="F2"/>
            <w:vAlign w:val="center"/>
          </w:tcPr>
          <w:p w14:paraId="676E26DE" w14:textId="75B4A952" w:rsidR="00014EC6" w:rsidRPr="00014EC6" w:rsidRDefault="00014EC6" w:rsidP="00776154">
            <w:pPr>
              <w:keepNext/>
              <w:keepLines/>
              <w:rPr>
                <w:rFonts w:eastAsia="Arial Unicode MS" w:cs="Arial"/>
                <w:szCs w:val="20"/>
              </w:rPr>
            </w:pPr>
            <w:r>
              <w:rPr>
                <w:rFonts w:eastAsia="Arial Unicode MS" w:cs="Arial"/>
                <w:szCs w:val="20"/>
              </w:rPr>
              <w:t>Electrolytes</w:t>
            </w:r>
          </w:p>
        </w:tc>
      </w:tr>
      <w:tr w:rsidR="00442A7D" w:rsidRPr="00FB0202" w14:paraId="2B4975C2" w14:textId="77777777" w:rsidTr="00014EC6">
        <w:trPr>
          <w:cnfStyle w:val="000000010000" w:firstRow="0" w:lastRow="0" w:firstColumn="0" w:lastColumn="0" w:oddVBand="0" w:evenVBand="0" w:oddHBand="0" w:evenHBand="1"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041" w:type="pct"/>
            <w:shd w:val="clear" w:color="auto" w:fill="FFFFFF" w:themeFill="background1"/>
            <w:vAlign w:val="center"/>
          </w:tcPr>
          <w:p w14:paraId="3EDA06FE" w14:textId="77777777" w:rsidR="00442A7D" w:rsidRPr="00442A7D" w:rsidRDefault="00442A7D" w:rsidP="00442A7D">
            <w:pPr>
              <w:rPr>
                <w:rFonts w:cs="Arial"/>
                <w:b w:val="0"/>
                <w:szCs w:val="20"/>
              </w:rPr>
            </w:pPr>
            <w:r w:rsidRPr="00442A7D">
              <w:rPr>
                <w:rFonts w:cs="Arial"/>
                <w:b w:val="0"/>
                <w:szCs w:val="20"/>
              </w:rPr>
              <w:t>Potassium</w:t>
            </w:r>
          </w:p>
          <w:p w14:paraId="37D24712" w14:textId="4E77C8A5" w:rsidR="00442A7D" w:rsidRPr="00442A7D" w:rsidRDefault="00442A7D" w:rsidP="00442A7D">
            <w:pPr>
              <w:rPr>
                <w:rFonts w:cs="Arial"/>
                <w:b w:val="0"/>
                <w:szCs w:val="20"/>
              </w:rPr>
            </w:pPr>
            <w:r w:rsidRPr="00442A7D">
              <w:rPr>
                <w:rFonts w:cs="Arial"/>
                <w:b w:val="0"/>
                <w:szCs w:val="20"/>
              </w:rPr>
              <w:t>(mg/100 kJ)</w:t>
            </w:r>
          </w:p>
        </w:tc>
        <w:tc>
          <w:tcPr>
            <w:tcW w:w="758" w:type="pct"/>
            <w:shd w:val="clear" w:color="auto" w:fill="FFFFFF" w:themeFill="background1"/>
            <w:vAlign w:val="center"/>
          </w:tcPr>
          <w:p w14:paraId="4889E75E" w14:textId="77777777" w:rsidR="00442A7D" w:rsidRPr="00FB0202" w:rsidRDefault="00442A7D" w:rsidP="00776154">
            <w:pPr>
              <w:jc w:val="center"/>
              <w:cnfStyle w:val="000000010000" w:firstRow="0" w:lastRow="0" w:firstColumn="0" w:lastColumn="0" w:oddVBand="0" w:evenVBand="0" w:oddHBand="0" w:evenHBand="1" w:firstRowFirstColumn="0" w:firstRowLastColumn="0" w:lastRowFirstColumn="0" w:lastRowLastColumn="0"/>
              <w:rPr>
                <w:rFonts w:cs="Arial"/>
                <w:szCs w:val="20"/>
              </w:rPr>
            </w:pPr>
            <w:r w:rsidRPr="00FB0202">
              <w:rPr>
                <w:rFonts w:cs="Arial"/>
                <w:szCs w:val="20"/>
              </w:rPr>
              <w:t>20</w:t>
            </w:r>
          </w:p>
        </w:tc>
        <w:tc>
          <w:tcPr>
            <w:tcW w:w="585" w:type="pct"/>
            <w:shd w:val="clear" w:color="auto" w:fill="FFFFFF" w:themeFill="background1"/>
            <w:vAlign w:val="center"/>
          </w:tcPr>
          <w:p w14:paraId="6D7DEDCB" w14:textId="77777777" w:rsidR="00442A7D" w:rsidRPr="00FB0202" w:rsidRDefault="00442A7D" w:rsidP="00776154">
            <w:pPr>
              <w:jc w:val="center"/>
              <w:cnfStyle w:val="000000010000" w:firstRow="0" w:lastRow="0" w:firstColumn="0" w:lastColumn="0" w:oddVBand="0" w:evenVBand="0" w:oddHBand="0" w:evenHBand="1" w:firstRowFirstColumn="0" w:firstRowLastColumn="0" w:lastRowFirstColumn="0" w:lastRowLastColumn="0"/>
              <w:rPr>
                <w:rFonts w:cs="Arial"/>
                <w:szCs w:val="20"/>
              </w:rPr>
            </w:pPr>
            <w:r w:rsidRPr="00FB0202">
              <w:rPr>
                <w:rFonts w:cs="Arial"/>
                <w:szCs w:val="20"/>
              </w:rPr>
              <w:t>50</w:t>
            </w:r>
          </w:p>
        </w:tc>
        <w:tc>
          <w:tcPr>
            <w:tcW w:w="846" w:type="pct"/>
            <w:shd w:val="clear" w:color="auto" w:fill="FFFFFF" w:themeFill="background1"/>
            <w:vAlign w:val="center"/>
          </w:tcPr>
          <w:p w14:paraId="13186D20" w14:textId="77777777" w:rsidR="00442A7D" w:rsidRPr="00FB0202" w:rsidRDefault="00442A7D" w:rsidP="00776154">
            <w:pPr>
              <w:jc w:val="center"/>
              <w:cnfStyle w:val="000000010000" w:firstRow="0" w:lastRow="0" w:firstColumn="0" w:lastColumn="0" w:oddVBand="0" w:evenVBand="0" w:oddHBand="0" w:evenHBand="1" w:firstRowFirstColumn="0" w:firstRowLastColumn="0" w:lastRowFirstColumn="0" w:lastRowLastColumn="0"/>
              <w:rPr>
                <w:rFonts w:cs="Arial"/>
                <w:szCs w:val="20"/>
              </w:rPr>
            </w:pPr>
            <w:r w:rsidRPr="00FB0202">
              <w:rPr>
                <w:rFonts w:cs="Arial"/>
                <w:szCs w:val="20"/>
              </w:rPr>
              <w:t>14</w:t>
            </w:r>
          </w:p>
        </w:tc>
        <w:tc>
          <w:tcPr>
            <w:tcW w:w="846" w:type="pct"/>
            <w:shd w:val="clear" w:color="auto" w:fill="FFFFFF" w:themeFill="background1"/>
            <w:vAlign w:val="center"/>
          </w:tcPr>
          <w:p w14:paraId="2B1F1927" w14:textId="77777777" w:rsidR="00442A7D" w:rsidRPr="00FB0202" w:rsidRDefault="00442A7D" w:rsidP="00776154">
            <w:pPr>
              <w:jc w:val="center"/>
              <w:cnfStyle w:val="000000010000" w:firstRow="0" w:lastRow="0" w:firstColumn="0" w:lastColumn="0" w:oddVBand="0" w:evenVBand="0" w:oddHBand="0" w:evenHBand="1" w:firstRowFirstColumn="0" w:firstRowLastColumn="0" w:lastRowFirstColumn="0" w:lastRowLastColumn="0"/>
              <w:rPr>
                <w:rFonts w:cs="Arial"/>
                <w:szCs w:val="20"/>
              </w:rPr>
            </w:pPr>
            <w:r w:rsidRPr="00FB0202">
              <w:rPr>
                <w:rFonts w:cs="Arial"/>
                <w:szCs w:val="20"/>
              </w:rPr>
              <w:t>43</w:t>
            </w:r>
          </w:p>
        </w:tc>
        <w:tc>
          <w:tcPr>
            <w:tcW w:w="924" w:type="pct"/>
            <w:shd w:val="clear" w:color="auto" w:fill="FFFFFF" w:themeFill="background1"/>
            <w:vAlign w:val="center"/>
          </w:tcPr>
          <w:p w14:paraId="6314AD4E" w14:textId="77777777" w:rsidR="00442A7D" w:rsidRPr="00FB0202" w:rsidRDefault="00442A7D" w:rsidP="00776154">
            <w:pPr>
              <w:jc w:val="center"/>
              <w:cnfStyle w:val="000000010000" w:firstRow="0" w:lastRow="0" w:firstColumn="0" w:lastColumn="0" w:oddVBand="0" w:evenVBand="0" w:oddHBand="0" w:evenHBand="1" w:firstRowFirstColumn="0" w:firstRowLastColumn="0" w:lastRowFirstColumn="0" w:lastRowLastColumn="0"/>
              <w:rPr>
                <w:rFonts w:eastAsia="Arial Unicode MS" w:cs="Arial"/>
                <w:szCs w:val="20"/>
              </w:rPr>
            </w:pPr>
            <w:r w:rsidRPr="00FB0202">
              <w:rPr>
                <w:rFonts w:eastAsia="Arial Unicode MS" w:cs="Arial"/>
                <w:szCs w:val="20"/>
              </w:rPr>
              <w:t>20.79–31.65</w:t>
            </w:r>
          </w:p>
        </w:tc>
      </w:tr>
      <w:tr w:rsidR="00442A7D" w:rsidRPr="00FB0202" w14:paraId="1A83B997" w14:textId="77777777" w:rsidTr="00014EC6">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041" w:type="pct"/>
            <w:shd w:val="clear" w:color="auto" w:fill="FFFFFF" w:themeFill="background1"/>
            <w:vAlign w:val="center"/>
          </w:tcPr>
          <w:p w14:paraId="338866D9" w14:textId="77777777" w:rsidR="00442A7D" w:rsidRPr="00442A7D" w:rsidRDefault="00442A7D" w:rsidP="00442A7D">
            <w:pPr>
              <w:rPr>
                <w:rFonts w:cs="Arial"/>
                <w:b w:val="0"/>
                <w:szCs w:val="20"/>
              </w:rPr>
            </w:pPr>
            <w:r w:rsidRPr="00442A7D">
              <w:rPr>
                <w:rFonts w:cs="Arial"/>
                <w:b w:val="0"/>
                <w:szCs w:val="20"/>
              </w:rPr>
              <w:t>Chloride</w:t>
            </w:r>
          </w:p>
          <w:p w14:paraId="3C3766F2" w14:textId="2BB3F352" w:rsidR="00442A7D" w:rsidRPr="00442A7D" w:rsidRDefault="00442A7D" w:rsidP="00442A7D">
            <w:pPr>
              <w:rPr>
                <w:rFonts w:cs="Arial"/>
                <w:b w:val="0"/>
                <w:szCs w:val="20"/>
              </w:rPr>
            </w:pPr>
            <w:r w:rsidRPr="00442A7D">
              <w:rPr>
                <w:rFonts w:cs="Arial"/>
                <w:b w:val="0"/>
                <w:szCs w:val="20"/>
              </w:rPr>
              <w:t>(mg/100 kJ)</w:t>
            </w:r>
          </w:p>
        </w:tc>
        <w:tc>
          <w:tcPr>
            <w:tcW w:w="758" w:type="pct"/>
            <w:shd w:val="clear" w:color="auto" w:fill="FFFFFF" w:themeFill="background1"/>
            <w:vAlign w:val="center"/>
          </w:tcPr>
          <w:p w14:paraId="101C05C5" w14:textId="77777777" w:rsidR="00442A7D" w:rsidRPr="00FB0202" w:rsidRDefault="00442A7D" w:rsidP="00776154">
            <w:pPr>
              <w:jc w:val="center"/>
              <w:cnfStyle w:val="000000100000" w:firstRow="0" w:lastRow="0" w:firstColumn="0" w:lastColumn="0" w:oddVBand="0" w:evenVBand="0" w:oddHBand="1" w:evenHBand="0" w:firstRowFirstColumn="0" w:firstRowLastColumn="0" w:lastRowFirstColumn="0" w:lastRowLastColumn="0"/>
              <w:rPr>
                <w:rFonts w:cs="Arial"/>
                <w:szCs w:val="20"/>
              </w:rPr>
            </w:pPr>
            <w:r w:rsidRPr="00FB0202">
              <w:rPr>
                <w:rFonts w:cs="Arial"/>
                <w:szCs w:val="20"/>
              </w:rPr>
              <w:t>12</w:t>
            </w:r>
          </w:p>
        </w:tc>
        <w:tc>
          <w:tcPr>
            <w:tcW w:w="585" w:type="pct"/>
            <w:shd w:val="clear" w:color="auto" w:fill="FFFFFF" w:themeFill="background1"/>
            <w:vAlign w:val="center"/>
          </w:tcPr>
          <w:p w14:paraId="1E1604F3" w14:textId="77777777" w:rsidR="00442A7D" w:rsidRPr="00FB0202" w:rsidRDefault="00442A7D" w:rsidP="00776154">
            <w:pPr>
              <w:jc w:val="center"/>
              <w:cnfStyle w:val="000000100000" w:firstRow="0" w:lastRow="0" w:firstColumn="0" w:lastColumn="0" w:oddVBand="0" w:evenVBand="0" w:oddHBand="1" w:evenHBand="0" w:firstRowFirstColumn="0" w:firstRowLastColumn="0" w:lastRowFirstColumn="0" w:lastRowLastColumn="0"/>
              <w:rPr>
                <w:rFonts w:cs="Arial"/>
                <w:szCs w:val="20"/>
              </w:rPr>
            </w:pPr>
            <w:r w:rsidRPr="00FB0202">
              <w:rPr>
                <w:rFonts w:cs="Arial"/>
                <w:szCs w:val="20"/>
              </w:rPr>
              <w:t>35</w:t>
            </w:r>
          </w:p>
        </w:tc>
        <w:tc>
          <w:tcPr>
            <w:tcW w:w="846" w:type="pct"/>
            <w:shd w:val="clear" w:color="auto" w:fill="FFFFFF" w:themeFill="background1"/>
            <w:vAlign w:val="center"/>
          </w:tcPr>
          <w:p w14:paraId="4DC8A276" w14:textId="77777777" w:rsidR="00442A7D" w:rsidRPr="00FB0202" w:rsidRDefault="00442A7D" w:rsidP="00776154">
            <w:pPr>
              <w:jc w:val="center"/>
              <w:cnfStyle w:val="000000100000" w:firstRow="0" w:lastRow="0" w:firstColumn="0" w:lastColumn="0" w:oddVBand="0" w:evenVBand="0" w:oddHBand="1" w:evenHBand="0" w:firstRowFirstColumn="0" w:firstRowLastColumn="0" w:lastRowFirstColumn="0" w:lastRowLastColumn="0"/>
              <w:rPr>
                <w:rFonts w:cs="Arial"/>
                <w:szCs w:val="20"/>
              </w:rPr>
            </w:pPr>
            <w:r w:rsidRPr="00FB0202">
              <w:rPr>
                <w:rFonts w:cs="Arial"/>
                <w:szCs w:val="20"/>
              </w:rPr>
              <w:t>12</w:t>
            </w:r>
          </w:p>
        </w:tc>
        <w:tc>
          <w:tcPr>
            <w:tcW w:w="846" w:type="pct"/>
            <w:shd w:val="clear" w:color="auto" w:fill="FFFFFF" w:themeFill="background1"/>
            <w:vAlign w:val="center"/>
          </w:tcPr>
          <w:p w14:paraId="250D6DF3" w14:textId="77777777" w:rsidR="00442A7D" w:rsidRPr="00FB0202" w:rsidRDefault="00442A7D" w:rsidP="00776154">
            <w:pPr>
              <w:jc w:val="center"/>
              <w:cnfStyle w:val="000000100000" w:firstRow="0" w:lastRow="0" w:firstColumn="0" w:lastColumn="0" w:oddVBand="0" w:evenVBand="0" w:oddHBand="1" w:evenHBand="0" w:firstRowFirstColumn="0" w:firstRowLastColumn="0" w:lastRowFirstColumn="0" w:lastRowLastColumn="0"/>
              <w:rPr>
                <w:rFonts w:cs="Arial"/>
                <w:szCs w:val="20"/>
              </w:rPr>
            </w:pPr>
            <w:r w:rsidRPr="00FB0202">
              <w:rPr>
                <w:rFonts w:cs="Arial"/>
                <w:szCs w:val="20"/>
              </w:rPr>
              <w:t>38</w:t>
            </w:r>
          </w:p>
        </w:tc>
        <w:tc>
          <w:tcPr>
            <w:tcW w:w="924" w:type="pct"/>
            <w:shd w:val="clear" w:color="auto" w:fill="FFFFFF" w:themeFill="background1"/>
            <w:vAlign w:val="center"/>
          </w:tcPr>
          <w:p w14:paraId="0F3FB808" w14:textId="77777777" w:rsidR="00442A7D" w:rsidRPr="00FB0202" w:rsidRDefault="00442A7D" w:rsidP="00776154">
            <w:pPr>
              <w:jc w:val="center"/>
              <w:cnfStyle w:val="000000100000" w:firstRow="0" w:lastRow="0" w:firstColumn="0" w:lastColumn="0" w:oddVBand="0" w:evenVBand="0" w:oddHBand="1" w:evenHBand="0" w:firstRowFirstColumn="0" w:firstRowLastColumn="0" w:lastRowFirstColumn="0" w:lastRowLastColumn="0"/>
              <w:rPr>
                <w:rFonts w:eastAsia="Arial Unicode MS" w:cs="Arial"/>
                <w:szCs w:val="20"/>
              </w:rPr>
            </w:pPr>
            <w:r w:rsidRPr="00FB0202">
              <w:rPr>
                <w:rFonts w:eastAsia="Arial Unicode MS" w:cs="Arial"/>
                <w:szCs w:val="20"/>
              </w:rPr>
              <w:t>14.39–25</w:t>
            </w:r>
          </w:p>
        </w:tc>
      </w:tr>
      <w:tr w:rsidR="00442A7D" w:rsidRPr="00FB0202" w14:paraId="3DAD0D33" w14:textId="77777777" w:rsidTr="00014EC6">
        <w:trPr>
          <w:cnfStyle w:val="000000010000" w:firstRow="0" w:lastRow="0" w:firstColumn="0" w:lastColumn="0" w:oddVBand="0" w:evenVBand="0" w:oddHBand="0" w:evenHBand="1"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041" w:type="pct"/>
            <w:shd w:val="clear" w:color="auto" w:fill="FFFFFF" w:themeFill="background1"/>
            <w:vAlign w:val="center"/>
          </w:tcPr>
          <w:p w14:paraId="7E7D263C" w14:textId="77777777" w:rsidR="00442A7D" w:rsidRPr="00442A7D" w:rsidRDefault="00442A7D" w:rsidP="00442A7D">
            <w:pPr>
              <w:rPr>
                <w:rFonts w:cs="Arial"/>
                <w:b w:val="0"/>
                <w:szCs w:val="20"/>
              </w:rPr>
            </w:pPr>
            <w:r w:rsidRPr="00442A7D">
              <w:rPr>
                <w:rFonts w:cs="Arial"/>
                <w:b w:val="0"/>
                <w:szCs w:val="20"/>
              </w:rPr>
              <w:t>Sodium</w:t>
            </w:r>
          </w:p>
          <w:p w14:paraId="4A738F8D" w14:textId="14A2CA04" w:rsidR="00442A7D" w:rsidRPr="00442A7D" w:rsidRDefault="00442A7D" w:rsidP="00442A7D">
            <w:pPr>
              <w:rPr>
                <w:rFonts w:cs="Arial"/>
                <w:b w:val="0"/>
                <w:szCs w:val="20"/>
              </w:rPr>
            </w:pPr>
            <w:r w:rsidRPr="00442A7D">
              <w:rPr>
                <w:rFonts w:cs="Arial"/>
                <w:b w:val="0"/>
                <w:szCs w:val="20"/>
              </w:rPr>
              <w:t>(mg/100 kJ)</w:t>
            </w:r>
          </w:p>
        </w:tc>
        <w:tc>
          <w:tcPr>
            <w:tcW w:w="758" w:type="pct"/>
            <w:shd w:val="clear" w:color="auto" w:fill="FFFFFF" w:themeFill="background1"/>
            <w:vAlign w:val="center"/>
          </w:tcPr>
          <w:p w14:paraId="772E7689" w14:textId="77777777" w:rsidR="00442A7D" w:rsidRPr="00FB0202" w:rsidRDefault="00442A7D" w:rsidP="00776154">
            <w:pPr>
              <w:jc w:val="center"/>
              <w:cnfStyle w:val="000000010000" w:firstRow="0" w:lastRow="0" w:firstColumn="0" w:lastColumn="0" w:oddVBand="0" w:evenVBand="0" w:oddHBand="0" w:evenHBand="1" w:firstRowFirstColumn="0" w:firstRowLastColumn="0" w:lastRowFirstColumn="0" w:lastRowLastColumn="0"/>
              <w:rPr>
                <w:rFonts w:cs="Arial"/>
                <w:szCs w:val="20"/>
              </w:rPr>
            </w:pPr>
            <w:r w:rsidRPr="00FB0202">
              <w:rPr>
                <w:rFonts w:cs="Arial"/>
                <w:szCs w:val="20"/>
              </w:rPr>
              <w:t>5</w:t>
            </w:r>
          </w:p>
        </w:tc>
        <w:tc>
          <w:tcPr>
            <w:tcW w:w="585" w:type="pct"/>
            <w:shd w:val="clear" w:color="auto" w:fill="FFFFFF" w:themeFill="background1"/>
            <w:vAlign w:val="center"/>
          </w:tcPr>
          <w:p w14:paraId="4C865317" w14:textId="77777777" w:rsidR="00442A7D" w:rsidRPr="00FB0202" w:rsidRDefault="00442A7D" w:rsidP="00776154">
            <w:pPr>
              <w:jc w:val="center"/>
              <w:cnfStyle w:val="000000010000" w:firstRow="0" w:lastRow="0" w:firstColumn="0" w:lastColumn="0" w:oddVBand="0" w:evenVBand="0" w:oddHBand="0" w:evenHBand="1" w:firstRowFirstColumn="0" w:firstRowLastColumn="0" w:lastRowFirstColumn="0" w:lastRowLastColumn="0"/>
              <w:rPr>
                <w:rFonts w:cs="Arial"/>
                <w:szCs w:val="20"/>
              </w:rPr>
            </w:pPr>
            <w:r w:rsidRPr="00FB0202">
              <w:rPr>
                <w:rFonts w:cs="Arial"/>
                <w:szCs w:val="20"/>
              </w:rPr>
              <w:t>15</w:t>
            </w:r>
          </w:p>
        </w:tc>
        <w:tc>
          <w:tcPr>
            <w:tcW w:w="846" w:type="pct"/>
            <w:shd w:val="clear" w:color="auto" w:fill="FFFFFF" w:themeFill="background1"/>
            <w:vAlign w:val="center"/>
          </w:tcPr>
          <w:p w14:paraId="582E73CB" w14:textId="77777777" w:rsidR="00442A7D" w:rsidRPr="00FB0202" w:rsidRDefault="00442A7D" w:rsidP="00776154">
            <w:pPr>
              <w:jc w:val="center"/>
              <w:cnfStyle w:val="000000010000" w:firstRow="0" w:lastRow="0" w:firstColumn="0" w:lastColumn="0" w:oddVBand="0" w:evenVBand="0" w:oddHBand="0" w:evenHBand="1" w:firstRowFirstColumn="0" w:firstRowLastColumn="0" w:lastRowFirstColumn="0" w:lastRowLastColumn="0"/>
              <w:rPr>
                <w:rFonts w:cs="Arial"/>
                <w:szCs w:val="20"/>
              </w:rPr>
            </w:pPr>
            <w:r w:rsidRPr="00FB0202">
              <w:rPr>
                <w:rFonts w:cs="Arial"/>
                <w:szCs w:val="20"/>
              </w:rPr>
              <w:t>5</w:t>
            </w:r>
          </w:p>
        </w:tc>
        <w:tc>
          <w:tcPr>
            <w:tcW w:w="846" w:type="pct"/>
            <w:shd w:val="clear" w:color="auto" w:fill="FFFFFF" w:themeFill="background1"/>
            <w:vAlign w:val="center"/>
          </w:tcPr>
          <w:p w14:paraId="091D15CE" w14:textId="77777777" w:rsidR="00442A7D" w:rsidRPr="00FB0202" w:rsidRDefault="00442A7D" w:rsidP="00776154">
            <w:pPr>
              <w:jc w:val="center"/>
              <w:cnfStyle w:val="000000010000" w:firstRow="0" w:lastRow="0" w:firstColumn="0" w:lastColumn="0" w:oddVBand="0" w:evenVBand="0" w:oddHBand="0" w:evenHBand="1" w:firstRowFirstColumn="0" w:firstRowLastColumn="0" w:lastRowFirstColumn="0" w:lastRowLastColumn="0"/>
              <w:rPr>
                <w:rFonts w:cs="Arial"/>
                <w:szCs w:val="20"/>
              </w:rPr>
            </w:pPr>
            <w:r w:rsidRPr="00FB0202">
              <w:rPr>
                <w:rFonts w:cs="Arial"/>
                <w:szCs w:val="20"/>
              </w:rPr>
              <w:t>14</w:t>
            </w:r>
          </w:p>
        </w:tc>
        <w:tc>
          <w:tcPr>
            <w:tcW w:w="924" w:type="pct"/>
            <w:shd w:val="clear" w:color="auto" w:fill="FFFFFF" w:themeFill="background1"/>
            <w:vAlign w:val="center"/>
          </w:tcPr>
          <w:p w14:paraId="3BDA3842" w14:textId="77777777" w:rsidR="00442A7D" w:rsidRPr="00FB0202" w:rsidRDefault="00442A7D" w:rsidP="00776154">
            <w:pPr>
              <w:jc w:val="center"/>
              <w:cnfStyle w:val="000000010000" w:firstRow="0" w:lastRow="0" w:firstColumn="0" w:lastColumn="0" w:oddVBand="0" w:evenVBand="0" w:oddHBand="0" w:evenHBand="1" w:firstRowFirstColumn="0" w:firstRowLastColumn="0" w:lastRowFirstColumn="0" w:lastRowLastColumn="0"/>
              <w:rPr>
                <w:rFonts w:eastAsia="Arial Unicode MS" w:cs="Arial"/>
                <w:szCs w:val="20"/>
              </w:rPr>
            </w:pPr>
            <w:r w:rsidRPr="00FB0202">
              <w:rPr>
                <w:rFonts w:eastAsia="Arial Unicode MS" w:cs="Arial"/>
                <w:szCs w:val="20"/>
              </w:rPr>
              <w:t>5.71–11.47</w:t>
            </w:r>
          </w:p>
        </w:tc>
      </w:tr>
    </w:tbl>
    <w:p w14:paraId="32E03379" w14:textId="1A440E1F" w:rsidR="00776154" w:rsidRDefault="00776154" w:rsidP="00776154">
      <w:pPr>
        <w:rPr>
          <w:i/>
          <w:sz w:val="18"/>
        </w:rPr>
      </w:pPr>
      <w:r w:rsidRPr="00BB6325">
        <w:rPr>
          <w:i/>
          <w:sz w:val="18"/>
        </w:rPr>
        <w:lastRenderedPageBreak/>
        <w:t>^ Product content range is reflective of the ANZ market during 2013</w:t>
      </w:r>
      <w:r w:rsidR="002074F2">
        <w:rPr>
          <w:i/>
          <w:sz w:val="18"/>
        </w:rPr>
        <w:t>–</w:t>
      </w:r>
      <w:r w:rsidRPr="00BB6325">
        <w:rPr>
          <w:i/>
          <w:sz w:val="18"/>
        </w:rPr>
        <w:t xml:space="preserve">2014 </w:t>
      </w:r>
    </w:p>
    <w:p w14:paraId="0E51A9BB" w14:textId="066658A7" w:rsidR="00174AAB" w:rsidRPr="00BB6325" w:rsidRDefault="00174AAB" w:rsidP="00776154">
      <w:pPr>
        <w:rPr>
          <w:i/>
          <w:sz w:val="18"/>
        </w:rPr>
      </w:pPr>
      <w:r>
        <w:rPr>
          <w:i/>
          <w:sz w:val="18"/>
        </w:rPr>
        <w:t>NR: Not recorded</w:t>
      </w:r>
    </w:p>
    <w:p w14:paraId="5E23698B" w14:textId="77777777" w:rsidR="00776154" w:rsidRDefault="00776154" w:rsidP="00776154"/>
    <w:p w14:paraId="0F94E95E" w14:textId="77777777" w:rsidR="00776154" w:rsidRDefault="00776154" w:rsidP="00776154">
      <w:r>
        <w:t>Issues were raised by submitters for the remaining eight micronutrients (biotin, folate, riboflavin, thiamin, vitamin B6, and vitamin K, copper and phosphorus). These are examined further below.</w:t>
      </w:r>
    </w:p>
    <w:p w14:paraId="5EC975E4" w14:textId="56BCB4DD" w:rsidR="00776154" w:rsidRDefault="00193E8F" w:rsidP="002D0686">
      <w:pPr>
        <w:pStyle w:val="Heading3"/>
      </w:pPr>
      <w:r>
        <w:t>7</w:t>
      </w:r>
      <w:r w:rsidR="00776154">
        <w:t>.3.</w:t>
      </w:r>
      <w:r w:rsidR="002D0686">
        <w:t>3</w:t>
      </w:r>
      <w:r w:rsidR="00776154">
        <w:tab/>
        <w:t xml:space="preserve">Vitamin </w:t>
      </w:r>
      <w:r w:rsidR="00776154" w:rsidRPr="001B0244">
        <w:t>K, thiamin, riboflavin, vitamin B6, and biotin</w:t>
      </w:r>
    </w:p>
    <w:p w14:paraId="42618B7A" w14:textId="77777777" w:rsidR="00F1262C" w:rsidRDefault="00F1262C" w:rsidP="00F1262C">
      <w:pPr>
        <w:pStyle w:val="Heading4"/>
      </w:pPr>
      <w:r w:rsidRPr="00BA1FD9">
        <w:t>Current regulations</w:t>
      </w:r>
    </w:p>
    <w:p w14:paraId="71BC9540" w14:textId="3BF2D13E" w:rsidR="00776154" w:rsidRDefault="00442A7D" w:rsidP="00776154">
      <w:pPr>
        <w:rPr>
          <w:lang w:val="en-AU" w:bidi="ar-SA"/>
        </w:rPr>
      </w:pPr>
      <w:r>
        <w:rPr>
          <w:lang w:val="en-AU" w:bidi="ar-SA"/>
        </w:rPr>
        <w:t xml:space="preserve">Table 7.5 summarise the </w:t>
      </w:r>
      <w:r w:rsidR="00776154">
        <w:rPr>
          <w:lang w:val="en-AU" w:bidi="ar-SA"/>
        </w:rPr>
        <w:t xml:space="preserve">current </w:t>
      </w:r>
      <w:r w:rsidR="00F1262C">
        <w:rPr>
          <w:lang w:val="en-AU" w:bidi="ar-SA"/>
        </w:rPr>
        <w:t>regulations</w:t>
      </w:r>
      <w:r w:rsidR="00776154">
        <w:rPr>
          <w:lang w:val="en-AU" w:bidi="ar-SA"/>
        </w:rPr>
        <w:t xml:space="preserve"> for </w:t>
      </w:r>
      <w:r w:rsidR="00776154" w:rsidRPr="00762479">
        <w:rPr>
          <w:lang w:val="en-AU" w:bidi="ar-SA"/>
        </w:rPr>
        <w:t>vitamin K, thiamin, riboflavin, vitamin B6, and biotin</w:t>
      </w:r>
      <w:r>
        <w:rPr>
          <w:lang w:val="en-AU" w:bidi="ar-SA"/>
        </w:rPr>
        <w:t>.</w:t>
      </w:r>
    </w:p>
    <w:p w14:paraId="6AB6A7E4" w14:textId="77777777" w:rsidR="00776154" w:rsidRDefault="00776154" w:rsidP="00776154">
      <w:pPr>
        <w:rPr>
          <w:lang w:val="en-AU" w:bidi="ar-SA"/>
        </w:rPr>
      </w:pPr>
    </w:p>
    <w:p w14:paraId="7C53C88A" w14:textId="54364F48" w:rsidR="00776154" w:rsidRPr="00FE6D8D" w:rsidRDefault="00776154" w:rsidP="00F1262C">
      <w:pPr>
        <w:pStyle w:val="FSTitle"/>
        <w:rPr>
          <w:lang w:val="en-AU" w:bidi="ar-SA"/>
        </w:rPr>
      </w:pPr>
      <w:bookmarkStart w:id="377" w:name="_Toc74061246"/>
      <w:r w:rsidRPr="00FE6D8D">
        <w:t xml:space="preserve">Table </w:t>
      </w:r>
      <w:r w:rsidR="00193E8F">
        <w:t>7</w:t>
      </w:r>
      <w:r w:rsidR="00174AAB">
        <w:t>.</w:t>
      </w:r>
      <w:r w:rsidR="00F1262C">
        <w:t>5</w:t>
      </w:r>
      <w:r w:rsidR="00F1262C">
        <w:tab/>
        <w:t xml:space="preserve">Permitted ranges for </w:t>
      </w:r>
      <w:r w:rsidRPr="00F1262C">
        <w:t>vitamin</w:t>
      </w:r>
      <w:r w:rsidRPr="00FE6D8D">
        <w:t xml:space="preserve"> K, thiamin, riboflavin, vitamin B6 and biotin</w:t>
      </w:r>
      <w:bookmarkEnd w:id="377"/>
    </w:p>
    <w:tbl>
      <w:tblPr>
        <w:tblStyle w:val="MediumShading1-Accent3"/>
        <w:tblW w:w="8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7.3.2.1.1 Summary of requirements for vitamin K, thiamin, riboflavin, vitamin B6 and biotin"/>
        <w:tblDescription w:val="This table summarises the permitted range for tvitamin K, thiamin, riboflavin, vitamin B6 and biotin in Standard 2.9.1, Codex STAN 72-1981 and EU 2016/127."/>
      </w:tblPr>
      <w:tblGrid>
        <w:gridCol w:w="1401"/>
        <w:gridCol w:w="970"/>
        <w:gridCol w:w="970"/>
        <w:gridCol w:w="972"/>
        <w:gridCol w:w="970"/>
        <w:gridCol w:w="970"/>
        <w:gridCol w:w="972"/>
        <w:gridCol w:w="1673"/>
      </w:tblGrid>
      <w:tr w:rsidR="00776154" w:rsidRPr="00E42F6D" w14:paraId="02BC01F7" w14:textId="77777777" w:rsidTr="00840CE5">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787" w:type="pct"/>
            <w:vMerge w:val="restart"/>
            <w:tcBorders>
              <w:top w:val="none" w:sz="0" w:space="0" w:color="auto"/>
              <w:left w:val="none" w:sz="0" w:space="0" w:color="auto"/>
              <w:bottom w:val="none" w:sz="0" w:space="0" w:color="auto"/>
              <w:right w:val="none" w:sz="0" w:space="0" w:color="auto"/>
            </w:tcBorders>
            <w:shd w:val="clear" w:color="auto" w:fill="E5DFEC" w:themeFill="accent4" w:themeFillTint="33"/>
            <w:vAlign w:val="center"/>
          </w:tcPr>
          <w:p w14:paraId="354159DC" w14:textId="627F27F0" w:rsidR="00776154" w:rsidRPr="00840CE5" w:rsidRDefault="00776154" w:rsidP="00174AAB">
            <w:pPr>
              <w:jc w:val="center"/>
              <w:rPr>
                <w:color w:val="auto"/>
                <w:szCs w:val="20"/>
                <w:lang w:bidi="ar-SA"/>
              </w:rPr>
            </w:pPr>
            <w:r w:rsidRPr="00840CE5">
              <w:rPr>
                <w:bCs w:val="0"/>
                <w:color w:val="auto"/>
                <w:szCs w:val="20"/>
                <w:lang w:bidi="ar-SA"/>
              </w:rPr>
              <w:t>Vitamin (</w:t>
            </w:r>
            <w:r w:rsidR="00174AAB" w:rsidRPr="00840CE5">
              <w:rPr>
                <w:rFonts w:cs="Calibri"/>
                <w:bCs w:val="0"/>
                <w:color w:val="auto"/>
                <w:szCs w:val="20"/>
                <w:lang w:bidi="ar-SA"/>
              </w:rPr>
              <w:t>µ</w:t>
            </w:r>
            <w:r w:rsidRPr="00840CE5">
              <w:rPr>
                <w:bCs w:val="0"/>
                <w:color w:val="auto"/>
                <w:szCs w:val="20"/>
                <w:lang w:bidi="ar-SA"/>
              </w:rPr>
              <w:t>g/100 kJ)</w:t>
            </w:r>
          </w:p>
        </w:tc>
        <w:tc>
          <w:tcPr>
            <w:tcW w:w="1090" w:type="pct"/>
            <w:gridSpan w:val="2"/>
            <w:tcBorders>
              <w:top w:val="none" w:sz="0" w:space="0" w:color="auto"/>
              <w:left w:val="none" w:sz="0" w:space="0" w:color="auto"/>
              <w:bottom w:val="none" w:sz="0" w:space="0" w:color="auto"/>
              <w:right w:val="none" w:sz="0" w:space="0" w:color="auto"/>
            </w:tcBorders>
            <w:shd w:val="clear" w:color="auto" w:fill="DBE5F1" w:themeFill="accent1" w:themeFillTint="33"/>
            <w:vAlign w:val="center"/>
          </w:tcPr>
          <w:p w14:paraId="0A37B90B" w14:textId="77777777" w:rsidR="00776154" w:rsidRDefault="00776154" w:rsidP="00A7134C">
            <w:pPr>
              <w:jc w:val="center"/>
              <w:cnfStyle w:val="100000000000" w:firstRow="1" w:lastRow="0" w:firstColumn="0" w:lastColumn="0" w:oddVBand="0" w:evenVBand="0" w:oddHBand="0" w:evenHBand="0" w:firstRowFirstColumn="0" w:firstRowLastColumn="0" w:lastRowFirstColumn="0" w:lastRowLastColumn="0"/>
              <w:rPr>
                <w:bCs w:val="0"/>
                <w:color w:val="auto"/>
                <w:szCs w:val="20"/>
                <w:lang w:bidi="ar-SA"/>
              </w:rPr>
            </w:pPr>
            <w:r w:rsidRPr="00840CE5">
              <w:rPr>
                <w:bCs w:val="0"/>
                <w:color w:val="auto"/>
                <w:szCs w:val="20"/>
                <w:lang w:bidi="ar-SA"/>
              </w:rPr>
              <w:t>Standard 2.9.1</w:t>
            </w:r>
          </w:p>
          <w:p w14:paraId="27210CFD" w14:textId="7C7AA585" w:rsidR="009968E5" w:rsidRPr="00840CE5" w:rsidRDefault="009968E5" w:rsidP="00A7134C">
            <w:pPr>
              <w:jc w:val="center"/>
              <w:cnfStyle w:val="100000000000" w:firstRow="1" w:lastRow="0" w:firstColumn="0" w:lastColumn="0" w:oddVBand="0" w:evenVBand="0" w:oddHBand="0" w:evenHBand="0" w:firstRowFirstColumn="0" w:firstRowLastColumn="0" w:lastRowFirstColumn="0" w:lastRowLastColumn="0"/>
              <w:rPr>
                <w:bCs w:val="0"/>
                <w:color w:val="auto"/>
                <w:szCs w:val="20"/>
                <w:lang w:bidi="ar-SA"/>
              </w:rPr>
            </w:pPr>
            <w:r>
              <w:rPr>
                <w:bCs w:val="0"/>
                <w:color w:val="auto"/>
                <w:szCs w:val="20"/>
                <w:lang w:bidi="ar-SA"/>
              </w:rPr>
              <w:t>(Schedule 29)</w:t>
            </w:r>
          </w:p>
        </w:tc>
        <w:tc>
          <w:tcPr>
            <w:tcW w:w="1091" w:type="pct"/>
            <w:gridSpan w:val="2"/>
            <w:tcBorders>
              <w:top w:val="none" w:sz="0" w:space="0" w:color="auto"/>
              <w:left w:val="none" w:sz="0" w:space="0" w:color="auto"/>
              <w:bottom w:val="none" w:sz="0" w:space="0" w:color="auto"/>
              <w:right w:val="none" w:sz="0" w:space="0" w:color="auto"/>
            </w:tcBorders>
            <w:shd w:val="clear" w:color="auto" w:fill="EAF1DD" w:themeFill="accent3" w:themeFillTint="33"/>
            <w:vAlign w:val="center"/>
          </w:tcPr>
          <w:p w14:paraId="39FC0500" w14:textId="5638F4AC" w:rsidR="00776154" w:rsidRPr="00840CE5" w:rsidRDefault="00776154" w:rsidP="00174AAB">
            <w:pPr>
              <w:jc w:val="center"/>
              <w:cnfStyle w:val="100000000000" w:firstRow="1" w:lastRow="0" w:firstColumn="0" w:lastColumn="0" w:oddVBand="0" w:evenVBand="0" w:oddHBand="0" w:evenHBand="0" w:firstRowFirstColumn="0" w:firstRowLastColumn="0" w:lastRowFirstColumn="0" w:lastRowLastColumn="0"/>
              <w:rPr>
                <w:bCs w:val="0"/>
                <w:color w:val="auto"/>
                <w:szCs w:val="20"/>
                <w:lang w:bidi="ar-SA"/>
              </w:rPr>
            </w:pPr>
            <w:r w:rsidRPr="00840CE5">
              <w:rPr>
                <w:bCs w:val="0"/>
                <w:color w:val="auto"/>
                <w:szCs w:val="20"/>
                <w:lang w:bidi="ar-SA"/>
              </w:rPr>
              <w:t xml:space="preserve">Codex </w:t>
            </w:r>
            <w:r w:rsidR="00174AAB" w:rsidRPr="00840CE5">
              <w:rPr>
                <w:bCs w:val="0"/>
                <w:color w:val="auto"/>
                <w:szCs w:val="20"/>
                <w:lang w:bidi="ar-SA"/>
              </w:rPr>
              <w:t xml:space="preserve">STAN </w:t>
            </w:r>
            <w:r w:rsidRPr="00840CE5">
              <w:rPr>
                <w:bCs w:val="0"/>
                <w:color w:val="auto"/>
                <w:szCs w:val="20"/>
                <w:lang w:bidi="ar-SA"/>
              </w:rPr>
              <w:t>72-1981</w:t>
            </w:r>
          </w:p>
        </w:tc>
        <w:tc>
          <w:tcPr>
            <w:tcW w:w="1091" w:type="pct"/>
            <w:gridSpan w:val="2"/>
            <w:tcBorders>
              <w:top w:val="none" w:sz="0" w:space="0" w:color="auto"/>
              <w:left w:val="none" w:sz="0" w:space="0" w:color="auto"/>
              <w:bottom w:val="none" w:sz="0" w:space="0" w:color="auto"/>
              <w:right w:val="none" w:sz="0" w:space="0" w:color="auto"/>
            </w:tcBorders>
            <w:shd w:val="clear" w:color="auto" w:fill="DAEEF3" w:themeFill="accent5" w:themeFillTint="33"/>
            <w:vAlign w:val="center"/>
          </w:tcPr>
          <w:p w14:paraId="1458A898" w14:textId="5665A16E" w:rsidR="00776154" w:rsidRPr="00840CE5" w:rsidRDefault="00776154" w:rsidP="00174AAB">
            <w:pPr>
              <w:jc w:val="center"/>
              <w:cnfStyle w:val="100000000000" w:firstRow="1" w:lastRow="0" w:firstColumn="0" w:lastColumn="0" w:oddVBand="0" w:evenVBand="0" w:oddHBand="0" w:evenHBand="0" w:firstRowFirstColumn="0" w:firstRowLastColumn="0" w:lastRowFirstColumn="0" w:lastRowLastColumn="0"/>
              <w:rPr>
                <w:bCs w:val="0"/>
                <w:color w:val="auto"/>
                <w:szCs w:val="20"/>
                <w:lang w:bidi="ar-SA"/>
              </w:rPr>
            </w:pPr>
            <w:r w:rsidRPr="00840CE5">
              <w:rPr>
                <w:bCs w:val="0"/>
                <w:color w:val="auto"/>
                <w:szCs w:val="20"/>
                <w:lang w:bidi="ar-SA"/>
              </w:rPr>
              <w:t>EU 2016</w:t>
            </w:r>
            <w:r w:rsidR="00174AAB" w:rsidRPr="00840CE5">
              <w:rPr>
                <w:bCs w:val="0"/>
                <w:color w:val="auto"/>
                <w:szCs w:val="20"/>
                <w:lang w:bidi="ar-SA"/>
              </w:rPr>
              <w:t>/127</w:t>
            </w:r>
          </w:p>
        </w:tc>
        <w:tc>
          <w:tcPr>
            <w:tcW w:w="940" w:type="pct"/>
            <w:vMerge w:val="restart"/>
            <w:tcBorders>
              <w:top w:val="none" w:sz="0" w:space="0" w:color="auto"/>
              <w:left w:val="none" w:sz="0" w:space="0" w:color="auto"/>
              <w:bottom w:val="none" w:sz="0" w:space="0" w:color="auto"/>
              <w:right w:val="none" w:sz="0" w:space="0" w:color="auto"/>
            </w:tcBorders>
            <w:shd w:val="clear" w:color="auto" w:fill="DDD9C3" w:themeFill="background2" w:themeFillShade="E6"/>
            <w:vAlign w:val="center"/>
          </w:tcPr>
          <w:p w14:paraId="28488FA9" w14:textId="056CA3AF" w:rsidR="00776154" w:rsidRPr="00840CE5" w:rsidRDefault="00174AAB" w:rsidP="00EA3E96">
            <w:pPr>
              <w:jc w:val="center"/>
              <w:cnfStyle w:val="100000000000" w:firstRow="1" w:lastRow="0" w:firstColumn="0" w:lastColumn="0" w:oddVBand="0" w:evenVBand="0" w:oddHBand="0" w:evenHBand="0" w:firstRowFirstColumn="0" w:firstRowLastColumn="0" w:lastRowFirstColumn="0" w:lastRowLastColumn="0"/>
              <w:rPr>
                <w:bCs w:val="0"/>
                <w:color w:val="auto"/>
                <w:szCs w:val="20"/>
                <w:lang w:bidi="ar-SA"/>
              </w:rPr>
            </w:pPr>
            <w:r w:rsidRPr="00840CE5">
              <w:rPr>
                <w:bCs w:val="0"/>
                <w:color w:val="auto"/>
                <w:szCs w:val="20"/>
                <w:lang w:bidi="ar-SA"/>
              </w:rPr>
              <w:t>C</w:t>
            </w:r>
            <w:r w:rsidR="00776154" w:rsidRPr="00840CE5">
              <w:rPr>
                <w:bCs w:val="0"/>
                <w:color w:val="auto"/>
                <w:szCs w:val="20"/>
                <w:lang w:bidi="ar-SA"/>
              </w:rPr>
              <w:t>ontent in products on the market</w:t>
            </w:r>
          </w:p>
        </w:tc>
      </w:tr>
      <w:tr w:rsidR="00776154" w:rsidRPr="00E42F6D" w14:paraId="0A0C7F6A" w14:textId="77777777" w:rsidTr="00840C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787" w:type="pct"/>
            <w:vMerge/>
            <w:tcBorders>
              <w:right w:val="none" w:sz="0" w:space="0" w:color="auto"/>
            </w:tcBorders>
            <w:shd w:val="clear" w:color="auto" w:fill="E5DFEC" w:themeFill="accent4" w:themeFillTint="33"/>
            <w:vAlign w:val="center"/>
          </w:tcPr>
          <w:p w14:paraId="01A423B8" w14:textId="77777777" w:rsidR="00776154" w:rsidRPr="00E42F6D" w:rsidRDefault="00776154" w:rsidP="00A7134C">
            <w:pPr>
              <w:jc w:val="center"/>
              <w:rPr>
                <w:b w:val="0"/>
                <w:bCs w:val="0"/>
                <w:szCs w:val="20"/>
                <w:lang w:bidi="ar-SA"/>
              </w:rPr>
            </w:pPr>
          </w:p>
        </w:tc>
        <w:tc>
          <w:tcPr>
            <w:tcW w:w="545" w:type="pct"/>
            <w:tcBorders>
              <w:left w:val="none" w:sz="0" w:space="0" w:color="auto"/>
              <w:right w:val="none" w:sz="0" w:space="0" w:color="auto"/>
            </w:tcBorders>
            <w:shd w:val="clear" w:color="auto" w:fill="DBE5F1" w:themeFill="accent1" w:themeFillTint="33"/>
            <w:vAlign w:val="center"/>
          </w:tcPr>
          <w:p w14:paraId="10FB0C29" w14:textId="77777777" w:rsidR="00776154" w:rsidRPr="00840CE5" w:rsidRDefault="00776154" w:rsidP="00A7134C">
            <w:pPr>
              <w:jc w:val="center"/>
              <w:cnfStyle w:val="000000100000" w:firstRow="0" w:lastRow="0" w:firstColumn="0" w:lastColumn="0" w:oddVBand="0" w:evenVBand="0" w:oddHBand="1" w:evenHBand="0" w:firstRowFirstColumn="0" w:firstRowLastColumn="0" w:lastRowFirstColumn="0" w:lastRowLastColumn="0"/>
              <w:rPr>
                <w:b/>
                <w:szCs w:val="20"/>
                <w:lang w:bidi="ar-SA"/>
              </w:rPr>
            </w:pPr>
            <w:r w:rsidRPr="00840CE5">
              <w:rPr>
                <w:b/>
                <w:szCs w:val="20"/>
                <w:lang w:bidi="ar-SA"/>
              </w:rPr>
              <w:t>Min</w:t>
            </w:r>
          </w:p>
        </w:tc>
        <w:tc>
          <w:tcPr>
            <w:tcW w:w="545" w:type="pct"/>
            <w:tcBorders>
              <w:left w:val="none" w:sz="0" w:space="0" w:color="auto"/>
              <w:right w:val="none" w:sz="0" w:space="0" w:color="auto"/>
            </w:tcBorders>
            <w:shd w:val="clear" w:color="auto" w:fill="DBE5F1" w:themeFill="accent1" w:themeFillTint="33"/>
            <w:vAlign w:val="center"/>
          </w:tcPr>
          <w:p w14:paraId="0A0E41DB" w14:textId="77777777" w:rsidR="00776154" w:rsidRPr="00840CE5" w:rsidRDefault="00776154" w:rsidP="00A7134C">
            <w:pPr>
              <w:jc w:val="center"/>
              <w:cnfStyle w:val="000000100000" w:firstRow="0" w:lastRow="0" w:firstColumn="0" w:lastColumn="0" w:oddVBand="0" w:evenVBand="0" w:oddHBand="1" w:evenHBand="0" w:firstRowFirstColumn="0" w:firstRowLastColumn="0" w:lastRowFirstColumn="0" w:lastRowLastColumn="0"/>
              <w:rPr>
                <w:b/>
                <w:szCs w:val="20"/>
                <w:lang w:bidi="ar-SA"/>
              </w:rPr>
            </w:pPr>
            <w:r w:rsidRPr="00840CE5">
              <w:rPr>
                <w:b/>
                <w:szCs w:val="20"/>
                <w:lang w:bidi="ar-SA"/>
              </w:rPr>
              <w:t>Max</w:t>
            </w:r>
          </w:p>
        </w:tc>
        <w:tc>
          <w:tcPr>
            <w:tcW w:w="546" w:type="pct"/>
            <w:tcBorders>
              <w:left w:val="none" w:sz="0" w:space="0" w:color="auto"/>
              <w:right w:val="none" w:sz="0" w:space="0" w:color="auto"/>
            </w:tcBorders>
            <w:shd w:val="clear" w:color="auto" w:fill="EAF1DD" w:themeFill="accent3" w:themeFillTint="33"/>
            <w:vAlign w:val="center"/>
          </w:tcPr>
          <w:p w14:paraId="6001216A" w14:textId="77777777" w:rsidR="00776154" w:rsidRPr="00840CE5" w:rsidRDefault="00776154" w:rsidP="00A7134C">
            <w:pPr>
              <w:jc w:val="center"/>
              <w:cnfStyle w:val="000000100000" w:firstRow="0" w:lastRow="0" w:firstColumn="0" w:lastColumn="0" w:oddVBand="0" w:evenVBand="0" w:oddHBand="1" w:evenHBand="0" w:firstRowFirstColumn="0" w:firstRowLastColumn="0" w:lastRowFirstColumn="0" w:lastRowLastColumn="0"/>
              <w:rPr>
                <w:b/>
                <w:szCs w:val="20"/>
                <w:lang w:bidi="ar-SA"/>
              </w:rPr>
            </w:pPr>
            <w:r w:rsidRPr="00840CE5">
              <w:rPr>
                <w:b/>
                <w:szCs w:val="20"/>
                <w:lang w:bidi="ar-SA"/>
              </w:rPr>
              <w:t>Min</w:t>
            </w:r>
          </w:p>
        </w:tc>
        <w:tc>
          <w:tcPr>
            <w:tcW w:w="545" w:type="pct"/>
            <w:tcBorders>
              <w:left w:val="none" w:sz="0" w:space="0" w:color="auto"/>
              <w:right w:val="none" w:sz="0" w:space="0" w:color="auto"/>
            </w:tcBorders>
            <w:shd w:val="clear" w:color="auto" w:fill="EAF1DD" w:themeFill="accent3" w:themeFillTint="33"/>
            <w:vAlign w:val="center"/>
          </w:tcPr>
          <w:p w14:paraId="266BCE03" w14:textId="77777777" w:rsidR="00776154" w:rsidRPr="00840CE5" w:rsidRDefault="00776154" w:rsidP="00A7134C">
            <w:pPr>
              <w:jc w:val="center"/>
              <w:cnfStyle w:val="000000100000" w:firstRow="0" w:lastRow="0" w:firstColumn="0" w:lastColumn="0" w:oddVBand="0" w:evenVBand="0" w:oddHBand="1" w:evenHBand="0" w:firstRowFirstColumn="0" w:firstRowLastColumn="0" w:lastRowFirstColumn="0" w:lastRowLastColumn="0"/>
              <w:rPr>
                <w:b/>
                <w:szCs w:val="20"/>
                <w:lang w:bidi="ar-SA"/>
              </w:rPr>
            </w:pPr>
            <w:r w:rsidRPr="00840CE5">
              <w:rPr>
                <w:b/>
                <w:szCs w:val="20"/>
                <w:lang w:bidi="ar-SA"/>
              </w:rPr>
              <w:t>Max</w:t>
            </w:r>
          </w:p>
        </w:tc>
        <w:tc>
          <w:tcPr>
            <w:tcW w:w="545" w:type="pct"/>
            <w:tcBorders>
              <w:left w:val="none" w:sz="0" w:space="0" w:color="auto"/>
              <w:right w:val="none" w:sz="0" w:space="0" w:color="auto"/>
            </w:tcBorders>
            <w:shd w:val="clear" w:color="auto" w:fill="DAEEF3" w:themeFill="accent5" w:themeFillTint="33"/>
            <w:vAlign w:val="center"/>
          </w:tcPr>
          <w:p w14:paraId="10CB015D" w14:textId="77777777" w:rsidR="00776154" w:rsidRPr="00840CE5" w:rsidRDefault="00776154" w:rsidP="00A7134C">
            <w:pPr>
              <w:jc w:val="center"/>
              <w:cnfStyle w:val="000000100000" w:firstRow="0" w:lastRow="0" w:firstColumn="0" w:lastColumn="0" w:oddVBand="0" w:evenVBand="0" w:oddHBand="1" w:evenHBand="0" w:firstRowFirstColumn="0" w:firstRowLastColumn="0" w:lastRowFirstColumn="0" w:lastRowLastColumn="0"/>
              <w:rPr>
                <w:szCs w:val="20"/>
                <w:lang w:bidi="ar-SA"/>
              </w:rPr>
            </w:pPr>
            <w:r w:rsidRPr="00840CE5">
              <w:rPr>
                <w:b/>
                <w:szCs w:val="20"/>
                <w:lang w:bidi="ar-SA"/>
              </w:rPr>
              <w:t>Min</w:t>
            </w:r>
          </w:p>
        </w:tc>
        <w:tc>
          <w:tcPr>
            <w:tcW w:w="546" w:type="pct"/>
            <w:tcBorders>
              <w:left w:val="none" w:sz="0" w:space="0" w:color="auto"/>
              <w:right w:val="none" w:sz="0" w:space="0" w:color="auto"/>
            </w:tcBorders>
            <w:shd w:val="clear" w:color="auto" w:fill="DAEEF3" w:themeFill="accent5" w:themeFillTint="33"/>
            <w:vAlign w:val="center"/>
          </w:tcPr>
          <w:p w14:paraId="57001012" w14:textId="77777777" w:rsidR="00776154" w:rsidRPr="00840CE5" w:rsidRDefault="00776154" w:rsidP="00A7134C">
            <w:pPr>
              <w:jc w:val="center"/>
              <w:cnfStyle w:val="000000100000" w:firstRow="0" w:lastRow="0" w:firstColumn="0" w:lastColumn="0" w:oddVBand="0" w:evenVBand="0" w:oddHBand="1" w:evenHBand="0" w:firstRowFirstColumn="0" w:firstRowLastColumn="0" w:lastRowFirstColumn="0" w:lastRowLastColumn="0"/>
              <w:rPr>
                <w:szCs w:val="20"/>
                <w:lang w:bidi="ar-SA"/>
              </w:rPr>
            </w:pPr>
            <w:r w:rsidRPr="00840CE5">
              <w:rPr>
                <w:b/>
                <w:szCs w:val="20"/>
                <w:lang w:bidi="ar-SA"/>
              </w:rPr>
              <w:t>Max</w:t>
            </w:r>
          </w:p>
        </w:tc>
        <w:tc>
          <w:tcPr>
            <w:tcW w:w="940" w:type="pct"/>
            <w:vMerge/>
            <w:tcBorders>
              <w:left w:val="none" w:sz="0" w:space="0" w:color="auto"/>
            </w:tcBorders>
            <w:shd w:val="clear" w:color="auto" w:fill="DDD9C3" w:themeFill="background2" w:themeFillShade="E6"/>
            <w:vAlign w:val="center"/>
          </w:tcPr>
          <w:p w14:paraId="387560BA" w14:textId="77777777" w:rsidR="00776154" w:rsidRPr="00E42F6D" w:rsidRDefault="00776154" w:rsidP="00A7134C">
            <w:pPr>
              <w:jc w:val="center"/>
              <w:cnfStyle w:val="000000100000" w:firstRow="0" w:lastRow="0" w:firstColumn="0" w:lastColumn="0" w:oddVBand="0" w:evenVBand="0" w:oddHBand="1" w:evenHBand="0" w:firstRowFirstColumn="0" w:firstRowLastColumn="0" w:lastRowFirstColumn="0" w:lastRowLastColumn="0"/>
              <w:rPr>
                <w:szCs w:val="20"/>
                <w:lang w:bidi="ar-SA"/>
              </w:rPr>
            </w:pPr>
          </w:p>
        </w:tc>
      </w:tr>
      <w:tr w:rsidR="00776154" w:rsidRPr="00E42F6D" w14:paraId="7DB34BD8" w14:textId="77777777" w:rsidTr="00840C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787" w:type="pct"/>
            <w:tcBorders>
              <w:right w:val="none" w:sz="0" w:space="0" w:color="auto"/>
            </w:tcBorders>
            <w:shd w:val="clear" w:color="auto" w:fill="FFFFFF" w:themeFill="background1"/>
            <w:vAlign w:val="center"/>
          </w:tcPr>
          <w:p w14:paraId="1C80AFB2" w14:textId="77777777" w:rsidR="00776154" w:rsidRPr="00E42F6D" w:rsidRDefault="00776154" w:rsidP="00A7134C">
            <w:pPr>
              <w:jc w:val="center"/>
              <w:rPr>
                <w:b w:val="0"/>
                <w:bCs w:val="0"/>
                <w:szCs w:val="20"/>
                <w:lang w:bidi="ar-SA"/>
              </w:rPr>
            </w:pPr>
            <w:r w:rsidRPr="00E42F6D">
              <w:rPr>
                <w:b w:val="0"/>
                <w:bCs w:val="0"/>
                <w:szCs w:val="20"/>
                <w:lang w:bidi="ar-SA"/>
              </w:rPr>
              <w:t>Vitamin K</w:t>
            </w:r>
          </w:p>
        </w:tc>
        <w:tc>
          <w:tcPr>
            <w:tcW w:w="545" w:type="pct"/>
            <w:tcBorders>
              <w:left w:val="none" w:sz="0" w:space="0" w:color="auto"/>
              <w:right w:val="none" w:sz="0" w:space="0" w:color="auto"/>
            </w:tcBorders>
            <w:shd w:val="clear" w:color="auto" w:fill="FFFFFF" w:themeFill="background1"/>
            <w:vAlign w:val="center"/>
          </w:tcPr>
          <w:p w14:paraId="0FE0FD42" w14:textId="000E3D58" w:rsidR="00776154" w:rsidRPr="00E42F6D" w:rsidRDefault="00776154" w:rsidP="00A7134C">
            <w:pPr>
              <w:jc w:val="center"/>
              <w:cnfStyle w:val="000000010000" w:firstRow="0" w:lastRow="0" w:firstColumn="0" w:lastColumn="0" w:oddVBand="0" w:evenVBand="0" w:oddHBand="0" w:evenHBand="1" w:firstRowFirstColumn="0" w:firstRowLastColumn="0" w:lastRowFirstColumn="0" w:lastRowLastColumn="0"/>
              <w:rPr>
                <w:szCs w:val="20"/>
                <w:lang w:bidi="ar-SA"/>
              </w:rPr>
            </w:pPr>
            <w:r w:rsidRPr="00E42F6D">
              <w:rPr>
                <w:szCs w:val="20"/>
              </w:rPr>
              <w:t>1</w:t>
            </w:r>
            <w:r w:rsidR="00F1262C">
              <w:rPr>
                <w:szCs w:val="20"/>
              </w:rPr>
              <w:t xml:space="preserve"> </w:t>
            </w:r>
          </w:p>
        </w:tc>
        <w:tc>
          <w:tcPr>
            <w:tcW w:w="545" w:type="pct"/>
            <w:tcBorders>
              <w:left w:val="none" w:sz="0" w:space="0" w:color="auto"/>
              <w:right w:val="none" w:sz="0" w:space="0" w:color="auto"/>
            </w:tcBorders>
            <w:shd w:val="clear" w:color="auto" w:fill="FFFFFF" w:themeFill="background1"/>
            <w:vAlign w:val="center"/>
          </w:tcPr>
          <w:p w14:paraId="45608C4A" w14:textId="77777777" w:rsidR="00776154" w:rsidRPr="00E42F6D" w:rsidRDefault="00776154" w:rsidP="00A7134C">
            <w:pPr>
              <w:jc w:val="center"/>
              <w:cnfStyle w:val="000000010000" w:firstRow="0" w:lastRow="0" w:firstColumn="0" w:lastColumn="0" w:oddVBand="0" w:evenVBand="0" w:oddHBand="0" w:evenHBand="1" w:firstRowFirstColumn="0" w:firstRowLastColumn="0" w:lastRowFirstColumn="0" w:lastRowLastColumn="0"/>
              <w:rPr>
                <w:szCs w:val="20"/>
                <w:lang w:bidi="ar-SA"/>
              </w:rPr>
            </w:pPr>
            <w:r w:rsidRPr="00E42F6D">
              <w:rPr>
                <w:szCs w:val="20"/>
              </w:rPr>
              <w:t>5.0 (GUL)</w:t>
            </w:r>
          </w:p>
        </w:tc>
        <w:tc>
          <w:tcPr>
            <w:tcW w:w="546" w:type="pct"/>
            <w:tcBorders>
              <w:left w:val="none" w:sz="0" w:space="0" w:color="auto"/>
              <w:right w:val="none" w:sz="0" w:space="0" w:color="auto"/>
            </w:tcBorders>
            <w:shd w:val="clear" w:color="auto" w:fill="FFFFFF" w:themeFill="background1"/>
            <w:vAlign w:val="center"/>
          </w:tcPr>
          <w:p w14:paraId="23F2DF62" w14:textId="77777777" w:rsidR="00776154" w:rsidRPr="00E42F6D" w:rsidRDefault="00776154" w:rsidP="00A7134C">
            <w:pPr>
              <w:jc w:val="center"/>
              <w:cnfStyle w:val="000000010000" w:firstRow="0" w:lastRow="0" w:firstColumn="0" w:lastColumn="0" w:oddVBand="0" w:evenVBand="0" w:oddHBand="0" w:evenHBand="1" w:firstRowFirstColumn="0" w:firstRowLastColumn="0" w:lastRowFirstColumn="0" w:lastRowLastColumn="0"/>
              <w:rPr>
                <w:szCs w:val="20"/>
                <w:lang w:bidi="ar-SA"/>
              </w:rPr>
            </w:pPr>
            <w:r w:rsidRPr="00E42F6D">
              <w:rPr>
                <w:szCs w:val="20"/>
              </w:rPr>
              <w:t>1</w:t>
            </w:r>
          </w:p>
        </w:tc>
        <w:tc>
          <w:tcPr>
            <w:tcW w:w="545" w:type="pct"/>
            <w:tcBorders>
              <w:left w:val="none" w:sz="0" w:space="0" w:color="auto"/>
              <w:right w:val="none" w:sz="0" w:space="0" w:color="auto"/>
            </w:tcBorders>
            <w:shd w:val="clear" w:color="auto" w:fill="FFFFFF" w:themeFill="background1"/>
            <w:vAlign w:val="center"/>
          </w:tcPr>
          <w:p w14:paraId="377066AD" w14:textId="77777777" w:rsidR="00776154" w:rsidRPr="00E42F6D" w:rsidRDefault="00776154" w:rsidP="00A7134C">
            <w:pPr>
              <w:jc w:val="center"/>
              <w:cnfStyle w:val="000000010000" w:firstRow="0" w:lastRow="0" w:firstColumn="0" w:lastColumn="0" w:oddVBand="0" w:evenVBand="0" w:oddHBand="0" w:evenHBand="1" w:firstRowFirstColumn="0" w:firstRowLastColumn="0" w:lastRowFirstColumn="0" w:lastRowLastColumn="0"/>
              <w:rPr>
                <w:szCs w:val="20"/>
                <w:lang w:bidi="ar-SA"/>
              </w:rPr>
            </w:pPr>
            <w:r>
              <w:rPr>
                <w:szCs w:val="20"/>
              </w:rPr>
              <w:t>6.5 (GUL)</w:t>
            </w:r>
          </w:p>
        </w:tc>
        <w:tc>
          <w:tcPr>
            <w:tcW w:w="545" w:type="pct"/>
            <w:tcBorders>
              <w:left w:val="none" w:sz="0" w:space="0" w:color="auto"/>
              <w:right w:val="none" w:sz="0" w:space="0" w:color="auto"/>
            </w:tcBorders>
            <w:shd w:val="clear" w:color="auto" w:fill="FFFFFF" w:themeFill="background1"/>
            <w:vAlign w:val="center"/>
          </w:tcPr>
          <w:p w14:paraId="6E1FDDE6" w14:textId="77777777" w:rsidR="00776154" w:rsidRPr="00E42F6D" w:rsidRDefault="00776154" w:rsidP="00A7134C">
            <w:pPr>
              <w:jc w:val="center"/>
              <w:cnfStyle w:val="000000010000" w:firstRow="0" w:lastRow="0" w:firstColumn="0" w:lastColumn="0" w:oddVBand="0" w:evenVBand="0" w:oddHBand="0" w:evenHBand="1" w:firstRowFirstColumn="0" w:firstRowLastColumn="0" w:lastRowFirstColumn="0" w:lastRowLastColumn="0"/>
              <w:rPr>
                <w:szCs w:val="20"/>
                <w:lang w:bidi="ar-SA"/>
              </w:rPr>
            </w:pPr>
            <w:r w:rsidRPr="00E42F6D">
              <w:rPr>
                <w:szCs w:val="20"/>
                <w:lang w:bidi="ar-SA"/>
              </w:rPr>
              <w:t>0.24</w:t>
            </w:r>
          </w:p>
        </w:tc>
        <w:tc>
          <w:tcPr>
            <w:tcW w:w="546" w:type="pct"/>
            <w:tcBorders>
              <w:left w:val="none" w:sz="0" w:space="0" w:color="auto"/>
              <w:right w:val="none" w:sz="0" w:space="0" w:color="auto"/>
            </w:tcBorders>
            <w:shd w:val="clear" w:color="auto" w:fill="FFFFFF" w:themeFill="background1"/>
            <w:vAlign w:val="center"/>
          </w:tcPr>
          <w:p w14:paraId="5790C5B3" w14:textId="77777777" w:rsidR="00776154" w:rsidRPr="00E42F6D" w:rsidRDefault="00776154" w:rsidP="00A7134C">
            <w:pPr>
              <w:jc w:val="center"/>
              <w:cnfStyle w:val="000000010000" w:firstRow="0" w:lastRow="0" w:firstColumn="0" w:lastColumn="0" w:oddVBand="0" w:evenVBand="0" w:oddHBand="0" w:evenHBand="1" w:firstRowFirstColumn="0" w:firstRowLastColumn="0" w:lastRowFirstColumn="0" w:lastRowLastColumn="0"/>
              <w:rPr>
                <w:szCs w:val="20"/>
                <w:lang w:bidi="ar-SA"/>
              </w:rPr>
            </w:pPr>
            <w:r w:rsidRPr="00E42F6D">
              <w:rPr>
                <w:szCs w:val="20"/>
                <w:lang w:bidi="ar-SA"/>
              </w:rPr>
              <w:t>6</w:t>
            </w:r>
          </w:p>
        </w:tc>
        <w:tc>
          <w:tcPr>
            <w:tcW w:w="940" w:type="pct"/>
            <w:tcBorders>
              <w:left w:val="none" w:sz="0" w:space="0" w:color="auto"/>
            </w:tcBorders>
            <w:shd w:val="clear" w:color="auto" w:fill="FFFFFF" w:themeFill="background1"/>
            <w:vAlign w:val="center"/>
          </w:tcPr>
          <w:p w14:paraId="67FD5BB0" w14:textId="77777777" w:rsidR="00776154" w:rsidRPr="00BB6325" w:rsidRDefault="00776154" w:rsidP="00A7134C">
            <w:pPr>
              <w:jc w:val="center"/>
              <w:cnfStyle w:val="000000010000" w:firstRow="0" w:lastRow="0" w:firstColumn="0" w:lastColumn="0" w:oddVBand="0" w:evenVBand="0" w:oddHBand="0" w:evenHBand="1" w:firstRowFirstColumn="0" w:firstRowLastColumn="0" w:lastRowFirstColumn="0" w:lastRowLastColumn="0"/>
              <w:rPr>
                <w:szCs w:val="20"/>
                <w:lang w:bidi="ar-SA"/>
              </w:rPr>
            </w:pPr>
            <w:r w:rsidRPr="00BB6325">
              <w:rPr>
                <w:szCs w:val="20"/>
                <w:lang w:bidi="ar-SA"/>
              </w:rPr>
              <w:t>1.25 – 3.69</w:t>
            </w:r>
          </w:p>
        </w:tc>
      </w:tr>
      <w:tr w:rsidR="00776154" w:rsidRPr="00E42F6D" w14:paraId="7E35DC25" w14:textId="77777777" w:rsidTr="00840C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787" w:type="pct"/>
            <w:tcBorders>
              <w:right w:val="none" w:sz="0" w:space="0" w:color="auto"/>
            </w:tcBorders>
            <w:shd w:val="clear" w:color="auto" w:fill="FFFFFF" w:themeFill="background1"/>
            <w:vAlign w:val="center"/>
          </w:tcPr>
          <w:p w14:paraId="6271A6A9" w14:textId="77777777" w:rsidR="00776154" w:rsidRPr="00E42F6D" w:rsidRDefault="00776154" w:rsidP="00A7134C">
            <w:pPr>
              <w:jc w:val="center"/>
              <w:rPr>
                <w:szCs w:val="20"/>
                <w:lang w:bidi="ar-SA"/>
              </w:rPr>
            </w:pPr>
            <w:r w:rsidRPr="00E42F6D">
              <w:rPr>
                <w:b w:val="0"/>
                <w:bCs w:val="0"/>
                <w:szCs w:val="20"/>
                <w:lang w:bidi="ar-SA"/>
              </w:rPr>
              <w:t>Thiamin</w:t>
            </w:r>
          </w:p>
        </w:tc>
        <w:tc>
          <w:tcPr>
            <w:tcW w:w="545" w:type="pct"/>
            <w:tcBorders>
              <w:left w:val="none" w:sz="0" w:space="0" w:color="auto"/>
              <w:right w:val="none" w:sz="0" w:space="0" w:color="auto"/>
            </w:tcBorders>
            <w:shd w:val="clear" w:color="auto" w:fill="FFFFFF" w:themeFill="background1"/>
            <w:vAlign w:val="center"/>
          </w:tcPr>
          <w:p w14:paraId="3D1391B6" w14:textId="77777777" w:rsidR="00776154" w:rsidRPr="00E42F6D" w:rsidRDefault="00776154" w:rsidP="00A7134C">
            <w:pPr>
              <w:jc w:val="center"/>
              <w:cnfStyle w:val="000000100000" w:firstRow="0" w:lastRow="0" w:firstColumn="0" w:lastColumn="0" w:oddVBand="0" w:evenVBand="0" w:oddHBand="1" w:evenHBand="0" w:firstRowFirstColumn="0" w:firstRowLastColumn="0" w:lastRowFirstColumn="0" w:lastRowLastColumn="0"/>
              <w:rPr>
                <w:rFonts w:eastAsia="Arial Unicode MS"/>
                <w:szCs w:val="20"/>
              </w:rPr>
            </w:pPr>
            <w:r w:rsidRPr="00E42F6D">
              <w:rPr>
                <w:szCs w:val="20"/>
              </w:rPr>
              <w:t>10</w:t>
            </w:r>
          </w:p>
        </w:tc>
        <w:tc>
          <w:tcPr>
            <w:tcW w:w="545" w:type="pct"/>
            <w:tcBorders>
              <w:left w:val="none" w:sz="0" w:space="0" w:color="auto"/>
              <w:right w:val="none" w:sz="0" w:space="0" w:color="auto"/>
            </w:tcBorders>
            <w:shd w:val="clear" w:color="auto" w:fill="FFFFFF" w:themeFill="background1"/>
            <w:vAlign w:val="center"/>
          </w:tcPr>
          <w:p w14:paraId="32C9D7AC" w14:textId="77777777" w:rsidR="00776154" w:rsidRPr="00E42F6D" w:rsidRDefault="00776154" w:rsidP="00A7134C">
            <w:pPr>
              <w:jc w:val="center"/>
              <w:cnfStyle w:val="000000100000" w:firstRow="0" w:lastRow="0" w:firstColumn="0" w:lastColumn="0" w:oddVBand="0" w:evenVBand="0" w:oddHBand="1" w:evenHBand="0" w:firstRowFirstColumn="0" w:firstRowLastColumn="0" w:lastRowFirstColumn="0" w:lastRowLastColumn="0"/>
              <w:rPr>
                <w:rFonts w:eastAsia="Arial Unicode MS"/>
                <w:szCs w:val="20"/>
              </w:rPr>
            </w:pPr>
            <w:r w:rsidRPr="00E42F6D">
              <w:rPr>
                <w:szCs w:val="20"/>
              </w:rPr>
              <w:t>48 (GUL)</w:t>
            </w:r>
          </w:p>
        </w:tc>
        <w:tc>
          <w:tcPr>
            <w:tcW w:w="546" w:type="pct"/>
            <w:tcBorders>
              <w:left w:val="none" w:sz="0" w:space="0" w:color="auto"/>
              <w:right w:val="none" w:sz="0" w:space="0" w:color="auto"/>
            </w:tcBorders>
            <w:shd w:val="clear" w:color="auto" w:fill="FFFFFF" w:themeFill="background1"/>
            <w:vAlign w:val="center"/>
          </w:tcPr>
          <w:p w14:paraId="0463B230" w14:textId="77777777" w:rsidR="00776154" w:rsidRPr="00E42F6D" w:rsidRDefault="00776154" w:rsidP="00A7134C">
            <w:pPr>
              <w:jc w:val="center"/>
              <w:cnfStyle w:val="000000100000" w:firstRow="0" w:lastRow="0" w:firstColumn="0" w:lastColumn="0" w:oddVBand="0" w:evenVBand="0" w:oddHBand="1" w:evenHBand="0" w:firstRowFirstColumn="0" w:firstRowLastColumn="0" w:lastRowFirstColumn="0" w:lastRowLastColumn="0"/>
              <w:rPr>
                <w:rFonts w:eastAsia="Arial Unicode MS"/>
                <w:szCs w:val="20"/>
              </w:rPr>
            </w:pPr>
            <w:r w:rsidRPr="00BB6325">
              <w:rPr>
                <w:szCs w:val="20"/>
              </w:rPr>
              <w:t>14</w:t>
            </w:r>
          </w:p>
        </w:tc>
        <w:tc>
          <w:tcPr>
            <w:tcW w:w="545" w:type="pct"/>
            <w:tcBorders>
              <w:left w:val="none" w:sz="0" w:space="0" w:color="auto"/>
              <w:right w:val="none" w:sz="0" w:space="0" w:color="auto"/>
            </w:tcBorders>
            <w:shd w:val="clear" w:color="auto" w:fill="FFFFFF" w:themeFill="background1"/>
            <w:vAlign w:val="center"/>
          </w:tcPr>
          <w:p w14:paraId="7FB78099" w14:textId="77777777" w:rsidR="00776154" w:rsidRPr="00E42F6D" w:rsidRDefault="00776154" w:rsidP="00A7134C">
            <w:pPr>
              <w:jc w:val="center"/>
              <w:cnfStyle w:val="000000100000" w:firstRow="0" w:lastRow="0" w:firstColumn="0" w:lastColumn="0" w:oddVBand="0" w:evenVBand="0" w:oddHBand="1" w:evenHBand="0" w:firstRowFirstColumn="0" w:firstRowLastColumn="0" w:lastRowFirstColumn="0" w:lastRowLastColumn="0"/>
              <w:rPr>
                <w:rFonts w:eastAsia="Arial Unicode MS"/>
                <w:szCs w:val="20"/>
              </w:rPr>
            </w:pPr>
            <w:r>
              <w:rPr>
                <w:szCs w:val="20"/>
              </w:rPr>
              <w:t>72 (GUL)</w:t>
            </w:r>
          </w:p>
        </w:tc>
        <w:tc>
          <w:tcPr>
            <w:tcW w:w="545" w:type="pct"/>
            <w:tcBorders>
              <w:left w:val="none" w:sz="0" w:space="0" w:color="auto"/>
              <w:right w:val="none" w:sz="0" w:space="0" w:color="auto"/>
            </w:tcBorders>
            <w:shd w:val="clear" w:color="auto" w:fill="FFFFFF" w:themeFill="background1"/>
            <w:vAlign w:val="center"/>
          </w:tcPr>
          <w:p w14:paraId="3DCD7162" w14:textId="77777777" w:rsidR="00776154" w:rsidRPr="00E42F6D" w:rsidRDefault="00776154" w:rsidP="00A7134C">
            <w:pPr>
              <w:jc w:val="center"/>
              <w:cnfStyle w:val="000000100000" w:firstRow="0" w:lastRow="0" w:firstColumn="0" w:lastColumn="0" w:oddVBand="0" w:evenVBand="0" w:oddHBand="1" w:evenHBand="0" w:firstRowFirstColumn="0" w:firstRowLastColumn="0" w:lastRowFirstColumn="0" w:lastRowLastColumn="0"/>
              <w:rPr>
                <w:szCs w:val="20"/>
                <w:lang w:bidi="ar-SA"/>
              </w:rPr>
            </w:pPr>
            <w:r w:rsidRPr="00E42F6D">
              <w:rPr>
                <w:szCs w:val="20"/>
                <w:lang w:bidi="ar-SA"/>
              </w:rPr>
              <w:t>9.6</w:t>
            </w:r>
          </w:p>
        </w:tc>
        <w:tc>
          <w:tcPr>
            <w:tcW w:w="546" w:type="pct"/>
            <w:tcBorders>
              <w:left w:val="none" w:sz="0" w:space="0" w:color="auto"/>
              <w:right w:val="none" w:sz="0" w:space="0" w:color="auto"/>
            </w:tcBorders>
            <w:shd w:val="clear" w:color="auto" w:fill="FFFFFF" w:themeFill="background1"/>
            <w:vAlign w:val="center"/>
          </w:tcPr>
          <w:p w14:paraId="0D838390" w14:textId="77777777" w:rsidR="00776154" w:rsidRPr="00E42F6D" w:rsidRDefault="00776154" w:rsidP="00A7134C">
            <w:pPr>
              <w:jc w:val="center"/>
              <w:cnfStyle w:val="000000100000" w:firstRow="0" w:lastRow="0" w:firstColumn="0" w:lastColumn="0" w:oddVBand="0" w:evenVBand="0" w:oddHBand="1" w:evenHBand="0" w:firstRowFirstColumn="0" w:firstRowLastColumn="0" w:lastRowFirstColumn="0" w:lastRowLastColumn="0"/>
              <w:rPr>
                <w:szCs w:val="20"/>
                <w:lang w:bidi="ar-SA"/>
              </w:rPr>
            </w:pPr>
            <w:r w:rsidRPr="00E42F6D">
              <w:rPr>
                <w:szCs w:val="20"/>
                <w:lang w:bidi="ar-SA"/>
              </w:rPr>
              <w:t>72</w:t>
            </w:r>
          </w:p>
        </w:tc>
        <w:tc>
          <w:tcPr>
            <w:tcW w:w="940" w:type="pct"/>
            <w:tcBorders>
              <w:left w:val="none" w:sz="0" w:space="0" w:color="auto"/>
            </w:tcBorders>
            <w:shd w:val="clear" w:color="auto" w:fill="FFFFFF" w:themeFill="background1"/>
            <w:vAlign w:val="center"/>
          </w:tcPr>
          <w:p w14:paraId="095ADF51" w14:textId="7274D032" w:rsidR="00776154" w:rsidRPr="00BB6325" w:rsidRDefault="00910346" w:rsidP="00A7134C">
            <w:pPr>
              <w:jc w:val="center"/>
              <w:cnfStyle w:val="000000100000" w:firstRow="0" w:lastRow="0" w:firstColumn="0" w:lastColumn="0" w:oddVBand="0" w:evenVBand="0" w:oddHBand="1" w:evenHBand="0" w:firstRowFirstColumn="0" w:firstRowLastColumn="0" w:lastRowFirstColumn="0" w:lastRowLastColumn="0"/>
              <w:rPr>
                <w:szCs w:val="20"/>
                <w:lang w:bidi="ar-SA"/>
              </w:rPr>
            </w:pPr>
            <w:r>
              <w:rPr>
                <w:szCs w:val="20"/>
                <w:lang w:bidi="ar-SA"/>
              </w:rPr>
              <w:t>17 – 48</w:t>
            </w:r>
          </w:p>
        </w:tc>
      </w:tr>
      <w:tr w:rsidR="00776154" w:rsidRPr="00E42F6D" w14:paraId="216432DA" w14:textId="77777777" w:rsidTr="00840C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787" w:type="pct"/>
            <w:tcBorders>
              <w:right w:val="none" w:sz="0" w:space="0" w:color="auto"/>
            </w:tcBorders>
            <w:shd w:val="clear" w:color="auto" w:fill="FFFFFF" w:themeFill="background1"/>
            <w:vAlign w:val="center"/>
          </w:tcPr>
          <w:p w14:paraId="734B80B5" w14:textId="77777777" w:rsidR="00776154" w:rsidRPr="00E42F6D" w:rsidRDefault="00776154" w:rsidP="00A7134C">
            <w:pPr>
              <w:jc w:val="center"/>
              <w:rPr>
                <w:szCs w:val="20"/>
                <w:lang w:bidi="ar-SA"/>
              </w:rPr>
            </w:pPr>
            <w:r w:rsidRPr="00E42F6D">
              <w:rPr>
                <w:b w:val="0"/>
                <w:bCs w:val="0"/>
                <w:szCs w:val="20"/>
                <w:lang w:bidi="ar-SA"/>
              </w:rPr>
              <w:t>Riboflavin</w:t>
            </w:r>
          </w:p>
        </w:tc>
        <w:tc>
          <w:tcPr>
            <w:tcW w:w="545" w:type="pct"/>
            <w:tcBorders>
              <w:left w:val="none" w:sz="0" w:space="0" w:color="auto"/>
              <w:right w:val="none" w:sz="0" w:space="0" w:color="auto"/>
            </w:tcBorders>
            <w:shd w:val="clear" w:color="auto" w:fill="FFFFFF" w:themeFill="background1"/>
            <w:vAlign w:val="center"/>
          </w:tcPr>
          <w:p w14:paraId="329596F7" w14:textId="77777777" w:rsidR="00776154" w:rsidRPr="00E42F6D" w:rsidRDefault="00776154" w:rsidP="00A7134C">
            <w:pPr>
              <w:jc w:val="center"/>
              <w:cnfStyle w:val="000000010000" w:firstRow="0" w:lastRow="0" w:firstColumn="0" w:lastColumn="0" w:oddVBand="0" w:evenVBand="0" w:oddHBand="0" w:evenHBand="1" w:firstRowFirstColumn="0" w:firstRowLastColumn="0" w:lastRowFirstColumn="0" w:lastRowLastColumn="0"/>
              <w:rPr>
                <w:rFonts w:eastAsia="Arial Unicode MS"/>
                <w:szCs w:val="20"/>
              </w:rPr>
            </w:pPr>
            <w:r w:rsidRPr="00E42F6D">
              <w:rPr>
                <w:szCs w:val="20"/>
              </w:rPr>
              <w:t>14</w:t>
            </w:r>
          </w:p>
        </w:tc>
        <w:tc>
          <w:tcPr>
            <w:tcW w:w="545" w:type="pct"/>
            <w:tcBorders>
              <w:left w:val="none" w:sz="0" w:space="0" w:color="auto"/>
              <w:right w:val="none" w:sz="0" w:space="0" w:color="auto"/>
            </w:tcBorders>
            <w:shd w:val="clear" w:color="auto" w:fill="FFFFFF" w:themeFill="background1"/>
            <w:vAlign w:val="center"/>
          </w:tcPr>
          <w:p w14:paraId="2FCD5B45" w14:textId="77777777" w:rsidR="00776154" w:rsidRPr="00E42F6D" w:rsidRDefault="00776154" w:rsidP="00A7134C">
            <w:pPr>
              <w:jc w:val="center"/>
              <w:cnfStyle w:val="000000010000" w:firstRow="0" w:lastRow="0" w:firstColumn="0" w:lastColumn="0" w:oddVBand="0" w:evenVBand="0" w:oddHBand="0" w:evenHBand="1" w:firstRowFirstColumn="0" w:firstRowLastColumn="0" w:lastRowFirstColumn="0" w:lastRowLastColumn="0"/>
              <w:rPr>
                <w:rFonts w:eastAsia="Arial Unicode MS"/>
                <w:szCs w:val="20"/>
              </w:rPr>
            </w:pPr>
            <w:r w:rsidRPr="00E42F6D">
              <w:rPr>
                <w:szCs w:val="20"/>
              </w:rPr>
              <w:t>86 (GUL)</w:t>
            </w:r>
          </w:p>
        </w:tc>
        <w:tc>
          <w:tcPr>
            <w:tcW w:w="546" w:type="pct"/>
            <w:tcBorders>
              <w:left w:val="none" w:sz="0" w:space="0" w:color="auto"/>
              <w:right w:val="none" w:sz="0" w:space="0" w:color="auto"/>
            </w:tcBorders>
            <w:shd w:val="clear" w:color="auto" w:fill="FFFFFF" w:themeFill="background1"/>
            <w:vAlign w:val="center"/>
          </w:tcPr>
          <w:p w14:paraId="7433423A" w14:textId="77777777" w:rsidR="00776154" w:rsidRPr="00E42F6D" w:rsidRDefault="00776154" w:rsidP="00A7134C">
            <w:pPr>
              <w:jc w:val="center"/>
              <w:cnfStyle w:val="000000010000" w:firstRow="0" w:lastRow="0" w:firstColumn="0" w:lastColumn="0" w:oddVBand="0" w:evenVBand="0" w:oddHBand="0" w:evenHBand="1" w:firstRowFirstColumn="0" w:firstRowLastColumn="0" w:lastRowFirstColumn="0" w:lastRowLastColumn="0"/>
              <w:rPr>
                <w:rFonts w:eastAsia="Arial Unicode MS"/>
                <w:szCs w:val="20"/>
              </w:rPr>
            </w:pPr>
            <w:r w:rsidRPr="00BB6325">
              <w:rPr>
                <w:szCs w:val="20"/>
              </w:rPr>
              <w:t>19</w:t>
            </w:r>
          </w:p>
        </w:tc>
        <w:tc>
          <w:tcPr>
            <w:tcW w:w="545" w:type="pct"/>
            <w:tcBorders>
              <w:left w:val="none" w:sz="0" w:space="0" w:color="auto"/>
              <w:right w:val="none" w:sz="0" w:space="0" w:color="auto"/>
            </w:tcBorders>
            <w:shd w:val="clear" w:color="auto" w:fill="FFFFFF" w:themeFill="background1"/>
            <w:vAlign w:val="center"/>
          </w:tcPr>
          <w:p w14:paraId="6D8094F1" w14:textId="77777777" w:rsidR="00776154" w:rsidRPr="00E42F6D" w:rsidRDefault="00776154" w:rsidP="00A7134C">
            <w:pPr>
              <w:jc w:val="center"/>
              <w:cnfStyle w:val="000000010000" w:firstRow="0" w:lastRow="0" w:firstColumn="0" w:lastColumn="0" w:oddVBand="0" w:evenVBand="0" w:oddHBand="0" w:evenHBand="1" w:firstRowFirstColumn="0" w:firstRowLastColumn="0" w:lastRowFirstColumn="0" w:lastRowLastColumn="0"/>
              <w:rPr>
                <w:rFonts w:eastAsia="Arial Unicode MS"/>
                <w:szCs w:val="20"/>
              </w:rPr>
            </w:pPr>
            <w:r>
              <w:rPr>
                <w:szCs w:val="20"/>
              </w:rPr>
              <w:t>119 (GUL)</w:t>
            </w:r>
          </w:p>
        </w:tc>
        <w:tc>
          <w:tcPr>
            <w:tcW w:w="545" w:type="pct"/>
            <w:tcBorders>
              <w:left w:val="none" w:sz="0" w:space="0" w:color="auto"/>
              <w:right w:val="none" w:sz="0" w:space="0" w:color="auto"/>
            </w:tcBorders>
            <w:shd w:val="clear" w:color="auto" w:fill="FFFFFF" w:themeFill="background1"/>
            <w:vAlign w:val="center"/>
          </w:tcPr>
          <w:p w14:paraId="78DED4B6" w14:textId="77777777" w:rsidR="00776154" w:rsidRPr="00E42F6D" w:rsidRDefault="00776154" w:rsidP="00A7134C">
            <w:pPr>
              <w:jc w:val="center"/>
              <w:cnfStyle w:val="000000010000" w:firstRow="0" w:lastRow="0" w:firstColumn="0" w:lastColumn="0" w:oddVBand="0" w:evenVBand="0" w:oddHBand="0" w:evenHBand="1" w:firstRowFirstColumn="0" w:firstRowLastColumn="0" w:lastRowFirstColumn="0" w:lastRowLastColumn="0"/>
              <w:rPr>
                <w:szCs w:val="20"/>
                <w:lang w:bidi="ar-SA"/>
              </w:rPr>
            </w:pPr>
            <w:r w:rsidRPr="00E42F6D">
              <w:rPr>
                <w:szCs w:val="20"/>
                <w:lang w:bidi="ar-SA"/>
              </w:rPr>
              <w:t>14.3</w:t>
            </w:r>
          </w:p>
        </w:tc>
        <w:tc>
          <w:tcPr>
            <w:tcW w:w="546" w:type="pct"/>
            <w:tcBorders>
              <w:left w:val="none" w:sz="0" w:space="0" w:color="auto"/>
              <w:right w:val="none" w:sz="0" w:space="0" w:color="auto"/>
            </w:tcBorders>
            <w:shd w:val="clear" w:color="auto" w:fill="FFFFFF" w:themeFill="background1"/>
            <w:vAlign w:val="center"/>
          </w:tcPr>
          <w:p w14:paraId="1793515E" w14:textId="77777777" w:rsidR="00776154" w:rsidRPr="00E42F6D" w:rsidRDefault="00776154" w:rsidP="00A7134C">
            <w:pPr>
              <w:jc w:val="center"/>
              <w:cnfStyle w:val="000000010000" w:firstRow="0" w:lastRow="0" w:firstColumn="0" w:lastColumn="0" w:oddVBand="0" w:evenVBand="0" w:oddHBand="0" w:evenHBand="1" w:firstRowFirstColumn="0" w:firstRowLastColumn="0" w:lastRowFirstColumn="0" w:lastRowLastColumn="0"/>
              <w:rPr>
                <w:szCs w:val="20"/>
                <w:lang w:bidi="ar-SA"/>
              </w:rPr>
            </w:pPr>
            <w:r w:rsidRPr="00E42F6D">
              <w:rPr>
                <w:szCs w:val="20"/>
                <w:lang w:bidi="ar-SA"/>
              </w:rPr>
              <w:t>95.6</w:t>
            </w:r>
          </w:p>
        </w:tc>
        <w:tc>
          <w:tcPr>
            <w:tcW w:w="940" w:type="pct"/>
            <w:tcBorders>
              <w:left w:val="none" w:sz="0" w:space="0" w:color="auto"/>
            </w:tcBorders>
            <w:shd w:val="clear" w:color="auto" w:fill="FFFFFF" w:themeFill="background1"/>
            <w:vAlign w:val="center"/>
          </w:tcPr>
          <w:p w14:paraId="09A53162" w14:textId="77777777" w:rsidR="00776154" w:rsidRPr="00BB6325" w:rsidRDefault="00776154" w:rsidP="00A7134C">
            <w:pPr>
              <w:jc w:val="center"/>
              <w:cnfStyle w:val="000000010000" w:firstRow="0" w:lastRow="0" w:firstColumn="0" w:lastColumn="0" w:oddVBand="0" w:evenVBand="0" w:oddHBand="0" w:evenHBand="1" w:firstRowFirstColumn="0" w:firstRowLastColumn="0" w:lastRowFirstColumn="0" w:lastRowLastColumn="0"/>
              <w:rPr>
                <w:szCs w:val="20"/>
                <w:lang w:bidi="ar-SA"/>
              </w:rPr>
            </w:pPr>
            <w:r w:rsidRPr="00BB6325">
              <w:rPr>
                <w:szCs w:val="20"/>
                <w:lang w:bidi="ar-SA"/>
              </w:rPr>
              <w:t>25.62 – 77.36</w:t>
            </w:r>
          </w:p>
        </w:tc>
      </w:tr>
      <w:tr w:rsidR="00776154" w:rsidRPr="00E42F6D" w14:paraId="3B363C08" w14:textId="77777777" w:rsidTr="00840C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787" w:type="pct"/>
            <w:tcBorders>
              <w:right w:val="none" w:sz="0" w:space="0" w:color="auto"/>
            </w:tcBorders>
            <w:shd w:val="clear" w:color="auto" w:fill="FFFFFF" w:themeFill="background1"/>
            <w:vAlign w:val="center"/>
          </w:tcPr>
          <w:p w14:paraId="1BFF9C28" w14:textId="77777777" w:rsidR="00776154" w:rsidRPr="00E42F6D" w:rsidRDefault="00776154" w:rsidP="00A7134C">
            <w:pPr>
              <w:jc w:val="center"/>
              <w:rPr>
                <w:szCs w:val="20"/>
                <w:lang w:bidi="ar-SA"/>
              </w:rPr>
            </w:pPr>
            <w:r w:rsidRPr="00E42F6D">
              <w:rPr>
                <w:b w:val="0"/>
                <w:bCs w:val="0"/>
                <w:szCs w:val="20"/>
                <w:lang w:bidi="ar-SA"/>
              </w:rPr>
              <w:t>Vitamin B6</w:t>
            </w:r>
          </w:p>
        </w:tc>
        <w:tc>
          <w:tcPr>
            <w:tcW w:w="545" w:type="pct"/>
            <w:tcBorders>
              <w:left w:val="none" w:sz="0" w:space="0" w:color="auto"/>
              <w:right w:val="none" w:sz="0" w:space="0" w:color="auto"/>
            </w:tcBorders>
            <w:shd w:val="clear" w:color="auto" w:fill="FFFFFF" w:themeFill="background1"/>
            <w:vAlign w:val="center"/>
          </w:tcPr>
          <w:p w14:paraId="38165E88" w14:textId="77777777" w:rsidR="00776154" w:rsidRPr="00E42F6D" w:rsidRDefault="00776154" w:rsidP="00A7134C">
            <w:pPr>
              <w:jc w:val="center"/>
              <w:cnfStyle w:val="000000100000" w:firstRow="0" w:lastRow="0" w:firstColumn="0" w:lastColumn="0" w:oddVBand="0" w:evenVBand="0" w:oddHBand="1" w:evenHBand="0" w:firstRowFirstColumn="0" w:firstRowLastColumn="0" w:lastRowFirstColumn="0" w:lastRowLastColumn="0"/>
              <w:rPr>
                <w:rFonts w:eastAsia="Arial Unicode MS"/>
                <w:szCs w:val="20"/>
              </w:rPr>
            </w:pPr>
            <w:r w:rsidRPr="00E42F6D">
              <w:rPr>
                <w:szCs w:val="20"/>
              </w:rPr>
              <w:t>9</w:t>
            </w:r>
          </w:p>
        </w:tc>
        <w:tc>
          <w:tcPr>
            <w:tcW w:w="545" w:type="pct"/>
            <w:tcBorders>
              <w:left w:val="none" w:sz="0" w:space="0" w:color="auto"/>
              <w:right w:val="none" w:sz="0" w:space="0" w:color="auto"/>
            </w:tcBorders>
            <w:shd w:val="clear" w:color="auto" w:fill="FFFFFF" w:themeFill="background1"/>
            <w:vAlign w:val="center"/>
          </w:tcPr>
          <w:p w14:paraId="4D35637E" w14:textId="77777777" w:rsidR="00776154" w:rsidRPr="00E42F6D" w:rsidRDefault="00776154" w:rsidP="00A7134C">
            <w:pPr>
              <w:jc w:val="center"/>
              <w:cnfStyle w:val="000000100000" w:firstRow="0" w:lastRow="0" w:firstColumn="0" w:lastColumn="0" w:oddVBand="0" w:evenVBand="0" w:oddHBand="1" w:evenHBand="0" w:firstRowFirstColumn="0" w:firstRowLastColumn="0" w:lastRowFirstColumn="0" w:lastRowLastColumn="0"/>
              <w:rPr>
                <w:rFonts w:eastAsia="Arial Unicode MS"/>
                <w:szCs w:val="20"/>
              </w:rPr>
            </w:pPr>
            <w:r w:rsidRPr="00E42F6D">
              <w:rPr>
                <w:szCs w:val="20"/>
              </w:rPr>
              <w:t>36</w:t>
            </w:r>
          </w:p>
        </w:tc>
        <w:tc>
          <w:tcPr>
            <w:tcW w:w="546" w:type="pct"/>
            <w:tcBorders>
              <w:left w:val="none" w:sz="0" w:space="0" w:color="auto"/>
              <w:right w:val="none" w:sz="0" w:space="0" w:color="auto"/>
            </w:tcBorders>
            <w:shd w:val="clear" w:color="auto" w:fill="FFFFFF" w:themeFill="background1"/>
            <w:vAlign w:val="center"/>
          </w:tcPr>
          <w:p w14:paraId="1436BBAF" w14:textId="77777777" w:rsidR="00776154" w:rsidRPr="00E42F6D" w:rsidRDefault="00776154" w:rsidP="00A7134C">
            <w:pPr>
              <w:jc w:val="center"/>
              <w:cnfStyle w:val="000000100000" w:firstRow="0" w:lastRow="0" w:firstColumn="0" w:lastColumn="0" w:oddVBand="0" w:evenVBand="0" w:oddHBand="1" w:evenHBand="0" w:firstRowFirstColumn="0" w:firstRowLastColumn="0" w:lastRowFirstColumn="0" w:lastRowLastColumn="0"/>
              <w:rPr>
                <w:rFonts w:eastAsia="Arial Unicode MS"/>
                <w:szCs w:val="20"/>
              </w:rPr>
            </w:pPr>
            <w:r w:rsidRPr="00E42F6D">
              <w:rPr>
                <w:szCs w:val="20"/>
              </w:rPr>
              <w:t>8.5</w:t>
            </w:r>
          </w:p>
        </w:tc>
        <w:tc>
          <w:tcPr>
            <w:tcW w:w="545" w:type="pct"/>
            <w:tcBorders>
              <w:left w:val="none" w:sz="0" w:space="0" w:color="auto"/>
              <w:right w:val="none" w:sz="0" w:space="0" w:color="auto"/>
            </w:tcBorders>
            <w:shd w:val="clear" w:color="auto" w:fill="FFFFFF" w:themeFill="background1"/>
            <w:vAlign w:val="center"/>
          </w:tcPr>
          <w:p w14:paraId="12CAD310" w14:textId="77777777" w:rsidR="00776154" w:rsidRPr="00E42F6D" w:rsidRDefault="00776154" w:rsidP="00A7134C">
            <w:pPr>
              <w:jc w:val="center"/>
              <w:cnfStyle w:val="000000100000" w:firstRow="0" w:lastRow="0" w:firstColumn="0" w:lastColumn="0" w:oddVBand="0" w:evenVBand="0" w:oddHBand="1" w:evenHBand="0" w:firstRowFirstColumn="0" w:firstRowLastColumn="0" w:lastRowFirstColumn="0" w:lastRowLastColumn="0"/>
              <w:rPr>
                <w:rFonts w:eastAsia="Arial Unicode MS"/>
                <w:szCs w:val="20"/>
              </w:rPr>
            </w:pPr>
            <w:r>
              <w:rPr>
                <w:szCs w:val="20"/>
              </w:rPr>
              <w:t>45 (GUL)</w:t>
            </w:r>
          </w:p>
        </w:tc>
        <w:tc>
          <w:tcPr>
            <w:tcW w:w="545" w:type="pct"/>
            <w:tcBorders>
              <w:left w:val="none" w:sz="0" w:space="0" w:color="auto"/>
              <w:right w:val="none" w:sz="0" w:space="0" w:color="auto"/>
            </w:tcBorders>
            <w:shd w:val="clear" w:color="auto" w:fill="FFFFFF" w:themeFill="background1"/>
            <w:vAlign w:val="center"/>
          </w:tcPr>
          <w:p w14:paraId="0A0FBFEB" w14:textId="77777777" w:rsidR="00776154" w:rsidRPr="00E42F6D" w:rsidRDefault="00776154" w:rsidP="00A7134C">
            <w:pPr>
              <w:jc w:val="center"/>
              <w:cnfStyle w:val="000000100000" w:firstRow="0" w:lastRow="0" w:firstColumn="0" w:lastColumn="0" w:oddVBand="0" w:evenVBand="0" w:oddHBand="1" w:evenHBand="0" w:firstRowFirstColumn="0" w:firstRowLastColumn="0" w:lastRowFirstColumn="0" w:lastRowLastColumn="0"/>
              <w:rPr>
                <w:szCs w:val="20"/>
                <w:lang w:bidi="ar-SA"/>
              </w:rPr>
            </w:pPr>
            <w:r w:rsidRPr="00E42F6D">
              <w:rPr>
                <w:szCs w:val="20"/>
                <w:lang w:bidi="ar-SA"/>
              </w:rPr>
              <w:t>4.8</w:t>
            </w:r>
          </w:p>
        </w:tc>
        <w:tc>
          <w:tcPr>
            <w:tcW w:w="546" w:type="pct"/>
            <w:tcBorders>
              <w:left w:val="none" w:sz="0" w:space="0" w:color="auto"/>
              <w:right w:val="none" w:sz="0" w:space="0" w:color="auto"/>
            </w:tcBorders>
            <w:shd w:val="clear" w:color="auto" w:fill="FFFFFF" w:themeFill="background1"/>
            <w:vAlign w:val="center"/>
          </w:tcPr>
          <w:p w14:paraId="19424934" w14:textId="77777777" w:rsidR="00776154" w:rsidRPr="00E42F6D" w:rsidRDefault="00776154" w:rsidP="00A7134C">
            <w:pPr>
              <w:jc w:val="center"/>
              <w:cnfStyle w:val="000000100000" w:firstRow="0" w:lastRow="0" w:firstColumn="0" w:lastColumn="0" w:oddVBand="0" w:evenVBand="0" w:oddHBand="1" w:evenHBand="0" w:firstRowFirstColumn="0" w:firstRowLastColumn="0" w:lastRowFirstColumn="0" w:lastRowLastColumn="0"/>
              <w:rPr>
                <w:szCs w:val="20"/>
                <w:lang w:bidi="ar-SA"/>
              </w:rPr>
            </w:pPr>
            <w:r w:rsidRPr="00E42F6D">
              <w:rPr>
                <w:szCs w:val="20"/>
                <w:lang w:bidi="ar-SA"/>
              </w:rPr>
              <w:t>41.8</w:t>
            </w:r>
          </w:p>
        </w:tc>
        <w:tc>
          <w:tcPr>
            <w:tcW w:w="940" w:type="pct"/>
            <w:tcBorders>
              <w:left w:val="none" w:sz="0" w:space="0" w:color="auto"/>
            </w:tcBorders>
            <w:shd w:val="clear" w:color="auto" w:fill="FFFFFF" w:themeFill="background1"/>
            <w:vAlign w:val="center"/>
          </w:tcPr>
          <w:p w14:paraId="1EFF1786" w14:textId="77777777" w:rsidR="00776154" w:rsidRPr="00BB6325" w:rsidRDefault="00776154" w:rsidP="00A7134C">
            <w:pPr>
              <w:jc w:val="center"/>
              <w:cnfStyle w:val="000000100000" w:firstRow="0" w:lastRow="0" w:firstColumn="0" w:lastColumn="0" w:oddVBand="0" w:evenVBand="0" w:oddHBand="1" w:evenHBand="0" w:firstRowFirstColumn="0" w:firstRowLastColumn="0" w:lastRowFirstColumn="0" w:lastRowLastColumn="0"/>
              <w:rPr>
                <w:szCs w:val="20"/>
                <w:lang w:bidi="ar-SA"/>
              </w:rPr>
            </w:pPr>
            <w:r w:rsidRPr="00BB6325">
              <w:rPr>
                <w:rFonts w:eastAsia="Arial Unicode MS"/>
                <w:szCs w:val="20"/>
              </w:rPr>
              <w:t>13.17 – 28.11</w:t>
            </w:r>
          </w:p>
        </w:tc>
      </w:tr>
      <w:tr w:rsidR="00776154" w:rsidRPr="00E42F6D" w14:paraId="06326D0C" w14:textId="77777777" w:rsidTr="00840C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787" w:type="pct"/>
            <w:tcBorders>
              <w:right w:val="none" w:sz="0" w:space="0" w:color="auto"/>
            </w:tcBorders>
            <w:shd w:val="clear" w:color="auto" w:fill="FFFFFF" w:themeFill="background1"/>
            <w:vAlign w:val="center"/>
          </w:tcPr>
          <w:p w14:paraId="2AA9DC45" w14:textId="77777777" w:rsidR="00776154" w:rsidRPr="00E42F6D" w:rsidRDefault="00776154" w:rsidP="00A7134C">
            <w:pPr>
              <w:jc w:val="center"/>
              <w:rPr>
                <w:szCs w:val="20"/>
                <w:lang w:bidi="ar-SA"/>
              </w:rPr>
            </w:pPr>
            <w:r w:rsidRPr="00E42F6D">
              <w:rPr>
                <w:b w:val="0"/>
                <w:bCs w:val="0"/>
                <w:szCs w:val="20"/>
                <w:lang w:bidi="ar-SA"/>
              </w:rPr>
              <w:t>Biotin</w:t>
            </w:r>
          </w:p>
        </w:tc>
        <w:tc>
          <w:tcPr>
            <w:tcW w:w="545" w:type="pct"/>
            <w:tcBorders>
              <w:left w:val="none" w:sz="0" w:space="0" w:color="auto"/>
              <w:right w:val="none" w:sz="0" w:space="0" w:color="auto"/>
            </w:tcBorders>
            <w:shd w:val="clear" w:color="auto" w:fill="FFFFFF" w:themeFill="background1"/>
            <w:vAlign w:val="center"/>
          </w:tcPr>
          <w:p w14:paraId="517402FB" w14:textId="77777777" w:rsidR="00776154" w:rsidRPr="00E42F6D" w:rsidRDefault="00776154" w:rsidP="00A7134C">
            <w:pPr>
              <w:jc w:val="center"/>
              <w:cnfStyle w:val="000000010000" w:firstRow="0" w:lastRow="0" w:firstColumn="0" w:lastColumn="0" w:oddVBand="0" w:evenVBand="0" w:oddHBand="0" w:evenHBand="1" w:firstRowFirstColumn="0" w:firstRowLastColumn="0" w:lastRowFirstColumn="0" w:lastRowLastColumn="0"/>
              <w:rPr>
                <w:rFonts w:eastAsia="Arial Unicode MS"/>
                <w:szCs w:val="20"/>
              </w:rPr>
            </w:pPr>
            <w:r w:rsidRPr="00E42F6D">
              <w:rPr>
                <w:rFonts w:eastAsia="Arial Unicode MS"/>
                <w:szCs w:val="20"/>
              </w:rPr>
              <w:t>0.36</w:t>
            </w:r>
          </w:p>
        </w:tc>
        <w:tc>
          <w:tcPr>
            <w:tcW w:w="545" w:type="pct"/>
            <w:tcBorders>
              <w:left w:val="none" w:sz="0" w:space="0" w:color="auto"/>
              <w:right w:val="none" w:sz="0" w:space="0" w:color="auto"/>
            </w:tcBorders>
            <w:shd w:val="clear" w:color="auto" w:fill="FFFFFF" w:themeFill="background1"/>
            <w:vAlign w:val="center"/>
          </w:tcPr>
          <w:p w14:paraId="6AA32EB3" w14:textId="77777777" w:rsidR="00776154" w:rsidRPr="00E42F6D" w:rsidRDefault="00776154" w:rsidP="00A7134C">
            <w:pPr>
              <w:jc w:val="center"/>
              <w:cnfStyle w:val="000000010000" w:firstRow="0" w:lastRow="0" w:firstColumn="0" w:lastColumn="0" w:oddVBand="0" w:evenVBand="0" w:oddHBand="0" w:evenHBand="1" w:firstRowFirstColumn="0" w:firstRowLastColumn="0" w:lastRowFirstColumn="0" w:lastRowLastColumn="0"/>
              <w:rPr>
                <w:rFonts w:eastAsia="Arial Unicode MS"/>
                <w:szCs w:val="20"/>
              </w:rPr>
            </w:pPr>
            <w:r w:rsidRPr="00E42F6D">
              <w:rPr>
                <w:rFonts w:eastAsia="Arial Unicode MS"/>
                <w:szCs w:val="20"/>
              </w:rPr>
              <w:t>2.7</w:t>
            </w:r>
          </w:p>
        </w:tc>
        <w:tc>
          <w:tcPr>
            <w:tcW w:w="546" w:type="pct"/>
            <w:tcBorders>
              <w:left w:val="none" w:sz="0" w:space="0" w:color="auto"/>
              <w:right w:val="none" w:sz="0" w:space="0" w:color="auto"/>
            </w:tcBorders>
            <w:shd w:val="clear" w:color="auto" w:fill="FFFFFF" w:themeFill="background1"/>
            <w:vAlign w:val="center"/>
          </w:tcPr>
          <w:p w14:paraId="114368DD" w14:textId="77777777" w:rsidR="00776154" w:rsidRPr="00E42F6D" w:rsidRDefault="00776154" w:rsidP="00A7134C">
            <w:pPr>
              <w:jc w:val="center"/>
              <w:cnfStyle w:val="000000010000" w:firstRow="0" w:lastRow="0" w:firstColumn="0" w:lastColumn="0" w:oddVBand="0" w:evenVBand="0" w:oddHBand="0" w:evenHBand="1" w:firstRowFirstColumn="0" w:firstRowLastColumn="0" w:lastRowFirstColumn="0" w:lastRowLastColumn="0"/>
              <w:rPr>
                <w:rFonts w:eastAsia="Arial Unicode MS"/>
                <w:szCs w:val="20"/>
              </w:rPr>
            </w:pPr>
            <w:r w:rsidRPr="00E42F6D">
              <w:rPr>
                <w:rFonts w:eastAsia="Arial Unicode MS"/>
                <w:szCs w:val="20"/>
              </w:rPr>
              <w:t>0.4</w:t>
            </w:r>
          </w:p>
        </w:tc>
        <w:tc>
          <w:tcPr>
            <w:tcW w:w="545" w:type="pct"/>
            <w:tcBorders>
              <w:left w:val="none" w:sz="0" w:space="0" w:color="auto"/>
              <w:right w:val="none" w:sz="0" w:space="0" w:color="auto"/>
            </w:tcBorders>
            <w:shd w:val="clear" w:color="auto" w:fill="FFFFFF" w:themeFill="background1"/>
            <w:vAlign w:val="center"/>
          </w:tcPr>
          <w:p w14:paraId="621AA5F9" w14:textId="77777777" w:rsidR="00776154" w:rsidRPr="00E42F6D" w:rsidRDefault="00776154" w:rsidP="00A7134C">
            <w:pPr>
              <w:jc w:val="center"/>
              <w:cnfStyle w:val="000000010000" w:firstRow="0" w:lastRow="0" w:firstColumn="0" w:lastColumn="0" w:oddVBand="0" w:evenVBand="0" w:oddHBand="0" w:evenHBand="1" w:firstRowFirstColumn="0" w:firstRowLastColumn="0" w:lastRowFirstColumn="0" w:lastRowLastColumn="0"/>
              <w:rPr>
                <w:rFonts w:eastAsia="Arial Unicode MS"/>
                <w:szCs w:val="20"/>
              </w:rPr>
            </w:pPr>
            <w:r w:rsidRPr="00E42F6D">
              <w:rPr>
                <w:rFonts w:eastAsia="Arial Unicode MS"/>
                <w:szCs w:val="20"/>
              </w:rPr>
              <w:t>2.4</w:t>
            </w:r>
          </w:p>
        </w:tc>
        <w:tc>
          <w:tcPr>
            <w:tcW w:w="545" w:type="pct"/>
            <w:tcBorders>
              <w:left w:val="none" w:sz="0" w:space="0" w:color="auto"/>
              <w:right w:val="none" w:sz="0" w:space="0" w:color="auto"/>
            </w:tcBorders>
            <w:shd w:val="clear" w:color="auto" w:fill="FFFFFF" w:themeFill="background1"/>
            <w:vAlign w:val="center"/>
          </w:tcPr>
          <w:p w14:paraId="335E2A6F" w14:textId="77777777" w:rsidR="00776154" w:rsidRPr="00E42F6D" w:rsidRDefault="00776154" w:rsidP="00A7134C">
            <w:pPr>
              <w:jc w:val="center"/>
              <w:cnfStyle w:val="000000010000" w:firstRow="0" w:lastRow="0" w:firstColumn="0" w:lastColumn="0" w:oddVBand="0" w:evenVBand="0" w:oddHBand="0" w:evenHBand="1" w:firstRowFirstColumn="0" w:firstRowLastColumn="0" w:lastRowFirstColumn="0" w:lastRowLastColumn="0"/>
              <w:rPr>
                <w:szCs w:val="20"/>
                <w:lang w:bidi="ar-SA"/>
              </w:rPr>
            </w:pPr>
            <w:r w:rsidRPr="00E42F6D">
              <w:rPr>
                <w:szCs w:val="20"/>
                <w:lang w:bidi="ar-SA"/>
              </w:rPr>
              <w:t>0.24</w:t>
            </w:r>
          </w:p>
        </w:tc>
        <w:tc>
          <w:tcPr>
            <w:tcW w:w="546" w:type="pct"/>
            <w:tcBorders>
              <w:left w:val="none" w:sz="0" w:space="0" w:color="auto"/>
              <w:right w:val="none" w:sz="0" w:space="0" w:color="auto"/>
            </w:tcBorders>
            <w:shd w:val="clear" w:color="auto" w:fill="FFFFFF" w:themeFill="background1"/>
            <w:vAlign w:val="center"/>
          </w:tcPr>
          <w:p w14:paraId="3E8EAA28" w14:textId="77777777" w:rsidR="00776154" w:rsidRPr="00E42F6D" w:rsidRDefault="00776154" w:rsidP="00A7134C">
            <w:pPr>
              <w:jc w:val="center"/>
              <w:cnfStyle w:val="000000010000" w:firstRow="0" w:lastRow="0" w:firstColumn="0" w:lastColumn="0" w:oddVBand="0" w:evenVBand="0" w:oddHBand="0" w:evenHBand="1" w:firstRowFirstColumn="0" w:firstRowLastColumn="0" w:lastRowFirstColumn="0" w:lastRowLastColumn="0"/>
              <w:rPr>
                <w:szCs w:val="20"/>
                <w:lang w:bidi="ar-SA"/>
              </w:rPr>
            </w:pPr>
            <w:r w:rsidRPr="00E42F6D">
              <w:rPr>
                <w:szCs w:val="20"/>
                <w:lang w:bidi="ar-SA"/>
              </w:rPr>
              <w:t>1.8</w:t>
            </w:r>
          </w:p>
        </w:tc>
        <w:tc>
          <w:tcPr>
            <w:tcW w:w="940" w:type="pct"/>
            <w:tcBorders>
              <w:left w:val="none" w:sz="0" w:space="0" w:color="auto"/>
            </w:tcBorders>
            <w:shd w:val="clear" w:color="auto" w:fill="FFFFFF" w:themeFill="background1"/>
            <w:vAlign w:val="center"/>
          </w:tcPr>
          <w:p w14:paraId="0222A577" w14:textId="77777777" w:rsidR="00776154" w:rsidRPr="00BB6325" w:rsidRDefault="00776154" w:rsidP="00A7134C">
            <w:pPr>
              <w:jc w:val="center"/>
              <w:cnfStyle w:val="000000010000" w:firstRow="0" w:lastRow="0" w:firstColumn="0" w:lastColumn="0" w:oddVBand="0" w:evenVBand="0" w:oddHBand="0" w:evenHBand="1" w:firstRowFirstColumn="0" w:firstRowLastColumn="0" w:lastRowFirstColumn="0" w:lastRowLastColumn="0"/>
              <w:rPr>
                <w:szCs w:val="20"/>
                <w:lang w:bidi="ar-SA"/>
              </w:rPr>
            </w:pPr>
            <w:r w:rsidRPr="00BB6325">
              <w:rPr>
                <w:szCs w:val="20"/>
                <w:lang w:bidi="ar-SA"/>
              </w:rPr>
              <w:t>0.50 – 1.73</w:t>
            </w:r>
          </w:p>
        </w:tc>
      </w:tr>
    </w:tbl>
    <w:p w14:paraId="01DFEC76" w14:textId="77777777" w:rsidR="00776154" w:rsidRDefault="00776154" w:rsidP="00776154">
      <w:pPr>
        <w:pStyle w:val="Heading4"/>
      </w:pPr>
      <w:r w:rsidRPr="00BA1FD9">
        <w:t>Previous consideration</w:t>
      </w:r>
    </w:p>
    <w:p w14:paraId="067F2E28" w14:textId="16AE2BD8" w:rsidR="00776154" w:rsidRDefault="00776154" w:rsidP="00776154">
      <w:pPr>
        <w:rPr>
          <w:lang w:val="en-AU" w:bidi="ar-SA"/>
        </w:rPr>
      </w:pPr>
      <w:r>
        <w:rPr>
          <w:lang w:val="en-AU" w:bidi="ar-SA"/>
        </w:rPr>
        <w:t>In 2016, FSANZ’s nutrition</w:t>
      </w:r>
      <w:r w:rsidR="008F7AFC">
        <w:rPr>
          <w:lang w:val="en-AU" w:bidi="ar-SA"/>
        </w:rPr>
        <w:t xml:space="preserve"> risk</w:t>
      </w:r>
      <w:r>
        <w:rPr>
          <w:lang w:val="en-AU" w:bidi="ar-SA"/>
        </w:rPr>
        <w:t xml:space="preserve"> assessment concluded that alignment with the Codex STAN 72-1981 for </w:t>
      </w:r>
      <w:r w:rsidRPr="002948D9">
        <w:rPr>
          <w:lang w:val="en-AU" w:bidi="ar-SA"/>
        </w:rPr>
        <w:t>vitamin K, thiamin, riboflavin, vitamin B6, and biotin</w:t>
      </w:r>
      <w:r>
        <w:rPr>
          <w:lang w:val="en-AU" w:bidi="ar-SA"/>
        </w:rPr>
        <w:t xml:space="preserve"> was appropriate. </w:t>
      </w:r>
      <w:r w:rsidRPr="00870D4D">
        <w:rPr>
          <w:lang w:val="en-AU" w:bidi="ar-SA"/>
        </w:rPr>
        <w:t xml:space="preserve">The </w:t>
      </w:r>
      <w:r>
        <w:rPr>
          <w:lang w:val="en-AU" w:bidi="ar-SA"/>
        </w:rPr>
        <w:t xml:space="preserve">Codex </w:t>
      </w:r>
      <w:r w:rsidRPr="00870D4D">
        <w:rPr>
          <w:lang w:val="en-AU" w:bidi="ar-SA"/>
        </w:rPr>
        <w:t xml:space="preserve">permitted range for </w:t>
      </w:r>
      <w:r>
        <w:rPr>
          <w:lang w:val="en-AU" w:bidi="ar-SA"/>
        </w:rPr>
        <w:t xml:space="preserve">these nutrients was reviewed against the </w:t>
      </w:r>
      <w:r w:rsidRPr="000C1B5D">
        <w:rPr>
          <w:lang w:val="en-AU" w:bidi="ar-SA"/>
        </w:rPr>
        <w:t>nutrition</w:t>
      </w:r>
      <w:r w:rsidR="008F7AFC">
        <w:rPr>
          <w:lang w:val="en-AU" w:bidi="ar-SA"/>
        </w:rPr>
        <w:t xml:space="preserve"> risk</w:t>
      </w:r>
      <w:r w:rsidRPr="000C1B5D">
        <w:rPr>
          <w:lang w:val="en-AU" w:bidi="ar-SA"/>
        </w:rPr>
        <w:t xml:space="preserve"> </w:t>
      </w:r>
      <w:r w:rsidRPr="00801980">
        <w:rPr>
          <w:lang w:val="en-AU" w:bidi="ar-SA"/>
        </w:rPr>
        <w:t>assessment criteria</w:t>
      </w:r>
      <w:r>
        <w:rPr>
          <w:lang w:val="en-AU" w:bidi="ar-SA"/>
        </w:rPr>
        <w:t xml:space="preserve">, as reported in the 2016 nutrition </w:t>
      </w:r>
      <w:r w:rsidR="008F7AFC">
        <w:rPr>
          <w:lang w:val="en-AU" w:bidi="ar-SA"/>
        </w:rPr>
        <w:t xml:space="preserve">risk </w:t>
      </w:r>
      <w:r>
        <w:rPr>
          <w:lang w:val="en-AU" w:bidi="ar-SA"/>
        </w:rPr>
        <w:t>assessment. No ev</w:t>
      </w:r>
      <w:r w:rsidRPr="005058C4">
        <w:rPr>
          <w:lang w:val="en-AU" w:bidi="ar-SA"/>
        </w:rPr>
        <w:t>idence</w:t>
      </w:r>
      <w:r>
        <w:rPr>
          <w:lang w:val="en-AU" w:bidi="ar-SA"/>
        </w:rPr>
        <w:t xml:space="preserve"> was identified to indicate that the Codex permitted range was not appropriate and the permitted range (</w:t>
      </w:r>
      <w:r w:rsidR="008F7AFC">
        <w:rPr>
          <w:lang w:val="en-AU" w:bidi="ar-SA"/>
        </w:rPr>
        <w:t xml:space="preserve">using </w:t>
      </w:r>
      <w:r>
        <w:rPr>
          <w:lang w:val="en-AU" w:bidi="ar-SA"/>
        </w:rPr>
        <w:t xml:space="preserve">maximum amounts or GULs) as specified in </w:t>
      </w:r>
      <w:r w:rsidRPr="005058C4">
        <w:rPr>
          <w:lang w:val="en-AU" w:bidi="ar-SA"/>
        </w:rPr>
        <w:t xml:space="preserve">Codex </w:t>
      </w:r>
      <w:r>
        <w:rPr>
          <w:lang w:val="en-AU" w:bidi="ar-SA"/>
        </w:rPr>
        <w:t>STAN 72-1981 was</w:t>
      </w:r>
      <w:r w:rsidRPr="005058C4">
        <w:rPr>
          <w:lang w:val="en-AU" w:bidi="ar-SA"/>
        </w:rPr>
        <w:t xml:space="preserve"> </w:t>
      </w:r>
      <w:r>
        <w:rPr>
          <w:lang w:val="en-AU" w:bidi="ar-SA"/>
        </w:rPr>
        <w:t xml:space="preserve">determined to be </w:t>
      </w:r>
      <w:r w:rsidRPr="005058C4">
        <w:rPr>
          <w:lang w:val="en-AU" w:bidi="ar-SA"/>
        </w:rPr>
        <w:t>unlikely to pose a risk to infant health.</w:t>
      </w:r>
      <w:r>
        <w:rPr>
          <w:lang w:val="en-AU" w:bidi="ar-SA"/>
        </w:rPr>
        <w:t xml:space="preserve"> </w:t>
      </w:r>
    </w:p>
    <w:p w14:paraId="581A6C5B" w14:textId="77777777" w:rsidR="00776154" w:rsidRDefault="00776154" w:rsidP="00776154">
      <w:pPr>
        <w:pStyle w:val="Heading4"/>
        <w:ind w:left="0" w:firstLine="0"/>
      </w:pPr>
      <w:r w:rsidRPr="00BA1FD9">
        <w:t>S</w:t>
      </w:r>
      <w:r>
        <w:t>takeholder views</w:t>
      </w:r>
    </w:p>
    <w:p w14:paraId="08BBB5E5" w14:textId="51431087" w:rsidR="00776154" w:rsidRDefault="00776154" w:rsidP="00776154">
      <w:pPr>
        <w:rPr>
          <w:lang w:val="en-AU" w:bidi="ar-SA"/>
        </w:rPr>
      </w:pPr>
      <w:r>
        <w:rPr>
          <w:lang w:val="en-AU" w:bidi="ar-SA"/>
        </w:rPr>
        <w:t>Three submitters</w:t>
      </w:r>
      <w:r w:rsidRPr="00D65C5E">
        <w:rPr>
          <w:lang w:val="en-AU" w:bidi="ar-SA"/>
        </w:rPr>
        <w:t xml:space="preserve"> (</w:t>
      </w:r>
      <w:r w:rsidR="008F7AFC">
        <w:rPr>
          <w:lang w:val="en-AU" w:bidi="ar-SA"/>
        </w:rPr>
        <w:t>one</w:t>
      </w:r>
      <w:r>
        <w:rPr>
          <w:lang w:val="en-AU" w:bidi="ar-SA"/>
        </w:rPr>
        <w:t xml:space="preserve"> </w:t>
      </w:r>
      <w:r w:rsidRPr="00D65C5E">
        <w:rPr>
          <w:lang w:val="en-AU" w:bidi="ar-SA"/>
        </w:rPr>
        <w:t>government</w:t>
      </w:r>
      <w:r>
        <w:rPr>
          <w:lang w:val="en-AU" w:bidi="ar-SA"/>
        </w:rPr>
        <w:t xml:space="preserve">, </w:t>
      </w:r>
      <w:r w:rsidR="008F7AFC">
        <w:rPr>
          <w:lang w:val="en-AU" w:bidi="ar-SA"/>
        </w:rPr>
        <w:t>two</w:t>
      </w:r>
      <w:r>
        <w:rPr>
          <w:lang w:val="en-AU" w:bidi="ar-SA"/>
        </w:rPr>
        <w:t xml:space="preserve"> industry</w:t>
      </w:r>
      <w:r w:rsidRPr="00D65C5E">
        <w:rPr>
          <w:lang w:val="en-AU" w:bidi="ar-SA"/>
        </w:rPr>
        <w:t xml:space="preserve">) commented on the permitted range for </w:t>
      </w:r>
      <w:r w:rsidRPr="00762479">
        <w:rPr>
          <w:lang w:val="en-AU" w:bidi="ar-SA"/>
        </w:rPr>
        <w:t>vitamin K, thiamin, riboflavin, vitamin B6, and biotin</w:t>
      </w:r>
      <w:r>
        <w:rPr>
          <w:lang w:val="en-AU" w:bidi="ar-SA"/>
        </w:rPr>
        <w:t xml:space="preserve">. Industry submitters supported FSANZ’s preliminary view to align the permitted range for these vitamins with the Codex amounts. The government submitter opposed alignment with Codex and recommended aligning with the EU </w:t>
      </w:r>
      <w:r w:rsidR="008F7AFC">
        <w:rPr>
          <w:lang w:val="en-AU" w:bidi="ar-SA"/>
        </w:rPr>
        <w:t xml:space="preserve">2016/127 </w:t>
      </w:r>
      <w:r>
        <w:rPr>
          <w:lang w:val="en-AU" w:bidi="ar-SA"/>
        </w:rPr>
        <w:t xml:space="preserve">values </w:t>
      </w:r>
      <w:r>
        <w:t>based on the recommendation by EFSA NDA and justification that these levels meets the nutritional needs of most infants, are consistent with human milk concentrations and corresponding intakes would be closer to the AI.</w:t>
      </w:r>
    </w:p>
    <w:p w14:paraId="243DCA64" w14:textId="08741C7F" w:rsidR="00776154" w:rsidRDefault="008F7AFC" w:rsidP="00776154">
      <w:pPr>
        <w:pStyle w:val="Heading4"/>
      </w:pPr>
      <w:r>
        <w:t>Nutrition r</w:t>
      </w:r>
      <w:r w:rsidR="00776154" w:rsidRPr="00BA1FD9">
        <w:t>isk assessment</w:t>
      </w:r>
    </w:p>
    <w:p w14:paraId="718A1AA5" w14:textId="2F35595C" w:rsidR="00776154" w:rsidRPr="005339A1" w:rsidRDefault="00776154" w:rsidP="00776154">
      <w:pPr>
        <w:rPr>
          <w:lang w:val="en-AU" w:bidi="ar-SA"/>
        </w:rPr>
      </w:pPr>
      <w:r>
        <w:rPr>
          <w:lang w:val="en-AU" w:bidi="ar-SA"/>
        </w:rPr>
        <w:t>Additional nutrition</w:t>
      </w:r>
      <w:r w:rsidR="008F7AFC">
        <w:rPr>
          <w:lang w:val="en-AU" w:bidi="ar-SA"/>
        </w:rPr>
        <w:t xml:space="preserve"> risk</w:t>
      </w:r>
      <w:r>
        <w:rPr>
          <w:lang w:val="en-AU" w:bidi="ar-SA"/>
        </w:rPr>
        <w:t xml:space="preserve"> assessment </w:t>
      </w:r>
      <w:r w:rsidR="002170C5">
        <w:rPr>
          <w:lang w:val="en-AU" w:bidi="ar-SA"/>
        </w:rPr>
        <w:t xml:space="preserve">(see SD1) </w:t>
      </w:r>
      <w:r>
        <w:rPr>
          <w:lang w:val="en-AU" w:bidi="ar-SA"/>
        </w:rPr>
        <w:t xml:space="preserve">for </w:t>
      </w:r>
      <w:r w:rsidR="008F7AFC">
        <w:rPr>
          <w:lang w:val="en-AU" w:bidi="ar-SA"/>
        </w:rPr>
        <w:t xml:space="preserve">vitamin </w:t>
      </w:r>
      <w:r w:rsidR="00F45E20">
        <w:rPr>
          <w:lang w:val="en-AU" w:bidi="ar-SA"/>
        </w:rPr>
        <w:t xml:space="preserve">B6, </w:t>
      </w:r>
      <w:r>
        <w:rPr>
          <w:lang w:val="en-AU" w:bidi="ar-SA"/>
        </w:rPr>
        <w:t xml:space="preserve">vitamin K, riboflavin, and biotin re-examined FSANZ’s preliminary view on the </w:t>
      </w:r>
      <w:r w:rsidRPr="005339A1">
        <w:rPr>
          <w:lang w:val="en-AU" w:bidi="ar-SA"/>
        </w:rPr>
        <w:t xml:space="preserve">permitted range for these nutrients and considered whether the range set under EU 2016/127 </w:t>
      </w:r>
      <w:r w:rsidR="00287DB3">
        <w:rPr>
          <w:lang w:val="en-AU" w:bidi="ar-SA"/>
        </w:rPr>
        <w:t>poses a low</w:t>
      </w:r>
      <w:r w:rsidRPr="005339A1">
        <w:rPr>
          <w:lang w:val="en-AU" w:bidi="ar-SA"/>
        </w:rPr>
        <w:t xml:space="preserve"> risk to infant health. </w:t>
      </w:r>
    </w:p>
    <w:p w14:paraId="5A2D0E3F" w14:textId="77777777" w:rsidR="00776154" w:rsidRDefault="00776154" w:rsidP="00776154">
      <w:pPr>
        <w:rPr>
          <w:lang w:val="en-AU" w:bidi="ar-SA"/>
        </w:rPr>
      </w:pPr>
    </w:p>
    <w:p w14:paraId="4AC3760D" w14:textId="77777777" w:rsidR="007F4A71" w:rsidRDefault="007F4A71" w:rsidP="00F45E20">
      <w:pPr>
        <w:contextualSpacing/>
        <w:rPr>
          <w:rFonts w:eastAsiaTheme="majorEastAsia" w:cstheme="majorBidi"/>
          <w:i/>
          <w:lang w:val="en-AU"/>
        </w:rPr>
      </w:pPr>
    </w:p>
    <w:p w14:paraId="0A9505E5" w14:textId="47776751" w:rsidR="00F45E20" w:rsidRPr="00F45E20" w:rsidRDefault="008F7AFC" w:rsidP="00F45E20">
      <w:pPr>
        <w:contextualSpacing/>
        <w:rPr>
          <w:rFonts w:eastAsiaTheme="majorEastAsia" w:cstheme="majorBidi"/>
          <w:i/>
          <w:lang w:val="en-AU"/>
        </w:rPr>
      </w:pPr>
      <w:r>
        <w:rPr>
          <w:rFonts w:eastAsiaTheme="majorEastAsia" w:cstheme="majorBidi"/>
          <w:i/>
          <w:lang w:val="en-AU"/>
        </w:rPr>
        <w:t xml:space="preserve">Vitamin </w:t>
      </w:r>
      <w:r w:rsidR="00F45E20" w:rsidRPr="00F45E20">
        <w:rPr>
          <w:rFonts w:eastAsiaTheme="majorEastAsia" w:cstheme="majorBidi"/>
          <w:i/>
          <w:lang w:val="en-AU"/>
        </w:rPr>
        <w:t>B6</w:t>
      </w:r>
    </w:p>
    <w:p w14:paraId="120FC99B" w14:textId="77777777" w:rsidR="00F45E20" w:rsidRDefault="00F45E20" w:rsidP="00F45E20">
      <w:pPr>
        <w:contextualSpacing/>
        <w:rPr>
          <w:rFonts w:cs="Arial"/>
        </w:rPr>
      </w:pPr>
    </w:p>
    <w:p w14:paraId="0A04D5A5" w14:textId="6887D813" w:rsidR="00116E3E" w:rsidRPr="00116E3E" w:rsidRDefault="009106D5" w:rsidP="00116E3E">
      <w:pPr>
        <w:contextualSpacing/>
        <w:rPr>
          <w:rFonts w:cs="Arial"/>
          <w:lang w:eastAsia="en-AU"/>
        </w:rPr>
      </w:pPr>
      <w:r>
        <w:rPr>
          <w:lang w:eastAsia="en-AU"/>
        </w:rPr>
        <w:t xml:space="preserve">The vitamin </w:t>
      </w:r>
      <w:r w:rsidR="008F7AFC">
        <w:rPr>
          <w:lang w:eastAsia="en-AU"/>
        </w:rPr>
        <w:t>B6</w:t>
      </w:r>
      <w:r>
        <w:rPr>
          <w:lang w:eastAsia="en-AU"/>
        </w:rPr>
        <w:t xml:space="preserve"> minimum set in EU 2016/127 (</w:t>
      </w:r>
      <w:r>
        <w:rPr>
          <w:rFonts w:cs="Arial"/>
        </w:rPr>
        <w:t xml:space="preserve">4.8 µg/100 kJ) is the same amount that EFSA (2014) recommended. This recommendation </w:t>
      </w:r>
      <w:r w:rsidR="008F7AFC">
        <w:rPr>
          <w:rFonts w:cs="Arial"/>
        </w:rPr>
        <w:t>aligns with</w:t>
      </w:r>
      <w:r>
        <w:rPr>
          <w:rFonts w:cs="Arial"/>
        </w:rPr>
        <w:t xml:space="preserve"> the </w:t>
      </w:r>
      <w:r>
        <w:rPr>
          <w:lang w:eastAsia="en-AU"/>
        </w:rPr>
        <w:t xml:space="preserve">EFSA NDA Panel (EFSA 2013), which advised that an intake of 100 </w:t>
      </w:r>
      <w:r>
        <w:rPr>
          <w:rFonts w:cs="Arial"/>
          <w:lang w:eastAsia="en-AU"/>
        </w:rPr>
        <w:t xml:space="preserve">µg/day and </w:t>
      </w:r>
      <w:r>
        <w:rPr>
          <w:lang w:eastAsia="en-AU"/>
        </w:rPr>
        <w:t xml:space="preserve">400 </w:t>
      </w:r>
      <w:r>
        <w:rPr>
          <w:rFonts w:cs="Arial"/>
          <w:lang w:eastAsia="en-AU"/>
        </w:rPr>
        <w:t>µg/day</w:t>
      </w:r>
      <w:r>
        <w:rPr>
          <w:lang w:eastAsia="en-AU"/>
        </w:rPr>
        <w:t xml:space="preserve"> is considered adequate for the majority of infants in the first and second half-year of life, respectively. For the younger infants, this was based on an observed mean content in human milk (0.13 mg/L). EFSA (2014) used the vitamin B</w:t>
      </w:r>
      <w:r w:rsidRPr="00193E8F">
        <w:rPr>
          <w:lang w:eastAsia="en-AU"/>
        </w:rPr>
        <w:t>6</w:t>
      </w:r>
      <w:r>
        <w:rPr>
          <w:lang w:eastAsia="en-AU"/>
        </w:rPr>
        <w:t xml:space="preserve"> intake deemed adequate (100</w:t>
      </w:r>
      <w:r>
        <w:rPr>
          <w:rFonts w:cs="Arial"/>
          <w:lang w:eastAsia="en-AU"/>
        </w:rPr>
        <w:t xml:space="preserve"> µg/day)</w:t>
      </w:r>
      <w:r>
        <w:rPr>
          <w:lang w:eastAsia="en-AU"/>
        </w:rPr>
        <w:t xml:space="preserve"> with an average energy intake of 500 kcal/day for infants aged 0–&lt;6 months, to recommend that infant and </w:t>
      </w:r>
      <w:r w:rsidR="00E51436">
        <w:rPr>
          <w:lang w:eastAsia="en-AU"/>
        </w:rPr>
        <w:t>FOF</w:t>
      </w:r>
      <w:r>
        <w:rPr>
          <w:lang w:eastAsia="en-AU"/>
        </w:rPr>
        <w:t xml:space="preserve"> contain a minimum vitamin B</w:t>
      </w:r>
      <w:r w:rsidRPr="00193E8F">
        <w:rPr>
          <w:lang w:eastAsia="en-AU"/>
        </w:rPr>
        <w:t>6</w:t>
      </w:r>
      <w:r>
        <w:rPr>
          <w:lang w:eastAsia="en-AU"/>
        </w:rPr>
        <w:t xml:space="preserve"> content of 20 </w:t>
      </w:r>
      <w:r>
        <w:rPr>
          <w:rFonts w:cs="Arial"/>
          <w:lang w:eastAsia="en-AU"/>
        </w:rPr>
        <w:t>µg/100 kcal</w:t>
      </w:r>
      <w:r>
        <w:rPr>
          <w:lang w:eastAsia="en-AU"/>
        </w:rPr>
        <w:t xml:space="preserve"> (4.8</w:t>
      </w:r>
      <w:r w:rsidR="008F7AFC">
        <w:rPr>
          <w:lang w:eastAsia="en-AU"/>
        </w:rPr>
        <w:t> </w:t>
      </w:r>
      <w:r>
        <w:rPr>
          <w:rFonts w:cs="Arial"/>
          <w:lang w:eastAsia="en-AU"/>
        </w:rPr>
        <w:t>µg/100 kJ).</w:t>
      </w:r>
      <w:r w:rsidR="00116E3E">
        <w:rPr>
          <w:rFonts w:cs="Arial"/>
          <w:lang w:eastAsia="en-AU"/>
        </w:rPr>
        <w:t xml:space="preserve"> </w:t>
      </w:r>
    </w:p>
    <w:p w14:paraId="304A6BD9" w14:textId="3982D2E2" w:rsidR="00116E3E" w:rsidRDefault="00116E3E" w:rsidP="009106D5">
      <w:pPr>
        <w:contextualSpacing/>
        <w:rPr>
          <w:lang w:eastAsia="en-AU"/>
        </w:rPr>
      </w:pPr>
    </w:p>
    <w:p w14:paraId="4CA1EE66" w14:textId="11880110" w:rsidR="00116E3E" w:rsidRPr="00116E3E" w:rsidRDefault="00116E3E" w:rsidP="00116E3E">
      <w:pPr>
        <w:contextualSpacing/>
        <w:rPr>
          <w:lang w:eastAsia="en-AU"/>
        </w:rPr>
      </w:pPr>
      <w:r>
        <w:rPr>
          <w:lang w:eastAsia="en-AU"/>
        </w:rPr>
        <w:t xml:space="preserve">The 2021 nutrition </w:t>
      </w:r>
      <w:r w:rsidR="008F7AFC">
        <w:rPr>
          <w:lang w:eastAsia="en-AU"/>
        </w:rPr>
        <w:t xml:space="preserve">risk </w:t>
      </w:r>
      <w:r>
        <w:rPr>
          <w:lang w:eastAsia="en-AU"/>
        </w:rPr>
        <w:t xml:space="preserve">assessment </w:t>
      </w:r>
      <w:r w:rsidR="00B05DBA">
        <w:rPr>
          <w:lang w:eastAsia="en-AU"/>
        </w:rPr>
        <w:t xml:space="preserve">(SD1) </w:t>
      </w:r>
      <w:r>
        <w:rPr>
          <w:lang w:eastAsia="en-AU"/>
        </w:rPr>
        <w:t>estimated vitamin B6 intake using the EU 2016/127 min</w:t>
      </w:r>
      <w:r w:rsidR="009E5033">
        <w:rPr>
          <w:lang w:eastAsia="en-AU"/>
        </w:rPr>
        <w:t xml:space="preserve">imum amount against the ANZ AI. This estimation showed that infants aged 0–&lt;6 months met the AI, however, was substantially lower than half the AI value for infants aged 6–&lt;12 months. </w:t>
      </w:r>
      <w:r>
        <w:rPr>
          <w:lang w:eastAsia="en-AU"/>
        </w:rPr>
        <w:t>Therefore, the assessment concluded that u</w:t>
      </w:r>
      <w:r w:rsidRPr="00116E3E">
        <w:rPr>
          <w:lang w:eastAsia="en-AU"/>
        </w:rPr>
        <w:t>se of the EU 2016/127 minimum amount of 4.8 µg/100 kJ may pose a risk to infant health. The minimum amount of 9 µg/100 kJ in Schedule 29, or 8.5 µg/100 kJ in Codex STAN 72-1981, would mitigate this risk.</w:t>
      </w:r>
    </w:p>
    <w:p w14:paraId="346640BE" w14:textId="4FACAECA" w:rsidR="00116E3E" w:rsidRDefault="00116E3E" w:rsidP="009106D5">
      <w:pPr>
        <w:contextualSpacing/>
        <w:rPr>
          <w:lang w:eastAsia="en-AU"/>
        </w:rPr>
      </w:pPr>
    </w:p>
    <w:p w14:paraId="44DECC89" w14:textId="2685694E" w:rsidR="00F45E20" w:rsidRPr="006438A6" w:rsidRDefault="009106D5" w:rsidP="006438A6">
      <w:pPr>
        <w:contextualSpacing/>
        <w:rPr>
          <w:lang w:eastAsia="en-AU"/>
        </w:rPr>
      </w:pPr>
      <w:r>
        <w:rPr>
          <w:lang w:eastAsia="en-AU"/>
        </w:rPr>
        <w:t xml:space="preserve">FSANZ’s considerations from the 2016 </w:t>
      </w:r>
      <w:r w:rsidR="008F7AFC">
        <w:rPr>
          <w:lang w:eastAsia="en-AU"/>
        </w:rPr>
        <w:t>n</w:t>
      </w:r>
      <w:r>
        <w:rPr>
          <w:lang w:eastAsia="en-AU"/>
        </w:rPr>
        <w:t xml:space="preserve">utrition </w:t>
      </w:r>
      <w:r w:rsidR="008F7AFC">
        <w:rPr>
          <w:lang w:eastAsia="en-AU"/>
        </w:rPr>
        <w:t>risk a</w:t>
      </w:r>
      <w:r>
        <w:rPr>
          <w:lang w:eastAsia="en-AU"/>
        </w:rPr>
        <w:t xml:space="preserve">ssessment </w:t>
      </w:r>
      <w:r w:rsidR="008F7AFC">
        <w:rPr>
          <w:lang w:eastAsia="en-AU"/>
        </w:rPr>
        <w:t xml:space="preserve">determined </w:t>
      </w:r>
      <w:r>
        <w:rPr>
          <w:lang w:eastAsia="en-AU"/>
        </w:rPr>
        <w:t xml:space="preserve">that intakes based on the Codex </w:t>
      </w:r>
      <w:r w:rsidR="008F7AFC">
        <w:rPr>
          <w:lang w:eastAsia="en-AU"/>
        </w:rPr>
        <w:t>permitted range</w:t>
      </w:r>
      <w:r w:rsidR="00116E3E">
        <w:rPr>
          <w:lang w:eastAsia="en-AU"/>
        </w:rPr>
        <w:t xml:space="preserve"> </w:t>
      </w:r>
      <w:r w:rsidR="008F7AFC">
        <w:rPr>
          <w:lang w:eastAsia="en-AU"/>
        </w:rPr>
        <w:t xml:space="preserve">are </w:t>
      </w:r>
      <w:r w:rsidR="00116E3E" w:rsidRPr="006438A6">
        <w:rPr>
          <w:lang w:eastAsia="en-AU"/>
        </w:rPr>
        <w:t>unlikely to pose a risk to infant health.</w:t>
      </w:r>
      <w:r w:rsidR="006438A6" w:rsidRPr="006438A6">
        <w:rPr>
          <w:lang w:eastAsia="en-AU"/>
        </w:rPr>
        <w:t xml:space="preserve"> It was also noted that there is no evidence indicating excessive vitamin B6 intakes in formula-fed infants. </w:t>
      </w:r>
      <w:r w:rsidR="00287DB3">
        <w:rPr>
          <w:lang w:eastAsia="en-AU"/>
        </w:rPr>
        <w:t xml:space="preserve">Use of a </w:t>
      </w:r>
      <w:r w:rsidR="006438A6" w:rsidRPr="006438A6">
        <w:rPr>
          <w:lang w:eastAsia="en-AU"/>
        </w:rPr>
        <w:t xml:space="preserve">GUL would </w:t>
      </w:r>
      <w:r w:rsidR="00287DB3">
        <w:rPr>
          <w:lang w:eastAsia="en-AU"/>
        </w:rPr>
        <w:t xml:space="preserve">pose a low </w:t>
      </w:r>
      <w:r w:rsidR="006438A6" w:rsidRPr="006438A6">
        <w:rPr>
          <w:lang w:eastAsia="en-AU"/>
        </w:rPr>
        <w:t>risk to infant health</w:t>
      </w:r>
      <w:r w:rsidR="006438A6">
        <w:rPr>
          <w:lang w:eastAsia="en-AU"/>
        </w:rPr>
        <w:t>.</w:t>
      </w:r>
    </w:p>
    <w:p w14:paraId="2D0EE9C6" w14:textId="11F0ECDA" w:rsidR="00776154" w:rsidRDefault="00776154" w:rsidP="00776154">
      <w:pPr>
        <w:pStyle w:val="Heading5"/>
        <w:rPr>
          <w:lang w:val="en-AU"/>
        </w:rPr>
      </w:pPr>
      <w:r>
        <w:rPr>
          <w:lang w:val="en-AU"/>
        </w:rPr>
        <w:t>Vitamin K</w:t>
      </w:r>
    </w:p>
    <w:p w14:paraId="50544627" w14:textId="2CA0AE3E" w:rsidR="009C7524" w:rsidRDefault="00776154" w:rsidP="00776154">
      <w:pPr>
        <w:contextualSpacing/>
        <w:rPr>
          <w:lang w:eastAsia="en-AU"/>
        </w:rPr>
      </w:pPr>
      <w:r>
        <w:rPr>
          <w:lang w:eastAsia="en-AU"/>
        </w:rPr>
        <w:t>The vitamin K minimum set in EU 2016/127 was based on the SCF findings from 1993 which concluded that intake of 1</w:t>
      </w:r>
      <w:r w:rsidRPr="00ED55C7">
        <w:t xml:space="preserve"> </w:t>
      </w:r>
      <w:r>
        <w:t>μg per kg body weight per day appears adequate</w:t>
      </w:r>
      <w:r w:rsidR="008F7AFC">
        <w:t>. T</w:t>
      </w:r>
      <w:r>
        <w:t>he panel therefore pro</w:t>
      </w:r>
      <w:r w:rsidR="008F7AFC">
        <w:t>po</w:t>
      </w:r>
      <w:r>
        <w:t xml:space="preserve">sed a minimum vitamin K content in infant formula and follow on formula of 0.24 µg/100 kJ. </w:t>
      </w:r>
      <w:r>
        <w:rPr>
          <w:lang w:eastAsia="en-AU"/>
        </w:rPr>
        <w:t xml:space="preserve">FSANZ’s 2016 </w:t>
      </w:r>
      <w:r w:rsidR="008F7AFC">
        <w:rPr>
          <w:lang w:eastAsia="en-AU"/>
        </w:rPr>
        <w:t>n</w:t>
      </w:r>
      <w:r>
        <w:rPr>
          <w:lang w:eastAsia="en-AU"/>
        </w:rPr>
        <w:t xml:space="preserve">utrition </w:t>
      </w:r>
      <w:r w:rsidR="008F7AFC">
        <w:rPr>
          <w:lang w:eastAsia="en-AU"/>
        </w:rPr>
        <w:t>risk a</w:t>
      </w:r>
      <w:r>
        <w:rPr>
          <w:lang w:eastAsia="en-AU"/>
        </w:rPr>
        <w:t xml:space="preserve">ssessment </w:t>
      </w:r>
      <w:r w:rsidR="008F7AFC">
        <w:rPr>
          <w:lang w:eastAsia="en-AU"/>
        </w:rPr>
        <w:t xml:space="preserve">indicated </w:t>
      </w:r>
      <w:r>
        <w:rPr>
          <w:lang w:eastAsia="en-AU"/>
        </w:rPr>
        <w:t xml:space="preserve">that intakes based on the Codex minimum exceed the AI twelve-fold, noting the AI is low </w:t>
      </w:r>
      <w:r w:rsidR="009C7524">
        <w:rPr>
          <w:lang w:eastAsia="en-AU"/>
        </w:rPr>
        <w:t xml:space="preserve">as </w:t>
      </w:r>
      <w:r>
        <w:rPr>
          <w:lang w:eastAsia="en-AU"/>
        </w:rPr>
        <w:t xml:space="preserve">it assumes infants </w:t>
      </w:r>
      <w:r w:rsidRPr="00CC55CF">
        <w:rPr>
          <w:lang w:val="en-AU" w:eastAsia="en-AU"/>
        </w:rPr>
        <w:t>receive prophylactic</w:t>
      </w:r>
      <w:r>
        <w:rPr>
          <w:lang w:val="en-AU" w:eastAsia="en-AU"/>
        </w:rPr>
        <w:t xml:space="preserve"> vitamin K </w:t>
      </w:r>
      <w:r w:rsidRPr="00CC55CF">
        <w:rPr>
          <w:lang w:val="en-AU" w:eastAsia="en-AU"/>
        </w:rPr>
        <w:t>at birth</w:t>
      </w:r>
      <w:r>
        <w:rPr>
          <w:lang w:eastAsia="en-AU"/>
        </w:rPr>
        <w:t xml:space="preserve">. Estimated vitamin K </w:t>
      </w:r>
      <w:r w:rsidRPr="00CC55CF">
        <w:rPr>
          <w:lang w:val="en-AU" w:eastAsia="en-AU"/>
        </w:rPr>
        <w:t>intake</w:t>
      </w:r>
      <w:r>
        <w:rPr>
          <w:lang w:val="en-AU" w:eastAsia="en-AU"/>
        </w:rPr>
        <w:t xml:space="preserve">s based on the lower </w:t>
      </w:r>
      <w:r w:rsidRPr="00CC55CF">
        <w:rPr>
          <w:lang w:val="en-AU" w:eastAsia="en-AU"/>
        </w:rPr>
        <w:t xml:space="preserve">minimum </w:t>
      </w:r>
      <w:r w:rsidR="0041469C">
        <w:rPr>
          <w:lang w:val="en-AU" w:eastAsia="en-AU"/>
        </w:rPr>
        <w:t xml:space="preserve">permitted amount </w:t>
      </w:r>
      <w:r w:rsidRPr="00CC55CF">
        <w:rPr>
          <w:lang w:val="en-AU" w:eastAsia="en-AU"/>
        </w:rPr>
        <w:t>set under EU 2016</w:t>
      </w:r>
      <w:r w:rsidR="008F7AFC">
        <w:rPr>
          <w:lang w:val="en-AU" w:eastAsia="en-AU"/>
        </w:rPr>
        <w:t>/127</w:t>
      </w:r>
      <w:r w:rsidRPr="00CC55CF">
        <w:rPr>
          <w:lang w:val="en-AU" w:eastAsia="en-AU"/>
        </w:rPr>
        <w:t xml:space="preserve"> </w:t>
      </w:r>
      <w:r w:rsidRPr="00ED103E">
        <w:rPr>
          <w:lang w:val="en-AU" w:eastAsia="en-AU"/>
        </w:rPr>
        <w:t xml:space="preserve">more closely align with </w:t>
      </w:r>
      <w:r>
        <w:rPr>
          <w:lang w:val="en-AU" w:eastAsia="en-AU"/>
        </w:rPr>
        <w:t xml:space="preserve">the NHMRC AI. </w:t>
      </w:r>
      <w:r>
        <w:rPr>
          <w:lang w:eastAsia="en-AU"/>
        </w:rPr>
        <w:t xml:space="preserve">Human milk vitamin K concentrations are low and vary widely and </w:t>
      </w:r>
      <w:r w:rsidR="0041469C">
        <w:rPr>
          <w:lang w:eastAsia="en-AU"/>
        </w:rPr>
        <w:t xml:space="preserve">are </w:t>
      </w:r>
      <w:r>
        <w:rPr>
          <w:lang w:eastAsia="en-AU"/>
        </w:rPr>
        <w:t>therefore not informative. Based on these findings, the</w:t>
      </w:r>
      <w:r w:rsidR="009C7524">
        <w:rPr>
          <w:lang w:eastAsia="en-AU"/>
        </w:rPr>
        <w:t xml:space="preserve"> 2021 nutrition</w:t>
      </w:r>
      <w:r>
        <w:rPr>
          <w:lang w:eastAsia="en-AU"/>
        </w:rPr>
        <w:t xml:space="preserve"> risk assessment </w:t>
      </w:r>
      <w:r w:rsidR="00B05DBA">
        <w:rPr>
          <w:lang w:eastAsia="en-AU"/>
        </w:rPr>
        <w:t xml:space="preserve">(SD1) </w:t>
      </w:r>
      <w:r>
        <w:rPr>
          <w:lang w:eastAsia="en-AU"/>
        </w:rPr>
        <w:t xml:space="preserve">concluded that </w:t>
      </w:r>
      <w:r w:rsidR="009C7524" w:rsidRPr="006C3E97">
        <w:rPr>
          <w:lang w:eastAsia="en-AU"/>
        </w:rPr>
        <w:t>use</w:t>
      </w:r>
      <w:r w:rsidR="009C7524">
        <w:rPr>
          <w:lang w:eastAsia="en-AU"/>
        </w:rPr>
        <w:t xml:space="preserve"> of the EU 2016/127 minimum amount (0.24 </w:t>
      </w:r>
      <w:r w:rsidR="009C7524" w:rsidRPr="00DF00FC">
        <w:rPr>
          <w:rFonts w:cs="Arial"/>
          <w:lang w:eastAsia="en-AU"/>
        </w:rPr>
        <w:t>µg/</w:t>
      </w:r>
      <w:r w:rsidR="009C7524">
        <w:rPr>
          <w:rFonts w:cs="Arial"/>
          <w:lang w:eastAsia="en-AU"/>
        </w:rPr>
        <w:t>100 kJ) and maximum amount (6 µg/100 </w:t>
      </w:r>
      <w:r w:rsidR="009C7524" w:rsidRPr="00021A68">
        <w:rPr>
          <w:rFonts w:cs="Arial"/>
          <w:lang w:eastAsia="en-AU"/>
        </w:rPr>
        <w:t>kJ</w:t>
      </w:r>
      <w:r w:rsidR="009C7524">
        <w:rPr>
          <w:rFonts w:cs="Arial"/>
          <w:lang w:eastAsia="en-AU"/>
        </w:rPr>
        <w:t>)</w:t>
      </w:r>
      <w:r w:rsidR="009C7524">
        <w:rPr>
          <w:lang w:eastAsia="en-AU"/>
        </w:rPr>
        <w:t xml:space="preserve"> </w:t>
      </w:r>
      <w:r w:rsidR="00287DB3">
        <w:rPr>
          <w:lang w:eastAsia="en-AU"/>
        </w:rPr>
        <w:t>pose</w:t>
      </w:r>
      <w:r w:rsidR="00B05DBA">
        <w:rPr>
          <w:lang w:eastAsia="en-AU"/>
        </w:rPr>
        <w:t>s</w:t>
      </w:r>
      <w:r w:rsidR="00287DB3">
        <w:rPr>
          <w:lang w:eastAsia="en-AU"/>
        </w:rPr>
        <w:t xml:space="preserve"> a low </w:t>
      </w:r>
      <w:r w:rsidR="009C7524">
        <w:rPr>
          <w:lang w:eastAsia="en-AU"/>
        </w:rPr>
        <w:t>risk to infant health.</w:t>
      </w:r>
      <w:r w:rsidR="00B05DBA">
        <w:rPr>
          <w:lang w:eastAsia="en-AU"/>
        </w:rPr>
        <w:t xml:space="preserve"> This conclusion assumes that </w:t>
      </w:r>
      <w:r w:rsidR="00B05DBA" w:rsidRPr="006C3E97">
        <w:rPr>
          <w:lang w:eastAsia="en-AU"/>
        </w:rPr>
        <w:t>newborn infants receive prophylactic vitamin K at birth</w:t>
      </w:r>
      <w:r w:rsidR="00B05DBA">
        <w:rPr>
          <w:lang w:eastAsia="en-AU"/>
        </w:rPr>
        <w:t>.</w:t>
      </w:r>
    </w:p>
    <w:p w14:paraId="01D2A7BA" w14:textId="7764675E" w:rsidR="00776154" w:rsidRDefault="00776154" w:rsidP="00776154">
      <w:pPr>
        <w:pStyle w:val="Heading5"/>
        <w:ind w:left="0" w:firstLine="0"/>
        <w:rPr>
          <w:lang w:val="en-AU"/>
        </w:rPr>
      </w:pPr>
      <w:r>
        <w:rPr>
          <w:lang w:val="en-AU"/>
        </w:rPr>
        <w:t>Riboflavin</w:t>
      </w:r>
    </w:p>
    <w:p w14:paraId="09793ECD" w14:textId="052DD476" w:rsidR="00776154" w:rsidRDefault="00776154" w:rsidP="00776154">
      <w:pPr>
        <w:contextualSpacing/>
        <w:rPr>
          <w:lang w:eastAsia="en-AU"/>
        </w:rPr>
      </w:pPr>
      <w:r>
        <w:rPr>
          <w:lang w:eastAsia="en-AU"/>
        </w:rPr>
        <w:t>The riboflavin minimum set in EU 2016/127 was based on EFSA (2014</w:t>
      </w:r>
      <w:r w:rsidR="00056097">
        <w:rPr>
          <w:lang w:eastAsia="en-AU"/>
        </w:rPr>
        <w:t>b</w:t>
      </w:r>
      <w:r>
        <w:rPr>
          <w:lang w:eastAsia="en-AU"/>
        </w:rPr>
        <w:t xml:space="preserve">). The EFSA </w:t>
      </w:r>
      <w:r>
        <w:rPr>
          <w:rFonts w:cs="Arial"/>
          <w:lang w:eastAsia="en-AU"/>
        </w:rPr>
        <w:t xml:space="preserve">recommendation was </w:t>
      </w:r>
      <w:r w:rsidRPr="002F3C1A">
        <w:rPr>
          <w:lang w:eastAsia="en-AU"/>
        </w:rPr>
        <w:t xml:space="preserve">based on </w:t>
      </w:r>
      <w:r>
        <w:rPr>
          <w:lang w:eastAsia="en-AU"/>
        </w:rPr>
        <w:t xml:space="preserve">the </w:t>
      </w:r>
      <w:r w:rsidRPr="002F3C1A">
        <w:rPr>
          <w:lang w:eastAsia="en-AU"/>
        </w:rPr>
        <w:t xml:space="preserve">human milk riboflavin concentration </w:t>
      </w:r>
      <w:r>
        <w:rPr>
          <w:lang w:eastAsia="en-AU"/>
        </w:rPr>
        <w:t>(350</w:t>
      </w:r>
      <w:r w:rsidR="0041469C">
        <w:rPr>
          <w:lang w:eastAsia="en-AU"/>
        </w:rPr>
        <w:t>–</w:t>
      </w:r>
      <w:r w:rsidRPr="003A2BEE">
        <w:rPr>
          <w:lang w:eastAsia="en-AU"/>
        </w:rPr>
        <w:t>600 µ</w:t>
      </w:r>
      <w:r>
        <w:rPr>
          <w:lang w:eastAsia="en-AU"/>
        </w:rPr>
        <w:t>g/L, corresponding to 13</w:t>
      </w:r>
      <w:r w:rsidR="0041469C">
        <w:rPr>
          <w:lang w:eastAsia="en-AU"/>
        </w:rPr>
        <w:t>–</w:t>
      </w:r>
      <w:r w:rsidRPr="003A2BEE">
        <w:rPr>
          <w:lang w:eastAsia="en-AU"/>
        </w:rPr>
        <w:t xml:space="preserve">29 µg/100 kJ) </w:t>
      </w:r>
      <w:r w:rsidRPr="002F3C1A">
        <w:rPr>
          <w:lang w:eastAsia="en-AU"/>
        </w:rPr>
        <w:t xml:space="preserve">and advice from the EFSA NDA Panel (2013) that a riboflavin intake of 300 </w:t>
      </w:r>
      <w:r w:rsidRPr="002F3C1A">
        <w:rPr>
          <w:rFonts w:cs="Arial"/>
          <w:lang w:eastAsia="en-AU"/>
        </w:rPr>
        <w:t>µg/day</w:t>
      </w:r>
      <w:r w:rsidRPr="002F3C1A">
        <w:rPr>
          <w:lang w:eastAsia="en-AU"/>
        </w:rPr>
        <w:t xml:space="preserve"> and 400</w:t>
      </w:r>
      <w:r w:rsidRPr="002F3C1A">
        <w:rPr>
          <w:rFonts w:cs="Arial"/>
          <w:lang w:eastAsia="en-AU"/>
        </w:rPr>
        <w:t xml:space="preserve"> µg/day</w:t>
      </w:r>
      <w:r w:rsidRPr="002F3C1A">
        <w:rPr>
          <w:lang w:eastAsia="en-AU"/>
        </w:rPr>
        <w:t xml:space="preserve"> is adequate for the majority of infants in the first and second half-year of life, respectively. </w:t>
      </w:r>
      <w:r>
        <w:rPr>
          <w:lang w:eastAsia="en-AU"/>
        </w:rPr>
        <w:t xml:space="preserve">FSANZ’s considerations from the 2016 </w:t>
      </w:r>
      <w:r w:rsidR="0041469C">
        <w:rPr>
          <w:lang w:eastAsia="en-AU"/>
        </w:rPr>
        <w:t>n</w:t>
      </w:r>
      <w:r>
        <w:rPr>
          <w:lang w:eastAsia="en-AU"/>
        </w:rPr>
        <w:t xml:space="preserve">utrition </w:t>
      </w:r>
      <w:r w:rsidR="0041469C">
        <w:rPr>
          <w:lang w:eastAsia="en-AU"/>
        </w:rPr>
        <w:t>risk a</w:t>
      </w:r>
      <w:r>
        <w:rPr>
          <w:lang w:eastAsia="en-AU"/>
        </w:rPr>
        <w:t>ssessment determined that the Codex minimum was consistent with breast milk concentrations, would meet the AI for both age groups, and there was no evidence indicating that the Codex minimum would pose a risk to infant health. T</w:t>
      </w:r>
      <w:r w:rsidRPr="00454A6E">
        <w:rPr>
          <w:lang w:eastAsia="en-AU"/>
        </w:rPr>
        <w:t>he estimated riboflavin intake</w:t>
      </w:r>
      <w:r>
        <w:rPr>
          <w:lang w:eastAsia="en-AU"/>
        </w:rPr>
        <w:t xml:space="preserve"> based on t</w:t>
      </w:r>
      <w:r w:rsidRPr="00454A6E">
        <w:rPr>
          <w:lang w:eastAsia="en-AU"/>
        </w:rPr>
        <w:t xml:space="preserve">he EU 2016/127 </w:t>
      </w:r>
      <w:r>
        <w:rPr>
          <w:lang w:eastAsia="en-AU"/>
        </w:rPr>
        <w:t>minimum amount</w:t>
      </w:r>
      <w:r w:rsidRPr="00454A6E">
        <w:rPr>
          <w:lang w:eastAsia="en-AU"/>
        </w:rPr>
        <w:t xml:space="preserve"> </w:t>
      </w:r>
      <w:r w:rsidRPr="00177EC5">
        <w:rPr>
          <w:lang w:eastAsia="en-AU"/>
        </w:rPr>
        <w:t xml:space="preserve">also </w:t>
      </w:r>
      <w:r>
        <w:rPr>
          <w:lang w:eastAsia="en-AU"/>
        </w:rPr>
        <w:t>meets</w:t>
      </w:r>
      <w:r w:rsidRPr="00177EC5">
        <w:rPr>
          <w:lang w:eastAsia="en-AU"/>
        </w:rPr>
        <w:t xml:space="preserve"> the</w:t>
      </w:r>
      <w:r w:rsidRPr="00454A6E">
        <w:rPr>
          <w:lang w:eastAsia="en-AU"/>
        </w:rPr>
        <w:t xml:space="preserve"> AI value for infants aged </w:t>
      </w:r>
      <w:r>
        <w:rPr>
          <w:lang w:eastAsia="en-AU"/>
        </w:rPr>
        <w:t xml:space="preserve">0–&lt;12 </w:t>
      </w:r>
      <w:r w:rsidRPr="00454A6E">
        <w:rPr>
          <w:lang w:eastAsia="en-AU"/>
        </w:rPr>
        <w:t>months</w:t>
      </w:r>
      <w:r>
        <w:rPr>
          <w:lang w:eastAsia="en-AU"/>
        </w:rPr>
        <w:t xml:space="preserve">. </w:t>
      </w:r>
    </w:p>
    <w:p w14:paraId="0B6AE2BE" w14:textId="77777777" w:rsidR="00776154" w:rsidRDefault="00776154" w:rsidP="00776154">
      <w:pPr>
        <w:contextualSpacing/>
        <w:rPr>
          <w:lang w:eastAsia="en-AU"/>
        </w:rPr>
      </w:pPr>
    </w:p>
    <w:p w14:paraId="1E895A33" w14:textId="56952EC1" w:rsidR="00776154" w:rsidRDefault="00776154" w:rsidP="00776154">
      <w:pPr>
        <w:contextualSpacing/>
        <w:rPr>
          <w:rFonts w:cs="Arial"/>
        </w:rPr>
      </w:pPr>
      <w:r>
        <w:rPr>
          <w:lang w:eastAsia="en-AU"/>
        </w:rPr>
        <w:t>The riboflavin maximum set in EU 2016/127 was based on EFSA (2014</w:t>
      </w:r>
      <w:r w:rsidR="00056097">
        <w:rPr>
          <w:lang w:eastAsia="en-AU"/>
        </w:rPr>
        <w:t>b</w:t>
      </w:r>
      <w:r>
        <w:rPr>
          <w:lang w:eastAsia="en-AU"/>
        </w:rPr>
        <w:t xml:space="preserve">), which appears to be based on </w:t>
      </w:r>
      <w:r>
        <w:t xml:space="preserve">the </w:t>
      </w:r>
      <w:r w:rsidRPr="00254798">
        <w:rPr>
          <w:rFonts w:cs="Arial"/>
        </w:rPr>
        <w:t>Commission Directive 2006/141/EC</w:t>
      </w:r>
      <w:r>
        <w:rPr>
          <w:rFonts w:cs="Arial"/>
        </w:rPr>
        <w:t xml:space="preserve"> (95</w:t>
      </w:r>
      <w:r w:rsidRPr="00254798">
        <w:rPr>
          <w:rFonts w:cs="Arial"/>
          <w:lang w:eastAsia="en-AU"/>
        </w:rPr>
        <w:t xml:space="preserve"> </w:t>
      </w:r>
      <w:r w:rsidRPr="00827C0C">
        <w:rPr>
          <w:rFonts w:cs="Arial"/>
          <w:lang w:eastAsia="en-AU"/>
        </w:rPr>
        <w:t>µg/</w:t>
      </w:r>
      <w:r>
        <w:rPr>
          <w:rFonts w:cs="Arial"/>
          <w:lang w:eastAsia="en-AU"/>
        </w:rPr>
        <w:t>100 kJ)</w:t>
      </w:r>
      <w:r>
        <w:t xml:space="preserve"> m</w:t>
      </w:r>
      <w:r>
        <w:rPr>
          <w:rFonts w:cs="Arial"/>
        </w:rPr>
        <w:t>aximum</w:t>
      </w:r>
      <w:r w:rsidR="0041469C">
        <w:rPr>
          <w:rFonts w:cs="Arial"/>
        </w:rPr>
        <w:t>. This</w:t>
      </w:r>
      <w:r>
        <w:rPr>
          <w:rFonts w:cs="Arial"/>
        </w:rPr>
        <w:t xml:space="preserve"> w</w:t>
      </w:r>
      <w:r w:rsidR="0041469C">
        <w:rPr>
          <w:rFonts w:cs="Arial"/>
        </w:rPr>
        <w:t>as</w:t>
      </w:r>
      <w:r>
        <w:rPr>
          <w:rFonts w:cs="Arial"/>
        </w:rPr>
        <w:t xml:space="preserve"> not </w:t>
      </w:r>
      <w:r>
        <w:rPr>
          <w:rFonts w:cs="Arial"/>
        </w:rPr>
        <w:lastRenderedPageBreak/>
        <w:t xml:space="preserve">based on scientific evidence for adverse effects, but </w:t>
      </w:r>
      <w:r w:rsidR="0041469C">
        <w:rPr>
          <w:rFonts w:cs="Arial"/>
        </w:rPr>
        <w:t xml:space="preserve">was </w:t>
      </w:r>
      <w:r w:rsidRPr="00827C0C">
        <w:rPr>
          <w:rFonts w:cs="Arial"/>
        </w:rPr>
        <w:t>calculated as three to five times the minimum amounts</w:t>
      </w:r>
      <w:r w:rsidR="00A8690A">
        <w:rPr>
          <w:rFonts w:cs="Arial"/>
        </w:rPr>
        <w:t>, prescribed by European</w:t>
      </w:r>
      <w:r w:rsidR="00A8690A" w:rsidRPr="00F27157">
        <w:rPr>
          <w:rFonts w:cs="Arial"/>
          <w:szCs w:val="22"/>
        </w:rPr>
        <w:t xml:space="preserve"> Commission Directive 2006/141/EC (</w:t>
      </w:r>
      <w:r w:rsidR="00607978">
        <w:rPr>
          <w:rFonts w:cs="Arial"/>
          <w:szCs w:val="22"/>
        </w:rPr>
        <w:t xml:space="preserve">European Commission </w:t>
      </w:r>
      <w:r w:rsidR="00A8690A" w:rsidRPr="00607978">
        <w:rPr>
          <w:rFonts w:cs="Arial"/>
          <w:szCs w:val="22"/>
        </w:rPr>
        <w:t>2006)</w:t>
      </w:r>
      <w:r w:rsidR="00A8690A" w:rsidRPr="00F27157">
        <w:rPr>
          <w:rFonts w:cs="Arial"/>
          <w:szCs w:val="22"/>
        </w:rPr>
        <w:t xml:space="preserve">, </w:t>
      </w:r>
      <w:r w:rsidRPr="00827C0C">
        <w:rPr>
          <w:rFonts w:cs="Arial"/>
        </w:rPr>
        <w:t>at that time</w:t>
      </w:r>
      <w:r>
        <w:rPr>
          <w:rFonts w:cs="Arial"/>
        </w:rPr>
        <w:t xml:space="preserve"> and considered</w:t>
      </w:r>
      <w:r w:rsidRPr="00517D5E">
        <w:rPr>
          <w:rFonts w:cs="Arial"/>
        </w:rPr>
        <w:t xml:space="preserve"> </w:t>
      </w:r>
      <w:r w:rsidRPr="00827C0C">
        <w:rPr>
          <w:rFonts w:cs="Arial"/>
        </w:rPr>
        <w:t>the history of apparent safe use</w:t>
      </w:r>
      <w:r>
        <w:rPr>
          <w:rFonts w:cs="Arial"/>
        </w:rPr>
        <w:t xml:space="preserve">. </w:t>
      </w:r>
      <w:r w:rsidRPr="00BE2E9B">
        <w:rPr>
          <w:lang w:eastAsia="en-AU" w:bidi="ar-SA"/>
        </w:rPr>
        <w:t xml:space="preserve">No additional evidence has been identified to support </w:t>
      </w:r>
      <w:r>
        <w:rPr>
          <w:lang w:eastAsia="en-AU" w:bidi="ar-SA"/>
        </w:rPr>
        <w:t xml:space="preserve">the lower maximum specified by EU </w:t>
      </w:r>
      <w:r w:rsidR="0041469C">
        <w:rPr>
          <w:lang w:eastAsia="en-AU" w:bidi="ar-SA"/>
        </w:rPr>
        <w:t>2016/127</w:t>
      </w:r>
      <w:r w:rsidRPr="00BE2E9B">
        <w:rPr>
          <w:lang w:eastAsia="en-AU" w:bidi="ar-SA"/>
        </w:rPr>
        <w:t xml:space="preserve">, </w:t>
      </w:r>
      <w:r w:rsidRPr="00BE2E9B">
        <w:rPr>
          <w:lang w:eastAsia="en-AU"/>
        </w:rPr>
        <w:t>riboflavin</w:t>
      </w:r>
      <w:r w:rsidRPr="00BE2E9B">
        <w:rPr>
          <w:lang w:eastAsia="en-AU" w:bidi="ar-SA"/>
        </w:rPr>
        <w:t xml:space="preserve"> toxicity </w:t>
      </w:r>
      <w:r w:rsidRPr="00BE2E9B">
        <w:rPr>
          <w:lang w:eastAsia="en-AU"/>
        </w:rPr>
        <w:t xml:space="preserve">has not </w:t>
      </w:r>
      <w:r w:rsidRPr="00BE2E9B">
        <w:rPr>
          <w:lang w:eastAsia="en-AU" w:bidi="ar-SA"/>
        </w:rPr>
        <w:t xml:space="preserve">been reported in ANZ </w:t>
      </w:r>
      <w:r w:rsidRPr="00BE2E9B">
        <w:rPr>
          <w:lang w:eastAsia="en-AU"/>
        </w:rPr>
        <w:t>formula-</w:t>
      </w:r>
      <w:r w:rsidRPr="00BE2E9B">
        <w:rPr>
          <w:lang w:eastAsia="en-AU" w:bidi="ar-SA"/>
        </w:rPr>
        <w:t>fed infants</w:t>
      </w:r>
      <w:r w:rsidRPr="00BE2E9B">
        <w:rPr>
          <w:lang w:eastAsia="en-AU"/>
        </w:rPr>
        <w:t>, and an ANZ UL has not been established due to no</w:t>
      </w:r>
      <w:r w:rsidRPr="00BE2E9B">
        <w:t xml:space="preserve"> evidence of adverse effects</w:t>
      </w:r>
      <w:r w:rsidRPr="00BE2E9B">
        <w:rPr>
          <w:lang w:eastAsia="en-AU" w:bidi="ar-SA"/>
        </w:rPr>
        <w:t>.</w:t>
      </w:r>
    </w:p>
    <w:p w14:paraId="1656102E" w14:textId="77777777" w:rsidR="00776154" w:rsidRDefault="00776154" w:rsidP="00776154">
      <w:pPr>
        <w:contextualSpacing/>
        <w:rPr>
          <w:lang w:eastAsia="en-AU" w:bidi="ar-SA"/>
        </w:rPr>
      </w:pPr>
    </w:p>
    <w:p w14:paraId="58C8779F" w14:textId="48831170" w:rsidR="009C7524" w:rsidRDefault="00776154" w:rsidP="009C7524">
      <w:pPr>
        <w:contextualSpacing/>
        <w:rPr>
          <w:lang w:eastAsia="en-AU" w:bidi="ar-SA"/>
        </w:rPr>
      </w:pPr>
      <w:r>
        <w:rPr>
          <w:lang w:eastAsia="en-AU" w:bidi="ar-SA"/>
        </w:rPr>
        <w:t xml:space="preserve">The </w:t>
      </w:r>
      <w:r w:rsidR="009C7524">
        <w:rPr>
          <w:lang w:eastAsia="en-AU" w:bidi="ar-SA"/>
        </w:rPr>
        <w:t xml:space="preserve">2021 </w:t>
      </w:r>
      <w:r>
        <w:rPr>
          <w:lang w:eastAsia="en-AU" w:bidi="ar-SA"/>
        </w:rPr>
        <w:t xml:space="preserve">nutrition </w:t>
      </w:r>
      <w:r w:rsidR="0041469C">
        <w:rPr>
          <w:lang w:eastAsia="en-AU" w:bidi="ar-SA"/>
        </w:rPr>
        <w:t xml:space="preserve">risk </w:t>
      </w:r>
      <w:r>
        <w:rPr>
          <w:lang w:eastAsia="en-AU" w:bidi="ar-SA"/>
        </w:rPr>
        <w:t>assessment</w:t>
      </w:r>
      <w:r w:rsidR="00B05DBA">
        <w:rPr>
          <w:lang w:eastAsia="en-AU" w:bidi="ar-SA"/>
        </w:rPr>
        <w:t xml:space="preserve"> (SD1)</w:t>
      </w:r>
      <w:r>
        <w:rPr>
          <w:lang w:eastAsia="en-AU" w:bidi="ar-SA"/>
        </w:rPr>
        <w:t xml:space="preserve"> concluded that</w:t>
      </w:r>
      <w:r w:rsidR="009C7524">
        <w:rPr>
          <w:lang w:eastAsia="en-AU" w:bidi="ar-SA"/>
        </w:rPr>
        <w:t xml:space="preserve"> u</w:t>
      </w:r>
      <w:r w:rsidR="009C7524" w:rsidRPr="00D66F38">
        <w:rPr>
          <w:lang w:eastAsia="en-AU"/>
        </w:rPr>
        <w:t xml:space="preserve">se of the EU 2016/127 </w:t>
      </w:r>
      <w:r w:rsidR="00276663">
        <w:rPr>
          <w:lang w:eastAsia="en-AU"/>
        </w:rPr>
        <w:t xml:space="preserve">range </w:t>
      </w:r>
      <w:r w:rsidR="009C7524">
        <w:rPr>
          <w:lang w:eastAsia="en-AU"/>
        </w:rPr>
        <w:t>(14.3</w:t>
      </w:r>
      <w:r w:rsidR="00B07BD6">
        <w:rPr>
          <w:lang w:eastAsia="en-AU"/>
        </w:rPr>
        <w:t>–</w:t>
      </w:r>
      <w:r w:rsidR="00276663">
        <w:rPr>
          <w:lang w:eastAsia="en-AU"/>
        </w:rPr>
        <w:t xml:space="preserve">95.6 </w:t>
      </w:r>
      <w:r w:rsidR="009C7524" w:rsidRPr="00D66F38">
        <w:rPr>
          <w:lang w:eastAsia="en-AU"/>
        </w:rPr>
        <w:t>µg/100 kJ</w:t>
      </w:r>
      <w:r w:rsidR="009C7524">
        <w:rPr>
          <w:lang w:eastAsia="en-AU"/>
        </w:rPr>
        <w:t xml:space="preserve">) </w:t>
      </w:r>
      <w:r w:rsidR="00182BD8">
        <w:rPr>
          <w:lang w:eastAsia="en-AU"/>
        </w:rPr>
        <w:t>pose</w:t>
      </w:r>
      <w:r w:rsidR="00B05DBA">
        <w:rPr>
          <w:lang w:eastAsia="en-AU"/>
        </w:rPr>
        <w:t>s</w:t>
      </w:r>
      <w:r w:rsidR="00182BD8">
        <w:rPr>
          <w:lang w:eastAsia="en-AU"/>
        </w:rPr>
        <w:t xml:space="preserve"> a low </w:t>
      </w:r>
      <w:r w:rsidR="009C7524" w:rsidRPr="00D66F38">
        <w:rPr>
          <w:lang w:eastAsia="en-AU"/>
        </w:rPr>
        <w:t>risk to infant health.</w:t>
      </w:r>
    </w:p>
    <w:p w14:paraId="5C6CD363" w14:textId="7F3F783E" w:rsidR="00776154" w:rsidRPr="009C7524" w:rsidRDefault="00776154" w:rsidP="00776154">
      <w:pPr>
        <w:contextualSpacing/>
        <w:rPr>
          <w:lang w:eastAsia="en-AU" w:bidi="ar-SA"/>
        </w:rPr>
      </w:pPr>
    </w:p>
    <w:p w14:paraId="55F651B5" w14:textId="77777777" w:rsidR="00776154" w:rsidRDefault="00776154" w:rsidP="00776154">
      <w:pPr>
        <w:rPr>
          <w:i/>
          <w:lang w:val="en-AU" w:bidi="ar-SA"/>
        </w:rPr>
      </w:pPr>
      <w:r w:rsidRPr="003C079C">
        <w:rPr>
          <w:i/>
          <w:lang w:val="en-AU" w:bidi="ar-SA"/>
        </w:rPr>
        <w:t>Biotin</w:t>
      </w:r>
    </w:p>
    <w:p w14:paraId="65A9774D" w14:textId="77777777" w:rsidR="00776154" w:rsidRDefault="00776154" w:rsidP="00776154">
      <w:pPr>
        <w:rPr>
          <w:lang w:val="en-AU" w:bidi="ar-SA"/>
        </w:rPr>
      </w:pPr>
    </w:p>
    <w:p w14:paraId="3152AA0D" w14:textId="60600836" w:rsidR="00776154" w:rsidRPr="00F723A1" w:rsidRDefault="00776154" w:rsidP="00776154">
      <w:pPr>
        <w:contextualSpacing/>
        <w:rPr>
          <w:lang w:eastAsia="en-AU"/>
        </w:rPr>
      </w:pPr>
      <w:r>
        <w:rPr>
          <w:lang w:eastAsia="en-AU"/>
        </w:rPr>
        <w:t xml:space="preserve">The biotin minimum set in EU 2016/127 was based on </w:t>
      </w:r>
      <w:r w:rsidRPr="002F3C1A">
        <w:rPr>
          <w:rFonts w:cs="Arial"/>
          <w:lang w:eastAsia="en-AU"/>
        </w:rPr>
        <w:t>EFSA (2014</w:t>
      </w:r>
      <w:r w:rsidR="00056097">
        <w:rPr>
          <w:rFonts w:cs="Arial"/>
          <w:lang w:eastAsia="en-AU"/>
        </w:rPr>
        <w:t>b</w:t>
      </w:r>
      <w:r w:rsidRPr="002F3C1A">
        <w:rPr>
          <w:rFonts w:cs="Arial"/>
          <w:lang w:eastAsia="en-AU"/>
        </w:rPr>
        <w:t>)</w:t>
      </w:r>
      <w:r>
        <w:rPr>
          <w:rFonts w:cs="Arial"/>
          <w:lang w:eastAsia="en-AU"/>
        </w:rPr>
        <w:t xml:space="preserve"> which recommended a minimum of 0.24 </w:t>
      </w:r>
      <w:r w:rsidRPr="0011794F">
        <w:rPr>
          <w:rFonts w:cs="Arial"/>
          <w:lang w:eastAsia="en-AU"/>
        </w:rPr>
        <w:t>µg/</w:t>
      </w:r>
      <w:r>
        <w:rPr>
          <w:rFonts w:cs="Arial"/>
          <w:lang w:eastAsia="en-AU"/>
        </w:rPr>
        <w:t xml:space="preserve">100 kJ. The recommended minimum was derived from the reported average concentration in human milk (5 </w:t>
      </w:r>
      <w:r w:rsidRPr="00D16E24">
        <w:rPr>
          <w:rFonts w:cs="Arial"/>
          <w:lang w:eastAsia="en-AU"/>
        </w:rPr>
        <w:t>µ</w:t>
      </w:r>
      <w:r>
        <w:rPr>
          <w:rFonts w:cs="Arial"/>
          <w:lang w:eastAsia="en-AU"/>
        </w:rPr>
        <w:t>g/L) and on biotin intakes of</w:t>
      </w:r>
      <w:r w:rsidRPr="0011794F">
        <w:rPr>
          <w:lang w:eastAsia="en-AU"/>
        </w:rPr>
        <w:t xml:space="preserve"> 4 </w:t>
      </w:r>
      <w:r w:rsidRPr="0011794F">
        <w:rPr>
          <w:rFonts w:cs="Arial"/>
          <w:lang w:eastAsia="en-AU"/>
        </w:rPr>
        <w:t>µg/day</w:t>
      </w:r>
      <w:r w:rsidRPr="0011794F">
        <w:rPr>
          <w:lang w:eastAsia="en-AU"/>
        </w:rPr>
        <w:t xml:space="preserve"> and 6</w:t>
      </w:r>
      <w:r w:rsidRPr="0011794F">
        <w:rPr>
          <w:rFonts w:cs="Arial"/>
          <w:lang w:eastAsia="en-AU"/>
        </w:rPr>
        <w:t xml:space="preserve"> µg/day</w:t>
      </w:r>
      <w:r>
        <w:rPr>
          <w:lang w:eastAsia="en-AU"/>
        </w:rPr>
        <w:t xml:space="preserve"> that are </w:t>
      </w:r>
      <w:r w:rsidRPr="0011794F">
        <w:rPr>
          <w:lang w:eastAsia="en-AU"/>
        </w:rPr>
        <w:t>considered adequate for the majority of infants in the first and second half-year of life, respectively.</w:t>
      </w:r>
      <w:r>
        <w:rPr>
          <w:lang w:eastAsia="en-AU"/>
        </w:rPr>
        <w:t xml:space="preserve"> FSANZ’s 2016 </w:t>
      </w:r>
      <w:r w:rsidR="0041469C">
        <w:rPr>
          <w:lang w:eastAsia="en-AU"/>
        </w:rPr>
        <w:t>n</w:t>
      </w:r>
      <w:r>
        <w:rPr>
          <w:lang w:eastAsia="en-AU"/>
        </w:rPr>
        <w:t xml:space="preserve">utrition </w:t>
      </w:r>
      <w:r w:rsidR="0041469C">
        <w:rPr>
          <w:lang w:eastAsia="en-AU"/>
        </w:rPr>
        <w:t>risk a</w:t>
      </w:r>
      <w:r>
        <w:rPr>
          <w:lang w:eastAsia="en-AU"/>
        </w:rPr>
        <w:t>ssessment determined that the Codex minimum was consistent with breast milk concentrations, would meet the AI for both age groups, and there was no evidence indicating that the Codex minimum would pose a risk to infant health. T</w:t>
      </w:r>
      <w:r w:rsidRPr="00454A6E">
        <w:rPr>
          <w:lang w:eastAsia="en-AU"/>
        </w:rPr>
        <w:t>he estimated</w:t>
      </w:r>
      <w:r>
        <w:rPr>
          <w:lang w:eastAsia="en-AU"/>
        </w:rPr>
        <w:t xml:space="preserve"> biotin </w:t>
      </w:r>
      <w:r w:rsidRPr="00454A6E">
        <w:rPr>
          <w:lang w:eastAsia="en-AU"/>
        </w:rPr>
        <w:t>intake</w:t>
      </w:r>
      <w:r>
        <w:rPr>
          <w:lang w:eastAsia="en-AU"/>
        </w:rPr>
        <w:t xml:space="preserve"> based on t</w:t>
      </w:r>
      <w:r w:rsidRPr="00454A6E">
        <w:rPr>
          <w:lang w:eastAsia="en-AU"/>
        </w:rPr>
        <w:t xml:space="preserve">he EU 2016/127 </w:t>
      </w:r>
      <w:r>
        <w:rPr>
          <w:lang w:eastAsia="en-AU"/>
        </w:rPr>
        <w:t>minimum amount</w:t>
      </w:r>
      <w:r w:rsidRPr="00454A6E">
        <w:rPr>
          <w:lang w:eastAsia="en-AU"/>
        </w:rPr>
        <w:t xml:space="preserve"> </w:t>
      </w:r>
      <w:r>
        <w:rPr>
          <w:lang w:eastAsia="en-AU"/>
        </w:rPr>
        <w:t xml:space="preserve">also meets </w:t>
      </w:r>
      <w:r w:rsidRPr="00454A6E">
        <w:rPr>
          <w:lang w:eastAsia="en-AU"/>
        </w:rPr>
        <w:t xml:space="preserve">the AI value for infants aged </w:t>
      </w:r>
      <w:r>
        <w:rPr>
          <w:lang w:eastAsia="en-AU"/>
        </w:rPr>
        <w:t>0–&lt;12</w:t>
      </w:r>
      <w:r w:rsidRPr="00454A6E">
        <w:rPr>
          <w:lang w:eastAsia="en-AU"/>
        </w:rPr>
        <w:t xml:space="preserve"> months</w:t>
      </w:r>
      <w:r>
        <w:rPr>
          <w:lang w:eastAsia="en-AU"/>
        </w:rPr>
        <w:t xml:space="preserve">. </w:t>
      </w:r>
    </w:p>
    <w:p w14:paraId="4B528FD6" w14:textId="77777777" w:rsidR="00776154" w:rsidRDefault="00776154" w:rsidP="00776154">
      <w:pPr>
        <w:contextualSpacing/>
        <w:rPr>
          <w:lang w:eastAsia="en-AU"/>
        </w:rPr>
      </w:pPr>
    </w:p>
    <w:p w14:paraId="3964D9C9" w14:textId="0E2FE5D3" w:rsidR="00776154" w:rsidRDefault="00776154" w:rsidP="00776154">
      <w:pPr>
        <w:contextualSpacing/>
        <w:rPr>
          <w:lang w:eastAsia="en-AU"/>
        </w:rPr>
      </w:pPr>
      <w:r>
        <w:rPr>
          <w:lang w:eastAsia="en-AU"/>
        </w:rPr>
        <w:t xml:space="preserve">The biotin maximum set in EU 2016/127 was based on </w:t>
      </w:r>
      <w:r w:rsidRPr="002F3C1A">
        <w:rPr>
          <w:rFonts w:cs="Arial"/>
          <w:lang w:eastAsia="en-AU"/>
        </w:rPr>
        <w:t>EFSA</w:t>
      </w:r>
      <w:r w:rsidR="0041469C">
        <w:rPr>
          <w:rFonts w:cs="Arial"/>
          <w:lang w:eastAsia="en-AU"/>
        </w:rPr>
        <w:t>. However, the basis for this decision</w:t>
      </w:r>
      <w:r>
        <w:t xml:space="preserve"> is not clear as </w:t>
      </w:r>
      <w:r w:rsidRPr="00827C0C">
        <w:t>EF</w:t>
      </w:r>
      <w:r w:rsidRPr="00827C0C">
        <w:rPr>
          <w:bCs/>
          <w:iCs/>
          <w:lang w:eastAsia="en-AU"/>
        </w:rPr>
        <w:t>SA (2014</w:t>
      </w:r>
      <w:r w:rsidR="00056097">
        <w:rPr>
          <w:bCs/>
          <w:iCs/>
          <w:lang w:eastAsia="en-AU"/>
        </w:rPr>
        <w:t>b</w:t>
      </w:r>
      <w:r w:rsidRPr="00827C0C">
        <w:rPr>
          <w:bCs/>
          <w:iCs/>
          <w:lang w:eastAsia="en-AU"/>
        </w:rPr>
        <w:t xml:space="preserve">) </w:t>
      </w:r>
      <w:r>
        <w:rPr>
          <w:bCs/>
          <w:iCs/>
          <w:lang w:eastAsia="en-AU"/>
        </w:rPr>
        <w:t xml:space="preserve">did not assess micronutrient maximum amounts. Maximum amounts were adopted from Commission Directive 2006/141/EC which </w:t>
      </w:r>
      <w:r w:rsidRPr="00827C0C">
        <w:rPr>
          <w:rFonts w:cs="Arial"/>
        </w:rPr>
        <w:t xml:space="preserve">calculated </w:t>
      </w:r>
      <w:r>
        <w:rPr>
          <w:rFonts w:cs="Arial"/>
        </w:rPr>
        <w:t xml:space="preserve">the maximums </w:t>
      </w:r>
      <w:r w:rsidRPr="00827C0C">
        <w:rPr>
          <w:rFonts w:cs="Arial"/>
        </w:rPr>
        <w:t>as three to five times the minimum amounts</w:t>
      </w:r>
      <w:r w:rsidR="00A8690A">
        <w:rPr>
          <w:rFonts w:cs="Arial"/>
        </w:rPr>
        <w:t>, prescribed by European</w:t>
      </w:r>
      <w:r w:rsidR="00A8690A" w:rsidRPr="00F27157">
        <w:rPr>
          <w:rFonts w:cs="Arial"/>
          <w:szCs w:val="22"/>
        </w:rPr>
        <w:t xml:space="preserve"> Commission Directive 2006/141/EC (</w:t>
      </w:r>
      <w:r w:rsidR="00A8690A">
        <w:rPr>
          <w:rFonts w:cs="Arial"/>
          <w:szCs w:val="22"/>
        </w:rPr>
        <w:t xml:space="preserve">Directive 2006/141/EC; </w:t>
      </w:r>
      <w:r w:rsidR="00A8690A" w:rsidRPr="00F27157">
        <w:rPr>
          <w:rFonts w:cs="Arial"/>
          <w:szCs w:val="22"/>
        </w:rPr>
        <w:t xml:space="preserve">EC 2006), </w:t>
      </w:r>
      <w:r w:rsidRPr="00827C0C">
        <w:rPr>
          <w:rFonts w:cs="Arial"/>
        </w:rPr>
        <w:t>at that time</w:t>
      </w:r>
      <w:r>
        <w:rPr>
          <w:rFonts w:cs="Arial"/>
        </w:rPr>
        <w:t xml:space="preserve"> and considered</w:t>
      </w:r>
      <w:r w:rsidRPr="00517D5E">
        <w:rPr>
          <w:rFonts w:cs="Arial"/>
        </w:rPr>
        <w:t xml:space="preserve"> </w:t>
      </w:r>
      <w:r w:rsidRPr="00827C0C">
        <w:rPr>
          <w:rFonts w:cs="Arial"/>
        </w:rPr>
        <w:t>the history of apparent safe use</w:t>
      </w:r>
      <w:r>
        <w:rPr>
          <w:rFonts w:cs="Arial"/>
        </w:rPr>
        <w:t xml:space="preserve">. </w:t>
      </w:r>
      <w:r>
        <w:rPr>
          <w:lang w:eastAsia="en-AU"/>
        </w:rPr>
        <w:t xml:space="preserve">FSANZ’s 2016 nutrition </w:t>
      </w:r>
      <w:r w:rsidR="0041469C">
        <w:rPr>
          <w:lang w:eastAsia="en-AU"/>
        </w:rPr>
        <w:t xml:space="preserve">risk </w:t>
      </w:r>
      <w:r>
        <w:rPr>
          <w:lang w:eastAsia="en-AU"/>
        </w:rPr>
        <w:t xml:space="preserve">assessment </w:t>
      </w:r>
      <w:r>
        <w:t>proposed adopting the Codex STAN 72-1981 maximum amount</w:t>
      </w:r>
      <w:r w:rsidRPr="00B52D7D">
        <w:t xml:space="preserve"> as a GUL</w:t>
      </w:r>
      <w:r w:rsidRPr="003C3C44">
        <w:t>.</w:t>
      </w:r>
      <w:r w:rsidRPr="00F723A1">
        <w:rPr>
          <w:lang w:eastAsia="en-AU" w:bidi="ar-SA"/>
        </w:rPr>
        <w:t xml:space="preserve"> </w:t>
      </w:r>
      <w:r w:rsidRPr="00BE2E9B">
        <w:rPr>
          <w:lang w:eastAsia="en-AU" w:bidi="ar-SA"/>
        </w:rPr>
        <w:t xml:space="preserve">No additional evidence has been identified to support </w:t>
      </w:r>
      <w:r>
        <w:rPr>
          <w:lang w:eastAsia="en-AU" w:bidi="ar-SA"/>
        </w:rPr>
        <w:t xml:space="preserve">the lower maximum specified by EU </w:t>
      </w:r>
      <w:r w:rsidR="0041469C">
        <w:rPr>
          <w:lang w:eastAsia="en-AU" w:bidi="ar-SA"/>
        </w:rPr>
        <w:t>2016/127</w:t>
      </w:r>
      <w:r w:rsidRPr="00BE2E9B">
        <w:rPr>
          <w:lang w:eastAsia="en-AU" w:bidi="ar-SA"/>
        </w:rPr>
        <w:t xml:space="preserve">, </w:t>
      </w:r>
      <w:r>
        <w:rPr>
          <w:lang w:eastAsia="en-AU" w:bidi="ar-SA"/>
        </w:rPr>
        <w:t xml:space="preserve">biotin </w:t>
      </w:r>
      <w:r w:rsidRPr="00BE2E9B">
        <w:rPr>
          <w:lang w:eastAsia="en-AU" w:bidi="ar-SA"/>
        </w:rPr>
        <w:t xml:space="preserve">toxicity </w:t>
      </w:r>
      <w:r w:rsidRPr="00BE2E9B">
        <w:rPr>
          <w:lang w:eastAsia="en-AU"/>
        </w:rPr>
        <w:t xml:space="preserve">has not </w:t>
      </w:r>
      <w:r w:rsidRPr="00BE2E9B">
        <w:rPr>
          <w:lang w:eastAsia="en-AU" w:bidi="ar-SA"/>
        </w:rPr>
        <w:t xml:space="preserve">been reported in ANZ </w:t>
      </w:r>
      <w:r w:rsidRPr="00BE2E9B">
        <w:rPr>
          <w:lang w:eastAsia="en-AU"/>
        </w:rPr>
        <w:t>formula-</w:t>
      </w:r>
      <w:r w:rsidRPr="00BE2E9B">
        <w:rPr>
          <w:lang w:eastAsia="en-AU" w:bidi="ar-SA"/>
        </w:rPr>
        <w:t>fed infants</w:t>
      </w:r>
      <w:r w:rsidRPr="00BE2E9B">
        <w:rPr>
          <w:lang w:eastAsia="en-AU"/>
        </w:rPr>
        <w:t>, and an ANZ UL has not been established due to no</w:t>
      </w:r>
      <w:r w:rsidRPr="00BE2E9B">
        <w:t xml:space="preserve"> evidence of adverse effects</w:t>
      </w:r>
      <w:r w:rsidRPr="00BE2E9B">
        <w:rPr>
          <w:lang w:eastAsia="en-AU" w:bidi="ar-SA"/>
        </w:rPr>
        <w:t>.</w:t>
      </w:r>
      <w:r>
        <w:rPr>
          <w:lang w:eastAsia="en-AU" w:bidi="ar-SA"/>
        </w:rPr>
        <w:t xml:space="preserve"> </w:t>
      </w:r>
    </w:p>
    <w:p w14:paraId="6D03D413" w14:textId="77777777" w:rsidR="00776154" w:rsidRDefault="00776154" w:rsidP="00776154">
      <w:pPr>
        <w:contextualSpacing/>
      </w:pPr>
    </w:p>
    <w:p w14:paraId="6906E10E" w14:textId="45405925" w:rsidR="009C7524" w:rsidRDefault="00776154" w:rsidP="00776154">
      <w:pPr>
        <w:contextualSpacing/>
        <w:rPr>
          <w:lang w:eastAsia="en-AU"/>
        </w:rPr>
      </w:pPr>
      <w:r>
        <w:rPr>
          <w:lang w:eastAsia="en-AU" w:bidi="ar-SA"/>
        </w:rPr>
        <w:t xml:space="preserve">The </w:t>
      </w:r>
      <w:r w:rsidR="009C7524">
        <w:rPr>
          <w:lang w:eastAsia="en-AU" w:bidi="ar-SA"/>
        </w:rPr>
        <w:t>2021</w:t>
      </w:r>
      <w:r>
        <w:rPr>
          <w:lang w:eastAsia="en-AU" w:bidi="ar-SA"/>
        </w:rPr>
        <w:t xml:space="preserve"> </w:t>
      </w:r>
      <w:r w:rsidR="0041469C">
        <w:rPr>
          <w:lang w:eastAsia="en-AU" w:bidi="ar-SA"/>
        </w:rPr>
        <w:t xml:space="preserve">nutrition </w:t>
      </w:r>
      <w:r>
        <w:rPr>
          <w:lang w:eastAsia="en-AU" w:bidi="ar-SA"/>
        </w:rPr>
        <w:t>risk assessment</w:t>
      </w:r>
      <w:r w:rsidR="00B05DBA">
        <w:rPr>
          <w:lang w:eastAsia="en-AU" w:bidi="ar-SA"/>
        </w:rPr>
        <w:t xml:space="preserve"> (SD1)</w:t>
      </w:r>
      <w:r>
        <w:rPr>
          <w:lang w:eastAsia="en-AU" w:bidi="ar-SA"/>
        </w:rPr>
        <w:t xml:space="preserve"> concluded that </w:t>
      </w:r>
      <w:r w:rsidR="009C7524" w:rsidRPr="00D66F38">
        <w:rPr>
          <w:lang w:eastAsia="en-AU"/>
        </w:rPr>
        <w:t xml:space="preserve">the EU 2016/127 </w:t>
      </w:r>
      <w:r w:rsidR="00442A7D">
        <w:rPr>
          <w:lang w:eastAsia="en-AU"/>
        </w:rPr>
        <w:t xml:space="preserve">range </w:t>
      </w:r>
      <w:r w:rsidR="009C7524">
        <w:rPr>
          <w:lang w:eastAsia="en-AU"/>
        </w:rPr>
        <w:t>(0.24</w:t>
      </w:r>
      <w:r w:rsidR="00442A7D">
        <w:rPr>
          <w:lang w:eastAsia="en-AU"/>
        </w:rPr>
        <w:t xml:space="preserve"> - </w:t>
      </w:r>
      <w:r w:rsidR="009C7524" w:rsidRPr="00D66F38">
        <w:rPr>
          <w:lang w:eastAsia="en-AU"/>
        </w:rPr>
        <w:t xml:space="preserve"> </w:t>
      </w:r>
      <w:r w:rsidR="009C7524">
        <w:rPr>
          <w:lang w:eastAsia="en-AU"/>
        </w:rPr>
        <w:t>1.8 </w:t>
      </w:r>
      <w:r w:rsidR="009C7524" w:rsidRPr="00D66F38">
        <w:rPr>
          <w:lang w:eastAsia="en-AU"/>
        </w:rPr>
        <w:t>µg/100 kJ</w:t>
      </w:r>
      <w:r w:rsidR="009C7524">
        <w:rPr>
          <w:lang w:eastAsia="en-AU"/>
        </w:rPr>
        <w:t>)</w:t>
      </w:r>
      <w:r w:rsidR="009C7524" w:rsidRPr="00D66F38">
        <w:rPr>
          <w:lang w:eastAsia="en-AU"/>
        </w:rPr>
        <w:t xml:space="preserve"> </w:t>
      </w:r>
      <w:r w:rsidR="00182BD8">
        <w:rPr>
          <w:lang w:eastAsia="en-AU"/>
        </w:rPr>
        <w:t>pose</w:t>
      </w:r>
      <w:r w:rsidR="00B05DBA">
        <w:rPr>
          <w:lang w:eastAsia="en-AU"/>
        </w:rPr>
        <w:t>s</w:t>
      </w:r>
      <w:r w:rsidR="00182BD8">
        <w:rPr>
          <w:lang w:eastAsia="en-AU"/>
        </w:rPr>
        <w:t xml:space="preserve"> a low </w:t>
      </w:r>
      <w:r w:rsidR="009C7524" w:rsidRPr="00D66F38">
        <w:rPr>
          <w:lang w:eastAsia="en-AU"/>
        </w:rPr>
        <w:t>risk to infant health.</w:t>
      </w:r>
    </w:p>
    <w:p w14:paraId="60C4EF9B" w14:textId="77777777" w:rsidR="00776154" w:rsidRDefault="00776154" w:rsidP="00776154">
      <w:pPr>
        <w:pStyle w:val="Heading4"/>
      </w:pPr>
      <w:r w:rsidRPr="00BA1FD9">
        <w:t>Options and discussion</w:t>
      </w:r>
    </w:p>
    <w:p w14:paraId="7E290198" w14:textId="4E357306" w:rsidR="00776154" w:rsidRDefault="00D0635C" w:rsidP="00776154">
      <w:pPr>
        <w:rPr>
          <w:lang w:val="en-AU" w:bidi="ar-SA"/>
        </w:rPr>
      </w:pPr>
      <w:r>
        <w:rPr>
          <w:lang w:val="en-AU" w:bidi="ar-SA"/>
        </w:rPr>
        <w:t>Figure 7</w:t>
      </w:r>
      <w:r w:rsidR="00776154" w:rsidRPr="009E5033">
        <w:rPr>
          <w:lang w:val="en-AU" w:bidi="ar-SA"/>
        </w:rPr>
        <w:t>.3.</w:t>
      </w:r>
      <w:r w:rsidR="007F4A71">
        <w:rPr>
          <w:lang w:val="en-AU" w:bidi="ar-SA"/>
        </w:rPr>
        <w:t>3</w:t>
      </w:r>
      <w:r w:rsidR="00776154">
        <w:rPr>
          <w:lang w:val="en-AU" w:bidi="ar-SA"/>
        </w:rPr>
        <w:t xml:space="preserve"> directly compares the permitted ranges as specified in </w:t>
      </w:r>
      <w:r w:rsidR="003A656C">
        <w:t>Schedule 29</w:t>
      </w:r>
      <w:r w:rsidR="00776154">
        <w:t>, Codex STAN 72-1981 and EU 2016</w:t>
      </w:r>
      <w:r w:rsidR="0041469C">
        <w:t>/127</w:t>
      </w:r>
      <w:r w:rsidR="00776154">
        <w:t>, human milk concentration, and the 20</w:t>
      </w:r>
      <w:r w:rsidR="0041469C">
        <w:t>21</w:t>
      </w:r>
      <w:r w:rsidR="00776154">
        <w:t xml:space="preserve"> surveys of the </w:t>
      </w:r>
      <w:r w:rsidR="00776154" w:rsidRPr="00970565">
        <w:t>average content in products on the ANZ market</w:t>
      </w:r>
      <w:r w:rsidR="00776154">
        <w:rPr>
          <w:lang w:val="en-AU" w:bidi="ar-SA"/>
        </w:rPr>
        <w:t xml:space="preserve">. The graph highlights that the permitted ranges across standards are largely similar. It also </w:t>
      </w:r>
      <w:r w:rsidR="0041469C">
        <w:rPr>
          <w:lang w:val="en-AU" w:bidi="ar-SA"/>
        </w:rPr>
        <w:t xml:space="preserve">shows </w:t>
      </w:r>
      <w:r w:rsidR="00776154">
        <w:rPr>
          <w:lang w:val="en-AU" w:bidi="ar-SA"/>
        </w:rPr>
        <w:t xml:space="preserve">that products on the ANZ market fall within </w:t>
      </w:r>
      <w:r w:rsidR="0041469C">
        <w:rPr>
          <w:lang w:val="en-AU" w:bidi="ar-SA"/>
        </w:rPr>
        <w:t xml:space="preserve">permitted </w:t>
      </w:r>
      <w:r w:rsidR="00776154">
        <w:rPr>
          <w:lang w:val="en-AU" w:bidi="ar-SA"/>
        </w:rPr>
        <w:t>ra</w:t>
      </w:r>
      <w:r w:rsidR="00910346">
        <w:rPr>
          <w:lang w:val="en-AU" w:bidi="ar-SA"/>
        </w:rPr>
        <w:t xml:space="preserve">nges outlined by the standards. </w:t>
      </w:r>
    </w:p>
    <w:p w14:paraId="062F20D4" w14:textId="77777777" w:rsidR="00776154" w:rsidRDefault="00776154" w:rsidP="00776154">
      <w:pPr>
        <w:rPr>
          <w:lang w:val="en-AU" w:bidi="ar-SA"/>
        </w:rPr>
      </w:pPr>
    </w:p>
    <w:p w14:paraId="3C0EB792" w14:textId="77777777" w:rsidR="00442A7D" w:rsidRDefault="00442A7D" w:rsidP="00442A7D">
      <w:pPr>
        <w:rPr>
          <w:lang w:val="en-AU" w:bidi="ar-SA"/>
        </w:rPr>
      </w:pPr>
      <w:r>
        <w:rPr>
          <w:lang w:val="en-AU" w:bidi="ar-SA"/>
        </w:rPr>
        <w:t>Issues and FSANZ responses for v</w:t>
      </w:r>
      <w:r w:rsidRPr="00762479">
        <w:rPr>
          <w:lang w:val="en-AU" w:bidi="ar-SA"/>
        </w:rPr>
        <w:t>itamin K, thiamin, riboflavin, vitamin B6, and biotin</w:t>
      </w:r>
      <w:r>
        <w:rPr>
          <w:lang w:val="en-AU" w:bidi="ar-SA"/>
        </w:rPr>
        <w:t xml:space="preserve"> are summarised in </w:t>
      </w:r>
      <w:r w:rsidRPr="009E5033">
        <w:rPr>
          <w:lang w:val="en-AU" w:bidi="ar-SA"/>
        </w:rPr>
        <w:t xml:space="preserve">Table </w:t>
      </w:r>
      <w:r>
        <w:rPr>
          <w:lang w:val="en-AU" w:bidi="ar-SA"/>
        </w:rPr>
        <w:t>7</w:t>
      </w:r>
      <w:r w:rsidRPr="009E5033">
        <w:rPr>
          <w:lang w:val="en-AU" w:bidi="ar-SA"/>
        </w:rPr>
        <w:t>.</w:t>
      </w:r>
      <w:r>
        <w:rPr>
          <w:lang w:val="en-AU" w:bidi="ar-SA"/>
        </w:rPr>
        <w:t>6. FSANZ notes that submitters s</w:t>
      </w:r>
      <w:r w:rsidRPr="00F91CDD">
        <w:rPr>
          <w:lang w:val="en-AU" w:bidi="ar-SA"/>
        </w:rPr>
        <w:t>upport</w:t>
      </w:r>
      <w:r>
        <w:rPr>
          <w:lang w:val="en-AU" w:bidi="ar-SA"/>
        </w:rPr>
        <w:t xml:space="preserve">ing </w:t>
      </w:r>
      <w:r w:rsidRPr="00F91CDD">
        <w:rPr>
          <w:lang w:val="en-AU" w:bidi="ar-SA"/>
        </w:rPr>
        <w:t xml:space="preserve">EU </w:t>
      </w:r>
      <w:r>
        <w:rPr>
          <w:lang w:val="en-AU" w:bidi="ar-SA"/>
        </w:rPr>
        <w:t>2016/127 regarded these amounts to</w:t>
      </w:r>
      <w:r w:rsidRPr="00F91CDD">
        <w:rPr>
          <w:lang w:val="en-AU" w:bidi="ar-SA"/>
        </w:rPr>
        <w:t xml:space="preserve"> reflect the most up</w:t>
      </w:r>
      <w:r>
        <w:rPr>
          <w:lang w:val="en-AU" w:bidi="ar-SA"/>
        </w:rPr>
        <w:t>-</w:t>
      </w:r>
      <w:r w:rsidRPr="00F91CDD">
        <w:rPr>
          <w:lang w:val="en-AU" w:bidi="ar-SA"/>
        </w:rPr>
        <w:t>to</w:t>
      </w:r>
      <w:r>
        <w:rPr>
          <w:lang w:val="en-AU" w:bidi="ar-SA"/>
        </w:rPr>
        <w:t>-</w:t>
      </w:r>
      <w:r w:rsidRPr="00F91CDD">
        <w:rPr>
          <w:lang w:val="en-AU" w:bidi="ar-SA"/>
        </w:rPr>
        <w:t>date scientific evidence about infant n</w:t>
      </w:r>
      <w:r>
        <w:rPr>
          <w:lang w:val="en-AU" w:bidi="ar-SA"/>
        </w:rPr>
        <w:t xml:space="preserve">utritional requirements. However, </w:t>
      </w:r>
      <w:r w:rsidRPr="00DB74BC">
        <w:rPr>
          <w:lang w:val="en-AU" w:bidi="ar-SA"/>
        </w:rPr>
        <w:t xml:space="preserve">human milk content and reference intakes </w:t>
      </w:r>
      <w:r>
        <w:rPr>
          <w:lang w:val="en-AU" w:bidi="ar-SA"/>
        </w:rPr>
        <w:t xml:space="preserve">on which recommendations of the EC SCF (2003), ESPGHAN (2005) (which underpin the Codex standard) and the 2014 EFSA opinion (which underpins the EU regulation) are based were derived from studies conducted in the 1980s and 90s and not new data. </w:t>
      </w:r>
    </w:p>
    <w:p w14:paraId="590B1B30" w14:textId="51313203" w:rsidR="00776154" w:rsidRDefault="00776154" w:rsidP="00776154">
      <w:pPr>
        <w:jc w:val="center"/>
        <w:rPr>
          <w:lang w:val="en-AU" w:bidi="ar-SA"/>
        </w:rPr>
      </w:pPr>
    </w:p>
    <w:p w14:paraId="5F2531BE" w14:textId="6BE27120" w:rsidR="0046011E" w:rsidRDefault="0046011E" w:rsidP="0046011E">
      <w:pPr>
        <w:pStyle w:val="FSBullet"/>
        <w:numPr>
          <w:ilvl w:val="0"/>
          <w:numId w:val="0"/>
        </w:numPr>
        <w:jc w:val="both"/>
        <w:rPr>
          <w:i/>
          <w:sz w:val="16"/>
          <w:lang w:val="en-AU" w:bidi="ar-SA"/>
        </w:rPr>
      </w:pPr>
      <w:r>
        <w:rPr>
          <w:i/>
          <w:noProof/>
          <w:sz w:val="16"/>
          <w:lang w:eastAsia="en-GB" w:bidi="ar-SA"/>
        </w:rPr>
        <w:lastRenderedPageBreak/>
        <w:drawing>
          <wp:inline distT="0" distB="0" distL="0" distR="0" wp14:anchorId="0F576752" wp14:editId="2D1CAC1B">
            <wp:extent cx="5604937" cy="57600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625700" cy="5781337"/>
                    </a:xfrm>
                    <a:prstGeom prst="rect">
                      <a:avLst/>
                    </a:prstGeom>
                    <a:noFill/>
                  </pic:spPr>
                </pic:pic>
              </a:graphicData>
            </a:graphic>
          </wp:inline>
        </w:drawing>
      </w:r>
    </w:p>
    <w:p w14:paraId="2E88B1DE" w14:textId="4C893271" w:rsidR="00776154" w:rsidRPr="0046011E" w:rsidRDefault="00776154" w:rsidP="0046011E">
      <w:pPr>
        <w:pStyle w:val="FSBullet"/>
        <w:numPr>
          <w:ilvl w:val="0"/>
          <w:numId w:val="0"/>
        </w:numPr>
        <w:rPr>
          <w:i/>
          <w:sz w:val="16"/>
          <w:lang w:val="en-AU" w:bidi="ar-SA"/>
        </w:rPr>
      </w:pPr>
      <w:r w:rsidRPr="00365F95">
        <w:rPr>
          <w:i/>
          <w:sz w:val="16"/>
          <w:lang w:val="en-AU" w:bidi="ar-SA"/>
        </w:rPr>
        <w:t xml:space="preserve">*Guideline maximum </w:t>
      </w:r>
    </w:p>
    <w:p w14:paraId="4D1C6D5C" w14:textId="5E631DC1" w:rsidR="00776154" w:rsidRDefault="00776154" w:rsidP="0011607A">
      <w:pPr>
        <w:pStyle w:val="FSCaption"/>
      </w:pPr>
      <w:r>
        <w:t xml:space="preserve">Figure </w:t>
      </w:r>
      <w:r w:rsidR="009E5033">
        <w:t>7</w:t>
      </w:r>
      <w:r w:rsidR="007F4A71">
        <w:t>.3.3</w:t>
      </w:r>
      <w:r w:rsidR="00F45E20">
        <w:tab/>
      </w:r>
      <w:r>
        <w:t xml:space="preserve"> Comparison of the permitted ranges for </w:t>
      </w:r>
      <w:r w:rsidRPr="00DB74BC">
        <w:t>vitamin K, thiamin, rib</w:t>
      </w:r>
      <w:r>
        <w:t>oflavin, vitamin B6, and biotin in Standard 2.9.1, Codex STAN 72-1981 and EU 2016</w:t>
      </w:r>
      <w:r w:rsidR="0041469C">
        <w:t>/127</w:t>
      </w:r>
      <w:r>
        <w:t xml:space="preserve">, human milk concentration, and the survey of the </w:t>
      </w:r>
      <w:r w:rsidRPr="00970565">
        <w:t>content in products on the ANZ market</w:t>
      </w:r>
      <w:r w:rsidR="00A83651">
        <w:t xml:space="preserve"> (2013-14 and 2021)</w:t>
      </w:r>
      <w:r>
        <w:t>.</w:t>
      </w:r>
    </w:p>
    <w:p w14:paraId="522FD21C" w14:textId="77777777" w:rsidR="00776154" w:rsidRDefault="00776154" w:rsidP="00776154">
      <w:pPr>
        <w:pStyle w:val="FSTableTitle"/>
        <w:rPr>
          <w:lang w:val="en-AU" w:bidi="ar-SA"/>
        </w:rPr>
      </w:pPr>
    </w:p>
    <w:p w14:paraId="0F9C62FA" w14:textId="18547BF3" w:rsidR="00776154" w:rsidRDefault="00776154" w:rsidP="00E9515E">
      <w:pPr>
        <w:pStyle w:val="FSTitle"/>
        <w:rPr>
          <w:color w:val="FF0000"/>
        </w:rPr>
      </w:pPr>
      <w:bookmarkStart w:id="378" w:name="_Toc74061247"/>
      <w:r>
        <w:rPr>
          <w:lang w:val="en-AU" w:bidi="ar-SA"/>
        </w:rPr>
        <w:t xml:space="preserve">Table </w:t>
      </w:r>
      <w:r w:rsidR="009E5033">
        <w:rPr>
          <w:lang w:val="en-AU" w:bidi="ar-SA"/>
        </w:rPr>
        <w:t>7</w:t>
      </w:r>
      <w:r w:rsidR="00F1262C">
        <w:rPr>
          <w:lang w:val="en-AU" w:bidi="ar-SA"/>
        </w:rPr>
        <w:t>.6</w:t>
      </w:r>
      <w:r w:rsidR="00F1262C">
        <w:rPr>
          <w:lang w:val="en-AU" w:bidi="ar-SA"/>
        </w:rPr>
        <w:tab/>
        <w:t>Submitter comments an</w:t>
      </w:r>
      <w:r>
        <w:rPr>
          <w:lang w:val="en-AU" w:bidi="ar-SA"/>
        </w:rPr>
        <w:t>d FSANZ responses for v</w:t>
      </w:r>
      <w:r w:rsidRPr="00762479">
        <w:rPr>
          <w:lang w:val="en-AU" w:bidi="ar-SA"/>
        </w:rPr>
        <w:t>itamin K, thiamin, riboflavin, vitamin B6, and biotin</w:t>
      </w:r>
      <w:bookmarkEnd w:id="378"/>
      <w:r>
        <w:rPr>
          <w:lang w:val="en-AU" w:bidi="ar-SA"/>
        </w:rPr>
        <w:t xml:space="preserve"> </w:t>
      </w:r>
    </w:p>
    <w:tbl>
      <w:tblPr>
        <w:tblStyle w:val="MediumShading1-Accent3"/>
        <w:tblW w:w="8784" w:type="dxa"/>
        <w:tblLook w:val="04A0" w:firstRow="1" w:lastRow="0" w:firstColumn="1" w:lastColumn="0" w:noHBand="0" w:noVBand="1"/>
        <w:tblCaption w:val="Table 7.3.2.1.2  Submitter issues and FSANZ responses for vitamin K, thiamin, riboflavin, vitamin B6, and biotin "/>
        <w:tblDescription w:val="This table summarises submissions and FSANZ responses for vitamin K, thiamin, riboflavin, vitamin B6, and biotin to the previous Consultation papers for Proposal P1028."/>
      </w:tblPr>
      <w:tblGrid>
        <w:gridCol w:w="2830"/>
        <w:gridCol w:w="5954"/>
      </w:tblGrid>
      <w:tr w:rsidR="00776154" w:rsidRPr="00FB0202" w14:paraId="0A7874E4" w14:textId="77777777" w:rsidTr="00542980">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830" w:type="dxa"/>
          </w:tcPr>
          <w:p w14:paraId="7D8DCC63" w14:textId="4D71C1EB" w:rsidR="00776154" w:rsidRPr="00840CE5" w:rsidRDefault="00843305" w:rsidP="00840CE5">
            <w:pPr>
              <w:jc w:val="center"/>
              <w:rPr>
                <w:color w:val="auto"/>
                <w:szCs w:val="20"/>
              </w:rPr>
            </w:pPr>
            <w:r>
              <w:rPr>
                <w:color w:val="auto"/>
                <w:szCs w:val="20"/>
              </w:rPr>
              <w:t>Comment</w:t>
            </w:r>
            <w:r w:rsidR="00776154" w:rsidRPr="00840CE5">
              <w:rPr>
                <w:color w:val="auto"/>
                <w:szCs w:val="20"/>
              </w:rPr>
              <w:t>*</w:t>
            </w:r>
          </w:p>
        </w:tc>
        <w:tc>
          <w:tcPr>
            <w:tcW w:w="5954" w:type="dxa"/>
          </w:tcPr>
          <w:p w14:paraId="43E6DB50" w14:textId="77777777" w:rsidR="00776154" w:rsidRPr="00840CE5" w:rsidRDefault="00776154" w:rsidP="00840CE5">
            <w:pPr>
              <w:ind w:right="27"/>
              <w:jc w:val="center"/>
              <w:cnfStyle w:val="100000000000" w:firstRow="1" w:lastRow="0" w:firstColumn="0" w:lastColumn="0" w:oddVBand="0" w:evenVBand="0" w:oddHBand="0" w:evenHBand="0" w:firstRowFirstColumn="0" w:firstRowLastColumn="0" w:lastRowFirstColumn="0" w:lastRowLastColumn="0"/>
              <w:rPr>
                <w:color w:val="auto"/>
                <w:szCs w:val="20"/>
              </w:rPr>
            </w:pPr>
            <w:r w:rsidRPr="00840CE5">
              <w:rPr>
                <w:color w:val="auto"/>
                <w:szCs w:val="20"/>
              </w:rPr>
              <w:t>FSANZ response</w:t>
            </w:r>
          </w:p>
        </w:tc>
      </w:tr>
      <w:tr w:rsidR="00776154" w:rsidRPr="00FB0202" w14:paraId="7F2759A9" w14:textId="77777777" w:rsidTr="00542980">
        <w:trPr>
          <w:cnfStyle w:val="000000100000" w:firstRow="0" w:lastRow="0" w:firstColumn="0" w:lastColumn="0" w:oddVBand="0" w:evenVBand="0" w:oddHBand="1" w:evenHBand="0" w:firstRowFirstColumn="0" w:firstRowLastColumn="0" w:lastRowFirstColumn="0" w:lastRowLastColumn="0"/>
          <w:trHeight w:val="846"/>
        </w:trPr>
        <w:tc>
          <w:tcPr>
            <w:cnfStyle w:val="001000000000" w:firstRow="0" w:lastRow="0" w:firstColumn="1" w:lastColumn="0" w:oddVBand="0" w:evenVBand="0" w:oddHBand="0" w:evenHBand="0" w:firstRowFirstColumn="0" w:firstRowLastColumn="0" w:lastRowFirstColumn="0" w:lastRowLastColumn="0"/>
            <w:tcW w:w="2830" w:type="dxa"/>
          </w:tcPr>
          <w:p w14:paraId="4A2906B9" w14:textId="5094C2B6" w:rsidR="00776154" w:rsidRPr="00FB0202" w:rsidRDefault="00776154" w:rsidP="003400CD">
            <w:pPr>
              <w:rPr>
                <w:b w:val="0"/>
                <w:szCs w:val="20"/>
                <w:lang w:val="en-AU" w:eastAsia="en-AU" w:bidi="ar-SA"/>
              </w:rPr>
            </w:pPr>
            <w:r w:rsidRPr="00AE4BEB">
              <w:rPr>
                <w:i/>
                <w:szCs w:val="20"/>
                <w:lang w:val="en-AU" w:eastAsia="en-AU" w:bidi="ar-SA"/>
              </w:rPr>
              <w:t>Vitamin K:</w:t>
            </w:r>
            <w:r>
              <w:rPr>
                <w:b w:val="0"/>
                <w:szCs w:val="20"/>
                <w:lang w:val="en-AU" w:eastAsia="en-AU" w:bidi="ar-SA"/>
              </w:rPr>
              <w:t xml:space="preserve"> adopt lower minimum EU 2016/127 as this level meets the </w:t>
            </w:r>
            <w:r w:rsidR="003400CD">
              <w:rPr>
                <w:b w:val="0"/>
                <w:szCs w:val="20"/>
                <w:lang w:val="en-AU" w:eastAsia="en-AU" w:bidi="ar-SA"/>
              </w:rPr>
              <w:t>AI</w:t>
            </w:r>
            <w:r>
              <w:rPr>
                <w:b w:val="0"/>
                <w:szCs w:val="20"/>
                <w:lang w:val="en-AU" w:eastAsia="en-AU" w:bidi="ar-SA"/>
              </w:rPr>
              <w:t>.</w:t>
            </w:r>
          </w:p>
        </w:tc>
        <w:tc>
          <w:tcPr>
            <w:tcW w:w="5954" w:type="dxa"/>
          </w:tcPr>
          <w:p w14:paraId="22F3D461" w14:textId="6AFE01C6" w:rsidR="00776154" w:rsidRPr="00A833C7" w:rsidRDefault="00776154" w:rsidP="00182BD8">
            <w:pPr>
              <w:ind w:left="34" w:right="27"/>
              <w:cnfStyle w:val="000000100000" w:firstRow="0" w:lastRow="0" w:firstColumn="0" w:lastColumn="0" w:oddVBand="0" w:evenVBand="0" w:oddHBand="1" w:evenHBand="0" w:firstRowFirstColumn="0" w:firstRowLastColumn="0" w:lastRowFirstColumn="0" w:lastRowLastColumn="0"/>
              <w:rPr>
                <w:bCs/>
                <w:szCs w:val="20"/>
                <w:lang w:eastAsia="en-AU"/>
              </w:rPr>
            </w:pPr>
            <w:r>
              <w:rPr>
                <w:bCs/>
                <w:szCs w:val="20"/>
                <w:lang w:eastAsia="en-AU"/>
              </w:rPr>
              <w:t>The minimum</w:t>
            </w:r>
            <w:r w:rsidR="003400CD">
              <w:rPr>
                <w:bCs/>
                <w:szCs w:val="20"/>
                <w:lang w:eastAsia="en-AU"/>
              </w:rPr>
              <w:t>s</w:t>
            </w:r>
            <w:r>
              <w:rPr>
                <w:bCs/>
                <w:szCs w:val="20"/>
                <w:lang w:eastAsia="en-AU"/>
              </w:rPr>
              <w:t xml:space="preserve"> under Codex and EU </w:t>
            </w:r>
            <w:r w:rsidR="003400CD">
              <w:rPr>
                <w:bCs/>
                <w:szCs w:val="20"/>
                <w:lang w:eastAsia="en-AU"/>
              </w:rPr>
              <w:t xml:space="preserve">2016/127 were </w:t>
            </w:r>
            <w:r>
              <w:rPr>
                <w:bCs/>
                <w:szCs w:val="20"/>
                <w:lang w:eastAsia="en-AU"/>
              </w:rPr>
              <w:t xml:space="preserve">determined to pose a </w:t>
            </w:r>
            <w:r w:rsidR="00182BD8">
              <w:rPr>
                <w:bCs/>
                <w:szCs w:val="20"/>
                <w:lang w:eastAsia="en-AU"/>
              </w:rPr>
              <w:t xml:space="preserve">low </w:t>
            </w:r>
            <w:r>
              <w:rPr>
                <w:bCs/>
                <w:szCs w:val="20"/>
                <w:lang w:eastAsia="en-AU"/>
              </w:rPr>
              <w:t xml:space="preserve">risk to infant health. The EU minimum is unlikely to impact trade since products formulated at the lower minimum would still meet Codex STAN 72-1981. </w:t>
            </w:r>
            <w:r w:rsidRPr="00AB4CA5">
              <w:rPr>
                <w:b/>
                <w:bCs/>
                <w:szCs w:val="20"/>
                <w:lang w:eastAsia="en-AU"/>
              </w:rPr>
              <w:t>Propose adopt</w:t>
            </w:r>
            <w:r w:rsidR="003400CD">
              <w:rPr>
                <w:b/>
                <w:bCs/>
                <w:szCs w:val="20"/>
                <w:lang w:eastAsia="en-AU"/>
              </w:rPr>
              <w:t>ing</w:t>
            </w:r>
            <w:r w:rsidRPr="00AB4CA5">
              <w:rPr>
                <w:b/>
                <w:bCs/>
                <w:szCs w:val="20"/>
                <w:lang w:eastAsia="en-AU"/>
              </w:rPr>
              <w:t xml:space="preserve"> EU minimum</w:t>
            </w:r>
            <w:r>
              <w:rPr>
                <w:bCs/>
                <w:szCs w:val="20"/>
                <w:lang w:eastAsia="en-AU"/>
              </w:rPr>
              <w:t>.</w:t>
            </w:r>
          </w:p>
        </w:tc>
      </w:tr>
      <w:tr w:rsidR="00776154" w:rsidRPr="00FB0202" w14:paraId="62485504" w14:textId="77777777" w:rsidTr="0054298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23A7B317" w14:textId="45758F91" w:rsidR="00776154" w:rsidRPr="00FB0202" w:rsidRDefault="00776154" w:rsidP="003400CD">
            <w:pPr>
              <w:rPr>
                <w:b w:val="0"/>
                <w:szCs w:val="20"/>
                <w:lang w:val="en-AU"/>
              </w:rPr>
            </w:pPr>
            <w:r w:rsidRPr="00AE4BEB">
              <w:rPr>
                <w:i/>
                <w:szCs w:val="20"/>
                <w:lang w:val="en-AU"/>
              </w:rPr>
              <w:t>Thiamin:</w:t>
            </w:r>
            <w:r>
              <w:rPr>
                <w:b w:val="0"/>
                <w:szCs w:val="20"/>
                <w:lang w:val="en-AU"/>
              </w:rPr>
              <w:t xml:space="preserve"> adopt lower minimum level set under EU 2016/127 as this is consistent with the </w:t>
            </w:r>
            <w:r w:rsidR="003400CD">
              <w:rPr>
                <w:b w:val="0"/>
                <w:szCs w:val="20"/>
                <w:lang w:val="en-AU"/>
              </w:rPr>
              <w:t>AI</w:t>
            </w:r>
            <w:r>
              <w:rPr>
                <w:b w:val="0"/>
                <w:szCs w:val="20"/>
                <w:lang w:val="en-AU"/>
              </w:rPr>
              <w:t xml:space="preserve"> and with human milk concentration.</w:t>
            </w:r>
          </w:p>
        </w:tc>
        <w:tc>
          <w:tcPr>
            <w:tcW w:w="5954" w:type="dxa"/>
          </w:tcPr>
          <w:p w14:paraId="738E3538" w14:textId="59E5DAD5" w:rsidR="00776154" w:rsidRDefault="00776154" w:rsidP="00776154">
            <w:pPr>
              <w:ind w:left="34" w:right="27"/>
              <w:cnfStyle w:val="000000010000" w:firstRow="0" w:lastRow="0" w:firstColumn="0" w:lastColumn="0" w:oddVBand="0" w:evenVBand="0" w:oddHBand="0" w:evenHBand="1" w:firstRowFirstColumn="0" w:firstRowLastColumn="0" w:lastRowFirstColumn="0" w:lastRowLastColumn="0"/>
              <w:rPr>
                <w:szCs w:val="20"/>
                <w:lang w:eastAsia="en-AU"/>
              </w:rPr>
            </w:pPr>
            <w:r>
              <w:rPr>
                <w:szCs w:val="20"/>
                <w:lang w:eastAsia="en-AU"/>
              </w:rPr>
              <w:t>T</w:t>
            </w:r>
            <w:r w:rsidRPr="00793A72">
              <w:rPr>
                <w:szCs w:val="20"/>
                <w:lang w:eastAsia="en-AU"/>
              </w:rPr>
              <w:t>he current minimum</w:t>
            </w:r>
            <w:r>
              <w:rPr>
                <w:szCs w:val="20"/>
                <w:lang w:eastAsia="en-AU"/>
              </w:rPr>
              <w:t xml:space="preserve"> (which is the </w:t>
            </w:r>
            <w:r w:rsidRPr="00793A72">
              <w:rPr>
                <w:szCs w:val="20"/>
                <w:lang w:eastAsia="en-AU"/>
              </w:rPr>
              <w:t>same as EU</w:t>
            </w:r>
            <w:r w:rsidR="003400CD">
              <w:rPr>
                <w:szCs w:val="20"/>
                <w:lang w:eastAsia="en-AU"/>
              </w:rPr>
              <w:t> 2016/127</w:t>
            </w:r>
            <w:r>
              <w:rPr>
                <w:szCs w:val="20"/>
                <w:lang w:eastAsia="en-AU"/>
              </w:rPr>
              <w:t>) i</w:t>
            </w:r>
            <w:r w:rsidRPr="00793A72">
              <w:rPr>
                <w:szCs w:val="20"/>
                <w:lang w:eastAsia="en-AU"/>
              </w:rPr>
              <w:t>s more consistent</w:t>
            </w:r>
            <w:r>
              <w:rPr>
                <w:szCs w:val="20"/>
                <w:lang w:eastAsia="en-AU"/>
              </w:rPr>
              <w:t xml:space="preserve"> with hum</w:t>
            </w:r>
            <w:r w:rsidR="00D0635C">
              <w:rPr>
                <w:szCs w:val="20"/>
                <w:lang w:eastAsia="en-AU"/>
              </w:rPr>
              <w:t>an milk concentrations (Figure 7</w:t>
            </w:r>
            <w:r>
              <w:rPr>
                <w:szCs w:val="20"/>
                <w:lang w:eastAsia="en-AU"/>
              </w:rPr>
              <w:t>.3.2.1).</w:t>
            </w:r>
            <w:r w:rsidRPr="00793A72">
              <w:rPr>
                <w:b/>
                <w:szCs w:val="20"/>
                <w:lang w:eastAsia="en-AU"/>
              </w:rPr>
              <w:t xml:space="preserve"> </w:t>
            </w:r>
            <w:r w:rsidRPr="00793A72">
              <w:rPr>
                <w:szCs w:val="20"/>
                <w:lang w:eastAsia="en-AU"/>
              </w:rPr>
              <w:t>No</w:t>
            </w:r>
            <w:r>
              <w:rPr>
                <w:szCs w:val="20"/>
                <w:lang w:eastAsia="en-AU"/>
              </w:rPr>
              <w:t xml:space="preserve"> trade implications would result since products formulated at the lower minimum will still meet Codex STAN 72-1981.</w:t>
            </w:r>
          </w:p>
          <w:p w14:paraId="319CAA91" w14:textId="492D4C5F" w:rsidR="00776154" w:rsidRPr="00FB0202" w:rsidRDefault="00776154" w:rsidP="00776154">
            <w:pPr>
              <w:ind w:left="34" w:right="27"/>
              <w:cnfStyle w:val="000000010000" w:firstRow="0" w:lastRow="0" w:firstColumn="0" w:lastColumn="0" w:oddVBand="0" w:evenVBand="0" w:oddHBand="0" w:evenHBand="1" w:firstRowFirstColumn="0" w:firstRowLastColumn="0" w:lastRowFirstColumn="0" w:lastRowLastColumn="0"/>
              <w:rPr>
                <w:szCs w:val="20"/>
                <w:lang w:eastAsia="en-AU"/>
              </w:rPr>
            </w:pPr>
            <w:r w:rsidRPr="00AB4CA5">
              <w:rPr>
                <w:b/>
                <w:szCs w:val="20"/>
                <w:lang w:eastAsia="en-AU"/>
              </w:rPr>
              <w:t>Propose retain</w:t>
            </w:r>
            <w:r w:rsidR="003400CD">
              <w:rPr>
                <w:b/>
                <w:szCs w:val="20"/>
                <w:lang w:eastAsia="en-AU"/>
              </w:rPr>
              <w:t>ing</w:t>
            </w:r>
            <w:r w:rsidRPr="00AB4CA5">
              <w:rPr>
                <w:b/>
                <w:szCs w:val="20"/>
                <w:lang w:eastAsia="en-AU"/>
              </w:rPr>
              <w:t xml:space="preserve"> current Standard 2.9.1</w:t>
            </w:r>
            <w:r>
              <w:rPr>
                <w:b/>
                <w:szCs w:val="20"/>
                <w:lang w:eastAsia="en-AU"/>
              </w:rPr>
              <w:t xml:space="preserve"> minimum.</w:t>
            </w:r>
          </w:p>
        </w:tc>
      </w:tr>
      <w:tr w:rsidR="00776154" w:rsidRPr="00FB0202" w14:paraId="0203C821" w14:textId="77777777" w:rsidTr="005429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0BF25A37" w14:textId="0A203C4E" w:rsidR="00776154" w:rsidRPr="00AB4CA5" w:rsidRDefault="00776154" w:rsidP="00316EB7">
            <w:pPr>
              <w:rPr>
                <w:b w:val="0"/>
                <w:bCs w:val="0"/>
              </w:rPr>
            </w:pPr>
            <w:r w:rsidRPr="000063D2">
              <w:rPr>
                <w:bCs w:val="0"/>
                <w:i/>
                <w:szCs w:val="20"/>
                <w:lang w:val="en-AU"/>
              </w:rPr>
              <w:lastRenderedPageBreak/>
              <w:t>Riboflavin:</w:t>
            </w:r>
            <w:r>
              <w:rPr>
                <w:b w:val="0"/>
                <w:bCs w:val="0"/>
                <w:szCs w:val="20"/>
                <w:lang w:val="en-AU"/>
              </w:rPr>
              <w:t xml:space="preserve"> adopt permitted range set under EU 2016/127 as the higher levels under the Codex standard provide unnecessary amounts of riboflavin.</w:t>
            </w:r>
          </w:p>
        </w:tc>
        <w:tc>
          <w:tcPr>
            <w:tcW w:w="5954" w:type="dxa"/>
          </w:tcPr>
          <w:p w14:paraId="6B7BA8B3" w14:textId="55503577" w:rsidR="00776154" w:rsidRPr="00FB0202" w:rsidRDefault="00776154" w:rsidP="00182BD8">
            <w:pPr>
              <w:ind w:left="34" w:right="27"/>
              <w:cnfStyle w:val="000000100000" w:firstRow="0" w:lastRow="0" w:firstColumn="0" w:lastColumn="0" w:oddVBand="0" w:evenVBand="0" w:oddHBand="1" w:evenHBand="0" w:firstRowFirstColumn="0" w:firstRowLastColumn="0" w:lastRowFirstColumn="0" w:lastRowLastColumn="0"/>
              <w:rPr>
                <w:szCs w:val="20"/>
                <w:lang w:eastAsia="en-AU"/>
              </w:rPr>
            </w:pPr>
            <w:r>
              <w:rPr>
                <w:bCs/>
                <w:szCs w:val="20"/>
                <w:lang w:eastAsia="en-AU"/>
              </w:rPr>
              <w:t>FSANZ concluded that the permitted range</w:t>
            </w:r>
            <w:r w:rsidR="003400CD">
              <w:rPr>
                <w:bCs/>
                <w:szCs w:val="20"/>
                <w:lang w:eastAsia="en-AU"/>
              </w:rPr>
              <w:t>s</w:t>
            </w:r>
            <w:r>
              <w:rPr>
                <w:bCs/>
                <w:szCs w:val="20"/>
                <w:lang w:eastAsia="en-AU"/>
              </w:rPr>
              <w:t xml:space="preserve"> under both Codex and EU </w:t>
            </w:r>
            <w:r w:rsidR="00182BD8">
              <w:rPr>
                <w:bCs/>
                <w:szCs w:val="20"/>
                <w:lang w:eastAsia="en-AU"/>
              </w:rPr>
              <w:t>2016/127 would pose a low</w:t>
            </w:r>
            <w:r>
              <w:rPr>
                <w:bCs/>
                <w:szCs w:val="20"/>
                <w:lang w:eastAsia="en-AU"/>
              </w:rPr>
              <w:t xml:space="preserve"> risk to infant health. The EU minimum is unlikely to impact trade since products formulated at the lower minimum would still meet Codex STAN 72-1981. The riboflavin content in infant formula currently sold in ANZ is consistent with EU</w:t>
            </w:r>
            <w:r w:rsidR="00316EB7">
              <w:rPr>
                <w:bCs/>
                <w:szCs w:val="20"/>
                <w:lang w:eastAsia="en-AU"/>
              </w:rPr>
              <w:t> </w:t>
            </w:r>
            <w:r>
              <w:rPr>
                <w:bCs/>
                <w:szCs w:val="20"/>
                <w:lang w:eastAsia="en-AU"/>
              </w:rPr>
              <w:t xml:space="preserve">2016/127 (Figure </w:t>
            </w:r>
            <w:r w:rsidR="00D0635C">
              <w:rPr>
                <w:bCs/>
                <w:szCs w:val="20"/>
                <w:lang w:eastAsia="en-AU"/>
              </w:rPr>
              <w:t>7</w:t>
            </w:r>
            <w:r>
              <w:rPr>
                <w:bCs/>
                <w:szCs w:val="20"/>
                <w:lang w:eastAsia="en-AU"/>
              </w:rPr>
              <w:t xml:space="preserve">.3.2.1). </w:t>
            </w:r>
            <w:r w:rsidRPr="004157FD">
              <w:rPr>
                <w:b/>
                <w:bCs/>
                <w:szCs w:val="20"/>
                <w:lang w:eastAsia="en-AU"/>
              </w:rPr>
              <w:t>Propose adopt</w:t>
            </w:r>
            <w:r w:rsidR="00316EB7">
              <w:rPr>
                <w:b/>
                <w:bCs/>
                <w:szCs w:val="20"/>
                <w:lang w:eastAsia="en-AU"/>
              </w:rPr>
              <w:t>ing</w:t>
            </w:r>
            <w:r w:rsidRPr="004157FD">
              <w:rPr>
                <w:b/>
                <w:bCs/>
                <w:szCs w:val="20"/>
                <w:lang w:eastAsia="en-AU"/>
              </w:rPr>
              <w:t xml:space="preserve"> EU </w:t>
            </w:r>
            <w:r>
              <w:rPr>
                <w:b/>
                <w:bCs/>
                <w:szCs w:val="20"/>
                <w:lang w:eastAsia="en-AU"/>
              </w:rPr>
              <w:t>permitted range.</w:t>
            </w:r>
          </w:p>
        </w:tc>
      </w:tr>
      <w:tr w:rsidR="00776154" w:rsidRPr="00FB0202" w14:paraId="48CAF812" w14:textId="77777777" w:rsidTr="0054298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66213915" w14:textId="3037AFF0" w:rsidR="00776154" w:rsidRPr="00FB0202" w:rsidRDefault="00776154" w:rsidP="00316EB7">
            <w:pPr>
              <w:rPr>
                <w:b w:val="0"/>
                <w:bCs w:val="0"/>
                <w:szCs w:val="20"/>
                <w:lang w:val="en-AU"/>
              </w:rPr>
            </w:pPr>
            <w:r w:rsidRPr="000063D2">
              <w:rPr>
                <w:bCs w:val="0"/>
                <w:i/>
                <w:szCs w:val="20"/>
                <w:lang w:val="en-AU"/>
              </w:rPr>
              <w:t>Vitamin B6:</w:t>
            </w:r>
            <w:r>
              <w:rPr>
                <w:b w:val="0"/>
                <w:bCs w:val="0"/>
                <w:szCs w:val="20"/>
                <w:lang w:val="en-AU"/>
              </w:rPr>
              <w:t xml:space="preserve"> </w:t>
            </w:r>
            <w:r>
              <w:rPr>
                <w:b w:val="0"/>
                <w:szCs w:val="20"/>
                <w:lang w:val="en-AU"/>
              </w:rPr>
              <w:t xml:space="preserve">adopt lower minimum level set under EU 2016/127 as this is consistent with the </w:t>
            </w:r>
            <w:r w:rsidR="00316EB7">
              <w:rPr>
                <w:b w:val="0"/>
                <w:szCs w:val="20"/>
                <w:lang w:val="en-AU"/>
              </w:rPr>
              <w:t>AI</w:t>
            </w:r>
            <w:r>
              <w:rPr>
                <w:b w:val="0"/>
                <w:szCs w:val="20"/>
                <w:lang w:val="en-AU"/>
              </w:rPr>
              <w:t xml:space="preserve"> and with human milk concentration.</w:t>
            </w:r>
          </w:p>
        </w:tc>
        <w:tc>
          <w:tcPr>
            <w:tcW w:w="5954" w:type="dxa"/>
          </w:tcPr>
          <w:p w14:paraId="2397C315" w14:textId="77777777" w:rsidR="00776154" w:rsidRDefault="00776154" w:rsidP="00776154">
            <w:pPr>
              <w:ind w:right="27"/>
              <w:cnfStyle w:val="000000010000" w:firstRow="0" w:lastRow="0" w:firstColumn="0" w:lastColumn="0" w:oddVBand="0" w:evenVBand="0" w:oddHBand="0" w:evenHBand="1" w:firstRowFirstColumn="0" w:firstRowLastColumn="0" w:lastRowFirstColumn="0" w:lastRowLastColumn="0"/>
              <w:rPr>
                <w:szCs w:val="20"/>
                <w:lang w:eastAsia="en-AU"/>
              </w:rPr>
            </w:pPr>
            <w:r>
              <w:rPr>
                <w:szCs w:val="20"/>
                <w:lang w:eastAsia="en-AU"/>
              </w:rPr>
              <w:t>Intakes based on the lower EU minimum would not meet the AI for infants 7-&lt;12 months.</w:t>
            </w:r>
          </w:p>
          <w:p w14:paraId="1023CF0E" w14:textId="601C3A32" w:rsidR="00776154" w:rsidRPr="00FB0202" w:rsidRDefault="003400CD" w:rsidP="00A45884">
            <w:pPr>
              <w:ind w:right="27"/>
              <w:cnfStyle w:val="000000010000" w:firstRow="0" w:lastRow="0" w:firstColumn="0" w:lastColumn="0" w:oddVBand="0" w:evenVBand="0" w:oddHBand="0" w:evenHBand="1" w:firstRowFirstColumn="0" w:firstRowLastColumn="0" w:lastRowFirstColumn="0" w:lastRowLastColumn="0"/>
              <w:rPr>
                <w:szCs w:val="20"/>
                <w:lang w:eastAsia="en-AU"/>
              </w:rPr>
            </w:pPr>
            <w:r>
              <w:rPr>
                <w:b/>
                <w:szCs w:val="20"/>
                <w:lang w:eastAsia="en-AU"/>
              </w:rPr>
              <w:t>Propose</w:t>
            </w:r>
            <w:r w:rsidR="00A45884">
              <w:rPr>
                <w:b/>
                <w:szCs w:val="20"/>
                <w:lang w:eastAsia="en-AU"/>
              </w:rPr>
              <w:t xml:space="preserve"> </w:t>
            </w:r>
            <w:r w:rsidR="00A45884" w:rsidRPr="00AB4CA5">
              <w:rPr>
                <w:b/>
                <w:bCs/>
                <w:szCs w:val="20"/>
                <w:lang w:eastAsia="en-AU"/>
              </w:rPr>
              <w:t>adopt</w:t>
            </w:r>
            <w:r w:rsidR="00A45884">
              <w:rPr>
                <w:b/>
                <w:bCs/>
                <w:szCs w:val="20"/>
                <w:lang w:eastAsia="en-AU"/>
              </w:rPr>
              <w:t>ing</w:t>
            </w:r>
            <w:r w:rsidR="00A45884">
              <w:rPr>
                <w:b/>
                <w:szCs w:val="20"/>
                <w:lang w:eastAsia="en-AU"/>
              </w:rPr>
              <w:t xml:space="preserve"> Codex STAN 72-1981 minimum. </w:t>
            </w:r>
          </w:p>
        </w:tc>
      </w:tr>
      <w:tr w:rsidR="00776154" w:rsidRPr="00FB0202" w14:paraId="5E0DC25C" w14:textId="77777777" w:rsidTr="005429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2D9B95EB" w14:textId="77777777" w:rsidR="00776154" w:rsidRPr="00FB0202" w:rsidRDefault="00776154" w:rsidP="00776154">
            <w:pPr>
              <w:rPr>
                <w:b w:val="0"/>
                <w:bCs w:val="0"/>
                <w:szCs w:val="20"/>
                <w:lang w:val="en-AU"/>
              </w:rPr>
            </w:pPr>
            <w:r w:rsidRPr="000063D2">
              <w:rPr>
                <w:bCs w:val="0"/>
                <w:i/>
                <w:szCs w:val="20"/>
                <w:lang w:val="en-AU"/>
              </w:rPr>
              <w:t>Biotin:</w:t>
            </w:r>
            <w:r>
              <w:rPr>
                <w:b w:val="0"/>
                <w:bCs w:val="0"/>
                <w:szCs w:val="20"/>
                <w:lang w:val="en-AU"/>
              </w:rPr>
              <w:t xml:space="preserve"> adopt lower permitted range set under EU 2016/127 based on EFSA recommendations</w:t>
            </w:r>
          </w:p>
        </w:tc>
        <w:tc>
          <w:tcPr>
            <w:tcW w:w="5954" w:type="dxa"/>
          </w:tcPr>
          <w:p w14:paraId="44D327DF" w14:textId="4BCC4510" w:rsidR="00776154" w:rsidRDefault="00776154" w:rsidP="00776154">
            <w:pPr>
              <w:ind w:right="27"/>
              <w:cnfStyle w:val="000000100000" w:firstRow="0" w:lastRow="0" w:firstColumn="0" w:lastColumn="0" w:oddVBand="0" w:evenVBand="0" w:oddHBand="1" w:evenHBand="0" w:firstRowFirstColumn="0" w:firstRowLastColumn="0" w:lastRowFirstColumn="0" w:lastRowLastColumn="0"/>
              <w:rPr>
                <w:bCs/>
                <w:szCs w:val="20"/>
                <w:lang w:eastAsia="en-AU"/>
              </w:rPr>
            </w:pPr>
            <w:r w:rsidRPr="00AB4CA5">
              <w:rPr>
                <w:bCs/>
                <w:szCs w:val="20"/>
                <w:lang w:eastAsia="en-AU"/>
              </w:rPr>
              <w:t xml:space="preserve">FSANZ concluded that the </w:t>
            </w:r>
            <w:r>
              <w:rPr>
                <w:bCs/>
                <w:szCs w:val="20"/>
                <w:lang w:eastAsia="en-AU"/>
              </w:rPr>
              <w:t>permitted range</w:t>
            </w:r>
            <w:r w:rsidR="00316EB7">
              <w:rPr>
                <w:bCs/>
                <w:szCs w:val="20"/>
                <w:lang w:eastAsia="en-AU"/>
              </w:rPr>
              <w:t>s</w:t>
            </w:r>
            <w:r>
              <w:rPr>
                <w:bCs/>
                <w:szCs w:val="20"/>
                <w:lang w:eastAsia="en-AU"/>
              </w:rPr>
              <w:t xml:space="preserve"> u</w:t>
            </w:r>
            <w:r w:rsidRPr="00AB4CA5">
              <w:rPr>
                <w:bCs/>
                <w:szCs w:val="20"/>
                <w:lang w:eastAsia="en-AU"/>
              </w:rPr>
              <w:t xml:space="preserve">nder both Codex and EU </w:t>
            </w:r>
            <w:r w:rsidR="00316EB7">
              <w:rPr>
                <w:bCs/>
                <w:szCs w:val="20"/>
                <w:lang w:eastAsia="en-AU"/>
              </w:rPr>
              <w:t xml:space="preserve">2016/127 </w:t>
            </w:r>
            <w:r w:rsidR="00182BD8">
              <w:rPr>
                <w:bCs/>
                <w:szCs w:val="20"/>
                <w:lang w:eastAsia="en-AU"/>
              </w:rPr>
              <w:t xml:space="preserve">would pose a low </w:t>
            </w:r>
            <w:r w:rsidRPr="00AB4CA5">
              <w:rPr>
                <w:bCs/>
                <w:szCs w:val="20"/>
                <w:lang w:eastAsia="en-AU"/>
              </w:rPr>
              <w:t>risk to infant health. The EU minimum is unlikely to impact trade since products formulated at the lower minimum would still meet Codex STAN 72-1981.</w:t>
            </w:r>
          </w:p>
          <w:p w14:paraId="73AD6522" w14:textId="5BD684A9" w:rsidR="00776154" w:rsidRPr="00FB0202" w:rsidRDefault="00776154" w:rsidP="00776154">
            <w:pPr>
              <w:ind w:right="27"/>
              <w:cnfStyle w:val="000000100000" w:firstRow="0" w:lastRow="0" w:firstColumn="0" w:lastColumn="0" w:oddVBand="0" w:evenVBand="0" w:oddHBand="1" w:evenHBand="0" w:firstRowFirstColumn="0" w:firstRowLastColumn="0" w:lastRowFirstColumn="0" w:lastRowLastColumn="0"/>
              <w:rPr>
                <w:szCs w:val="20"/>
                <w:lang w:eastAsia="en-AU"/>
              </w:rPr>
            </w:pPr>
            <w:r w:rsidRPr="00AB4CA5">
              <w:rPr>
                <w:b/>
                <w:bCs/>
                <w:szCs w:val="20"/>
                <w:lang w:eastAsia="en-AU"/>
              </w:rPr>
              <w:t>Propose adopt</w:t>
            </w:r>
            <w:r w:rsidR="003400CD">
              <w:rPr>
                <w:b/>
                <w:bCs/>
                <w:szCs w:val="20"/>
                <w:lang w:eastAsia="en-AU"/>
              </w:rPr>
              <w:t>ing</w:t>
            </w:r>
            <w:r w:rsidRPr="00AB4CA5">
              <w:rPr>
                <w:b/>
                <w:bCs/>
                <w:szCs w:val="20"/>
                <w:lang w:eastAsia="en-AU"/>
              </w:rPr>
              <w:t xml:space="preserve"> EU minimum</w:t>
            </w:r>
            <w:r w:rsidRPr="00AB4CA5">
              <w:rPr>
                <w:bCs/>
                <w:szCs w:val="20"/>
                <w:lang w:eastAsia="en-AU"/>
              </w:rPr>
              <w:t>.</w:t>
            </w:r>
          </w:p>
        </w:tc>
      </w:tr>
    </w:tbl>
    <w:p w14:paraId="50E62ABF" w14:textId="119785F4" w:rsidR="00776154" w:rsidRPr="00840CE5" w:rsidRDefault="00776154" w:rsidP="00776154">
      <w:pPr>
        <w:rPr>
          <w:i/>
          <w:sz w:val="18"/>
          <w:szCs w:val="20"/>
          <w:lang w:val="en-AU" w:bidi="ar-SA"/>
        </w:rPr>
      </w:pPr>
      <w:r w:rsidRPr="00840CE5">
        <w:rPr>
          <w:i/>
          <w:sz w:val="18"/>
          <w:szCs w:val="20"/>
          <w:lang w:val="en-AU" w:bidi="ar-SA"/>
        </w:rPr>
        <w:t>* As noted in submission</w:t>
      </w:r>
      <w:r w:rsidR="00316EB7" w:rsidRPr="00840CE5">
        <w:rPr>
          <w:i/>
          <w:sz w:val="18"/>
          <w:szCs w:val="20"/>
          <w:lang w:val="en-AU" w:bidi="ar-SA"/>
        </w:rPr>
        <w:t>/s</w:t>
      </w:r>
      <w:r w:rsidRPr="00840CE5">
        <w:rPr>
          <w:i/>
          <w:sz w:val="18"/>
          <w:szCs w:val="20"/>
          <w:lang w:val="en-AU" w:bidi="ar-SA"/>
        </w:rPr>
        <w:t xml:space="preserve"> opposing FSANZ’s preliminary view to align with the Codex standard for these nutrients.</w:t>
      </w:r>
    </w:p>
    <w:p w14:paraId="2902CDBC" w14:textId="77777777" w:rsidR="00776154" w:rsidRDefault="00776154" w:rsidP="00776154">
      <w:pPr>
        <w:rPr>
          <w:lang w:val="en-AU" w:bidi="ar-SA"/>
        </w:rPr>
      </w:pPr>
    </w:p>
    <w:p w14:paraId="6B9B71CC" w14:textId="26E12367" w:rsidR="00776154" w:rsidRDefault="00776154" w:rsidP="00776154">
      <w:pPr>
        <w:rPr>
          <w:lang w:val="en-AU" w:bidi="ar-SA"/>
        </w:rPr>
      </w:pPr>
      <w:r>
        <w:rPr>
          <w:lang w:val="en-AU" w:bidi="ar-SA"/>
        </w:rPr>
        <w:t xml:space="preserve">FSANZ also notes that the </w:t>
      </w:r>
      <w:r w:rsidR="00B96544">
        <w:t>Codex Draft Standard for FUF</w:t>
      </w:r>
      <w:r w:rsidR="00B96544">
        <w:rPr>
          <w:lang w:val="en-AU" w:bidi="ar-SA"/>
        </w:rPr>
        <w:t xml:space="preserve"> </w:t>
      </w:r>
      <w:r>
        <w:rPr>
          <w:lang w:val="en-AU" w:bidi="ar-SA"/>
        </w:rPr>
        <w:t xml:space="preserve">are aligned with the Codex STAN 72-1981 provisions for these nutrients (allowing for rounding). </w:t>
      </w:r>
    </w:p>
    <w:p w14:paraId="45698A68" w14:textId="77777777" w:rsidR="00776154" w:rsidRDefault="00776154" w:rsidP="00776154">
      <w:pPr>
        <w:pStyle w:val="Heading4"/>
      </w:pPr>
      <w:r w:rsidRPr="00BA1FD9">
        <w:t>Prop</w:t>
      </w:r>
      <w:r>
        <w:t>o</w:t>
      </w:r>
      <w:r w:rsidRPr="00BA1FD9">
        <w:t xml:space="preserve">sed </w:t>
      </w:r>
      <w:r>
        <w:t>approach</w:t>
      </w:r>
    </w:p>
    <w:p w14:paraId="7CEF95D0" w14:textId="3428F51C" w:rsidR="00776154" w:rsidRDefault="00776154" w:rsidP="00776154">
      <w:r>
        <w:rPr>
          <w:lang w:val="en-AU" w:bidi="ar-SA"/>
        </w:rPr>
        <w:t>Proposed approach</w:t>
      </w:r>
      <w:r w:rsidR="00F1262C">
        <w:rPr>
          <w:lang w:val="en-AU" w:bidi="ar-SA"/>
        </w:rPr>
        <w:t>es</w:t>
      </w:r>
      <w:r>
        <w:rPr>
          <w:lang w:val="en-AU" w:bidi="ar-SA"/>
        </w:rPr>
        <w:t xml:space="preserve"> for</w:t>
      </w:r>
      <w:r w:rsidRPr="00DB74BC">
        <w:rPr>
          <w:lang w:val="en-AU" w:bidi="ar-SA"/>
        </w:rPr>
        <w:t xml:space="preserve"> vitamin K, thiamin, riboflavin, vitamin B6, and biotin</w:t>
      </w:r>
      <w:r w:rsidRPr="00DB74BC">
        <w:rPr>
          <w:b/>
          <w:lang w:val="en-AU" w:bidi="ar-SA"/>
        </w:rPr>
        <w:t xml:space="preserve"> </w:t>
      </w:r>
      <w:r w:rsidR="00D0635C">
        <w:rPr>
          <w:lang w:val="en-AU" w:bidi="ar-SA"/>
        </w:rPr>
        <w:t>are indicated in Table 7</w:t>
      </w:r>
      <w:r>
        <w:rPr>
          <w:lang w:val="en-AU" w:bidi="ar-SA"/>
        </w:rPr>
        <w:t>.</w:t>
      </w:r>
      <w:r w:rsidR="00F1262C">
        <w:rPr>
          <w:lang w:val="en-AU" w:bidi="ar-SA"/>
        </w:rPr>
        <w:t>6</w:t>
      </w:r>
      <w:r>
        <w:rPr>
          <w:lang w:val="en-AU" w:bidi="ar-SA"/>
        </w:rPr>
        <w:t xml:space="preserve">. </w:t>
      </w:r>
    </w:p>
    <w:p w14:paraId="0E534B32" w14:textId="7382A44C" w:rsidR="00776154" w:rsidRDefault="009E5033" w:rsidP="002D0686">
      <w:pPr>
        <w:pStyle w:val="Heading3"/>
      </w:pPr>
      <w:r>
        <w:t>7</w:t>
      </w:r>
      <w:r w:rsidR="002D0686">
        <w:t>.3.4</w:t>
      </w:r>
      <w:r w:rsidR="002D0686">
        <w:tab/>
      </w:r>
      <w:r w:rsidR="00776154">
        <w:t>Phosphorus</w:t>
      </w:r>
    </w:p>
    <w:p w14:paraId="2C786FBE" w14:textId="22B528FB" w:rsidR="00776154" w:rsidRPr="001A1D19" w:rsidRDefault="00776154" w:rsidP="00776154">
      <w:r>
        <w:rPr>
          <w:lang w:val="en-AU" w:bidi="ar-SA"/>
        </w:rPr>
        <w:t>Phosphorus</w:t>
      </w:r>
      <w:r w:rsidRPr="005C4CDF">
        <w:rPr>
          <w:lang w:val="en-AU" w:bidi="ar-SA"/>
        </w:rPr>
        <w:t xml:space="preserve"> is asses</w:t>
      </w:r>
      <w:r w:rsidR="00313605">
        <w:rPr>
          <w:lang w:val="en-AU" w:bidi="ar-SA"/>
        </w:rPr>
        <w:t xml:space="preserve">sed in detail </w:t>
      </w:r>
      <w:r w:rsidR="00313605" w:rsidRPr="00774FC6">
        <w:rPr>
          <w:lang w:val="en-AU" w:bidi="ar-SA"/>
        </w:rPr>
        <w:t>within section 7</w:t>
      </w:r>
      <w:r w:rsidRPr="00774FC6">
        <w:rPr>
          <w:lang w:val="en-AU" w:bidi="ar-SA"/>
        </w:rPr>
        <w:t>.4.1</w:t>
      </w:r>
      <w:r w:rsidRPr="005C4CDF">
        <w:rPr>
          <w:lang w:val="en-AU" w:bidi="ar-SA"/>
        </w:rPr>
        <w:t xml:space="preserve"> </w:t>
      </w:r>
      <w:r>
        <w:t>P</w:t>
      </w:r>
      <w:r w:rsidRPr="00103A50">
        <w:t>hosphorus</w:t>
      </w:r>
      <w:r>
        <w:t xml:space="preserve"> and the c</w:t>
      </w:r>
      <w:r w:rsidRPr="00103A50">
        <w:t>alcium: phosphorus ratio</w:t>
      </w:r>
      <w:r w:rsidRPr="005C4CDF">
        <w:rPr>
          <w:lang w:val="en-AU" w:bidi="ar-SA"/>
        </w:rPr>
        <w:t xml:space="preserve">, </w:t>
      </w:r>
      <w:r w:rsidR="00316EB7">
        <w:rPr>
          <w:lang w:val="en-AU" w:bidi="ar-SA"/>
        </w:rPr>
        <w:t>in</w:t>
      </w:r>
      <w:r w:rsidR="00316EB7" w:rsidRPr="005C4CDF">
        <w:rPr>
          <w:lang w:val="en-AU" w:bidi="ar-SA"/>
        </w:rPr>
        <w:t xml:space="preserve"> </w:t>
      </w:r>
      <w:r w:rsidRPr="005C4CDF">
        <w:rPr>
          <w:lang w:val="en-AU" w:bidi="ar-SA"/>
        </w:rPr>
        <w:t xml:space="preserve">which </w:t>
      </w:r>
      <w:r w:rsidRPr="00BD4679">
        <w:rPr>
          <w:lang w:val="en-AU" w:bidi="ar-SA"/>
        </w:rPr>
        <w:t xml:space="preserve">FSANZ </w:t>
      </w:r>
      <w:r>
        <w:t xml:space="preserve">proposes to adjust </w:t>
      </w:r>
      <w:r w:rsidRPr="00EB1A3E">
        <w:t>the current</w:t>
      </w:r>
      <w:r>
        <w:t xml:space="preserve"> phosphorus</w:t>
      </w:r>
      <w:r w:rsidRPr="00EB1A3E">
        <w:t xml:space="preserve"> maximum (25 mg/100 kJ) in </w:t>
      </w:r>
      <w:r w:rsidR="005E78AA">
        <w:t>section S29—9</w:t>
      </w:r>
      <w:r w:rsidRPr="00EB1A3E">
        <w:t xml:space="preserve"> to a GUL of 24 mg/</w:t>
      </w:r>
      <w:r>
        <w:t xml:space="preserve">100 kJ. The minimum for phosphorus is already aligned with </w:t>
      </w:r>
      <w:r w:rsidRPr="005F3593">
        <w:rPr>
          <w:lang w:eastAsia="en-AU" w:bidi="ar-SA"/>
        </w:rPr>
        <w:t>Codex STAN 72-1981</w:t>
      </w:r>
      <w:r>
        <w:rPr>
          <w:lang w:eastAsia="en-AU" w:bidi="ar-SA"/>
        </w:rPr>
        <w:t xml:space="preserve"> and EU </w:t>
      </w:r>
      <w:r w:rsidR="00316EB7">
        <w:rPr>
          <w:lang w:eastAsia="en-AU" w:bidi="ar-SA"/>
        </w:rPr>
        <w:t xml:space="preserve">2016/127 </w:t>
      </w:r>
      <w:r>
        <w:rPr>
          <w:lang w:eastAsia="en-AU" w:bidi="ar-SA"/>
        </w:rPr>
        <w:t xml:space="preserve">and therefore is not considered in this paper. </w:t>
      </w:r>
      <w:r w:rsidRPr="005C4CDF">
        <w:rPr>
          <w:lang w:val="en-AU" w:bidi="ar-SA"/>
        </w:rPr>
        <w:t xml:space="preserve">Please refer </w:t>
      </w:r>
      <w:r w:rsidR="009E5033" w:rsidRPr="00774FC6">
        <w:rPr>
          <w:lang w:val="en-AU" w:bidi="ar-SA"/>
        </w:rPr>
        <w:t>to section 7</w:t>
      </w:r>
      <w:r w:rsidRPr="00774FC6">
        <w:rPr>
          <w:lang w:val="en-AU" w:bidi="ar-SA"/>
        </w:rPr>
        <w:t>.4.1 for</w:t>
      </w:r>
      <w:r w:rsidRPr="005C4CDF">
        <w:rPr>
          <w:lang w:val="en-AU" w:bidi="ar-SA"/>
        </w:rPr>
        <w:t xml:space="preserve"> further details. </w:t>
      </w:r>
    </w:p>
    <w:p w14:paraId="236396CE" w14:textId="32703D9B" w:rsidR="00776154" w:rsidRDefault="009E5033" w:rsidP="002D0686">
      <w:pPr>
        <w:pStyle w:val="Heading3"/>
      </w:pPr>
      <w:r>
        <w:t>7</w:t>
      </w:r>
      <w:r w:rsidR="00776154">
        <w:t>.3.</w:t>
      </w:r>
      <w:r w:rsidR="002D0686">
        <w:t>5</w:t>
      </w:r>
      <w:r w:rsidR="002D0686">
        <w:tab/>
      </w:r>
      <w:r w:rsidR="00776154">
        <w:t>Copper</w:t>
      </w:r>
    </w:p>
    <w:p w14:paraId="3E9D1AF4" w14:textId="77777777" w:rsidR="00776154" w:rsidRDefault="00776154" w:rsidP="00776154">
      <w:pPr>
        <w:pStyle w:val="Heading4"/>
      </w:pPr>
      <w:r w:rsidRPr="00BA1FD9">
        <w:t>Current regulations</w:t>
      </w:r>
    </w:p>
    <w:p w14:paraId="2C1FCC5F" w14:textId="48F8903D" w:rsidR="00776154" w:rsidRPr="006E311A" w:rsidRDefault="00776154" w:rsidP="00776154">
      <w:pPr>
        <w:rPr>
          <w:rFonts w:cs="Arial"/>
          <w:lang w:eastAsia="en-AU" w:bidi="ar-SA"/>
        </w:rPr>
      </w:pPr>
      <w:r w:rsidRPr="006E311A">
        <w:rPr>
          <w:rFonts w:cs="Arial"/>
          <w:lang w:eastAsia="en-AU" w:bidi="ar-SA"/>
        </w:rPr>
        <w:t>Both minimum and maximum amount</w:t>
      </w:r>
      <w:r w:rsidR="00316EB7" w:rsidRPr="006E311A">
        <w:rPr>
          <w:rFonts w:cs="Arial"/>
          <w:lang w:eastAsia="en-AU" w:bidi="ar-SA"/>
        </w:rPr>
        <w:t>s</w:t>
      </w:r>
      <w:r w:rsidRPr="006E311A">
        <w:rPr>
          <w:rFonts w:cs="Arial"/>
          <w:lang w:eastAsia="en-AU" w:bidi="ar-SA"/>
        </w:rPr>
        <w:t xml:space="preserve"> for copper </w:t>
      </w:r>
      <w:r w:rsidR="00316EB7" w:rsidRPr="006E311A">
        <w:rPr>
          <w:rFonts w:cs="Arial"/>
          <w:lang w:eastAsia="en-AU" w:bidi="ar-SA"/>
        </w:rPr>
        <w:t xml:space="preserve">in </w:t>
      </w:r>
      <w:r w:rsidR="005E78AA">
        <w:rPr>
          <w:rFonts w:cs="Arial"/>
          <w:lang w:eastAsia="en-AU" w:bidi="ar-SA"/>
        </w:rPr>
        <w:t>section S29—9</w:t>
      </w:r>
      <w:r w:rsidR="00316EB7" w:rsidRPr="006E311A">
        <w:rPr>
          <w:rFonts w:cs="Arial"/>
          <w:lang w:eastAsia="en-AU" w:bidi="ar-SA"/>
        </w:rPr>
        <w:t xml:space="preserve"> </w:t>
      </w:r>
      <w:r w:rsidRPr="006E311A">
        <w:rPr>
          <w:rFonts w:cs="Arial"/>
          <w:lang w:eastAsia="en-AU" w:bidi="ar-SA"/>
        </w:rPr>
        <w:t>are higher than the Codex STAN 72-1981 minimum amount and GUL</w:t>
      </w:r>
      <w:r w:rsidRPr="00EA3E96">
        <w:rPr>
          <w:rFonts w:cs="Arial"/>
          <w:lang w:eastAsia="en-AU" w:bidi="ar-SA"/>
        </w:rPr>
        <w:t xml:space="preserve">, respectively. EU </w:t>
      </w:r>
      <w:r w:rsidR="00316EB7" w:rsidRPr="00EA3E96">
        <w:rPr>
          <w:rFonts w:cs="Arial"/>
          <w:lang w:eastAsia="en-AU" w:bidi="ar-SA"/>
        </w:rPr>
        <w:t xml:space="preserve">2016/12 </w:t>
      </w:r>
      <w:r w:rsidRPr="00EA3E96">
        <w:rPr>
          <w:rFonts w:cs="Arial"/>
          <w:lang w:eastAsia="en-AU" w:bidi="ar-SA"/>
        </w:rPr>
        <w:t>set a range for cop</w:t>
      </w:r>
      <w:r w:rsidRPr="00BC4A54">
        <w:rPr>
          <w:rFonts w:cs="Arial"/>
          <w:lang w:eastAsia="en-AU" w:bidi="ar-SA"/>
        </w:rPr>
        <w:t>per of 14.3</w:t>
      </w:r>
      <w:r w:rsidR="00316EB7" w:rsidRPr="00BC4A54">
        <w:rPr>
          <w:rFonts w:cs="Arial"/>
          <w:lang w:eastAsia="en-AU" w:bidi="ar-SA"/>
        </w:rPr>
        <w:t>–</w:t>
      </w:r>
      <w:r w:rsidRPr="00BC4A54">
        <w:rPr>
          <w:rFonts w:cs="Arial"/>
          <w:lang w:eastAsia="en-AU" w:bidi="ar-SA"/>
        </w:rPr>
        <w:t>24</w:t>
      </w:r>
      <w:r w:rsidR="00316EB7" w:rsidRPr="008F1E1E">
        <w:rPr>
          <w:rFonts w:cs="Arial"/>
          <w:lang w:eastAsia="en-AU" w:bidi="ar-SA"/>
        </w:rPr>
        <w:t>.0</w:t>
      </w:r>
      <w:r w:rsidRPr="008F1E1E">
        <w:rPr>
          <w:rFonts w:cs="Arial"/>
          <w:lang w:eastAsia="en-AU" w:bidi="ar-SA"/>
        </w:rPr>
        <w:t xml:space="preserve"> </w:t>
      </w:r>
      <w:r w:rsidR="00316EB7" w:rsidRPr="00A45884">
        <w:rPr>
          <w:rFonts w:cs="Arial"/>
          <w:lang w:eastAsia="en-AU" w:bidi="ar-SA"/>
        </w:rPr>
        <w:t>µ</w:t>
      </w:r>
      <w:r w:rsidRPr="006E311A">
        <w:rPr>
          <w:rFonts w:cs="Arial"/>
          <w:lang w:eastAsia="en-AU" w:bidi="ar-SA"/>
        </w:rPr>
        <w:t xml:space="preserve">g/100 kJ. The </w:t>
      </w:r>
      <w:r w:rsidR="00B96544" w:rsidRPr="006E311A">
        <w:rPr>
          <w:rFonts w:cs="Arial"/>
          <w:lang w:eastAsia="en-AU" w:bidi="ar-SA"/>
        </w:rPr>
        <w:t xml:space="preserve">permitted range under the </w:t>
      </w:r>
      <w:r w:rsidR="00B96544" w:rsidRPr="006E311A">
        <w:rPr>
          <w:rFonts w:cs="Arial"/>
        </w:rPr>
        <w:t>Codex Draft Standard for FUF</w:t>
      </w:r>
      <w:r w:rsidR="00B96544" w:rsidRPr="006E311A">
        <w:rPr>
          <w:rFonts w:cs="Arial"/>
          <w:lang w:eastAsia="en-AU" w:bidi="ar-SA"/>
        </w:rPr>
        <w:t xml:space="preserve"> </w:t>
      </w:r>
      <w:r w:rsidRPr="006E311A">
        <w:rPr>
          <w:rFonts w:cs="Arial"/>
          <w:lang w:eastAsia="en-AU" w:bidi="ar-SA"/>
        </w:rPr>
        <w:t>aligns with the current Codex STAN 72-1981 (8</w:t>
      </w:r>
      <w:r w:rsidR="00316EB7" w:rsidRPr="006E311A">
        <w:rPr>
          <w:rFonts w:cs="Arial"/>
          <w:lang w:eastAsia="en-AU" w:bidi="ar-SA"/>
        </w:rPr>
        <w:t>–</w:t>
      </w:r>
      <w:r w:rsidRPr="006E311A">
        <w:rPr>
          <w:rFonts w:cs="Arial"/>
          <w:lang w:eastAsia="en-AU" w:bidi="ar-SA"/>
        </w:rPr>
        <w:t xml:space="preserve">29 (GUL) </w:t>
      </w:r>
      <w:r w:rsidR="00316EB7" w:rsidRPr="00A45884">
        <w:rPr>
          <w:rFonts w:cs="Arial"/>
          <w:lang w:eastAsia="en-AU" w:bidi="ar-SA"/>
        </w:rPr>
        <w:t>µ</w:t>
      </w:r>
      <w:r w:rsidRPr="006E311A">
        <w:rPr>
          <w:rFonts w:cs="Arial"/>
          <w:lang w:eastAsia="en-AU" w:bidi="ar-SA"/>
        </w:rPr>
        <w:t>g/100 kJ).</w:t>
      </w:r>
    </w:p>
    <w:p w14:paraId="210070DE" w14:textId="77777777" w:rsidR="005A0287" w:rsidRDefault="005A0287" w:rsidP="00776154">
      <w:pPr>
        <w:rPr>
          <w:lang w:eastAsia="en-AU" w:bidi="ar-SA"/>
        </w:rPr>
      </w:pPr>
    </w:p>
    <w:p w14:paraId="5AF02829" w14:textId="70986DC2" w:rsidR="00776154" w:rsidRPr="00ED48C4" w:rsidRDefault="009E5033" w:rsidP="00E9515E">
      <w:pPr>
        <w:pStyle w:val="FSTitle"/>
      </w:pPr>
      <w:bookmarkStart w:id="379" w:name="_Toc74061248"/>
      <w:r>
        <w:t>Table 7</w:t>
      </w:r>
      <w:r w:rsidR="00776154" w:rsidRPr="00ED48C4">
        <w:t>.</w:t>
      </w:r>
      <w:r w:rsidR="00F1262C">
        <w:t>7</w:t>
      </w:r>
      <w:r w:rsidR="00F1262C">
        <w:tab/>
      </w:r>
      <w:r w:rsidR="00776154" w:rsidRPr="00ED48C4">
        <w:t xml:space="preserve">Permitted range for </w:t>
      </w:r>
      <w:r w:rsidR="00316EB7">
        <w:t>c</w:t>
      </w:r>
      <w:r w:rsidR="00776154" w:rsidRPr="00ED48C4">
        <w:t>opper</w:t>
      </w:r>
      <w:bookmarkEnd w:id="379"/>
      <w:r w:rsidR="00776154" w:rsidRPr="00ED48C4">
        <w:t xml:space="preserve"> </w:t>
      </w:r>
    </w:p>
    <w:tbl>
      <w:tblPr>
        <w:tblStyle w:val="MediumShading1-Accent3"/>
        <w:tblW w:w="90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7.3.2.3 Permitted range for copper (µg/100 kJ) "/>
        <w:tblDescription w:val="This table summarises the permitted range for copper in Standard 2.9.1, Codex STAN 72-1981 and EU 2016/127."/>
      </w:tblPr>
      <w:tblGrid>
        <w:gridCol w:w="1493"/>
        <w:gridCol w:w="1396"/>
        <w:gridCol w:w="1398"/>
        <w:gridCol w:w="1398"/>
        <w:gridCol w:w="1398"/>
        <w:gridCol w:w="1984"/>
      </w:tblGrid>
      <w:tr w:rsidR="00542980" w:rsidRPr="00E271F7" w14:paraId="33ECFE08" w14:textId="77777777" w:rsidTr="00542980">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23" w:type="pct"/>
            <w:vMerge w:val="restart"/>
            <w:tcBorders>
              <w:top w:val="none" w:sz="0" w:space="0" w:color="auto"/>
              <w:left w:val="none" w:sz="0" w:space="0" w:color="auto"/>
              <w:bottom w:val="none" w:sz="0" w:space="0" w:color="auto"/>
              <w:right w:val="none" w:sz="0" w:space="0" w:color="auto"/>
            </w:tcBorders>
            <w:shd w:val="clear" w:color="auto" w:fill="E5DFEC" w:themeFill="accent4" w:themeFillTint="33"/>
            <w:vAlign w:val="center"/>
          </w:tcPr>
          <w:p w14:paraId="4A4189F5" w14:textId="77777777" w:rsidR="00542980" w:rsidRPr="00840CE5" w:rsidRDefault="00542980" w:rsidP="00542980">
            <w:pPr>
              <w:keepNext/>
              <w:jc w:val="center"/>
              <w:rPr>
                <w:color w:val="auto"/>
              </w:rPr>
            </w:pPr>
            <w:bookmarkStart w:id="380" w:name="_Toc409613695"/>
            <w:r w:rsidRPr="00840CE5">
              <w:rPr>
                <w:color w:val="auto"/>
              </w:rPr>
              <w:t>Micronutrient</w:t>
            </w:r>
          </w:p>
        </w:tc>
        <w:tc>
          <w:tcPr>
            <w:tcW w:w="1541" w:type="pct"/>
            <w:gridSpan w:val="2"/>
            <w:tcBorders>
              <w:top w:val="none" w:sz="0" w:space="0" w:color="auto"/>
              <w:left w:val="none" w:sz="0" w:space="0" w:color="auto"/>
              <w:bottom w:val="none" w:sz="0" w:space="0" w:color="auto"/>
              <w:right w:val="none" w:sz="0" w:space="0" w:color="auto"/>
            </w:tcBorders>
            <w:shd w:val="clear" w:color="auto" w:fill="EAF1DD" w:themeFill="accent3" w:themeFillTint="33"/>
            <w:vAlign w:val="center"/>
          </w:tcPr>
          <w:p w14:paraId="026F4B30" w14:textId="77777777" w:rsidR="00EF0450" w:rsidRDefault="00542980" w:rsidP="00542980">
            <w:pPr>
              <w:keepNext/>
              <w:jc w:val="center"/>
              <w:cnfStyle w:val="100000000000" w:firstRow="1" w:lastRow="0" w:firstColumn="0" w:lastColumn="0" w:oddVBand="0" w:evenVBand="0" w:oddHBand="0" w:evenHBand="0" w:firstRowFirstColumn="0" w:firstRowLastColumn="0" w:lastRowFirstColumn="0" w:lastRowLastColumn="0"/>
              <w:rPr>
                <w:color w:val="auto"/>
              </w:rPr>
            </w:pPr>
            <w:r w:rsidRPr="00840CE5">
              <w:rPr>
                <w:color w:val="auto"/>
              </w:rPr>
              <w:t>Standard 2.9.1</w:t>
            </w:r>
          </w:p>
          <w:p w14:paraId="3BD7EBC8" w14:textId="37FFE483" w:rsidR="00542980" w:rsidRPr="00840CE5" w:rsidRDefault="00EF0450" w:rsidP="00542980">
            <w:pPr>
              <w:keepNext/>
              <w:jc w:val="center"/>
              <w:cnfStyle w:val="100000000000" w:firstRow="1" w:lastRow="0" w:firstColumn="0" w:lastColumn="0" w:oddVBand="0" w:evenVBand="0" w:oddHBand="0" w:evenHBand="0" w:firstRowFirstColumn="0" w:firstRowLastColumn="0" w:lastRowFirstColumn="0" w:lastRowLastColumn="0"/>
              <w:rPr>
                <w:color w:val="auto"/>
              </w:rPr>
            </w:pPr>
            <w:r>
              <w:rPr>
                <w:color w:val="auto"/>
              </w:rPr>
              <w:t>(</w:t>
            </w:r>
            <w:r w:rsidR="005E78AA">
              <w:rPr>
                <w:color w:val="auto"/>
              </w:rPr>
              <w:t>Schedule 29</w:t>
            </w:r>
            <w:r>
              <w:rPr>
                <w:color w:val="auto"/>
              </w:rPr>
              <w:t>)</w:t>
            </w:r>
          </w:p>
        </w:tc>
        <w:tc>
          <w:tcPr>
            <w:tcW w:w="1542" w:type="pct"/>
            <w:gridSpan w:val="2"/>
            <w:tcBorders>
              <w:top w:val="none" w:sz="0" w:space="0" w:color="auto"/>
              <w:left w:val="none" w:sz="0" w:space="0" w:color="auto"/>
              <w:bottom w:val="none" w:sz="0" w:space="0" w:color="auto"/>
              <w:right w:val="none" w:sz="0" w:space="0" w:color="auto"/>
            </w:tcBorders>
            <w:shd w:val="clear" w:color="auto" w:fill="DAEEF3" w:themeFill="accent5" w:themeFillTint="33"/>
            <w:vAlign w:val="center"/>
          </w:tcPr>
          <w:p w14:paraId="657D35FD" w14:textId="77777777" w:rsidR="00542980" w:rsidRPr="00840CE5" w:rsidRDefault="00542980" w:rsidP="00542980">
            <w:pPr>
              <w:keepNext/>
              <w:jc w:val="center"/>
              <w:cnfStyle w:val="100000000000" w:firstRow="1" w:lastRow="0" w:firstColumn="0" w:lastColumn="0" w:oddVBand="0" w:evenVBand="0" w:oddHBand="0" w:evenHBand="0" w:firstRowFirstColumn="0" w:firstRowLastColumn="0" w:lastRowFirstColumn="0" w:lastRowLastColumn="0"/>
              <w:rPr>
                <w:color w:val="auto"/>
              </w:rPr>
            </w:pPr>
            <w:r w:rsidRPr="00840CE5">
              <w:rPr>
                <w:color w:val="auto"/>
              </w:rPr>
              <w:t>Codex STAN 72-1981</w:t>
            </w:r>
          </w:p>
        </w:tc>
        <w:tc>
          <w:tcPr>
            <w:tcW w:w="1094" w:type="pct"/>
            <w:vMerge w:val="restart"/>
            <w:tcBorders>
              <w:top w:val="none" w:sz="0" w:space="0" w:color="auto"/>
              <w:left w:val="none" w:sz="0" w:space="0" w:color="auto"/>
              <w:bottom w:val="none" w:sz="0" w:space="0" w:color="auto"/>
              <w:right w:val="none" w:sz="0" w:space="0" w:color="auto"/>
            </w:tcBorders>
            <w:shd w:val="clear" w:color="auto" w:fill="DDD9C3" w:themeFill="background2" w:themeFillShade="E6"/>
            <w:vAlign w:val="center"/>
          </w:tcPr>
          <w:p w14:paraId="0F8D1F0D" w14:textId="216FBADB" w:rsidR="00542980" w:rsidRPr="00840CE5" w:rsidRDefault="00542980" w:rsidP="00542980">
            <w:pPr>
              <w:keepNext/>
              <w:jc w:val="center"/>
              <w:cnfStyle w:val="100000000000" w:firstRow="1" w:lastRow="0" w:firstColumn="0" w:lastColumn="0" w:oddVBand="0" w:evenVBand="0" w:oddHBand="0" w:evenHBand="0" w:firstRowFirstColumn="0" w:firstRowLastColumn="0" w:lastRowFirstColumn="0" w:lastRowLastColumn="0"/>
              <w:rPr>
                <w:b w:val="0"/>
                <w:color w:val="auto"/>
              </w:rPr>
            </w:pPr>
            <w:r w:rsidRPr="00840CE5">
              <w:rPr>
                <w:rFonts w:cs="Arial"/>
                <w:bCs w:val="0"/>
                <w:color w:val="auto"/>
                <w:szCs w:val="20"/>
              </w:rPr>
              <w:t>Content in products on the market^</w:t>
            </w:r>
          </w:p>
        </w:tc>
      </w:tr>
      <w:tr w:rsidR="00542980" w:rsidRPr="00CC196F" w14:paraId="2F6BE12B" w14:textId="77777777" w:rsidTr="0054298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23" w:type="pct"/>
            <w:vMerge/>
            <w:tcBorders>
              <w:right w:val="none" w:sz="0" w:space="0" w:color="auto"/>
            </w:tcBorders>
            <w:shd w:val="clear" w:color="auto" w:fill="E5DFEC" w:themeFill="accent4" w:themeFillTint="33"/>
          </w:tcPr>
          <w:p w14:paraId="25DA3740" w14:textId="77777777" w:rsidR="00542980" w:rsidRPr="001E1DAD" w:rsidRDefault="00542980" w:rsidP="00542980">
            <w:pPr>
              <w:keepNext/>
              <w:keepLines/>
              <w:jc w:val="center"/>
              <w:rPr>
                <w:rFonts w:cs="Arial"/>
                <w:b w:val="0"/>
                <w:bCs w:val="0"/>
                <w:szCs w:val="20"/>
              </w:rPr>
            </w:pPr>
          </w:p>
        </w:tc>
        <w:tc>
          <w:tcPr>
            <w:tcW w:w="770" w:type="pct"/>
            <w:tcBorders>
              <w:left w:val="none" w:sz="0" w:space="0" w:color="auto"/>
              <w:right w:val="none" w:sz="0" w:space="0" w:color="auto"/>
            </w:tcBorders>
            <w:shd w:val="clear" w:color="auto" w:fill="EAF1DD" w:themeFill="accent3" w:themeFillTint="33"/>
            <w:vAlign w:val="center"/>
          </w:tcPr>
          <w:p w14:paraId="1DE5B9F8" w14:textId="77777777" w:rsidR="00542980" w:rsidRPr="00840CE5" w:rsidRDefault="00542980" w:rsidP="00542980">
            <w:pPr>
              <w:keepNext/>
              <w:keepLines/>
              <w:jc w:val="center"/>
              <w:cnfStyle w:val="000000100000" w:firstRow="0" w:lastRow="0" w:firstColumn="0" w:lastColumn="0" w:oddVBand="0" w:evenVBand="0" w:oddHBand="1" w:evenHBand="0" w:firstRowFirstColumn="0" w:firstRowLastColumn="0" w:lastRowFirstColumn="0" w:lastRowLastColumn="0"/>
              <w:rPr>
                <w:b/>
                <w:bCs/>
              </w:rPr>
            </w:pPr>
            <w:r w:rsidRPr="00840CE5">
              <w:rPr>
                <w:b/>
                <w:bCs/>
              </w:rPr>
              <w:t>Min</w:t>
            </w:r>
          </w:p>
        </w:tc>
        <w:tc>
          <w:tcPr>
            <w:tcW w:w="771" w:type="pct"/>
            <w:tcBorders>
              <w:left w:val="none" w:sz="0" w:space="0" w:color="auto"/>
              <w:right w:val="none" w:sz="0" w:space="0" w:color="auto"/>
            </w:tcBorders>
            <w:shd w:val="clear" w:color="auto" w:fill="EAF1DD" w:themeFill="accent3" w:themeFillTint="33"/>
            <w:vAlign w:val="center"/>
          </w:tcPr>
          <w:p w14:paraId="111C16EB" w14:textId="77777777" w:rsidR="00542980" w:rsidRPr="00840CE5" w:rsidRDefault="00542980" w:rsidP="00542980">
            <w:pPr>
              <w:keepNext/>
              <w:keepLines/>
              <w:jc w:val="center"/>
              <w:cnfStyle w:val="000000100000" w:firstRow="0" w:lastRow="0" w:firstColumn="0" w:lastColumn="0" w:oddVBand="0" w:evenVBand="0" w:oddHBand="1" w:evenHBand="0" w:firstRowFirstColumn="0" w:firstRowLastColumn="0" w:lastRowFirstColumn="0" w:lastRowLastColumn="0"/>
              <w:rPr>
                <w:b/>
                <w:bCs/>
              </w:rPr>
            </w:pPr>
            <w:r w:rsidRPr="00840CE5">
              <w:rPr>
                <w:b/>
                <w:bCs/>
              </w:rPr>
              <w:t>Max</w:t>
            </w:r>
          </w:p>
        </w:tc>
        <w:tc>
          <w:tcPr>
            <w:tcW w:w="771" w:type="pct"/>
            <w:tcBorders>
              <w:left w:val="none" w:sz="0" w:space="0" w:color="auto"/>
              <w:right w:val="none" w:sz="0" w:space="0" w:color="auto"/>
            </w:tcBorders>
            <w:shd w:val="clear" w:color="auto" w:fill="DAEEF3" w:themeFill="accent5" w:themeFillTint="33"/>
            <w:vAlign w:val="center"/>
          </w:tcPr>
          <w:p w14:paraId="7DA7F535" w14:textId="77777777" w:rsidR="00542980" w:rsidRPr="00840CE5" w:rsidRDefault="00542980" w:rsidP="00542980">
            <w:pPr>
              <w:keepNext/>
              <w:keepLines/>
              <w:jc w:val="center"/>
              <w:cnfStyle w:val="000000100000" w:firstRow="0" w:lastRow="0" w:firstColumn="0" w:lastColumn="0" w:oddVBand="0" w:evenVBand="0" w:oddHBand="1" w:evenHBand="0" w:firstRowFirstColumn="0" w:firstRowLastColumn="0" w:lastRowFirstColumn="0" w:lastRowLastColumn="0"/>
              <w:rPr>
                <w:b/>
                <w:bCs/>
              </w:rPr>
            </w:pPr>
            <w:r w:rsidRPr="00840CE5">
              <w:rPr>
                <w:b/>
                <w:bCs/>
              </w:rPr>
              <w:t>Min</w:t>
            </w:r>
          </w:p>
        </w:tc>
        <w:tc>
          <w:tcPr>
            <w:tcW w:w="771" w:type="pct"/>
            <w:tcBorders>
              <w:left w:val="none" w:sz="0" w:space="0" w:color="auto"/>
              <w:right w:val="none" w:sz="0" w:space="0" w:color="auto"/>
            </w:tcBorders>
            <w:shd w:val="clear" w:color="auto" w:fill="DAEEF3" w:themeFill="accent5" w:themeFillTint="33"/>
            <w:vAlign w:val="center"/>
          </w:tcPr>
          <w:p w14:paraId="2F76E92B" w14:textId="77777777" w:rsidR="00542980" w:rsidRPr="00840CE5" w:rsidRDefault="00542980" w:rsidP="00542980">
            <w:pPr>
              <w:keepNext/>
              <w:keepLines/>
              <w:jc w:val="center"/>
              <w:cnfStyle w:val="000000100000" w:firstRow="0" w:lastRow="0" w:firstColumn="0" w:lastColumn="0" w:oddVBand="0" w:evenVBand="0" w:oddHBand="1" w:evenHBand="0" w:firstRowFirstColumn="0" w:firstRowLastColumn="0" w:lastRowFirstColumn="0" w:lastRowLastColumn="0"/>
              <w:rPr>
                <w:b/>
                <w:bCs/>
              </w:rPr>
            </w:pPr>
            <w:r w:rsidRPr="00840CE5">
              <w:rPr>
                <w:b/>
                <w:bCs/>
              </w:rPr>
              <w:t>Max</w:t>
            </w:r>
          </w:p>
        </w:tc>
        <w:tc>
          <w:tcPr>
            <w:tcW w:w="1094" w:type="pct"/>
            <w:vMerge/>
            <w:tcBorders>
              <w:left w:val="none" w:sz="0" w:space="0" w:color="auto"/>
            </w:tcBorders>
            <w:shd w:val="clear" w:color="auto" w:fill="DDD9C3" w:themeFill="background2" w:themeFillShade="E6"/>
          </w:tcPr>
          <w:p w14:paraId="7FDBD449" w14:textId="77777777" w:rsidR="00542980" w:rsidRPr="001E1DAD" w:rsidRDefault="00542980" w:rsidP="00542980">
            <w:pPr>
              <w:keepNext/>
              <w:keepLines/>
              <w:jc w:val="center"/>
              <w:cnfStyle w:val="000000100000" w:firstRow="0" w:lastRow="0" w:firstColumn="0" w:lastColumn="0" w:oddVBand="0" w:evenVBand="0" w:oddHBand="1" w:evenHBand="0" w:firstRowFirstColumn="0" w:firstRowLastColumn="0" w:lastRowFirstColumn="0" w:lastRowLastColumn="0"/>
              <w:rPr>
                <w:rFonts w:cs="Arial"/>
                <w:strike/>
                <w:szCs w:val="20"/>
              </w:rPr>
            </w:pPr>
          </w:p>
        </w:tc>
      </w:tr>
      <w:tr w:rsidR="00542980" w:rsidRPr="00E271F7" w14:paraId="1225D563" w14:textId="77777777" w:rsidTr="00542980">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23" w:type="pct"/>
            <w:tcBorders>
              <w:right w:val="none" w:sz="0" w:space="0" w:color="auto"/>
            </w:tcBorders>
          </w:tcPr>
          <w:p w14:paraId="0A5B0176" w14:textId="77777777" w:rsidR="00542980" w:rsidRDefault="00542980" w:rsidP="00542980">
            <w:pPr>
              <w:keepNext/>
              <w:keepLines/>
              <w:rPr>
                <w:rFonts w:cs="Arial"/>
                <w:b w:val="0"/>
                <w:bCs w:val="0"/>
                <w:szCs w:val="20"/>
              </w:rPr>
            </w:pPr>
            <w:r>
              <w:rPr>
                <w:rFonts w:cs="Arial"/>
                <w:b w:val="0"/>
                <w:bCs w:val="0"/>
                <w:szCs w:val="20"/>
              </w:rPr>
              <w:t>Copper</w:t>
            </w:r>
          </w:p>
          <w:p w14:paraId="58A9F0C8" w14:textId="7F176514" w:rsidR="00542980" w:rsidRPr="00542980" w:rsidRDefault="00542980" w:rsidP="00542980">
            <w:pPr>
              <w:keepNext/>
              <w:keepLines/>
              <w:rPr>
                <w:rFonts w:cs="Arial"/>
                <w:b w:val="0"/>
                <w:bCs w:val="0"/>
                <w:szCs w:val="20"/>
              </w:rPr>
            </w:pPr>
            <w:r w:rsidRPr="00542980">
              <w:rPr>
                <w:rFonts w:cs="Arial"/>
                <w:b w:val="0"/>
                <w:bCs w:val="0"/>
                <w:szCs w:val="20"/>
              </w:rPr>
              <w:t>(</w:t>
            </w:r>
            <w:r w:rsidRPr="00542980">
              <w:rPr>
                <w:rFonts w:cs="Calibri"/>
                <w:b w:val="0"/>
                <w:szCs w:val="20"/>
              </w:rPr>
              <w:t>µ</w:t>
            </w:r>
            <w:r w:rsidRPr="00542980">
              <w:rPr>
                <w:rFonts w:cs="Arial"/>
                <w:b w:val="0"/>
                <w:szCs w:val="20"/>
              </w:rPr>
              <w:t>g/100 kJ)</w:t>
            </w:r>
          </w:p>
        </w:tc>
        <w:tc>
          <w:tcPr>
            <w:tcW w:w="770" w:type="pct"/>
            <w:tcBorders>
              <w:left w:val="none" w:sz="0" w:space="0" w:color="auto"/>
              <w:right w:val="none" w:sz="0" w:space="0" w:color="auto"/>
            </w:tcBorders>
            <w:vAlign w:val="center"/>
          </w:tcPr>
          <w:p w14:paraId="7AB39A12" w14:textId="77777777" w:rsidR="00542980" w:rsidRPr="001E1DAD" w:rsidRDefault="00542980" w:rsidP="00542980">
            <w:pPr>
              <w:keepNext/>
              <w:keepLines/>
              <w:jc w:val="center"/>
              <w:cnfStyle w:val="000000010000" w:firstRow="0" w:lastRow="0" w:firstColumn="0" w:lastColumn="0" w:oddVBand="0" w:evenVBand="0" w:oddHBand="0" w:evenHBand="1" w:firstRowFirstColumn="0" w:firstRowLastColumn="0" w:lastRowFirstColumn="0" w:lastRowLastColumn="0"/>
              <w:rPr>
                <w:rFonts w:cs="Arial"/>
                <w:szCs w:val="20"/>
              </w:rPr>
            </w:pPr>
            <w:r>
              <w:rPr>
                <w:rFonts w:eastAsia="Arial Unicode MS" w:cs="Arial"/>
              </w:rPr>
              <w:t>14</w:t>
            </w:r>
          </w:p>
        </w:tc>
        <w:tc>
          <w:tcPr>
            <w:tcW w:w="771" w:type="pct"/>
            <w:tcBorders>
              <w:left w:val="none" w:sz="0" w:space="0" w:color="auto"/>
              <w:right w:val="none" w:sz="0" w:space="0" w:color="auto"/>
            </w:tcBorders>
            <w:vAlign w:val="center"/>
          </w:tcPr>
          <w:p w14:paraId="572A95D4" w14:textId="77777777" w:rsidR="00542980" w:rsidRPr="001E1DAD" w:rsidRDefault="00542980" w:rsidP="00542980">
            <w:pPr>
              <w:keepNext/>
              <w:keepLines/>
              <w:jc w:val="center"/>
              <w:cnfStyle w:val="000000010000" w:firstRow="0" w:lastRow="0" w:firstColumn="0" w:lastColumn="0" w:oddVBand="0" w:evenVBand="0" w:oddHBand="0" w:evenHBand="1" w:firstRowFirstColumn="0" w:firstRowLastColumn="0" w:lastRowFirstColumn="0" w:lastRowLastColumn="0"/>
              <w:rPr>
                <w:rFonts w:cs="Arial"/>
                <w:szCs w:val="20"/>
              </w:rPr>
            </w:pPr>
            <w:r>
              <w:rPr>
                <w:rFonts w:eastAsia="Arial Unicode MS" w:cs="Arial"/>
              </w:rPr>
              <w:t>43</w:t>
            </w:r>
          </w:p>
        </w:tc>
        <w:tc>
          <w:tcPr>
            <w:tcW w:w="771" w:type="pct"/>
            <w:tcBorders>
              <w:left w:val="none" w:sz="0" w:space="0" w:color="auto"/>
              <w:right w:val="none" w:sz="0" w:space="0" w:color="auto"/>
            </w:tcBorders>
            <w:vAlign w:val="center"/>
          </w:tcPr>
          <w:p w14:paraId="17C2D86F" w14:textId="77777777" w:rsidR="00542980" w:rsidRPr="001E1DAD" w:rsidRDefault="00542980" w:rsidP="00542980">
            <w:pPr>
              <w:keepNext/>
              <w:keepLines/>
              <w:jc w:val="center"/>
              <w:cnfStyle w:val="000000010000" w:firstRow="0" w:lastRow="0" w:firstColumn="0" w:lastColumn="0" w:oddVBand="0" w:evenVBand="0" w:oddHBand="0" w:evenHBand="1" w:firstRowFirstColumn="0" w:firstRowLastColumn="0" w:lastRowFirstColumn="0" w:lastRowLastColumn="0"/>
              <w:rPr>
                <w:rFonts w:cs="Arial"/>
                <w:szCs w:val="20"/>
              </w:rPr>
            </w:pPr>
            <w:r>
              <w:rPr>
                <w:rFonts w:eastAsia="Arial Unicode MS" w:cs="Arial"/>
              </w:rPr>
              <w:t>8.5</w:t>
            </w:r>
          </w:p>
        </w:tc>
        <w:tc>
          <w:tcPr>
            <w:tcW w:w="771" w:type="pct"/>
            <w:tcBorders>
              <w:left w:val="none" w:sz="0" w:space="0" w:color="auto"/>
              <w:right w:val="none" w:sz="0" w:space="0" w:color="auto"/>
            </w:tcBorders>
            <w:vAlign w:val="center"/>
          </w:tcPr>
          <w:p w14:paraId="28F5DBD0" w14:textId="77777777" w:rsidR="00542980" w:rsidRPr="001E1DAD" w:rsidRDefault="00542980" w:rsidP="00542980">
            <w:pPr>
              <w:keepNext/>
              <w:keepLines/>
              <w:jc w:val="center"/>
              <w:cnfStyle w:val="000000010000" w:firstRow="0" w:lastRow="0" w:firstColumn="0" w:lastColumn="0" w:oddVBand="0" w:evenVBand="0" w:oddHBand="0" w:evenHBand="1" w:firstRowFirstColumn="0" w:firstRowLastColumn="0" w:lastRowFirstColumn="0" w:lastRowLastColumn="0"/>
              <w:rPr>
                <w:rFonts w:cs="Arial"/>
                <w:szCs w:val="20"/>
              </w:rPr>
            </w:pPr>
            <w:r>
              <w:rPr>
                <w:rFonts w:eastAsia="Arial Unicode MS" w:cs="Arial"/>
              </w:rPr>
              <w:t>29 (GUL)</w:t>
            </w:r>
          </w:p>
        </w:tc>
        <w:tc>
          <w:tcPr>
            <w:tcW w:w="1094" w:type="pct"/>
            <w:tcBorders>
              <w:left w:val="none" w:sz="0" w:space="0" w:color="auto"/>
            </w:tcBorders>
            <w:vAlign w:val="center"/>
          </w:tcPr>
          <w:p w14:paraId="7AFE8AF5" w14:textId="77777777" w:rsidR="00542980" w:rsidRPr="00047915" w:rsidRDefault="00542980" w:rsidP="00542980">
            <w:pPr>
              <w:keepNext/>
              <w:keepLines/>
              <w:jc w:val="center"/>
              <w:cnfStyle w:val="000000010000" w:firstRow="0" w:lastRow="0" w:firstColumn="0" w:lastColumn="0" w:oddVBand="0" w:evenVBand="0" w:oddHBand="0" w:evenHBand="1" w:firstRowFirstColumn="0" w:firstRowLastColumn="0" w:lastRowFirstColumn="0" w:lastRowLastColumn="0"/>
              <w:rPr>
                <w:rFonts w:eastAsia="Arial Unicode MS" w:cs="Arial"/>
                <w:szCs w:val="20"/>
              </w:rPr>
            </w:pPr>
            <w:r w:rsidRPr="005D314E">
              <w:rPr>
                <w:rFonts w:eastAsia="Arial Unicode MS" w:cs="Arial"/>
                <w:szCs w:val="20"/>
              </w:rPr>
              <w:t>14.01–20.64</w:t>
            </w:r>
          </w:p>
        </w:tc>
      </w:tr>
    </w:tbl>
    <w:bookmarkEnd w:id="380"/>
    <w:p w14:paraId="45187D65" w14:textId="2B47A5DD" w:rsidR="006963CE" w:rsidRPr="00BB6325" w:rsidRDefault="006963CE" w:rsidP="006963CE">
      <w:pPr>
        <w:rPr>
          <w:i/>
          <w:sz w:val="18"/>
        </w:rPr>
      </w:pPr>
      <w:r w:rsidRPr="00BB6325">
        <w:rPr>
          <w:i/>
          <w:sz w:val="18"/>
        </w:rPr>
        <w:t>^ Product content range is reflective of the ANZ market during 2013</w:t>
      </w:r>
      <w:r w:rsidR="002074F2">
        <w:rPr>
          <w:i/>
          <w:sz w:val="18"/>
        </w:rPr>
        <w:t>–</w:t>
      </w:r>
      <w:r w:rsidRPr="00BB6325">
        <w:rPr>
          <w:i/>
          <w:sz w:val="18"/>
        </w:rPr>
        <w:t xml:space="preserve">2014 </w:t>
      </w:r>
    </w:p>
    <w:p w14:paraId="5077FE85" w14:textId="77777777" w:rsidR="00776154" w:rsidRDefault="00776154" w:rsidP="00776154">
      <w:pPr>
        <w:pStyle w:val="Heading4"/>
      </w:pPr>
      <w:r w:rsidRPr="00BA1FD9">
        <w:lastRenderedPageBreak/>
        <w:t>Previous consideration</w:t>
      </w:r>
    </w:p>
    <w:p w14:paraId="266C2011" w14:textId="17B1290D" w:rsidR="00776154" w:rsidRPr="00E16330" w:rsidRDefault="00776154" w:rsidP="00776154">
      <w:pPr>
        <w:rPr>
          <w:i/>
          <w:lang w:eastAsia="en-AU" w:bidi="ar-SA"/>
        </w:rPr>
      </w:pPr>
      <w:r>
        <w:rPr>
          <w:lang w:eastAsia="en-AU" w:bidi="ar-SA"/>
        </w:rPr>
        <w:t xml:space="preserve">The 2016 nutrition </w:t>
      </w:r>
      <w:r w:rsidR="006963CE">
        <w:rPr>
          <w:lang w:eastAsia="en-AU" w:bidi="ar-SA"/>
        </w:rPr>
        <w:t xml:space="preserve">risk </w:t>
      </w:r>
      <w:r>
        <w:rPr>
          <w:lang w:eastAsia="en-AU" w:bidi="ar-SA"/>
        </w:rPr>
        <w:t xml:space="preserve">assessment indicated that estimated copper intakes of infants using the minimum amount specified in Codex STAN 72-1981 would not meet the AI for copper for older or younger infants. </w:t>
      </w:r>
      <w:r w:rsidRPr="00971245">
        <w:rPr>
          <w:lang w:eastAsia="en-AU" w:bidi="ar-SA"/>
        </w:rPr>
        <w:t xml:space="preserve">However, </w:t>
      </w:r>
      <w:r>
        <w:rPr>
          <w:lang w:bidi="ar-SA"/>
        </w:rPr>
        <w:t>powdered i</w:t>
      </w:r>
      <w:r w:rsidRPr="00502B0F">
        <w:rPr>
          <w:lang w:bidi="ar-SA"/>
        </w:rPr>
        <w:t>nfant formula is typically mixed with tap water</w:t>
      </w:r>
      <w:r>
        <w:rPr>
          <w:lang w:bidi="ar-SA"/>
        </w:rPr>
        <w:t>.</w:t>
      </w:r>
      <w:r w:rsidRPr="005F3593">
        <w:rPr>
          <w:rFonts w:eastAsia="Calibri"/>
          <w:szCs w:val="22"/>
          <w:lang w:bidi="ar-SA"/>
        </w:rPr>
        <w:t xml:space="preserve"> </w:t>
      </w:r>
      <w:r w:rsidRPr="00971245">
        <w:rPr>
          <w:lang w:eastAsia="en-AU" w:bidi="ar-SA"/>
        </w:rPr>
        <w:t>Codex STAN 72-1981 includes a footnote</w:t>
      </w:r>
      <w:r w:rsidR="006E311A">
        <w:rPr>
          <w:lang w:eastAsia="en-AU" w:bidi="ar-SA"/>
        </w:rPr>
        <w:t>,</w:t>
      </w:r>
      <w:r w:rsidRPr="00971245">
        <w:rPr>
          <w:lang w:eastAsia="en-AU" w:bidi="ar-SA"/>
        </w:rPr>
        <w:t xml:space="preserve"> </w:t>
      </w:r>
      <w:r>
        <w:rPr>
          <w:lang w:eastAsia="en-AU" w:bidi="ar-SA"/>
        </w:rPr>
        <w:t>“</w:t>
      </w:r>
      <w:r w:rsidRPr="00C776DE">
        <w:rPr>
          <w:lang w:eastAsia="en-AU" w:bidi="ar-SA"/>
        </w:rPr>
        <w:t xml:space="preserve">adjustments may be needed in these levels for infant formula made in regions with a high content of copper in the water supply”. </w:t>
      </w:r>
      <w:r>
        <w:rPr>
          <w:lang w:eastAsia="en-AU" w:bidi="ar-SA"/>
        </w:rPr>
        <w:t>Thus if the</w:t>
      </w:r>
      <w:r w:rsidR="006963CE">
        <w:rPr>
          <w:lang w:eastAsia="en-AU" w:bidi="ar-SA"/>
        </w:rPr>
        <w:t xml:space="preserve"> estimated</w:t>
      </w:r>
      <w:r>
        <w:rPr>
          <w:lang w:eastAsia="en-AU" w:bidi="ar-SA"/>
        </w:rPr>
        <w:t xml:space="preserve"> intake is revised to account for the </w:t>
      </w:r>
      <w:r w:rsidRPr="005F3593">
        <w:rPr>
          <w:lang w:eastAsia="en-AU" w:bidi="ar-SA"/>
        </w:rPr>
        <w:t>copper from tap water</w:t>
      </w:r>
      <w:r>
        <w:rPr>
          <w:lang w:eastAsia="en-AU" w:bidi="ar-SA"/>
        </w:rPr>
        <w:t xml:space="preserve"> </w:t>
      </w:r>
      <w:r w:rsidRPr="00135293">
        <w:rPr>
          <w:lang w:eastAsia="en-AU" w:bidi="ar-SA"/>
        </w:rPr>
        <w:t>in Australia</w:t>
      </w:r>
      <w:r>
        <w:rPr>
          <w:lang w:eastAsia="en-AU" w:bidi="ar-SA"/>
        </w:rPr>
        <w:t>,</w:t>
      </w:r>
      <w:r w:rsidRPr="00135293">
        <w:rPr>
          <w:lang w:eastAsia="en-AU" w:bidi="ar-SA"/>
        </w:rPr>
        <w:t xml:space="preserve"> </w:t>
      </w:r>
      <w:r>
        <w:rPr>
          <w:lang w:eastAsia="en-AU" w:bidi="ar-SA"/>
        </w:rPr>
        <w:t>the combined intake of copper from infant formula</w:t>
      </w:r>
      <w:r w:rsidR="006963CE">
        <w:rPr>
          <w:lang w:eastAsia="en-AU" w:bidi="ar-SA"/>
        </w:rPr>
        <w:t xml:space="preserve"> and tap water</w:t>
      </w:r>
      <w:r>
        <w:rPr>
          <w:lang w:eastAsia="en-AU" w:bidi="ar-SA"/>
        </w:rPr>
        <w:t xml:space="preserve"> is likely to meet </w:t>
      </w:r>
      <w:r w:rsidRPr="00DB5D28">
        <w:rPr>
          <w:lang w:eastAsia="en-AU" w:bidi="ar-SA"/>
        </w:rPr>
        <w:t>the AI</w:t>
      </w:r>
      <w:r>
        <w:rPr>
          <w:lang w:eastAsia="en-AU" w:bidi="ar-SA"/>
        </w:rPr>
        <w:t xml:space="preserve"> for both younger and older infants. </w:t>
      </w:r>
      <w:r w:rsidRPr="004D0B44">
        <w:rPr>
          <w:rFonts w:eastAsia="Calibri"/>
          <w:szCs w:val="22"/>
          <w:lang w:bidi="ar-SA"/>
        </w:rPr>
        <w:t xml:space="preserve">Therefore, </w:t>
      </w:r>
      <w:r>
        <w:rPr>
          <w:rFonts w:eastAsia="Calibri"/>
          <w:szCs w:val="22"/>
          <w:lang w:bidi="ar-SA"/>
        </w:rPr>
        <w:t xml:space="preserve">alignment with the lower minimum in Codex STAN 72-1981 would be unlikely to </w:t>
      </w:r>
      <w:r w:rsidRPr="004D0B44">
        <w:rPr>
          <w:rFonts w:eastAsia="Calibri"/>
          <w:szCs w:val="22"/>
          <w:lang w:bidi="ar-SA"/>
        </w:rPr>
        <w:t>pose a risk to infant health</w:t>
      </w:r>
      <w:r>
        <w:rPr>
          <w:rFonts w:eastAsia="Calibri"/>
          <w:i/>
          <w:color w:val="0070C0"/>
          <w:szCs w:val="22"/>
          <w:lang w:bidi="ar-SA"/>
        </w:rPr>
        <w:t>.</w:t>
      </w:r>
      <w:r w:rsidRPr="005F3593">
        <w:rPr>
          <w:rFonts w:eastAsia="Calibri"/>
          <w:szCs w:val="22"/>
          <w:lang w:bidi="ar-SA"/>
        </w:rPr>
        <w:t xml:space="preserve"> </w:t>
      </w:r>
    </w:p>
    <w:p w14:paraId="1D16E74C" w14:textId="77777777" w:rsidR="00776154" w:rsidRPr="005F3593" w:rsidRDefault="00776154" w:rsidP="00776154">
      <w:pPr>
        <w:rPr>
          <w:b/>
          <w:lang w:eastAsia="en-AU" w:bidi="ar-SA"/>
        </w:rPr>
      </w:pPr>
    </w:p>
    <w:p w14:paraId="12B40E27" w14:textId="093D74D5" w:rsidR="00776154" w:rsidRDefault="005E78AA" w:rsidP="00776154">
      <w:pPr>
        <w:rPr>
          <w:lang w:eastAsia="en-AU" w:bidi="ar-SA"/>
        </w:rPr>
      </w:pPr>
      <w:r>
        <w:rPr>
          <w:lang w:eastAsia="en-AU" w:bidi="ar-SA"/>
        </w:rPr>
        <w:t>Section S29—9</w:t>
      </w:r>
      <w:r w:rsidR="00776154" w:rsidRPr="00633A06">
        <w:rPr>
          <w:lang w:eastAsia="en-AU" w:bidi="ar-SA"/>
        </w:rPr>
        <w:t xml:space="preserve"> sets a maximum for copper whereas Codex </w:t>
      </w:r>
      <w:r w:rsidR="00776154">
        <w:rPr>
          <w:lang w:eastAsia="en-AU" w:bidi="ar-SA"/>
        </w:rPr>
        <w:t xml:space="preserve">provides a lower GUL. </w:t>
      </w:r>
      <w:r w:rsidR="00776154" w:rsidRPr="00633A06">
        <w:rPr>
          <w:lang w:eastAsia="en-AU" w:bidi="ar-SA"/>
        </w:rPr>
        <w:t xml:space="preserve">FSANZ has not found a clear </w:t>
      </w:r>
      <w:r w:rsidR="00776154">
        <w:rPr>
          <w:lang w:eastAsia="en-AU" w:bidi="ar-SA"/>
        </w:rPr>
        <w:t xml:space="preserve">basis </w:t>
      </w:r>
      <w:r w:rsidR="00776154" w:rsidRPr="00633A06">
        <w:rPr>
          <w:lang w:eastAsia="en-AU" w:bidi="ar-SA"/>
        </w:rPr>
        <w:t xml:space="preserve">for these levels in any literature. </w:t>
      </w:r>
      <w:r w:rsidR="00776154">
        <w:rPr>
          <w:lang w:eastAsia="en-AU" w:bidi="ar-SA"/>
        </w:rPr>
        <w:t>There is no UL</w:t>
      </w:r>
      <w:r w:rsidR="00776154" w:rsidRPr="00CC253B">
        <w:rPr>
          <w:lang w:eastAsia="en-AU" w:bidi="ar-SA"/>
        </w:rPr>
        <w:t xml:space="preserve"> </w:t>
      </w:r>
      <w:r w:rsidR="00776154">
        <w:rPr>
          <w:lang w:eastAsia="en-AU" w:bidi="ar-SA"/>
        </w:rPr>
        <w:t xml:space="preserve">set </w:t>
      </w:r>
      <w:r w:rsidR="00776154" w:rsidRPr="00CC253B">
        <w:rPr>
          <w:lang w:eastAsia="en-AU" w:bidi="ar-SA"/>
        </w:rPr>
        <w:t>for copper for infants</w:t>
      </w:r>
      <w:r w:rsidR="00776154">
        <w:rPr>
          <w:lang w:eastAsia="en-AU" w:bidi="ar-SA"/>
        </w:rPr>
        <w:t xml:space="preserve">. </w:t>
      </w:r>
      <w:r w:rsidR="00776154" w:rsidRPr="00A93D7D">
        <w:rPr>
          <w:lang w:eastAsia="en-AU" w:bidi="ar-SA"/>
        </w:rPr>
        <w:t>Copper toxicity is not known to occur in full-term breastfed or formula</w:t>
      </w:r>
      <w:r w:rsidR="00776154">
        <w:rPr>
          <w:lang w:eastAsia="en-AU" w:bidi="ar-SA"/>
        </w:rPr>
        <w:t>-</w:t>
      </w:r>
      <w:r w:rsidR="00776154" w:rsidRPr="00A93D7D">
        <w:rPr>
          <w:lang w:eastAsia="en-AU" w:bidi="ar-SA"/>
        </w:rPr>
        <w:t xml:space="preserve">fed infants and the </w:t>
      </w:r>
      <w:r w:rsidR="00776154">
        <w:rPr>
          <w:lang w:eastAsia="en-AU" w:bidi="ar-SA"/>
        </w:rPr>
        <w:t>nutrition</w:t>
      </w:r>
      <w:r w:rsidR="006963CE">
        <w:rPr>
          <w:lang w:eastAsia="en-AU" w:bidi="ar-SA"/>
        </w:rPr>
        <w:t xml:space="preserve"> risk</w:t>
      </w:r>
      <w:r w:rsidR="00776154">
        <w:rPr>
          <w:lang w:eastAsia="en-AU" w:bidi="ar-SA"/>
        </w:rPr>
        <w:t xml:space="preserve"> assessment </w:t>
      </w:r>
      <w:r w:rsidR="00776154" w:rsidRPr="00A93D7D">
        <w:rPr>
          <w:lang w:eastAsia="en-AU" w:bidi="ar-SA"/>
        </w:rPr>
        <w:t xml:space="preserve">identified no recent studies suggesting adverse effects related to high copper intakes </w:t>
      </w:r>
      <w:r w:rsidR="00776154">
        <w:rPr>
          <w:lang w:eastAsia="en-AU" w:bidi="ar-SA"/>
        </w:rPr>
        <w:t>of</w:t>
      </w:r>
      <w:r w:rsidR="00776154" w:rsidRPr="00A93D7D">
        <w:rPr>
          <w:lang w:eastAsia="en-AU" w:bidi="ar-SA"/>
        </w:rPr>
        <w:t xml:space="preserve"> formula</w:t>
      </w:r>
      <w:r w:rsidR="00776154">
        <w:rPr>
          <w:lang w:eastAsia="en-AU" w:bidi="ar-SA"/>
        </w:rPr>
        <w:t>-</w:t>
      </w:r>
      <w:r w:rsidR="00776154" w:rsidRPr="00A93D7D">
        <w:rPr>
          <w:lang w:eastAsia="en-AU" w:bidi="ar-SA"/>
        </w:rPr>
        <w:t xml:space="preserve">fed infants. </w:t>
      </w:r>
      <w:r w:rsidR="00776154">
        <w:rPr>
          <w:lang w:eastAsia="en-AU" w:bidi="ar-SA"/>
        </w:rPr>
        <w:t xml:space="preserve">The nutrition </w:t>
      </w:r>
      <w:r w:rsidR="00935C1E">
        <w:rPr>
          <w:lang w:eastAsia="en-AU" w:bidi="ar-SA"/>
        </w:rPr>
        <w:t xml:space="preserve">risk </w:t>
      </w:r>
      <w:r w:rsidR="00776154">
        <w:rPr>
          <w:lang w:eastAsia="en-AU" w:bidi="ar-SA"/>
        </w:rPr>
        <w:t xml:space="preserve">assessment concluded that adopting the GUL at the lower amount </w:t>
      </w:r>
      <w:r w:rsidR="00776154" w:rsidRPr="00A93D7D">
        <w:rPr>
          <w:lang w:eastAsia="en-AU" w:bidi="ar-SA"/>
        </w:rPr>
        <w:t xml:space="preserve">would be unlikely to adversely affect infant health. </w:t>
      </w:r>
    </w:p>
    <w:p w14:paraId="208FA2D8" w14:textId="77777777" w:rsidR="00776154" w:rsidRDefault="00776154" w:rsidP="00776154">
      <w:pPr>
        <w:rPr>
          <w:lang w:eastAsia="en-AU" w:bidi="ar-SA"/>
        </w:rPr>
      </w:pPr>
    </w:p>
    <w:p w14:paraId="4167068B" w14:textId="2E7E2936" w:rsidR="00776154" w:rsidRDefault="00776154" w:rsidP="00776154">
      <w:r w:rsidRPr="00DF5933">
        <w:t xml:space="preserve">FSANZ’s </w:t>
      </w:r>
      <w:r w:rsidR="000821E1">
        <w:t>2013</w:t>
      </w:r>
      <w:r w:rsidR="00935C1E">
        <w:t>–</w:t>
      </w:r>
      <w:r w:rsidR="000821E1">
        <w:t xml:space="preserve">2014 </w:t>
      </w:r>
      <w:r>
        <w:t>label</w:t>
      </w:r>
      <w:r w:rsidRPr="00DF5933">
        <w:t xml:space="preserve"> survey indicat</w:t>
      </w:r>
      <w:r>
        <w:t>ed that the copper content of infant formula</w:t>
      </w:r>
      <w:r w:rsidRPr="00DF5933">
        <w:t xml:space="preserve"> lies within the </w:t>
      </w:r>
      <w:r>
        <w:t xml:space="preserve">minimum to maximum range specified in Codex STAN 72-1981. </w:t>
      </w:r>
    </w:p>
    <w:p w14:paraId="2872E6AD" w14:textId="77777777" w:rsidR="00776154" w:rsidRDefault="00776154" w:rsidP="00776154"/>
    <w:p w14:paraId="5B084F11" w14:textId="0F4C7DA4" w:rsidR="00776154" w:rsidRDefault="00776154" w:rsidP="00776154">
      <w:pPr>
        <w:rPr>
          <w:highlight w:val="yellow"/>
          <w:lang w:val="en-AU" w:bidi="ar-SA"/>
        </w:rPr>
      </w:pPr>
      <w:r>
        <w:t xml:space="preserve">FSANZ’s preliminary </w:t>
      </w:r>
      <w:r>
        <w:rPr>
          <w:lang w:eastAsia="en-AU" w:bidi="ar-SA"/>
        </w:rPr>
        <w:t xml:space="preserve">view from the 2016 </w:t>
      </w:r>
      <w:r w:rsidR="00935C1E">
        <w:rPr>
          <w:lang w:eastAsia="en-AU" w:bidi="ar-SA"/>
        </w:rPr>
        <w:t xml:space="preserve">Consultation paper </w:t>
      </w:r>
      <w:r>
        <w:rPr>
          <w:lang w:eastAsia="en-AU" w:bidi="ar-SA"/>
        </w:rPr>
        <w:t xml:space="preserve">was that alignment with </w:t>
      </w:r>
      <w:r w:rsidR="00935C1E">
        <w:rPr>
          <w:lang w:eastAsia="en-AU" w:bidi="ar-SA"/>
        </w:rPr>
        <w:t xml:space="preserve">the </w:t>
      </w:r>
      <w:r w:rsidRPr="005F3593">
        <w:rPr>
          <w:lang w:eastAsia="en-AU" w:bidi="ar-SA"/>
        </w:rPr>
        <w:t>Codex STAN 72-1981 minimum amount and GUL</w:t>
      </w:r>
      <w:r>
        <w:rPr>
          <w:lang w:eastAsia="en-AU" w:bidi="ar-SA"/>
        </w:rPr>
        <w:t xml:space="preserve"> amount is appropriate. However this may need to be considered in the context of the zinc</w:t>
      </w:r>
      <w:r w:rsidR="00935C1E">
        <w:rPr>
          <w:lang w:eastAsia="en-AU" w:bidi="ar-SA"/>
        </w:rPr>
        <w:t xml:space="preserve"> to </w:t>
      </w:r>
      <w:r>
        <w:rPr>
          <w:lang w:eastAsia="en-AU" w:bidi="ar-SA"/>
        </w:rPr>
        <w:t xml:space="preserve">copper ratio. For further details please refer to section </w:t>
      </w:r>
      <w:r w:rsidR="00D0635C">
        <w:t>7</w:t>
      </w:r>
      <w:r w:rsidR="00935C1E">
        <w:t>.3.3.4</w:t>
      </w:r>
      <w:r>
        <w:rPr>
          <w:lang w:eastAsia="en-AU" w:bidi="ar-SA"/>
        </w:rPr>
        <w:t>.</w:t>
      </w:r>
      <w:r w:rsidRPr="00365F95">
        <w:rPr>
          <w:highlight w:val="yellow"/>
          <w:lang w:val="en-AU" w:bidi="ar-SA"/>
        </w:rPr>
        <w:t xml:space="preserve"> </w:t>
      </w:r>
    </w:p>
    <w:p w14:paraId="68CE1F4E" w14:textId="77777777" w:rsidR="00776154" w:rsidRDefault="00776154" w:rsidP="00776154">
      <w:pPr>
        <w:rPr>
          <w:highlight w:val="yellow"/>
          <w:lang w:val="en-AU" w:bidi="ar-SA"/>
        </w:rPr>
      </w:pPr>
    </w:p>
    <w:p w14:paraId="4693F543" w14:textId="173162A2" w:rsidR="00776154" w:rsidRPr="00365F95" w:rsidRDefault="00776154" w:rsidP="00776154">
      <w:pPr>
        <w:rPr>
          <w:rFonts w:cs="Arial"/>
          <w:szCs w:val="20"/>
        </w:rPr>
      </w:pPr>
      <w:r w:rsidRPr="0028065C">
        <w:rPr>
          <w:lang w:val="en-AU" w:bidi="ar-SA"/>
        </w:rPr>
        <w:t xml:space="preserve">FSANZ also sought information from submitters </w:t>
      </w:r>
      <w:r w:rsidR="00935C1E">
        <w:rPr>
          <w:lang w:val="en-AU" w:bidi="ar-SA"/>
        </w:rPr>
        <w:t>in</w:t>
      </w:r>
      <w:r w:rsidR="00935C1E" w:rsidRPr="0028065C">
        <w:rPr>
          <w:lang w:val="en-AU" w:bidi="ar-SA"/>
        </w:rPr>
        <w:t xml:space="preserve"> </w:t>
      </w:r>
      <w:r w:rsidRPr="0028065C">
        <w:rPr>
          <w:lang w:val="en-AU" w:bidi="ar-SA"/>
        </w:rPr>
        <w:t xml:space="preserve">the 2016 </w:t>
      </w:r>
      <w:r w:rsidR="00935C1E">
        <w:rPr>
          <w:lang w:val="en-AU" w:bidi="ar-SA"/>
        </w:rPr>
        <w:t>Consultation paper</w:t>
      </w:r>
      <w:r w:rsidR="00935C1E" w:rsidRPr="0028065C">
        <w:rPr>
          <w:lang w:val="en-AU" w:bidi="ar-SA"/>
        </w:rPr>
        <w:t xml:space="preserve"> </w:t>
      </w:r>
      <w:r w:rsidRPr="0028065C">
        <w:rPr>
          <w:lang w:val="en-AU" w:bidi="ar-SA"/>
        </w:rPr>
        <w:t xml:space="preserve">on whether there were </w:t>
      </w:r>
      <w:r w:rsidRPr="0028065C">
        <w:rPr>
          <w:rFonts w:cs="Arial"/>
          <w:szCs w:val="20"/>
        </w:rPr>
        <w:t>any technical issues if the lower Codex minimum and maximum levels for copper were to be incorporated into the Code.</w:t>
      </w:r>
    </w:p>
    <w:p w14:paraId="3534E3D5" w14:textId="77777777" w:rsidR="00776154" w:rsidRPr="00365F95" w:rsidRDefault="00776154" w:rsidP="00776154">
      <w:pPr>
        <w:pStyle w:val="Heading4"/>
        <w:ind w:left="0" w:firstLine="0"/>
      </w:pPr>
      <w:r w:rsidRPr="00BA1FD9">
        <w:t>S</w:t>
      </w:r>
      <w:r>
        <w:t>takeholder views</w:t>
      </w:r>
    </w:p>
    <w:p w14:paraId="491529B6" w14:textId="7F6CD8A6" w:rsidR="00776154" w:rsidRPr="002011C1" w:rsidRDefault="00776154" w:rsidP="00776154">
      <w:pPr>
        <w:rPr>
          <w:lang w:val="en-AU" w:bidi="ar-SA"/>
        </w:rPr>
      </w:pPr>
      <w:r>
        <w:rPr>
          <w:rFonts w:cs="Arial"/>
          <w:szCs w:val="20"/>
        </w:rPr>
        <w:t>Five submitters (</w:t>
      </w:r>
      <w:r w:rsidR="00935C1E">
        <w:rPr>
          <w:rFonts w:cs="Arial"/>
          <w:szCs w:val="20"/>
        </w:rPr>
        <w:t>two</w:t>
      </w:r>
      <w:r>
        <w:rPr>
          <w:rFonts w:cs="Arial"/>
          <w:szCs w:val="20"/>
        </w:rPr>
        <w:t xml:space="preserve"> government, </w:t>
      </w:r>
      <w:r w:rsidR="00935C1E">
        <w:rPr>
          <w:rFonts w:cs="Arial"/>
          <w:szCs w:val="20"/>
        </w:rPr>
        <w:t>three</w:t>
      </w:r>
      <w:r>
        <w:rPr>
          <w:rFonts w:cs="Arial"/>
          <w:szCs w:val="20"/>
        </w:rPr>
        <w:t xml:space="preserve"> industry) commented on the permitted range for copper with four of the five submissions supporting alignment with Codex. One government submitter supported alignment with Codex STAN 72-1981 for powder formula only, citing the use of liquid, ready-</w:t>
      </w:r>
      <w:r w:rsidR="00935C1E">
        <w:rPr>
          <w:rFonts w:cs="Arial"/>
          <w:szCs w:val="20"/>
        </w:rPr>
        <w:t>to-use</w:t>
      </w:r>
      <w:r>
        <w:rPr>
          <w:rFonts w:cs="Arial"/>
          <w:szCs w:val="20"/>
        </w:rPr>
        <w:t xml:space="preserve"> infant formula in hospitals and the assumption that this product would be manufactured to meet the standard and would not have the added copper contribution from Australian drinking water. Thus there would be a risk that these infants</w:t>
      </w:r>
      <w:r w:rsidR="00935C1E">
        <w:rPr>
          <w:rFonts w:cs="Arial"/>
          <w:szCs w:val="20"/>
        </w:rPr>
        <w:t>’</w:t>
      </w:r>
      <w:r>
        <w:rPr>
          <w:rFonts w:cs="Arial"/>
          <w:szCs w:val="20"/>
        </w:rPr>
        <w:t xml:space="preserve"> copper requirements would not be met. The submitter suggested that the higher minimum be retained for liquid, ready</w:t>
      </w:r>
      <w:r w:rsidR="00935C1E">
        <w:rPr>
          <w:rFonts w:cs="Arial"/>
          <w:szCs w:val="20"/>
        </w:rPr>
        <w:t>-</w:t>
      </w:r>
      <w:r>
        <w:rPr>
          <w:rFonts w:cs="Arial"/>
          <w:szCs w:val="20"/>
        </w:rPr>
        <w:t>to</w:t>
      </w:r>
      <w:r w:rsidR="00935C1E">
        <w:rPr>
          <w:rFonts w:cs="Arial"/>
          <w:szCs w:val="20"/>
        </w:rPr>
        <w:t>-use</w:t>
      </w:r>
      <w:r>
        <w:rPr>
          <w:rFonts w:cs="Arial"/>
          <w:szCs w:val="20"/>
        </w:rPr>
        <w:t xml:space="preserve"> infant formula. </w:t>
      </w:r>
    </w:p>
    <w:p w14:paraId="66C7DAF7" w14:textId="53F77268" w:rsidR="000821E1" w:rsidRPr="00F45E20" w:rsidRDefault="00935C1E" w:rsidP="00F45E20">
      <w:pPr>
        <w:pStyle w:val="Heading4"/>
      </w:pPr>
      <w:r>
        <w:t>Nutrition r</w:t>
      </w:r>
      <w:r w:rsidR="00776154" w:rsidRPr="00BA1FD9">
        <w:t>isk assessment</w:t>
      </w:r>
    </w:p>
    <w:p w14:paraId="2EFC861F" w14:textId="099CBD9E" w:rsidR="003C7660" w:rsidRDefault="003C7660" w:rsidP="003C7660">
      <w:pPr>
        <w:autoSpaceDE w:val="0"/>
        <w:autoSpaceDN w:val="0"/>
        <w:adjustRightInd w:val="0"/>
        <w:rPr>
          <w:rFonts w:eastAsia="Arial Unicode MS"/>
        </w:rPr>
      </w:pPr>
      <w:r w:rsidRPr="00741136">
        <w:rPr>
          <w:rFonts w:eastAsia="Arial Unicode MS"/>
        </w:rPr>
        <w:t xml:space="preserve">No further </w:t>
      </w:r>
      <w:r w:rsidR="00935C1E">
        <w:rPr>
          <w:rFonts w:eastAsia="Arial Unicode MS"/>
        </w:rPr>
        <w:t xml:space="preserve">nutrition </w:t>
      </w:r>
      <w:r>
        <w:rPr>
          <w:rFonts w:eastAsia="Arial Unicode MS"/>
        </w:rPr>
        <w:t xml:space="preserve">risk assessment was </w:t>
      </w:r>
      <w:r>
        <w:rPr>
          <w:lang w:val="en-AU" w:eastAsia="en-AU" w:bidi="ar-SA"/>
        </w:rPr>
        <w:t>considered</w:t>
      </w:r>
      <w:r>
        <w:rPr>
          <w:rFonts w:eastAsia="Arial Unicode MS"/>
        </w:rPr>
        <w:t xml:space="preserve"> on this issue.</w:t>
      </w:r>
    </w:p>
    <w:p w14:paraId="5D231436" w14:textId="77777777" w:rsidR="009B15A6" w:rsidRDefault="009B15A6" w:rsidP="003C7660">
      <w:pPr>
        <w:autoSpaceDE w:val="0"/>
        <w:autoSpaceDN w:val="0"/>
        <w:adjustRightInd w:val="0"/>
        <w:rPr>
          <w:rFonts w:eastAsia="Arial Unicode MS"/>
        </w:rPr>
      </w:pPr>
    </w:p>
    <w:p w14:paraId="372FA9F9" w14:textId="29B2EC86" w:rsidR="000821E1" w:rsidRPr="009E5033" w:rsidRDefault="000821E1" w:rsidP="009E5033">
      <w:pPr>
        <w:contextualSpacing/>
        <w:rPr>
          <w:lang w:eastAsia="en-AU" w:bidi="ar-SA"/>
        </w:rPr>
      </w:pPr>
      <w:r w:rsidRPr="00CE513F">
        <w:rPr>
          <w:lang w:eastAsia="en-AU" w:bidi="ar-SA"/>
        </w:rPr>
        <w:t xml:space="preserve">The 2021 nutrition </w:t>
      </w:r>
      <w:r w:rsidR="00935C1E">
        <w:rPr>
          <w:lang w:eastAsia="en-AU" w:bidi="ar-SA"/>
        </w:rPr>
        <w:t xml:space="preserve">risk </w:t>
      </w:r>
      <w:r w:rsidRPr="00CE513F">
        <w:rPr>
          <w:lang w:eastAsia="en-AU" w:bidi="ar-SA"/>
        </w:rPr>
        <w:t xml:space="preserve">assessment </w:t>
      </w:r>
      <w:r w:rsidR="003C7660">
        <w:rPr>
          <w:lang w:eastAsia="en-AU" w:bidi="ar-SA"/>
        </w:rPr>
        <w:t>note</w:t>
      </w:r>
      <w:r w:rsidR="006525BE">
        <w:rPr>
          <w:lang w:eastAsia="en-AU" w:bidi="ar-SA"/>
        </w:rPr>
        <w:t>d</w:t>
      </w:r>
      <w:r w:rsidRPr="00CE513F">
        <w:rPr>
          <w:lang w:eastAsia="en-AU" w:bidi="ar-SA"/>
        </w:rPr>
        <w:t xml:space="preserve"> that if the vitamin C maximum amount listed in </w:t>
      </w:r>
      <w:r w:rsidR="005E78AA" w:rsidRPr="00CE513F">
        <w:rPr>
          <w:lang w:eastAsia="en-AU" w:bidi="ar-SA"/>
        </w:rPr>
        <w:t>S</w:t>
      </w:r>
      <w:r w:rsidR="005E78AA">
        <w:rPr>
          <w:lang w:eastAsia="en-AU" w:bidi="ar-SA"/>
        </w:rPr>
        <w:t>ection</w:t>
      </w:r>
      <w:r w:rsidR="005E78AA" w:rsidRPr="00CE513F">
        <w:rPr>
          <w:lang w:eastAsia="en-AU" w:bidi="ar-SA"/>
        </w:rPr>
        <w:t xml:space="preserve"> </w:t>
      </w:r>
      <w:r w:rsidR="005E78AA">
        <w:rPr>
          <w:lang w:eastAsia="en-AU" w:bidi="ar-SA"/>
        </w:rPr>
        <w:t>S</w:t>
      </w:r>
      <w:r w:rsidRPr="00CE513F">
        <w:rPr>
          <w:lang w:eastAsia="en-AU" w:bidi="ar-SA"/>
        </w:rPr>
        <w:t>29</w:t>
      </w:r>
      <w:r w:rsidR="005E78AA">
        <w:rPr>
          <w:lang w:eastAsia="en-AU" w:bidi="ar-SA"/>
        </w:rPr>
        <w:t>—</w:t>
      </w:r>
      <w:r w:rsidRPr="00CE513F">
        <w:rPr>
          <w:lang w:eastAsia="en-AU" w:bidi="ar-SA"/>
        </w:rPr>
        <w:t xml:space="preserve">10 is increased then consideration should be given to the relationship between iron and ascorbic acid and its negative effect on copper </w:t>
      </w:r>
      <w:r w:rsidR="003C7660">
        <w:rPr>
          <w:lang w:eastAsia="en-AU" w:bidi="ar-SA"/>
        </w:rPr>
        <w:t>metabolism.</w:t>
      </w:r>
      <w:r w:rsidRPr="00CE513F">
        <w:rPr>
          <w:lang w:eastAsia="en-AU" w:bidi="ar-SA"/>
        </w:rPr>
        <w:t xml:space="preserve"> </w:t>
      </w:r>
      <w:r w:rsidR="003C7660">
        <w:rPr>
          <w:lang w:eastAsia="en-AU" w:bidi="ar-SA"/>
        </w:rPr>
        <w:t xml:space="preserve">This consideration is further assessed in section </w:t>
      </w:r>
      <w:r w:rsidR="009E5033">
        <w:rPr>
          <w:lang w:eastAsia="en-AU" w:bidi="ar-SA"/>
        </w:rPr>
        <w:t>7</w:t>
      </w:r>
      <w:r w:rsidR="00935C1E">
        <w:rPr>
          <w:lang w:eastAsia="en-AU" w:bidi="ar-SA"/>
        </w:rPr>
        <w:t>.4.3</w:t>
      </w:r>
      <w:r w:rsidR="003C7660">
        <w:rPr>
          <w:lang w:eastAsia="en-AU" w:bidi="ar-SA"/>
        </w:rPr>
        <w:t xml:space="preserve">. </w:t>
      </w:r>
    </w:p>
    <w:p w14:paraId="6E29C69C" w14:textId="77777777" w:rsidR="00776154" w:rsidRDefault="00776154" w:rsidP="00776154">
      <w:pPr>
        <w:pStyle w:val="Heading4"/>
      </w:pPr>
      <w:r w:rsidRPr="00BA1FD9">
        <w:t>Options and discussion</w:t>
      </w:r>
    </w:p>
    <w:p w14:paraId="53B53446" w14:textId="2661B60D" w:rsidR="00776154" w:rsidRDefault="00935C1E" w:rsidP="00776154">
      <w:pPr>
        <w:rPr>
          <w:lang w:val="en-AU" w:bidi="ar-SA"/>
        </w:rPr>
      </w:pPr>
      <w:r>
        <w:rPr>
          <w:lang w:val="en-AU" w:bidi="ar-SA"/>
        </w:rPr>
        <w:t>The 2021 c</w:t>
      </w:r>
      <w:r w:rsidR="00776154">
        <w:rPr>
          <w:lang w:val="en-AU" w:bidi="ar-SA"/>
        </w:rPr>
        <w:t>omposition survey based on label data did not include liquid, ready</w:t>
      </w:r>
      <w:r>
        <w:rPr>
          <w:lang w:val="en-AU" w:bidi="ar-SA"/>
        </w:rPr>
        <w:t>-</w:t>
      </w:r>
      <w:r w:rsidR="00776154">
        <w:rPr>
          <w:lang w:val="en-AU" w:bidi="ar-SA"/>
        </w:rPr>
        <w:t>to</w:t>
      </w:r>
      <w:r>
        <w:rPr>
          <w:lang w:val="en-AU" w:bidi="ar-SA"/>
        </w:rPr>
        <w:t>-use</w:t>
      </w:r>
      <w:r w:rsidR="00776154">
        <w:rPr>
          <w:lang w:val="en-AU" w:bidi="ar-SA"/>
        </w:rPr>
        <w:t xml:space="preserve"> formula because these products are not available for retail sale in </w:t>
      </w:r>
      <w:r w:rsidR="00F46AB9">
        <w:rPr>
          <w:lang w:val="en-AU" w:bidi="ar-SA"/>
        </w:rPr>
        <w:t>ANZ.</w:t>
      </w:r>
      <w:r w:rsidR="00776154">
        <w:rPr>
          <w:lang w:val="en-AU" w:bidi="ar-SA"/>
        </w:rPr>
        <w:t xml:space="preserve"> FSANZ does not </w:t>
      </w:r>
      <w:r w:rsidR="00776154">
        <w:rPr>
          <w:lang w:val="en-AU" w:bidi="ar-SA"/>
        </w:rPr>
        <w:lastRenderedPageBreak/>
        <w:t>have information</w:t>
      </w:r>
      <w:r w:rsidR="006E311A">
        <w:rPr>
          <w:lang w:val="en-AU" w:bidi="ar-SA"/>
        </w:rPr>
        <w:t xml:space="preserve"> on</w:t>
      </w:r>
      <w:r w:rsidR="00776154">
        <w:rPr>
          <w:lang w:val="en-AU" w:bidi="ar-SA"/>
        </w:rPr>
        <w:t xml:space="preserve"> the types of infant formula (i.e. </w:t>
      </w:r>
      <w:r>
        <w:rPr>
          <w:lang w:val="en-AU" w:bidi="ar-SA"/>
        </w:rPr>
        <w:t xml:space="preserve">infant formula </w:t>
      </w:r>
      <w:r w:rsidR="00776154">
        <w:rPr>
          <w:lang w:val="en-AU" w:bidi="ar-SA"/>
        </w:rPr>
        <w:t xml:space="preserve">or </w:t>
      </w:r>
      <w:r w:rsidR="00A45884">
        <w:rPr>
          <w:lang w:val="en-AU" w:bidi="ar-SA"/>
        </w:rPr>
        <w:t>IFPSDU</w:t>
      </w:r>
      <w:r w:rsidR="00776154">
        <w:rPr>
          <w:lang w:val="en-AU" w:bidi="ar-SA"/>
        </w:rPr>
        <w:t xml:space="preserve">) products being used in hospitals. </w:t>
      </w:r>
    </w:p>
    <w:p w14:paraId="69A346F5" w14:textId="77777777" w:rsidR="00776154" w:rsidRDefault="00776154" w:rsidP="00776154">
      <w:pPr>
        <w:rPr>
          <w:lang w:val="en-AU" w:bidi="ar-SA"/>
        </w:rPr>
      </w:pPr>
    </w:p>
    <w:p w14:paraId="37E60390" w14:textId="1D5F11C7" w:rsidR="00776154" w:rsidRPr="00A60BB7" w:rsidRDefault="00776154" w:rsidP="00776154">
      <w:pPr>
        <w:rPr>
          <w:rFonts w:cs="Arial"/>
          <w:lang w:bidi="ar-SA"/>
        </w:rPr>
      </w:pPr>
      <w:r w:rsidRPr="006E311A">
        <w:rPr>
          <w:rFonts w:cs="Arial"/>
          <w:lang w:val="en-AU" w:bidi="ar-SA"/>
        </w:rPr>
        <w:t xml:space="preserve">The Codex minimum level has been adopted in the </w:t>
      </w:r>
      <w:r w:rsidR="00B96544" w:rsidRPr="006E311A">
        <w:rPr>
          <w:rFonts w:cs="Arial"/>
        </w:rPr>
        <w:t>Codex Draft Standard for FUF</w:t>
      </w:r>
      <w:r w:rsidR="006525BE">
        <w:rPr>
          <w:rFonts w:cs="Arial"/>
        </w:rPr>
        <w:t xml:space="preserve"> (FAO/WHO 2018)</w:t>
      </w:r>
      <w:r w:rsidR="00B96544" w:rsidRPr="006E311A">
        <w:rPr>
          <w:rFonts w:cs="Arial"/>
        </w:rPr>
        <w:t>.</w:t>
      </w:r>
      <w:r w:rsidR="00B96544" w:rsidRPr="006E311A">
        <w:rPr>
          <w:rFonts w:cs="Arial"/>
          <w:lang w:val="en-AU" w:bidi="ar-SA"/>
        </w:rPr>
        <w:t xml:space="preserve"> </w:t>
      </w:r>
      <w:r w:rsidRPr="006E311A">
        <w:rPr>
          <w:rFonts w:cs="Arial"/>
          <w:lang w:val="en-AU" w:bidi="ar-SA"/>
        </w:rPr>
        <w:t xml:space="preserve">As noted in the 2016 nutrition </w:t>
      </w:r>
      <w:r w:rsidR="00935C1E" w:rsidRPr="00EA3E96">
        <w:rPr>
          <w:rFonts w:cs="Arial"/>
          <w:lang w:val="en-AU" w:bidi="ar-SA"/>
        </w:rPr>
        <w:t xml:space="preserve">risk </w:t>
      </w:r>
      <w:r w:rsidRPr="00EA3E96">
        <w:rPr>
          <w:rFonts w:cs="Arial"/>
          <w:lang w:val="en-AU" w:bidi="ar-SA"/>
        </w:rPr>
        <w:t>assessment, t</w:t>
      </w:r>
      <w:r w:rsidRPr="00EA3E96">
        <w:rPr>
          <w:rFonts w:cs="Arial"/>
          <w:lang w:bidi="ar-SA"/>
        </w:rPr>
        <w:t xml:space="preserve">he Codex minimum amount </w:t>
      </w:r>
      <w:r w:rsidR="00935C1E" w:rsidRPr="00EA3E96">
        <w:rPr>
          <w:rFonts w:cs="Arial"/>
          <w:lang w:bidi="ar-SA"/>
        </w:rPr>
        <w:t>of</w:t>
      </w:r>
      <w:r w:rsidRPr="00EA3E96">
        <w:rPr>
          <w:rFonts w:cs="Arial"/>
          <w:lang w:bidi="ar-SA"/>
        </w:rPr>
        <w:t xml:space="preserve"> 232 </w:t>
      </w:r>
      <w:r w:rsidR="00935C1E" w:rsidRPr="00BC4A54">
        <w:rPr>
          <w:rFonts w:cs="Arial"/>
          <w:lang w:bidi="ar-SA"/>
        </w:rPr>
        <w:t>µ</w:t>
      </w:r>
      <w:r w:rsidRPr="00BC4A54">
        <w:rPr>
          <w:rFonts w:cs="Arial"/>
          <w:lang w:bidi="ar-SA"/>
        </w:rPr>
        <w:t>g/L is within the reported range in breast milk from studies conducted in</w:t>
      </w:r>
      <w:r w:rsidRPr="00C46AA4">
        <w:rPr>
          <w:rFonts w:cs="Arial"/>
          <w:lang w:bidi="ar-SA"/>
        </w:rPr>
        <w:t xml:space="preserve"> Japan and the United States</w:t>
      </w:r>
      <w:r w:rsidR="00935C1E" w:rsidRPr="00A60BB7">
        <w:rPr>
          <w:rFonts w:cs="Arial"/>
          <w:lang w:bidi="ar-SA"/>
        </w:rPr>
        <w:t xml:space="preserve"> (150–400 </w:t>
      </w:r>
      <w:r w:rsidR="00935C1E" w:rsidRPr="00A45884">
        <w:rPr>
          <w:rFonts w:cs="Arial"/>
          <w:lang w:bidi="ar-SA"/>
        </w:rPr>
        <w:t>µ</w:t>
      </w:r>
      <w:r w:rsidR="00935C1E" w:rsidRPr="006E311A">
        <w:rPr>
          <w:rFonts w:cs="Arial"/>
          <w:lang w:bidi="ar-SA"/>
        </w:rPr>
        <w:t>g/L) (</w:t>
      </w:r>
      <w:r w:rsidR="00AA3A9A" w:rsidRPr="006E311A">
        <w:rPr>
          <w:rFonts w:cs="Arial"/>
          <w:lang w:bidi="ar-SA"/>
        </w:rPr>
        <w:t>Casey 1995</w:t>
      </w:r>
      <w:r w:rsidR="00615705">
        <w:rPr>
          <w:rFonts w:cs="Arial"/>
          <w:lang w:bidi="ar-SA"/>
        </w:rPr>
        <w:t>;</w:t>
      </w:r>
      <w:r w:rsidR="00AA3A9A" w:rsidRPr="006E311A">
        <w:rPr>
          <w:rFonts w:cs="Arial"/>
          <w:lang w:bidi="ar-SA"/>
        </w:rPr>
        <w:t xml:space="preserve"> Y</w:t>
      </w:r>
      <w:r w:rsidR="00AA3A9A" w:rsidRPr="006E311A">
        <w:rPr>
          <w:rFonts w:cs="Arial"/>
          <w:szCs w:val="22"/>
        </w:rPr>
        <w:t xml:space="preserve">amawaki </w:t>
      </w:r>
      <w:r w:rsidR="00D70A45">
        <w:rPr>
          <w:rFonts w:cs="Arial"/>
          <w:szCs w:val="22"/>
        </w:rPr>
        <w:t xml:space="preserve">et al. </w:t>
      </w:r>
      <w:r w:rsidR="00AA3A9A" w:rsidRPr="006E311A">
        <w:rPr>
          <w:rFonts w:cs="Arial"/>
          <w:szCs w:val="22"/>
        </w:rPr>
        <w:t>2005</w:t>
      </w:r>
      <w:r w:rsidR="00615705">
        <w:rPr>
          <w:rFonts w:cs="Arial"/>
          <w:szCs w:val="22"/>
        </w:rPr>
        <w:t>;</w:t>
      </w:r>
      <w:r w:rsidR="00AA3A9A" w:rsidRPr="006E311A">
        <w:rPr>
          <w:rFonts w:cs="Arial"/>
          <w:szCs w:val="22"/>
        </w:rPr>
        <w:t xml:space="preserve"> L</w:t>
      </w:r>
      <w:r w:rsidR="00615705" w:rsidRPr="00953A8B">
        <w:rPr>
          <w:rFonts w:cs="Arial"/>
          <w:szCs w:val="22"/>
        </w:rPr>
        <w:t>ö</w:t>
      </w:r>
      <w:r w:rsidR="00AA3A9A" w:rsidRPr="006E311A">
        <w:rPr>
          <w:rFonts w:cs="Arial"/>
          <w:szCs w:val="22"/>
        </w:rPr>
        <w:t>nnerdal 2008</w:t>
      </w:r>
      <w:r w:rsidR="00935C1E" w:rsidRPr="006E311A">
        <w:rPr>
          <w:rFonts w:cs="Arial"/>
          <w:lang w:bidi="ar-SA"/>
        </w:rPr>
        <w:t>).</w:t>
      </w:r>
      <w:r w:rsidRPr="006E311A">
        <w:rPr>
          <w:rFonts w:cs="Arial"/>
          <w:lang w:bidi="ar-SA"/>
        </w:rPr>
        <w:t xml:space="preserve"> Based on European studies, </w:t>
      </w:r>
      <w:r w:rsidRPr="00EA3E96">
        <w:rPr>
          <w:rFonts w:cs="Arial"/>
          <w:lang w:bidi="ar-SA"/>
        </w:rPr>
        <w:t xml:space="preserve">EFSA 2014 reported a higher range </w:t>
      </w:r>
      <w:r w:rsidR="00935C1E" w:rsidRPr="00EA3E96">
        <w:rPr>
          <w:rFonts w:cs="Arial"/>
          <w:lang w:bidi="ar-SA"/>
        </w:rPr>
        <w:t xml:space="preserve">of </w:t>
      </w:r>
      <w:r w:rsidRPr="00EA3E96">
        <w:rPr>
          <w:rFonts w:cs="Arial"/>
          <w:lang w:bidi="ar-SA"/>
        </w:rPr>
        <w:t>copper in breast milk (329</w:t>
      </w:r>
      <w:r w:rsidR="00935C1E" w:rsidRPr="00EA3E96">
        <w:rPr>
          <w:rFonts w:cs="Arial"/>
          <w:lang w:bidi="ar-SA"/>
        </w:rPr>
        <w:t>–</w:t>
      </w:r>
      <w:r w:rsidRPr="00BC4A54">
        <w:rPr>
          <w:rFonts w:cs="Arial"/>
          <w:lang w:bidi="ar-SA"/>
        </w:rPr>
        <w:t xml:space="preserve">390 </w:t>
      </w:r>
      <w:r w:rsidR="00935C1E" w:rsidRPr="00BC4A54">
        <w:rPr>
          <w:rFonts w:cs="Arial"/>
          <w:lang w:bidi="ar-SA"/>
        </w:rPr>
        <w:t>µ</w:t>
      </w:r>
      <w:r w:rsidRPr="008F1E1E">
        <w:rPr>
          <w:rFonts w:cs="Arial"/>
          <w:lang w:bidi="ar-SA"/>
        </w:rPr>
        <w:t xml:space="preserve">g/L) which is the basis for the </w:t>
      </w:r>
      <w:r w:rsidR="00935C1E" w:rsidRPr="00C46AA4">
        <w:rPr>
          <w:rFonts w:cs="Arial"/>
          <w:lang w:bidi="ar-SA"/>
        </w:rPr>
        <w:t xml:space="preserve">EU 2016/127 </w:t>
      </w:r>
      <w:r w:rsidRPr="00A60BB7">
        <w:rPr>
          <w:rFonts w:cs="Arial"/>
          <w:lang w:bidi="ar-SA"/>
        </w:rPr>
        <w:t xml:space="preserve">minimum (14.3 </w:t>
      </w:r>
      <w:r w:rsidR="00935C1E" w:rsidRPr="00A60BB7">
        <w:rPr>
          <w:rFonts w:cs="Arial"/>
          <w:lang w:bidi="ar-SA"/>
        </w:rPr>
        <w:t>µ</w:t>
      </w:r>
      <w:r w:rsidRPr="00A60BB7">
        <w:rPr>
          <w:rFonts w:cs="Arial"/>
          <w:lang w:bidi="ar-SA"/>
        </w:rPr>
        <w:t>g/100 kJ)</w:t>
      </w:r>
      <w:r w:rsidR="00935C1E" w:rsidRPr="00A60BB7">
        <w:rPr>
          <w:rFonts w:cs="Arial"/>
          <w:lang w:bidi="ar-SA"/>
        </w:rPr>
        <w:t>.</w:t>
      </w:r>
    </w:p>
    <w:p w14:paraId="0E238DFF" w14:textId="77777777" w:rsidR="00776154" w:rsidRDefault="00776154" w:rsidP="00776154">
      <w:pPr>
        <w:rPr>
          <w:lang w:val="en-AU" w:bidi="ar-SA"/>
        </w:rPr>
      </w:pPr>
    </w:p>
    <w:p w14:paraId="050B2B95" w14:textId="142D2F60" w:rsidR="00776154" w:rsidRPr="00EA3E96" w:rsidRDefault="00776154" w:rsidP="00776154">
      <w:pPr>
        <w:rPr>
          <w:rFonts w:cs="Arial"/>
          <w:lang w:val="en-AU" w:bidi="ar-SA"/>
        </w:rPr>
      </w:pPr>
      <w:r w:rsidRPr="006E311A">
        <w:rPr>
          <w:rFonts w:cs="Arial"/>
          <w:lang w:val="en-AU" w:bidi="ar-SA"/>
        </w:rPr>
        <w:t xml:space="preserve">Excluding the amount of copper contributed </w:t>
      </w:r>
      <w:r w:rsidR="00935C1E" w:rsidRPr="006E311A">
        <w:rPr>
          <w:rFonts w:cs="Arial"/>
          <w:lang w:val="en-AU" w:bidi="ar-SA"/>
        </w:rPr>
        <w:t xml:space="preserve">by </w:t>
      </w:r>
      <w:r w:rsidRPr="007C62B9">
        <w:rPr>
          <w:rFonts w:cs="Arial"/>
          <w:lang w:val="en-AU" w:bidi="ar-SA"/>
        </w:rPr>
        <w:t xml:space="preserve">potable water, the estimated intake of copper for infants 0-6 months consuming formula </w:t>
      </w:r>
      <w:r w:rsidR="00935C1E" w:rsidRPr="007C62B9">
        <w:rPr>
          <w:rFonts w:cs="Arial"/>
          <w:lang w:val="en-AU" w:bidi="ar-SA"/>
        </w:rPr>
        <w:t xml:space="preserve">prepared from powder </w:t>
      </w:r>
      <w:r w:rsidRPr="000753C0">
        <w:rPr>
          <w:rFonts w:cs="Arial"/>
          <w:lang w:val="en-AU" w:bidi="ar-SA"/>
        </w:rPr>
        <w:t xml:space="preserve">is 186 </w:t>
      </w:r>
      <w:r w:rsidR="00935C1E" w:rsidRPr="00A45884">
        <w:rPr>
          <w:rFonts w:cs="Arial"/>
          <w:lang w:val="en-AU" w:bidi="ar-SA"/>
        </w:rPr>
        <w:t>µ</w:t>
      </w:r>
      <w:r w:rsidRPr="006E311A">
        <w:rPr>
          <w:rFonts w:cs="Arial"/>
          <w:lang w:val="en-AU" w:bidi="ar-SA"/>
        </w:rPr>
        <w:t xml:space="preserve">g/day, which is within 10% of the ANZ AI (200 </w:t>
      </w:r>
      <w:r w:rsidR="00935C1E" w:rsidRPr="00A45884">
        <w:rPr>
          <w:rFonts w:cs="Arial"/>
          <w:lang w:val="en-AU" w:bidi="ar-SA"/>
        </w:rPr>
        <w:t>µ</w:t>
      </w:r>
      <w:r w:rsidRPr="006E311A">
        <w:rPr>
          <w:rFonts w:cs="Arial"/>
          <w:lang w:val="en-AU" w:bidi="ar-SA"/>
        </w:rPr>
        <w:t>g/day). It is assumed that this estimated intak</w:t>
      </w:r>
      <w:r w:rsidRPr="007C62B9">
        <w:rPr>
          <w:rFonts w:cs="Arial"/>
          <w:lang w:val="en-AU" w:bidi="ar-SA"/>
        </w:rPr>
        <w:t xml:space="preserve">e would not be </w:t>
      </w:r>
      <w:r w:rsidR="00710169" w:rsidRPr="00EA3E96">
        <w:rPr>
          <w:rFonts w:cs="Arial"/>
          <w:lang w:val="en-AU" w:bidi="ar-SA"/>
        </w:rPr>
        <w:t xml:space="preserve">consistent </w:t>
      </w:r>
      <w:r w:rsidRPr="00EA3E96">
        <w:rPr>
          <w:rFonts w:cs="Arial"/>
          <w:lang w:val="en-AU" w:bidi="ar-SA"/>
        </w:rPr>
        <w:t xml:space="preserve">across the whole feeding period. </w:t>
      </w:r>
    </w:p>
    <w:p w14:paraId="1893B299" w14:textId="77777777" w:rsidR="00776154" w:rsidRPr="00C46AA4" w:rsidRDefault="00776154" w:rsidP="00776154">
      <w:pPr>
        <w:rPr>
          <w:rFonts w:cs="Arial"/>
          <w:lang w:val="en-AU" w:bidi="ar-SA"/>
        </w:rPr>
      </w:pPr>
    </w:p>
    <w:p w14:paraId="75374549" w14:textId="56C9C120" w:rsidR="00776154" w:rsidRPr="00A60BB7" w:rsidRDefault="00776154" w:rsidP="00776154">
      <w:pPr>
        <w:rPr>
          <w:rFonts w:cs="Arial"/>
          <w:lang w:bidi="ar-SA"/>
        </w:rPr>
      </w:pPr>
      <w:r w:rsidRPr="00A60BB7">
        <w:rPr>
          <w:rFonts w:cs="Arial"/>
          <w:lang w:val="en-AU" w:bidi="ar-SA"/>
        </w:rPr>
        <w:t xml:space="preserve">FSANZ notes that copper deficiency is rare in humans except in pre-term infants. </w:t>
      </w:r>
      <w:r w:rsidRPr="00A60BB7">
        <w:rPr>
          <w:rFonts w:cs="Arial"/>
          <w:lang w:bidi="ar-SA"/>
        </w:rPr>
        <w:t xml:space="preserve">Pre-term products are highly specialised, generally available through neo-natal paediatrics and supplied where medically necessary. Provisions for micronutrients for these products would not be set within </w:t>
      </w:r>
      <w:r w:rsidR="006525BE">
        <w:rPr>
          <w:rFonts w:cs="Arial"/>
          <w:lang w:bidi="ar-SA"/>
        </w:rPr>
        <w:t>this division of Standard 2.9.1</w:t>
      </w:r>
      <w:r w:rsidRPr="00A60BB7">
        <w:rPr>
          <w:rFonts w:cs="Arial"/>
          <w:lang w:bidi="ar-SA"/>
        </w:rPr>
        <w:t>.</w:t>
      </w:r>
      <w:r w:rsidR="006525BE">
        <w:rPr>
          <w:rFonts w:cs="Arial"/>
          <w:lang w:bidi="ar-SA"/>
        </w:rPr>
        <w:t xml:space="preserve"> Further considerations of IFPSDU will be provided in Consultation paper 3 of this series.</w:t>
      </w:r>
    </w:p>
    <w:p w14:paraId="6469FA14" w14:textId="77777777" w:rsidR="00776154" w:rsidRDefault="00776154" w:rsidP="00776154">
      <w:pPr>
        <w:pStyle w:val="Heading4"/>
      </w:pPr>
      <w:r w:rsidRPr="00BA1FD9">
        <w:t>Prop</w:t>
      </w:r>
      <w:r>
        <w:t>o</w:t>
      </w:r>
      <w:r w:rsidRPr="00BA1FD9">
        <w:t xml:space="preserve">sed </w:t>
      </w:r>
      <w:r>
        <w:t>approach</w:t>
      </w:r>
    </w:p>
    <w:p w14:paraId="50ABB525" w14:textId="29234983" w:rsidR="00776154" w:rsidRPr="00B81549" w:rsidRDefault="00776154" w:rsidP="00776154">
      <w:pPr>
        <w:rPr>
          <w:lang w:val="en-AU" w:bidi="ar-SA"/>
        </w:rPr>
      </w:pPr>
      <w:r>
        <w:rPr>
          <w:lang w:val="en-AU" w:bidi="ar-SA"/>
        </w:rPr>
        <w:t>Based on the arguments above, the permitted range for copper is proposed to be aligned with Codex STAN 72-1981 at 8.5</w:t>
      </w:r>
      <w:r w:rsidR="00710169">
        <w:rPr>
          <w:lang w:val="en-AU" w:bidi="ar-SA"/>
        </w:rPr>
        <w:t>–</w:t>
      </w:r>
      <w:r>
        <w:rPr>
          <w:lang w:val="en-AU" w:bidi="ar-SA"/>
        </w:rPr>
        <w:t xml:space="preserve">29 (GUL) </w:t>
      </w:r>
      <w:r w:rsidR="00710169" w:rsidRPr="0007721F">
        <w:rPr>
          <w:lang w:val="en-AU" w:bidi="ar-SA"/>
        </w:rPr>
        <w:t>µ</w:t>
      </w:r>
      <w:r w:rsidR="00D0635C">
        <w:rPr>
          <w:lang w:val="en-AU" w:bidi="ar-SA"/>
        </w:rPr>
        <w:t>g/100 kJ. See section 7</w:t>
      </w:r>
      <w:r>
        <w:rPr>
          <w:lang w:val="en-AU" w:bidi="ar-SA"/>
        </w:rPr>
        <w:t>.1 for discussion on setting maximum level</w:t>
      </w:r>
      <w:r w:rsidR="00710169">
        <w:rPr>
          <w:lang w:val="en-AU" w:bidi="ar-SA"/>
        </w:rPr>
        <w:t>s</w:t>
      </w:r>
      <w:r>
        <w:rPr>
          <w:lang w:val="en-AU" w:bidi="ar-SA"/>
        </w:rPr>
        <w:t xml:space="preserve"> as a GUL. </w:t>
      </w:r>
    </w:p>
    <w:p w14:paraId="52F1416C" w14:textId="4F1AFBC1" w:rsidR="00776154" w:rsidRPr="000E6B06" w:rsidRDefault="002D0686" w:rsidP="000E6B06">
      <w:pPr>
        <w:spacing w:before="240" w:after="240"/>
        <w:rPr>
          <w:b/>
          <w:sz w:val="28"/>
          <w:szCs w:val="28"/>
        </w:rPr>
      </w:pPr>
      <w:bookmarkStart w:id="381" w:name="_Toc70415484"/>
      <w:bookmarkStart w:id="382" w:name="_Toc73455647"/>
      <w:bookmarkStart w:id="383" w:name="_Toc73624920"/>
      <w:r w:rsidRPr="000E6B06">
        <w:rPr>
          <w:b/>
          <w:sz w:val="28"/>
          <w:szCs w:val="28"/>
        </w:rPr>
        <w:t>7.3:</w:t>
      </w:r>
      <w:r w:rsidRPr="000E6B06">
        <w:rPr>
          <w:b/>
          <w:sz w:val="28"/>
          <w:szCs w:val="28"/>
        </w:rPr>
        <w:tab/>
      </w:r>
      <w:r w:rsidR="00776154" w:rsidRPr="000E6B06">
        <w:rPr>
          <w:b/>
          <w:sz w:val="28"/>
          <w:szCs w:val="28"/>
        </w:rPr>
        <w:t>Permitted range where further information was sought</w:t>
      </w:r>
      <w:bookmarkEnd w:id="381"/>
      <w:bookmarkEnd w:id="382"/>
      <w:bookmarkEnd w:id="383"/>
      <w:r w:rsidR="00776154" w:rsidRPr="000E6B06">
        <w:rPr>
          <w:b/>
          <w:sz w:val="28"/>
          <w:szCs w:val="28"/>
        </w:rPr>
        <w:t xml:space="preserve">  </w:t>
      </w:r>
    </w:p>
    <w:p w14:paraId="0C67A64D" w14:textId="64FD0BFE" w:rsidR="00776154" w:rsidRDefault="00776154" w:rsidP="00776154">
      <w:pPr>
        <w:rPr>
          <w:lang w:val="en-AU" w:bidi="ar-SA"/>
        </w:rPr>
      </w:pPr>
      <w:r w:rsidRPr="00953569">
        <w:rPr>
          <w:lang w:bidi="ar-SA"/>
        </w:rPr>
        <w:t xml:space="preserve">This section covers the permitted range of micronutrients that are not currently aligned with Codex STAN 72-1981, and the preliminary view from the 2016 </w:t>
      </w:r>
      <w:r w:rsidR="00710169">
        <w:rPr>
          <w:lang w:bidi="ar-SA"/>
        </w:rPr>
        <w:t>Consultation paper</w:t>
      </w:r>
      <w:r w:rsidR="00710169" w:rsidRPr="00953569">
        <w:rPr>
          <w:lang w:bidi="ar-SA"/>
        </w:rPr>
        <w:t xml:space="preserve"> </w:t>
      </w:r>
      <w:r w:rsidRPr="00953569">
        <w:rPr>
          <w:lang w:bidi="ar-SA"/>
        </w:rPr>
        <w:t xml:space="preserve">was that the permitted range </w:t>
      </w:r>
      <w:r>
        <w:rPr>
          <w:lang w:bidi="ar-SA"/>
        </w:rPr>
        <w:t xml:space="preserve">under </w:t>
      </w:r>
      <w:r w:rsidRPr="00953569">
        <w:rPr>
          <w:lang w:bidi="ar-SA"/>
        </w:rPr>
        <w:t>Codex STAN 72-1981</w:t>
      </w:r>
      <w:r>
        <w:rPr>
          <w:lang w:bidi="ar-SA"/>
        </w:rPr>
        <w:t xml:space="preserve"> may not be appropriate. FSANZ specifically sought comments from stakeholders</w:t>
      </w:r>
      <w:r w:rsidR="00710169">
        <w:rPr>
          <w:lang w:bidi="ar-SA"/>
        </w:rPr>
        <w:t xml:space="preserve"> on these nutrients, which included</w:t>
      </w:r>
      <w:r>
        <w:rPr>
          <w:lang w:bidi="ar-SA"/>
        </w:rPr>
        <w:t xml:space="preserve"> vitamin C, chromium, molybdenum, iodine, zinc, iron, and selenium. </w:t>
      </w:r>
    </w:p>
    <w:p w14:paraId="7F63982F" w14:textId="4E75E5EF" w:rsidR="00776154" w:rsidRDefault="00313605" w:rsidP="002D0686">
      <w:pPr>
        <w:pStyle w:val="Heading3"/>
      </w:pPr>
      <w:r>
        <w:t>7</w:t>
      </w:r>
      <w:r w:rsidR="00776154">
        <w:t>.3.</w:t>
      </w:r>
      <w:r w:rsidR="002D0686">
        <w:t>6</w:t>
      </w:r>
      <w:r w:rsidR="002D0686">
        <w:tab/>
      </w:r>
      <w:r w:rsidR="00776154" w:rsidRPr="001F2D49">
        <w:t>Vitamin C</w:t>
      </w:r>
      <w:r w:rsidR="00776154">
        <w:t xml:space="preserve"> (maximum) </w:t>
      </w:r>
    </w:p>
    <w:p w14:paraId="2AD23677" w14:textId="77777777" w:rsidR="00776154" w:rsidRDefault="00776154" w:rsidP="00776154">
      <w:pPr>
        <w:pStyle w:val="Heading4"/>
      </w:pPr>
      <w:r w:rsidRPr="00BA1FD9">
        <w:t>Current regulations</w:t>
      </w:r>
    </w:p>
    <w:p w14:paraId="5D804294" w14:textId="40B4A4CD" w:rsidR="00776154" w:rsidRDefault="00776154" w:rsidP="00776154">
      <w:pPr>
        <w:rPr>
          <w:lang w:val="en-AU" w:bidi="ar-SA"/>
        </w:rPr>
      </w:pPr>
      <w:r w:rsidRPr="008D7880">
        <w:rPr>
          <w:lang w:bidi="ar-SA"/>
        </w:rPr>
        <w:t>The maximum</w:t>
      </w:r>
      <w:r>
        <w:rPr>
          <w:lang w:bidi="ar-SA"/>
        </w:rPr>
        <w:t xml:space="preserve"> vitamin C level</w:t>
      </w:r>
      <w:r w:rsidRPr="008D7880">
        <w:rPr>
          <w:lang w:bidi="ar-SA"/>
        </w:rPr>
        <w:t xml:space="preserve"> is a GUL in both standards, however the GUL in Codex STAN 72-1981 is 17 mg/100 kJ, whereas the GUL in </w:t>
      </w:r>
      <w:r w:rsidR="00790B79">
        <w:rPr>
          <w:lang w:bidi="ar-SA"/>
        </w:rPr>
        <w:t xml:space="preserve">section S29—10 </w:t>
      </w:r>
      <w:r w:rsidRPr="008D7880">
        <w:rPr>
          <w:lang w:bidi="ar-SA"/>
        </w:rPr>
        <w:t>is much lower at 5.4 mg/100 kJ</w:t>
      </w:r>
      <w:r>
        <w:rPr>
          <w:lang w:bidi="ar-SA"/>
        </w:rPr>
        <w:t>.</w:t>
      </w:r>
      <w:r>
        <w:rPr>
          <w:lang w:val="en-AU" w:bidi="ar-SA"/>
        </w:rPr>
        <w:t xml:space="preserve"> EU </w:t>
      </w:r>
      <w:r w:rsidR="00710169">
        <w:rPr>
          <w:lang w:val="en-AU" w:bidi="ar-SA"/>
        </w:rPr>
        <w:t xml:space="preserve">2016/127 </w:t>
      </w:r>
      <w:r>
        <w:rPr>
          <w:lang w:val="en-AU" w:bidi="ar-SA"/>
        </w:rPr>
        <w:t>sets a mandatory maximum vitamin C level of 7.2</w:t>
      </w:r>
      <w:r w:rsidR="00710169">
        <w:rPr>
          <w:lang w:val="en-AU" w:bidi="ar-SA"/>
        </w:rPr>
        <w:t> </w:t>
      </w:r>
      <w:r>
        <w:rPr>
          <w:lang w:val="en-AU" w:bidi="ar-SA"/>
        </w:rPr>
        <w:t xml:space="preserve">mg/100kJ. </w:t>
      </w:r>
    </w:p>
    <w:p w14:paraId="1C870F52" w14:textId="77777777" w:rsidR="00776154" w:rsidRDefault="00776154" w:rsidP="00776154">
      <w:pPr>
        <w:rPr>
          <w:lang w:val="en-AU" w:bidi="ar-SA"/>
        </w:rPr>
      </w:pPr>
    </w:p>
    <w:p w14:paraId="04637151" w14:textId="77777777" w:rsidR="00776154" w:rsidRDefault="00776154" w:rsidP="00776154">
      <w:pPr>
        <w:rPr>
          <w:lang w:val="en-AU" w:bidi="ar-SA"/>
        </w:rPr>
      </w:pPr>
      <w:r w:rsidRPr="008D7880">
        <w:rPr>
          <w:lang w:bidi="ar-SA"/>
        </w:rPr>
        <w:t xml:space="preserve">The higher Codex GUL takes into </w:t>
      </w:r>
      <w:r w:rsidRPr="008D7880">
        <w:rPr>
          <w:lang w:val="en-AU" w:bidi="ar-SA"/>
        </w:rPr>
        <w:t>account possible high losses and includes a footnote stating “this GUL has been set to account for possible high losses over shelf-life in liquid formulas; for powdered products lower upper limits should be aimed for”.</w:t>
      </w:r>
    </w:p>
    <w:p w14:paraId="75FEF090" w14:textId="77777777" w:rsidR="00776154" w:rsidRPr="00E054B6" w:rsidRDefault="00776154" w:rsidP="00776154">
      <w:pPr>
        <w:rPr>
          <w:lang w:val="en-AU" w:bidi="ar-SA"/>
        </w:rPr>
      </w:pPr>
    </w:p>
    <w:p w14:paraId="505FB0BC" w14:textId="77777777" w:rsidR="00776154" w:rsidRDefault="00776154" w:rsidP="009C7DEA">
      <w:r>
        <w:rPr>
          <w:noProof/>
          <w:lang w:eastAsia="en-GB" w:bidi="ar-SA"/>
        </w:rPr>
        <w:lastRenderedPageBreak/>
        <w:drawing>
          <wp:inline distT="0" distB="0" distL="0" distR="0" wp14:anchorId="52761AB4" wp14:editId="17EB4BE7">
            <wp:extent cx="5777345" cy="2246928"/>
            <wp:effectExtent l="0" t="0" r="0" b="127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796711" cy="2254460"/>
                    </a:xfrm>
                    <a:prstGeom prst="rect">
                      <a:avLst/>
                    </a:prstGeom>
                    <a:noFill/>
                  </pic:spPr>
                </pic:pic>
              </a:graphicData>
            </a:graphic>
          </wp:inline>
        </w:drawing>
      </w:r>
    </w:p>
    <w:p w14:paraId="020BEFD9" w14:textId="4348E045" w:rsidR="00776154" w:rsidRDefault="00313605" w:rsidP="0011607A">
      <w:pPr>
        <w:pStyle w:val="FSCaption"/>
      </w:pPr>
      <w:r>
        <w:rPr>
          <w:rFonts w:eastAsia="Calibri"/>
          <w:szCs w:val="22"/>
        </w:rPr>
        <w:t>Figure 7</w:t>
      </w:r>
      <w:r w:rsidR="00776154">
        <w:rPr>
          <w:rFonts w:eastAsia="Calibri"/>
          <w:szCs w:val="22"/>
        </w:rPr>
        <w:t>.3.</w:t>
      </w:r>
      <w:r w:rsidR="007F4A71">
        <w:rPr>
          <w:rFonts w:eastAsia="Calibri"/>
          <w:szCs w:val="22"/>
        </w:rPr>
        <w:t>6</w:t>
      </w:r>
      <w:r w:rsidR="00776154" w:rsidRPr="00B635B7">
        <w:rPr>
          <w:rFonts w:eastAsia="Calibri"/>
          <w:szCs w:val="22"/>
        </w:rPr>
        <w:tab/>
      </w:r>
      <w:r w:rsidR="00776154">
        <w:t xml:space="preserve">Comparison of the permitted ranges for </w:t>
      </w:r>
      <w:r w:rsidR="00710169">
        <w:t>v</w:t>
      </w:r>
      <w:r w:rsidR="00776154">
        <w:t>itamin C across standards (Standard 2.9.1, Codex STAN 72-1981 and EU 2016</w:t>
      </w:r>
      <w:r w:rsidR="00710169">
        <w:t>/127</w:t>
      </w:r>
      <w:r w:rsidR="00776154">
        <w:t xml:space="preserve">), human milk concentration, and the FSANZ survey of the </w:t>
      </w:r>
      <w:r w:rsidR="00776154" w:rsidRPr="00970565">
        <w:t>content in products on the ANZ market</w:t>
      </w:r>
      <w:r w:rsidR="00A83651">
        <w:t xml:space="preserve"> (2013-14 and 2021)</w:t>
      </w:r>
      <w:r w:rsidR="00776154">
        <w:t>.</w:t>
      </w:r>
    </w:p>
    <w:p w14:paraId="1EFCF941" w14:textId="77777777" w:rsidR="00776154" w:rsidRDefault="00776154" w:rsidP="00776154">
      <w:pPr>
        <w:pStyle w:val="Heading4"/>
      </w:pPr>
      <w:r w:rsidRPr="00BA1FD9">
        <w:t>Previous consideration</w:t>
      </w:r>
    </w:p>
    <w:p w14:paraId="69F2E68A" w14:textId="6A50C03B" w:rsidR="00776154" w:rsidRDefault="00776154" w:rsidP="00776154">
      <w:pPr>
        <w:rPr>
          <w:lang w:eastAsia="en-AU" w:bidi="ar-SA"/>
        </w:rPr>
      </w:pPr>
      <w:r>
        <w:rPr>
          <w:lang w:eastAsia="en-AU" w:bidi="ar-SA"/>
        </w:rPr>
        <w:t xml:space="preserve">The 2016 nutrition </w:t>
      </w:r>
      <w:r w:rsidR="00710169">
        <w:rPr>
          <w:lang w:eastAsia="en-AU" w:bidi="ar-SA"/>
        </w:rPr>
        <w:t xml:space="preserve">risk </w:t>
      </w:r>
      <w:r>
        <w:rPr>
          <w:lang w:eastAsia="en-AU" w:bidi="ar-SA"/>
        </w:rPr>
        <w:t xml:space="preserve">assessment concluded that the increased maximum is unlikely to pose a risk to infant health. </w:t>
      </w:r>
    </w:p>
    <w:p w14:paraId="26832842" w14:textId="77777777" w:rsidR="00776154" w:rsidRDefault="00776154" w:rsidP="00776154">
      <w:pPr>
        <w:rPr>
          <w:lang w:eastAsia="en-AU" w:bidi="ar-SA"/>
        </w:rPr>
      </w:pPr>
    </w:p>
    <w:p w14:paraId="10AC2394" w14:textId="55CE31BD" w:rsidR="00776154" w:rsidRDefault="00776154" w:rsidP="00776154">
      <w:pPr>
        <w:ind w:right="-286"/>
      </w:pPr>
      <w:r w:rsidRPr="0033283A">
        <w:t>FSANZ’s</w:t>
      </w:r>
      <w:r>
        <w:t xml:space="preserve"> </w:t>
      </w:r>
      <w:r w:rsidR="0043131E">
        <w:t>2013</w:t>
      </w:r>
      <w:r w:rsidR="00710169">
        <w:t>–</w:t>
      </w:r>
      <w:r w:rsidR="0043131E">
        <w:t xml:space="preserve">2014 </w:t>
      </w:r>
      <w:r>
        <w:t xml:space="preserve">label survey indicated that </w:t>
      </w:r>
      <w:r w:rsidRPr="0033283A">
        <w:t xml:space="preserve">the </w:t>
      </w:r>
      <w:r>
        <w:t xml:space="preserve">lowest </w:t>
      </w:r>
      <w:r w:rsidR="00710169">
        <w:t xml:space="preserve">reported </w:t>
      </w:r>
      <w:r w:rsidRPr="0033283A">
        <w:t>vitamin</w:t>
      </w:r>
      <w:r w:rsidRPr="00942096">
        <w:t xml:space="preserve"> C content </w:t>
      </w:r>
      <w:r>
        <w:t xml:space="preserve">in the sample was 1.8 mg/100 kJ, which is less than the Codex STAN 72-1981 minimum amount </w:t>
      </w:r>
      <w:r w:rsidRPr="00942096">
        <w:t>(</w:t>
      </w:r>
      <w:r>
        <w:t>2.5 mg/100 kJ). Therefore, if adopted, some m</w:t>
      </w:r>
      <w:r w:rsidRPr="00942096">
        <w:t xml:space="preserve">anufacturers </w:t>
      </w:r>
      <w:r>
        <w:t xml:space="preserve">may need </w:t>
      </w:r>
      <w:r w:rsidRPr="00942096">
        <w:t xml:space="preserve">to adjust </w:t>
      </w:r>
      <w:r>
        <w:t>formulations to comply with the</w:t>
      </w:r>
      <w:r w:rsidRPr="00942096">
        <w:t xml:space="preserve"> </w:t>
      </w:r>
      <w:r>
        <w:t xml:space="preserve">higher </w:t>
      </w:r>
      <w:r w:rsidRPr="00942096">
        <w:t xml:space="preserve">Codex </w:t>
      </w:r>
      <w:r>
        <w:t xml:space="preserve">minimum amount. The highest </w:t>
      </w:r>
      <w:r w:rsidR="00710169">
        <w:t xml:space="preserve">reported </w:t>
      </w:r>
      <w:r>
        <w:t>content was 6.8 mg/100 kJ</w:t>
      </w:r>
      <w:r w:rsidR="00710169">
        <w:t>. This survey</w:t>
      </w:r>
      <w:r>
        <w:t xml:space="preserve"> mainly </w:t>
      </w:r>
      <w:r w:rsidR="00710169">
        <w:t>consisted of</w:t>
      </w:r>
      <w:r>
        <w:t xml:space="preserve"> powdered products as few liquid products are available on the Australian and New Zealand market.</w:t>
      </w:r>
    </w:p>
    <w:p w14:paraId="36DD8FB3" w14:textId="77777777" w:rsidR="00776154" w:rsidRDefault="00776154" w:rsidP="00776154">
      <w:pPr>
        <w:autoSpaceDE w:val="0"/>
        <w:autoSpaceDN w:val="0"/>
        <w:adjustRightInd w:val="0"/>
        <w:rPr>
          <w:rFonts w:eastAsia="Arial Unicode MS" w:cs="Arial"/>
          <w:szCs w:val="22"/>
        </w:rPr>
      </w:pPr>
    </w:p>
    <w:p w14:paraId="6CDEA2F0" w14:textId="0838296B" w:rsidR="00776154" w:rsidRDefault="00776154" w:rsidP="00776154">
      <w:pPr>
        <w:autoSpaceDE w:val="0"/>
        <w:autoSpaceDN w:val="0"/>
        <w:adjustRightInd w:val="0"/>
        <w:rPr>
          <w:rFonts w:cs="Arial"/>
          <w:szCs w:val="22"/>
          <w:lang w:eastAsia="en-GB" w:bidi="ar-SA"/>
        </w:rPr>
      </w:pPr>
      <w:r w:rsidRPr="00B41C3F">
        <w:rPr>
          <w:rFonts w:eastAsia="Arial Unicode MS" w:cs="Arial"/>
          <w:szCs w:val="22"/>
        </w:rPr>
        <w:t xml:space="preserve">Vitamin C is </w:t>
      </w:r>
      <w:r>
        <w:rPr>
          <w:rFonts w:eastAsia="Arial Unicode MS" w:cs="Arial"/>
          <w:szCs w:val="22"/>
        </w:rPr>
        <w:t xml:space="preserve">chemically </w:t>
      </w:r>
      <w:r w:rsidRPr="00B41C3F">
        <w:rPr>
          <w:rFonts w:eastAsia="Arial Unicode MS" w:cs="Arial"/>
          <w:szCs w:val="22"/>
        </w:rPr>
        <w:t>labile</w:t>
      </w:r>
      <w:r>
        <w:rPr>
          <w:rFonts w:eastAsia="Arial Unicode MS" w:cs="Arial"/>
          <w:szCs w:val="22"/>
        </w:rPr>
        <w:t xml:space="preserve"> </w:t>
      </w:r>
      <w:r w:rsidR="00710169">
        <w:rPr>
          <w:rFonts w:eastAsia="Arial Unicode MS" w:cs="Arial"/>
          <w:szCs w:val="22"/>
        </w:rPr>
        <w:t xml:space="preserve">and is therefore prone to deterioration, </w:t>
      </w:r>
      <w:r>
        <w:rPr>
          <w:rFonts w:eastAsia="Arial Unicode MS" w:cs="Arial"/>
          <w:szCs w:val="22"/>
        </w:rPr>
        <w:t xml:space="preserve">which can </w:t>
      </w:r>
      <w:r w:rsidRPr="00B41C3F">
        <w:rPr>
          <w:rFonts w:eastAsia="Arial Unicode MS" w:cs="Arial"/>
          <w:szCs w:val="22"/>
        </w:rPr>
        <w:t xml:space="preserve">create </w:t>
      </w:r>
      <w:r w:rsidRPr="00B41C3F">
        <w:rPr>
          <w:rFonts w:cs="Arial"/>
          <w:szCs w:val="22"/>
        </w:rPr>
        <w:t>technological issues for manufacturing.</w:t>
      </w:r>
      <w:r w:rsidRPr="00B41C3F">
        <w:rPr>
          <w:rFonts w:cs="Arial"/>
          <w:szCs w:val="22"/>
          <w:lang w:eastAsia="en-GB" w:bidi="ar-SA"/>
        </w:rPr>
        <w:t xml:space="preserve"> </w:t>
      </w:r>
      <w:r>
        <w:rPr>
          <w:rFonts w:cs="Arial"/>
          <w:szCs w:val="22"/>
          <w:lang w:eastAsia="en-GB" w:bidi="ar-SA"/>
        </w:rPr>
        <w:t>L</w:t>
      </w:r>
      <w:r w:rsidRPr="00B41C3F">
        <w:rPr>
          <w:rFonts w:cs="Arial"/>
          <w:szCs w:val="22"/>
          <w:lang w:eastAsia="en-GB" w:bidi="ar-SA"/>
        </w:rPr>
        <w:t xml:space="preserve">arge losses </w:t>
      </w:r>
      <w:r>
        <w:rPr>
          <w:rFonts w:cs="Arial"/>
          <w:szCs w:val="22"/>
          <w:lang w:eastAsia="en-GB" w:bidi="ar-SA"/>
        </w:rPr>
        <w:t xml:space="preserve">may occur </w:t>
      </w:r>
      <w:r w:rsidRPr="00B41C3F">
        <w:rPr>
          <w:rFonts w:cs="Arial"/>
          <w:szCs w:val="22"/>
          <w:lang w:eastAsia="en-GB" w:bidi="ar-SA"/>
        </w:rPr>
        <w:t xml:space="preserve">over shelf life </w:t>
      </w:r>
      <w:r>
        <w:rPr>
          <w:rFonts w:cs="Arial"/>
          <w:szCs w:val="22"/>
          <w:lang w:eastAsia="en-GB" w:bidi="ar-SA"/>
        </w:rPr>
        <w:t>since</w:t>
      </w:r>
      <w:r w:rsidRPr="00B41C3F">
        <w:rPr>
          <w:rFonts w:cs="Arial"/>
          <w:szCs w:val="22"/>
          <w:lang w:eastAsia="en-GB" w:bidi="ar-SA"/>
        </w:rPr>
        <w:t xml:space="preserve"> </w:t>
      </w:r>
      <w:r>
        <w:rPr>
          <w:rFonts w:cs="Arial"/>
          <w:szCs w:val="22"/>
          <w:lang w:eastAsia="en-GB" w:bidi="ar-SA"/>
        </w:rPr>
        <w:t xml:space="preserve">vitamin C </w:t>
      </w:r>
      <w:r w:rsidRPr="00B41C3F">
        <w:rPr>
          <w:rFonts w:cs="Arial"/>
          <w:szCs w:val="22"/>
          <w:lang w:eastAsia="en-GB" w:bidi="ar-SA"/>
        </w:rPr>
        <w:t xml:space="preserve">degrades </w:t>
      </w:r>
      <w:r>
        <w:rPr>
          <w:rFonts w:cs="Arial"/>
          <w:szCs w:val="22"/>
          <w:lang w:eastAsia="en-GB" w:bidi="ar-SA"/>
        </w:rPr>
        <w:t>rapidly when exposed to air and water. Losses ranging from 30–75% have been reported in liquid products (MacLean et al</w:t>
      </w:r>
      <w:r w:rsidR="00422206">
        <w:rPr>
          <w:rFonts w:cs="Arial"/>
          <w:szCs w:val="22"/>
          <w:lang w:eastAsia="en-GB" w:bidi="ar-SA"/>
        </w:rPr>
        <w:t>.</w:t>
      </w:r>
      <w:r>
        <w:rPr>
          <w:rFonts w:cs="Arial"/>
          <w:szCs w:val="22"/>
          <w:lang w:eastAsia="en-GB" w:bidi="ar-SA"/>
        </w:rPr>
        <w:t xml:space="preserve"> 2010). As few liquid products are available, further consideration is required on the need to align with the higher GUL amount (17 mg/100</w:t>
      </w:r>
      <w:r w:rsidR="00710169">
        <w:rPr>
          <w:rFonts w:cs="Arial"/>
          <w:szCs w:val="22"/>
          <w:lang w:eastAsia="en-GB" w:bidi="ar-SA"/>
        </w:rPr>
        <w:t xml:space="preserve"> </w:t>
      </w:r>
      <w:r>
        <w:rPr>
          <w:rFonts w:cs="Arial"/>
          <w:szCs w:val="22"/>
          <w:lang w:eastAsia="en-GB" w:bidi="ar-SA"/>
        </w:rPr>
        <w:t>kJ). Further information</w:t>
      </w:r>
      <w:r w:rsidR="0043131E">
        <w:rPr>
          <w:rFonts w:cs="Arial"/>
          <w:szCs w:val="22"/>
          <w:lang w:eastAsia="en-GB" w:bidi="ar-SA"/>
        </w:rPr>
        <w:t xml:space="preserve"> was sought to </w:t>
      </w:r>
      <w:r>
        <w:rPr>
          <w:rFonts w:cs="Arial"/>
          <w:szCs w:val="22"/>
          <w:lang w:eastAsia="en-GB" w:bidi="ar-SA"/>
        </w:rPr>
        <w:t xml:space="preserve">assist this consideration.  </w:t>
      </w:r>
    </w:p>
    <w:p w14:paraId="341DB405" w14:textId="77777777" w:rsidR="00776154" w:rsidRDefault="00776154" w:rsidP="00776154">
      <w:pPr>
        <w:pStyle w:val="Heading4"/>
        <w:ind w:left="0" w:firstLine="0"/>
      </w:pPr>
      <w:r w:rsidRPr="00BA1FD9">
        <w:t>S</w:t>
      </w:r>
      <w:r>
        <w:t>takeholder views</w:t>
      </w:r>
    </w:p>
    <w:p w14:paraId="728FEDC5" w14:textId="6AF314B3" w:rsidR="00776154" w:rsidRPr="00327EAB" w:rsidRDefault="00776154" w:rsidP="00776154">
      <w:pPr>
        <w:rPr>
          <w:lang w:val="en-AU" w:bidi="ar-SA"/>
        </w:rPr>
      </w:pPr>
      <w:r>
        <w:rPr>
          <w:lang w:val="en-AU" w:bidi="ar-SA"/>
        </w:rPr>
        <w:t>Eight submitters (</w:t>
      </w:r>
      <w:r w:rsidR="002D5D81">
        <w:rPr>
          <w:lang w:val="en-AU" w:bidi="ar-SA"/>
        </w:rPr>
        <w:t>three</w:t>
      </w:r>
      <w:r>
        <w:rPr>
          <w:lang w:val="en-AU" w:bidi="ar-SA"/>
        </w:rPr>
        <w:t xml:space="preserve"> government, </w:t>
      </w:r>
      <w:r w:rsidR="002D5D81">
        <w:rPr>
          <w:lang w:val="en-AU" w:bidi="ar-SA"/>
        </w:rPr>
        <w:t>five</w:t>
      </w:r>
      <w:r>
        <w:rPr>
          <w:lang w:val="en-AU" w:bidi="ar-SA"/>
        </w:rPr>
        <w:t xml:space="preserve"> industry) commented on the maximum amount for vitamin C. Most supported the higher Codex maximum with two government submitters opposing based on concerns about excess intakes. Industry noted that the higher level is set to account for high losses over the shelf life of liquid formula. Currently there are few retail liquid formulas as it is a product that is </w:t>
      </w:r>
      <w:r w:rsidR="002D5D81">
        <w:rPr>
          <w:lang w:val="en-AU" w:bidi="ar-SA"/>
        </w:rPr>
        <w:t xml:space="preserve">more commonly </w:t>
      </w:r>
      <w:r>
        <w:rPr>
          <w:lang w:val="en-AU" w:bidi="ar-SA"/>
        </w:rPr>
        <w:t xml:space="preserve">used in health care facilities. One submitter also commented that </w:t>
      </w:r>
      <w:r>
        <w:rPr>
          <w:szCs w:val="22"/>
        </w:rPr>
        <w:t xml:space="preserve">future innovation may </w:t>
      </w:r>
      <w:r w:rsidR="002D5D81">
        <w:rPr>
          <w:szCs w:val="22"/>
        </w:rPr>
        <w:t xml:space="preserve">increase </w:t>
      </w:r>
      <w:r>
        <w:rPr>
          <w:szCs w:val="22"/>
        </w:rPr>
        <w:t>the number of liquid ready</w:t>
      </w:r>
      <w:r w:rsidR="002D5D81">
        <w:rPr>
          <w:szCs w:val="22"/>
        </w:rPr>
        <w:t>-</w:t>
      </w:r>
      <w:r>
        <w:rPr>
          <w:szCs w:val="22"/>
        </w:rPr>
        <w:t>to</w:t>
      </w:r>
      <w:r w:rsidR="002D5D81">
        <w:rPr>
          <w:szCs w:val="22"/>
        </w:rPr>
        <w:t>-use</w:t>
      </w:r>
      <w:r>
        <w:rPr>
          <w:szCs w:val="22"/>
        </w:rPr>
        <w:t xml:space="preserve"> products.</w:t>
      </w:r>
    </w:p>
    <w:p w14:paraId="16A1831F" w14:textId="01E0CD4F" w:rsidR="00776154" w:rsidRDefault="002D5D81" w:rsidP="00776154">
      <w:pPr>
        <w:pStyle w:val="Heading4"/>
      </w:pPr>
      <w:r>
        <w:t>Nutrition r</w:t>
      </w:r>
      <w:r w:rsidR="00776154" w:rsidRPr="00BA1FD9">
        <w:t>isk assessment</w:t>
      </w:r>
    </w:p>
    <w:p w14:paraId="29649875" w14:textId="0648357B" w:rsidR="0043131E" w:rsidRDefault="00776154" w:rsidP="00776154">
      <w:pPr>
        <w:rPr>
          <w:lang w:val="en-AU" w:bidi="ar-SA"/>
        </w:rPr>
      </w:pPr>
      <w:r>
        <w:rPr>
          <w:lang w:val="en-AU" w:bidi="ar-SA"/>
        </w:rPr>
        <w:t xml:space="preserve">Further </w:t>
      </w:r>
      <w:r w:rsidR="002D5D81">
        <w:rPr>
          <w:lang w:val="en-AU" w:bidi="ar-SA"/>
        </w:rPr>
        <w:t xml:space="preserve">nutrition </w:t>
      </w:r>
      <w:r>
        <w:rPr>
          <w:lang w:val="en-AU" w:bidi="ar-SA"/>
        </w:rPr>
        <w:t xml:space="preserve">risk assessment </w:t>
      </w:r>
      <w:r w:rsidR="00B05DBA">
        <w:rPr>
          <w:lang w:val="en-AU" w:bidi="ar-SA"/>
        </w:rPr>
        <w:t>(</w:t>
      </w:r>
      <w:r w:rsidR="002170C5">
        <w:rPr>
          <w:lang w:val="en-AU" w:bidi="ar-SA"/>
        </w:rPr>
        <w:t xml:space="preserve">SD1) </w:t>
      </w:r>
      <w:r>
        <w:rPr>
          <w:lang w:val="en-AU" w:bidi="ar-SA"/>
        </w:rPr>
        <w:t xml:space="preserve">considered the evidence base for maximum vitamin C amount determined in EU </w:t>
      </w:r>
      <w:r w:rsidR="002D5D81">
        <w:rPr>
          <w:lang w:val="en-AU" w:bidi="ar-SA"/>
        </w:rPr>
        <w:t>2016/127</w:t>
      </w:r>
      <w:r>
        <w:rPr>
          <w:lang w:val="en-AU" w:bidi="ar-SA"/>
        </w:rPr>
        <w:t xml:space="preserve">. It was noted that the EFSA 2014 Opinion did not include an assessment of the maximum level of vitamin C. EU </w:t>
      </w:r>
      <w:r w:rsidR="002D5D81">
        <w:rPr>
          <w:lang w:val="en-AU" w:bidi="ar-SA"/>
        </w:rPr>
        <w:t xml:space="preserve">2016/127 </w:t>
      </w:r>
      <w:r>
        <w:rPr>
          <w:lang w:val="en-AU" w:bidi="ar-SA"/>
        </w:rPr>
        <w:t xml:space="preserve">is likely to be based on the conclusions of the EC SCF (2003) and ESPGHAN (Koletzko </w:t>
      </w:r>
      <w:r w:rsidR="00615705">
        <w:rPr>
          <w:lang w:val="en-AU" w:bidi="ar-SA"/>
        </w:rPr>
        <w:t xml:space="preserve">et al. </w:t>
      </w:r>
      <w:r>
        <w:rPr>
          <w:lang w:val="en-AU" w:bidi="ar-SA"/>
        </w:rPr>
        <w:t xml:space="preserve">2005) which estimated a maximum from the </w:t>
      </w:r>
      <w:r w:rsidR="002D5D81">
        <w:rPr>
          <w:lang w:val="en-AU" w:bidi="ar-SA"/>
        </w:rPr>
        <w:t xml:space="preserve">no observed adverse effect level </w:t>
      </w:r>
      <w:r>
        <w:rPr>
          <w:lang w:val="en-AU" w:bidi="ar-SA"/>
        </w:rPr>
        <w:t xml:space="preserve">for adult men and </w:t>
      </w:r>
      <w:r w:rsidRPr="00D3772F">
        <w:rPr>
          <w:lang w:val="en-AU" w:bidi="ar-SA"/>
        </w:rPr>
        <w:t xml:space="preserve">extrapolating to a body mass equivalent intake for infants. </w:t>
      </w:r>
      <w:r>
        <w:rPr>
          <w:lang w:val="en-AU" w:bidi="ar-SA"/>
        </w:rPr>
        <w:t xml:space="preserve">The </w:t>
      </w:r>
      <w:r w:rsidR="002D5D81">
        <w:rPr>
          <w:lang w:val="en-AU" w:bidi="ar-SA"/>
        </w:rPr>
        <w:t xml:space="preserve">nutrition </w:t>
      </w:r>
      <w:r>
        <w:rPr>
          <w:lang w:val="en-AU" w:bidi="ar-SA"/>
        </w:rPr>
        <w:t xml:space="preserve">risk assessment </w:t>
      </w:r>
      <w:r>
        <w:rPr>
          <w:lang w:val="en-AU" w:bidi="ar-SA"/>
        </w:rPr>
        <w:lastRenderedPageBreak/>
        <w:t>concluded that the</w:t>
      </w:r>
      <w:r w:rsidRPr="00E6284C">
        <w:rPr>
          <w:lang w:val="en-AU" w:bidi="ar-SA"/>
        </w:rPr>
        <w:t xml:space="preserve"> maximum amount of 7.2 mg/100 kJ as set in EU 2016/127</w:t>
      </w:r>
      <w:r>
        <w:rPr>
          <w:lang w:val="en-AU" w:bidi="ar-SA"/>
        </w:rPr>
        <w:t xml:space="preserve"> </w:t>
      </w:r>
      <w:r w:rsidR="00182BD8">
        <w:rPr>
          <w:lang w:val="en-AU" w:bidi="ar-SA"/>
        </w:rPr>
        <w:t>pose</w:t>
      </w:r>
      <w:r w:rsidR="00B05DBA">
        <w:rPr>
          <w:lang w:val="en-AU" w:bidi="ar-SA"/>
        </w:rPr>
        <w:t>s</w:t>
      </w:r>
      <w:r w:rsidR="00182BD8">
        <w:rPr>
          <w:lang w:val="en-AU" w:bidi="ar-SA"/>
        </w:rPr>
        <w:t xml:space="preserve"> a low</w:t>
      </w:r>
      <w:r w:rsidRPr="00E6284C">
        <w:rPr>
          <w:lang w:val="en-AU" w:bidi="ar-SA"/>
        </w:rPr>
        <w:t xml:space="preserve"> risk to infant health</w:t>
      </w:r>
      <w:r>
        <w:rPr>
          <w:lang w:val="en-AU" w:bidi="ar-SA"/>
        </w:rPr>
        <w:t>.</w:t>
      </w:r>
    </w:p>
    <w:p w14:paraId="35BCB25A" w14:textId="727178DC" w:rsidR="004F4FB8" w:rsidRDefault="004F4FB8" w:rsidP="00776154">
      <w:pPr>
        <w:rPr>
          <w:lang w:val="en-AU" w:bidi="ar-SA"/>
        </w:rPr>
      </w:pPr>
    </w:p>
    <w:p w14:paraId="063677B4" w14:textId="1D250073" w:rsidR="004F4FB8" w:rsidRPr="004F4FB8" w:rsidRDefault="004F4FB8" w:rsidP="00600045">
      <w:pPr>
        <w:contextualSpacing/>
        <w:rPr>
          <w:rFonts w:eastAsia="Arial Unicode MS"/>
        </w:rPr>
      </w:pPr>
      <w:r>
        <w:rPr>
          <w:rFonts w:eastAsia="Arial Unicode MS"/>
        </w:rPr>
        <w:t xml:space="preserve">The 2021 nutrition </w:t>
      </w:r>
      <w:r w:rsidR="002D5D81">
        <w:rPr>
          <w:rFonts w:eastAsia="Arial Unicode MS"/>
        </w:rPr>
        <w:t xml:space="preserve">risk </w:t>
      </w:r>
      <w:r>
        <w:rPr>
          <w:rFonts w:eastAsia="Arial Unicode MS"/>
        </w:rPr>
        <w:t xml:space="preserve">assessment also noted that </w:t>
      </w:r>
      <w:r>
        <w:rPr>
          <w:rFonts w:eastAsia="Calibri"/>
          <w:lang w:eastAsia="en-AU"/>
        </w:rPr>
        <w:t xml:space="preserve">in setting a maximum amount for vitamin C, the maximum iron level and the normal physiologic concentrations of vitamin C should be considered in the context of copper metabolism. </w:t>
      </w:r>
      <w:r w:rsidR="002D5D81">
        <w:rPr>
          <w:lang w:eastAsia="en-AU" w:bidi="ar-SA"/>
        </w:rPr>
        <w:t xml:space="preserve">This consideration </w:t>
      </w:r>
      <w:r w:rsidR="009E5033">
        <w:rPr>
          <w:lang w:eastAsia="en-AU" w:bidi="ar-SA"/>
        </w:rPr>
        <w:t>is further assessed in section 7</w:t>
      </w:r>
      <w:r w:rsidR="002D5D81">
        <w:rPr>
          <w:lang w:eastAsia="en-AU" w:bidi="ar-SA"/>
        </w:rPr>
        <w:t xml:space="preserve">.4.3. </w:t>
      </w:r>
    </w:p>
    <w:p w14:paraId="4773C4A3" w14:textId="77777777" w:rsidR="00776154" w:rsidRDefault="00776154" w:rsidP="00776154">
      <w:pPr>
        <w:pStyle w:val="Heading4"/>
      </w:pPr>
      <w:r w:rsidRPr="00BA1FD9">
        <w:t>Options and discussion</w:t>
      </w:r>
    </w:p>
    <w:p w14:paraId="3F4B7669" w14:textId="77F8FDCF" w:rsidR="00776154" w:rsidRDefault="00776154" w:rsidP="00776154">
      <w:pPr>
        <w:rPr>
          <w:lang w:eastAsia="en-AU" w:bidi="ar-SA"/>
        </w:rPr>
      </w:pPr>
      <w:r>
        <w:rPr>
          <w:lang w:eastAsia="en-AU" w:bidi="ar-SA"/>
        </w:rPr>
        <w:t xml:space="preserve">The Codex </w:t>
      </w:r>
      <w:r w:rsidR="002D5D81">
        <w:rPr>
          <w:lang w:eastAsia="en-AU" w:bidi="ar-SA"/>
        </w:rPr>
        <w:t>E</w:t>
      </w:r>
      <w:r>
        <w:rPr>
          <w:lang w:eastAsia="en-AU" w:bidi="ar-SA"/>
        </w:rPr>
        <w:t xml:space="preserve">WG review of the standard for </w:t>
      </w:r>
      <w:r w:rsidR="00A83651">
        <w:rPr>
          <w:lang w:eastAsia="en-AU" w:bidi="ar-SA"/>
        </w:rPr>
        <w:t xml:space="preserve">FUF </w:t>
      </w:r>
      <w:r>
        <w:rPr>
          <w:lang w:eastAsia="en-AU" w:bidi="ar-SA"/>
        </w:rPr>
        <w:t xml:space="preserve">reviewed the evidence regarding vitamin C losses (see </w:t>
      </w:r>
      <w:hyperlink r:id="rId42" w:history="1">
        <w:r w:rsidRPr="00474767">
          <w:rPr>
            <w:rStyle w:val="Hyperlink"/>
            <w:lang w:eastAsia="en-AU" w:bidi="ar-SA"/>
          </w:rPr>
          <w:t>NZ MPI submission</w:t>
        </w:r>
      </w:hyperlink>
      <w:r>
        <w:rPr>
          <w:lang w:eastAsia="en-AU" w:bidi="ar-SA"/>
        </w:rPr>
        <w:t xml:space="preserve"> </w:t>
      </w:r>
      <w:r w:rsidR="006525BE">
        <w:rPr>
          <w:lang w:eastAsia="en-AU" w:bidi="ar-SA"/>
        </w:rPr>
        <w:t>to the 2016 Consul</w:t>
      </w:r>
      <w:r w:rsidR="00A83651">
        <w:rPr>
          <w:lang w:eastAsia="en-AU" w:bidi="ar-SA"/>
        </w:rPr>
        <w:t>t</w:t>
      </w:r>
      <w:r w:rsidR="006525BE">
        <w:rPr>
          <w:lang w:eastAsia="en-AU" w:bidi="ar-SA"/>
        </w:rPr>
        <w:t>ation</w:t>
      </w:r>
      <w:r>
        <w:rPr>
          <w:lang w:eastAsia="en-AU" w:bidi="ar-SA"/>
        </w:rPr>
        <w:t>). They note</w:t>
      </w:r>
      <w:r w:rsidR="00A83651">
        <w:rPr>
          <w:lang w:eastAsia="en-AU" w:bidi="ar-SA"/>
        </w:rPr>
        <w:t>d</w:t>
      </w:r>
      <w:r>
        <w:rPr>
          <w:lang w:eastAsia="en-AU" w:bidi="ar-SA"/>
        </w:rPr>
        <w:t xml:space="preserve"> that </w:t>
      </w:r>
      <w:r w:rsidRPr="00200478">
        <w:rPr>
          <w:lang w:eastAsia="en-AU" w:bidi="ar-SA"/>
        </w:rPr>
        <w:t>during normal storage conditions significant losses in vitamin C can occur during the shelf life of product</w:t>
      </w:r>
      <w:r w:rsidR="002D5D81">
        <w:rPr>
          <w:lang w:eastAsia="en-AU" w:bidi="ar-SA"/>
        </w:rPr>
        <w:t>s</w:t>
      </w:r>
      <w:r w:rsidRPr="00200478">
        <w:rPr>
          <w:lang w:eastAsia="en-AU" w:bidi="ar-SA"/>
        </w:rPr>
        <w:t xml:space="preserve">, ranging from 20 </w:t>
      </w:r>
      <w:r w:rsidR="002D5D81">
        <w:rPr>
          <w:lang w:eastAsia="en-AU" w:bidi="ar-SA"/>
        </w:rPr>
        <w:t>to</w:t>
      </w:r>
      <w:r w:rsidRPr="00200478">
        <w:rPr>
          <w:lang w:eastAsia="en-AU" w:bidi="ar-SA"/>
        </w:rPr>
        <w:t xml:space="preserve"> 50% in powdered products </w:t>
      </w:r>
      <w:r>
        <w:rPr>
          <w:lang w:eastAsia="en-AU" w:bidi="ar-SA"/>
        </w:rPr>
        <w:t xml:space="preserve">and up to 75% in liquid products. The Codex </w:t>
      </w:r>
      <w:r w:rsidR="002D5D81">
        <w:rPr>
          <w:lang w:eastAsia="en-AU" w:bidi="ar-SA"/>
        </w:rPr>
        <w:t>E</w:t>
      </w:r>
      <w:r>
        <w:rPr>
          <w:lang w:eastAsia="en-AU" w:bidi="ar-SA"/>
        </w:rPr>
        <w:t>WG concluded that the GUL of 17 mg/100 kJ was appropriate to ensure minimum requirements are met</w:t>
      </w:r>
      <w:r w:rsidR="002D5D81">
        <w:rPr>
          <w:lang w:eastAsia="en-AU" w:bidi="ar-SA"/>
        </w:rPr>
        <w:t xml:space="preserve"> regardless of deterioration</w:t>
      </w:r>
      <w:r>
        <w:rPr>
          <w:lang w:eastAsia="en-AU" w:bidi="ar-SA"/>
        </w:rPr>
        <w:t xml:space="preserve">. </w:t>
      </w:r>
    </w:p>
    <w:p w14:paraId="4D0A61C7" w14:textId="77777777" w:rsidR="00776154" w:rsidRDefault="00776154" w:rsidP="00776154">
      <w:pPr>
        <w:rPr>
          <w:lang w:eastAsia="en-AU" w:bidi="ar-SA"/>
        </w:rPr>
      </w:pPr>
    </w:p>
    <w:p w14:paraId="1E3EA52F" w14:textId="073260A7" w:rsidR="00A83651" w:rsidRDefault="00776154" w:rsidP="00776154">
      <w:pPr>
        <w:rPr>
          <w:lang w:eastAsia="en-AU" w:bidi="ar-SA"/>
        </w:rPr>
      </w:pPr>
      <w:r>
        <w:rPr>
          <w:lang w:eastAsia="en-AU" w:bidi="ar-SA"/>
        </w:rPr>
        <w:t>Allowing for potential breakdown losses of 75%, 7.2 mg/100 kJ could be reduced</w:t>
      </w:r>
      <w:r w:rsidRPr="000F4D71">
        <w:rPr>
          <w:lang w:eastAsia="en-AU" w:bidi="ar-SA"/>
        </w:rPr>
        <w:t xml:space="preserve"> over the shelf life of a liquid </w:t>
      </w:r>
      <w:r>
        <w:rPr>
          <w:lang w:eastAsia="en-AU" w:bidi="ar-SA"/>
        </w:rPr>
        <w:t>infant formula to 1.8 mg/100 kJ. Based on median energy intake (2725</w:t>
      </w:r>
      <w:r w:rsidR="002D5D81">
        <w:rPr>
          <w:lang w:eastAsia="en-AU" w:bidi="ar-SA"/>
        </w:rPr>
        <w:t> </w:t>
      </w:r>
      <w:r>
        <w:rPr>
          <w:lang w:eastAsia="en-AU" w:bidi="ar-SA"/>
        </w:rPr>
        <w:t xml:space="preserve">kJ/L) and assuming consumption of 0.8 L/day, this amount translates to an intake of 39 mg/day. The NHMRC AI for vitamin C is 25 mg/day. Given that heat is also known to affect stability of vitamin C, it is possible that the level in infant formula could be further reduced during preparation. </w:t>
      </w:r>
    </w:p>
    <w:p w14:paraId="52D8264D" w14:textId="42126410" w:rsidR="00776154" w:rsidRPr="00BA1FD9" w:rsidRDefault="00A83651" w:rsidP="00776154">
      <w:pPr>
        <w:pStyle w:val="Heading4"/>
      </w:pPr>
      <w:r>
        <w:t>P</w:t>
      </w:r>
      <w:r w:rsidR="00776154" w:rsidRPr="00BA1FD9">
        <w:t>rop</w:t>
      </w:r>
      <w:r w:rsidR="00776154">
        <w:t>o</w:t>
      </w:r>
      <w:r w:rsidR="00776154" w:rsidRPr="00BA1FD9">
        <w:t xml:space="preserve">sed </w:t>
      </w:r>
      <w:r w:rsidR="00776154">
        <w:t>approach</w:t>
      </w:r>
    </w:p>
    <w:p w14:paraId="49423E40" w14:textId="03578FB8" w:rsidR="00776154" w:rsidRPr="00953569" w:rsidRDefault="00776154" w:rsidP="00776154">
      <w:pPr>
        <w:rPr>
          <w:lang w:val="en-AU" w:bidi="ar-SA"/>
        </w:rPr>
      </w:pPr>
      <w:r>
        <w:rPr>
          <w:lang w:val="en-AU" w:bidi="ar-SA"/>
        </w:rPr>
        <w:t xml:space="preserve">To ensure infants meet the minimum requirements for vitamin C, the proposed approach is to align with the maximum level set by Codex STAN 72-1981 (17 mg/100 kJ). This also allows for </w:t>
      </w:r>
      <w:r w:rsidRPr="00940AB8">
        <w:rPr>
          <w:lang w:val="en-AU" w:bidi="ar-SA"/>
        </w:rPr>
        <w:t xml:space="preserve">liquid formula </w:t>
      </w:r>
      <w:r>
        <w:rPr>
          <w:lang w:val="en-AU" w:bidi="ar-SA"/>
        </w:rPr>
        <w:t xml:space="preserve">products </w:t>
      </w:r>
      <w:r w:rsidRPr="00940AB8">
        <w:rPr>
          <w:lang w:val="en-AU" w:bidi="ar-SA"/>
        </w:rPr>
        <w:t xml:space="preserve">which </w:t>
      </w:r>
      <w:r>
        <w:rPr>
          <w:lang w:val="en-AU" w:bidi="ar-SA"/>
        </w:rPr>
        <w:t xml:space="preserve">are </w:t>
      </w:r>
      <w:r w:rsidR="00962408">
        <w:rPr>
          <w:lang w:val="en-AU" w:bidi="ar-SA"/>
        </w:rPr>
        <w:t>a</w:t>
      </w:r>
      <w:r w:rsidR="00962408" w:rsidRPr="00940AB8">
        <w:rPr>
          <w:lang w:val="en-AU" w:bidi="ar-SA"/>
        </w:rPr>
        <w:t xml:space="preserve"> </w:t>
      </w:r>
      <w:r w:rsidRPr="00940AB8">
        <w:rPr>
          <w:lang w:val="en-AU" w:bidi="ar-SA"/>
        </w:rPr>
        <w:t xml:space="preserve">small </w:t>
      </w:r>
      <w:r w:rsidR="00962408">
        <w:rPr>
          <w:lang w:val="en-AU" w:bidi="ar-SA"/>
        </w:rPr>
        <w:t>proportion of</w:t>
      </w:r>
      <w:r w:rsidRPr="00940AB8">
        <w:rPr>
          <w:lang w:val="en-AU" w:bidi="ar-SA"/>
        </w:rPr>
        <w:t xml:space="preserve"> the ANZ market.</w:t>
      </w:r>
    </w:p>
    <w:p w14:paraId="0D5AF4C5" w14:textId="4F4FE52C" w:rsidR="00776154" w:rsidRPr="00027947" w:rsidRDefault="00474767" w:rsidP="002D0686">
      <w:pPr>
        <w:pStyle w:val="Heading3"/>
      </w:pPr>
      <w:r>
        <w:t>7</w:t>
      </w:r>
      <w:r w:rsidR="00776154">
        <w:t>.3.</w:t>
      </w:r>
      <w:r w:rsidR="002D0686">
        <w:t>7</w:t>
      </w:r>
      <w:r w:rsidR="00776154">
        <w:tab/>
      </w:r>
      <w:r w:rsidR="00776154" w:rsidRPr="00027947">
        <w:t>Chromium</w:t>
      </w:r>
      <w:r w:rsidR="00776154">
        <w:t xml:space="preserve"> and </w:t>
      </w:r>
      <w:r w:rsidR="00962408">
        <w:t>m</w:t>
      </w:r>
      <w:r w:rsidR="00776154">
        <w:t xml:space="preserve">olybdenum </w:t>
      </w:r>
    </w:p>
    <w:p w14:paraId="756CE309" w14:textId="5FD56BCC" w:rsidR="00776154" w:rsidRDefault="00776154" w:rsidP="00776154">
      <w:pPr>
        <w:pStyle w:val="Heading4"/>
      </w:pPr>
      <w:r w:rsidRPr="00BA1FD9">
        <w:t>Current regulations</w:t>
      </w:r>
    </w:p>
    <w:p w14:paraId="3C933329" w14:textId="4305E248" w:rsidR="00A42624" w:rsidRDefault="00A42624" w:rsidP="00A42624">
      <w:pPr>
        <w:rPr>
          <w:lang w:eastAsia="en-AU" w:bidi="ar-SA"/>
        </w:rPr>
      </w:pPr>
      <w:r w:rsidRPr="00CF4EC4">
        <w:rPr>
          <w:lang w:eastAsia="en-AU" w:bidi="ar-SA"/>
        </w:rPr>
        <w:t>Neithe</w:t>
      </w:r>
      <w:r w:rsidR="00014EC6">
        <w:rPr>
          <w:lang w:eastAsia="en-AU" w:bidi="ar-SA"/>
        </w:rPr>
        <w:t xml:space="preserve">r Codex </w:t>
      </w:r>
      <w:r>
        <w:rPr>
          <w:lang w:eastAsia="en-AU" w:bidi="ar-SA"/>
        </w:rPr>
        <w:t xml:space="preserve">or </w:t>
      </w:r>
      <w:r w:rsidR="007751FB">
        <w:rPr>
          <w:lang w:eastAsia="en-AU" w:bidi="ar-SA"/>
        </w:rPr>
        <w:t>Schedule 29</w:t>
      </w:r>
      <w:r>
        <w:rPr>
          <w:lang w:eastAsia="en-AU" w:bidi="ar-SA"/>
        </w:rPr>
        <w:t xml:space="preserve"> set</w:t>
      </w:r>
      <w:r w:rsidRPr="00CF4EC4">
        <w:rPr>
          <w:lang w:eastAsia="en-AU" w:bidi="ar-SA"/>
        </w:rPr>
        <w:t xml:space="preserve"> minimum </w:t>
      </w:r>
      <w:r>
        <w:rPr>
          <w:lang w:eastAsia="en-AU" w:bidi="ar-SA"/>
        </w:rPr>
        <w:t>amounts</w:t>
      </w:r>
      <w:r w:rsidRPr="00CF4EC4">
        <w:rPr>
          <w:lang w:eastAsia="en-AU" w:bidi="ar-SA"/>
        </w:rPr>
        <w:t xml:space="preserve"> for chromium</w:t>
      </w:r>
      <w:r>
        <w:rPr>
          <w:lang w:eastAsia="en-AU" w:bidi="ar-SA"/>
        </w:rPr>
        <w:t xml:space="preserve"> and molybdenum in infant formula. </w:t>
      </w:r>
      <w:r w:rsidR="007751FB">
        <w:rPr>
          <w:lang w:eastAsia="en-AU" w:bidi="ar-SA"/>
        </w:rPr>
        <w:t>Schedule 29</w:t>
      </w:r>
      <w:r w:rsidRPr="001C1A8C">
        <w:rPr>
          <w:lang w:eastAsia="en-AU" w:bidi="ar-SA"/>
        </w:rPr>
        <w:t xml:space="preserve"> sets GULs for both </w:t>
      </w:r>
      <w:r w:rsidRPr="00CF4EC4">
        <w:rPr>
          <w:lang w:eastAsia="en-AU" w:bidi="ar-SA"/>
        </w:rPr>
        <w:t>chromium</w:t>
      </w:r>
      <w:r>
        <w:rPr>
          <w:lang w:eastAsia="en-AU" w:bidi="ar-SA"/>
        </w:rPr>
        <w:t xml:space="preserve"> and molybdenum</w:t>
      </w:r>
      <w:r w:rsidRPr="001C1A8C">
        <w:rPr>
          <w:lang w:eastAsia="en-AU" w:bidi="ar-SA"/>
        </w:rPr>
        <w:t xml:space="preserve"> at 2.0</w:t>
      </w:r>
      <w:r>
        <w:rPr>
          <w:lang w:eastAsia="en-AU" w:bidi="ar-SA"/>
        </w:rPr>
        <w:t> </w:t>
      </w:r>
      <w:r w:rsidRPr="001C1A8C">
        <w:rPr>
          <w:lang w:eastAsia="en-AU" w:bidi="ar-SA"/>
        </w:rPr>
        <w:t xml:space="preserve">µg/100 kJ and 3.0 µg/100 kJ, respectively. Codex STAN 72-1981 does not include a maximum </w:t>
      </w:r>
      <w:r>
        <w:rPr>
          <w:szCs w:val="22"/>
        </w:rPr>
        <w:t>or GUL for these minerals.</w:t>
      </w:r>
      <w:r>
        <w:rPr>
          <w:lang w:eastAsia="en-AU" w:bidi="ar-SA"/>
        </w:rPr>
        <w:t xml:space="preserve"> EU 2016/127 specifies a maximum level for molybdenum at 3.3</w:t>
      </w:r>
      <w:r w:rsidRPr="009B7018">
        <w:rPr>
          <w:lang w:eastAsia="en-AU" w:bidi="ar-SA"/>
        </w:rPr>
        <w:t xml:space="preserve"> µg/100 kJ</w:t>
      </w:r>
      <w:r>
        <w:rPr>
          <w:lang w:eastAsia="en-AU" w:bidi="ar-SA"/>
        </w:rPr>
        <w:t xml:space="preserve"> and does not set levels for chromium</w:t>
      </w:r>
      <w:r w:rsidR="00F1262C">
        <w:rPr>
          <w:lang w:eastAsia="en-AU" w:bidi="ar-SA"/>
        </w:rPr>
        <w:t xml:space="preserve"> (Table 7.8)</w:t>
      </w:r>
      <w:r>
        <w:rPr>
          <w:lang w:eastAsia="en-AU" w:bidi="ar-SA"/>
        </w:rPr>
        <w:t>.</w:t>
      </w:r>
    </w:p>
    <w:p w14:paraId="761E8282" w14:textId="77777777" w:rsidR="00A42624" w:rsidRDefault="00A42624" w:rsidP="00A42624">
      <w:pPr>
        <w:rPr>
          <w:lang w:eastAsia="en-AU" w:bidi="ar-SA"/>
        </w:rPr>
      </w:pPr>
    </w:p>
    <w:p w14:paraId="19954987" w14:textId="518CA6A4" w:rsidR="00474767" w:rsidRDefault="00A42624" w:rsidP="00474767">
      <w:pPr>
        <w:rPr>
          <w:lang w:eastAsia="en-AU" w:bidi="ar-SA"/>
        </w:rPr>
      </w:pPr>
      <w:r>
        <w:rPr>
          <w:lang w:eastAsia="en-AU" w:bidi="ar-SA"/>
        </w:rPr>
        <w:t>Under Division 4 (</w:t>
      </w:r>
      <w:r w:rsidRPr="00A42624">
        <w:rPr>
          <w:i/>
          <w:lang w:eastAsia="en-AU" w:bidi="ar-SA"/>
        </w:rPr>
        <w:t>Infant formula products for special dietary use</w:t>
      </w:r>
      <w:r>
        <w:rPr>
          <w:lang w:eastAsia="en-AU" w:bidi="ar-SA"/>
        </w:rPr>
        <w:t>), Standard</w:t>
      </w:r>
      <w:bookmarkStart w:id="384" w:name="_Toc400032277"/>
      <w:r w:rsidRPr="00474767">
        <w:rPr>
          <w:lang w:eastAsia="en-AU" w:bidi="ar-SA"/>
        </w:rPr>
        <w:t xml:space="preserve"> 2.9.1—15 (</w:t>
      </w:r>
      <w:r w:rsidR="000062F9">
        <w:rPr>
          <w:i/>
          <w:lang w:eastAsia="en-AU" w:bidi="ar-SA"/>
        </w:rPr>
        <w:t>P</w:t>
      </w:r>
      <w:r w:rsidRPr="00A42624">
        <w:rPr>
          <w:i/>
          <w:lang w:eastAsia="en-AU" w:bidi="ar-SA"/>
        </w:rPr>
        <w:t>roducts for specific dietary use based on a protein substitute</w:t>
      </w:r>
      <w:r w:rsidRPr="00474767">
        <w:rPr>
          <w:lang w:eastAsia="en-AU" w:bidi="ar-SA"/>
        </w:rPr>
        <w:t xml:space="preserve">) </w:t>
      </w:r>
      <w:bookmarkEnd w:id="384"/>
      <w:r w:rsidR="000062F9">
        <w:rPr>
          <w:lang w:eastAsia="en-AU" w:bidi="ar-SA"/>
        </w:rPr>
        <w:t xml:space="preserve">specifies that </w:t>
      </w:r>
      <w:r>
        <w:rPr>
          <w:lang w:eastAsia="en-AU" w:bidi="ar-SA"/>
        </w:rPr>
        <w:t xml:space="preserve">such infant formula products must contain </w:t>
      </w:r>
      <w:r w:rsidRPr="00A42624">
        <w:rPr>
          <w:lang w:eastAsia="en-AU" w:bidi="ar-SA"/>
        </w:rPr>
        <w:t>chromium in an amount of no less than 0.35 μg/100 kJ and no more than 2.0 μ</w:t>
      </w:r>
      <w:r>
        <w:rPr>
          <w:lang w:eastAsia="en-AU" w:bidi="ar-SA"/>
        </w:rPr>
        <w:t>g/100 kJ</w:t>
      </w:r>
      <w:r w:rsidRPr="00A42624">
        <w:rPr>
          <w:lang w:eastAsia="en-AU" w:bidi="ar-SA"/>
        </w:rPr>
        <w:t xml:space="preserve"> and molybdenum in an amount of no less than 0.36 μg/100 kJ and no more than 3.0 μg/100 kJ.</w:t>
      </w:r>
      <w:r>
        <w:rPr>
          <w:lang w:eastAsia="en-AU" w:bidi="ar-SA"/>
        </w:rPr>
        <w:t xml:space="preserve"> Within Codex STAN 72-1981 </w:t>
      </w:r>
      <w:r w:rsidRPr="00A42624">
        <w:rPr>
          <w:i/>
          <w:lang w:eastAsia="en-AU" w:bidi="ar-SA"/>
        </w:rPr>
        <w:t>Section B Formula for Special Medical Purposes</w:t>
      </w:r>
      <w:r>
        <w:rPr>
          <w:lang w:eastAsia="en-AU" w:bidi="ar-SA"/>
        </w:rPr>
        <w:t xml:space="preserve"> chromium and molybdenum are prescribed at a range of </w:t>
      </w:r>
      <w:r w:rsidR="00B07BD6">
        <w:rPr>
          <w:lang w:eastAsia="en-AU" w:bidi="ar-SA"/>
        </w:rPr>
        <w:br/>
      </w:r>
      <w:r>
        <w:rPr>
          <w:lang w:eastAsia="en-AU" w:bidi="ar-SA"/>
        </w:rPr>
        <w:t xml:space="preserve">0.4 – 2.4 </w:t>
      </w:r>
      <w:r w:rsidRPr="009B7018">
        <w:rPr>
          <w:lang w:eastAsia="en-AU" w:bidi="ar-SA"/>
        </w:rPr>
        <w:t>µg/100 kJ</w:t>
      </w:r>
      <w:r>
        <w:rPr>
          <w:lang w:eastAsia="en-AU" w:bidi="ar-SA"/>
        </w:rPr>
        <w:t>.</w:t>
      </w:r>
    </w:p>
    <w:p w14:paraId="7B0917EA" w14:textId="3443453F" w:rsidR="00A42624" w:rsidRDefault="00A42624" w:rsidP="00474767">
      <w:pPr>
        <w:rPr>
          <w:lang w:eastAsia="en-AU" w:bidi="ar-SA"/>
        </w:rPr>
      </w:pPr>
    </w:p>
    <w:p w14:paraId="1D0080A8" w14:textId="2B9D1DC7" w:rsidR="00474767" w:rsidRPr="00474767" w:rsidRDefault="00474767" w:rsidP="00E9515E">
      <w:pPr>
        <w:pStyle w:val="FSTitle"/>
      </w:pPr>
      <w:bookmarkStart w:id="385" w:name="_Toc74061249"/>
      <w:r>
        <w:lastRenderedPageBreak/>
        <w:t>Table 7.</w:t>
      </w:r>
      <w:r w:rsidR="00F1262C">
        <w:t>8</w:t>
      </w:r>
      <w:r w:rsidR="00F1262C">
        <w:tab/>
      </w:r>
      <w:r w:rsidRPr="00ED48C4">
        <w:t>Permitted range</w:t>
      </w:r>
      <w:r w:rsidR="000062F9">
        <w:t>s</w:t>
      </w:r>
      <w:r w:rsidRPr="00ED48C4">
        <w:t xml:space="preserve"> for </w:t>
      </w:r>
      <w:r w:rsidR="000062F9">
        <w:t>c</w:t>
      </w:r>
      <w:r w:rsidRPr="00027947">
        <w:t>hromium</w:t>
      </w:r>
      <w:r>
        <w:t xml:space="preserve"> and molybdenum</w:t>
      </w:r>
      <w:bookmarkEnd w:id="385"/>
      <w:r w:rsidRPr="00ED48C4">
        <w:t xml:space="preserve"> </w:t>
      </w:r>
    </w:p>
    <w:tbl>
      <w:tblPr>
        <w:tblStyle w:val="MediumShading1-Accent3"/>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7.3.3.2  Permitted ranges for chromium and molybdenum (µg/100 kJ) "/>
        <w:tblDescription w:val="This table summarises the permitted range for chromium and molybdenum in the Code, Codex STAN 72-1981 and EU 2016/127 for infant forumla and IFPSDU."/>
      </w:tblPr>
      <w:tblGrid>
        <w:gridCol w:w="1385"/>
        <w:gridCol w:w="1423"/>
        <w:gridCol w:w="1035"/>
        <w:gridCol w:w="1035"/>
        <w:gridCol w:w="1035"/>
        <w:gridCol w:w="1035"/>
        <w:gridCol w:w="1035"/>
        <w:gridCol w:w="1033"/>
      </w:tblGrid>
      <w:tr w:rsidR="00D80CDD" w:rsidRPr="00C90454" w14:paraId="00BCF369" w14:textId="77777777" w:rsidTr="00D80CDD">
        <w:trPr>
          <w:cnfStyle w:val="100000000000" w:firstRow="1" w:lastRow="0" w:firstColumn="0" w:lastColumn="0" w:oddVBand="0" w:evenVBand="0" w:oddHBand="0"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768" w:type="pct"/>
            <w:vMerge w:val="restart"/>
            <w:tcBorders>
              <w:top w:val="none" w:sz="0" w:space="0" w:color="auto"/>
              <w:left w:val="none" w:sz="0" w:space="0" w:color="auto"/>
              <w:bottom w:val="none" w:sz="0" w:space="0" w:color="auto"/>
              <w:right w:val="none" w:sz="0" w:space="0" w:color="auto"/>
            </w:tcBorders>
            <w:shd w:val="clear" w:color="auto" w:fill="E5DFEC" w:themeFill="accent4" w:themeFillTint="33"/>
            <w:vAlign w:val="center"/>
          </w:tcPr>
          <w:p w14:paraId="4D42DDFD" w14:textId="5ECC0102" w:rsidR="00D80CDD" w:rsidRPr="00840CE5" w:rsidRDefault="00D80CDD" w:rsidP="00542980">
            <w:pPr>
              <w:keepNext/>
              <w:jc w:val="center"/>
              <w:rPr>
                <w:rFonts w:cs="Arial"/>
                <w:color w:val="auto"/>
              </w:rPr>
            </w:pPr>
            <w:r w:rsidRPr="00840CE5">
              <w:rPr>
                <w:rFonts w:cs="Arial"/>
                <w:color w:val="auto"/>
              </w:rPr>
              <w:t>Micronutrient</w:t>
            </w:r>
          </w:p>
        </w:tc>
        <w:tc>
          <w:tcPr>
            <w:tcW w:w="789" w:type="pct"/>
            <w:vMerge w:val="restart"/>
            <w:tcBorders>
              <w:top w:val="none" w:sz="0" w:space="0" w:color="auto"/>
              <w:left w:val="none" w:sz="0" w:space="0" w:color="auto"/>
              <w:bottom w:val="none" w:sz="0" w:space="0" w:color="auto"/>
              <w:right w:val="none" w:sz="0" w:space="0" w:color="auto"/>
            </w:tcBorders>
            <w:shd w:val="clear" w:color="auto" w:fill="EAF1DD" w:themeFill="accent3" w:themeFillTint="33"/>
            <w:vAlign w:val="center"/>
          </w:tcPr>
          <w:p w14:paraId="729BEC3C" w14:textId="77777777" w:rsidR="00D80CDD" w:rsidRPr="00840CE5" w:rsidRDefault="00D80CDD" w:rsidP="0048474C">
            <w:pPr>
              <w:keepNext/>
              <w:jc w:val="center"/>
              <w:cnfStyle w:val="100000000000" w:firstRow="1" w:lastRow="0" w:firstColumn="0" w:lastColumn="0" w:oddVBand="0" w:evenVBand="0" w:oddHBand="0" w:evenHBand="0" w:firstRowFirstColumn="0" w:firstRowLastColumn="0" w:lastRowFirstColumn="0" w:lastRowLastColumn="0"/>
              <w:rPr>
                <w:rFonts w:cs="Arial"/>
                <w:color w:val="auto"/>
              </w:rPr>
            </w:pPr>
            <w:r w:rsidRPr="00840CE5">
              <w:rPr>
                <w:rFonts w:cs="Arial"/>
                <w:color w:val="auto"/>
              </w:rPr>
              <w:t>Product Type</w:t>
            </w:r>
          </w:p>
        </w:tc>
        <w:tc>
          <w:tcPr>
            <w:tcW w:w="1148" w:type="pct"/>
            <w:gridSpan w:val="2"/>
            <w:tcBorders>
              <w:top w:val="none" w:sz="0" w:space="0" w:color="auto"/>
              <w:left w:val="none" w:sz="0" w:space="0" w:color="auto"/>
              <w:bottom w:val="none" w:sz="0" w:space="0" w:color="auto"/>
              <w:right w:val="none" w:sz="0" w:space="0" w:color="auto"/>
            </w:tcBorders>
            <w:shd w:val="clear" w:color="auto" w:fill="DAEEF3" w:themeFill="accent5" w:themeFillTint="33"/>
            <w:vAlign w:val="center"/>
          </w:tcPr>
          <w:p w14:paraId="62C2A47E" w14:textId="194CDFA4" w:rsidR="00D80CDD" w:rsidRPr="00840CE5" w:rsidRDefault="00D80CDD" w:rsidP="0048474C">
            <w:pPr>
              <w:keepNext/>
              <w:jc w:val="center"/>
              <w:cnfStyle w:val="100000000000" w:firstRow="1" w:lastRow="0" w:firstColumn="0" w:lastColumn="0" w:oddVBand="0" w:evenVBand="0" w:oddHBand="0" w:evenHBand="0" w:firstRowFirstColumn="0" w:firstRowLastColumn="0" w:lastRowFirstColumn="0" w:lastRowLastColumn="0"/>
              <w:rPr>
                <w:rFonts w:cs="Arial"/>
                <w:color w:val="auto"/>
              </w:rPr>
            </w:pPr>
            <w:r w:rsidRPr="00840CE5">
              <w:rPr>
                <w:color w:val="auto"/>
              </w:rPr>
              <w:t>The Code</w:t>
            </w:r>
          </w:p>
        </w:tc>
        <w:tc>
          <w:tcPr>
            <w:tcW w:w="1148" w:type="pct"/>
            <w:gridSpan w:val="2"/>
            <w:tcBorders>
              <w:top w:val="none" w:sz="0" w:space="0" w:color="auto"/>
              <w:left w:val="none" w:sz="0" w:space="0" w:color="auto"/>
              <w:bottom w:val="none" w:sz="0" w:space="0" w:color="auto"/>
              <w:right w:val="none" w:sz="0" w:space="0" w:color="auto"/>
            </w:tcBorders>
            <w:shd w:val="clear" w:color="auto" w:fill="DDD9C3" w:themeFill="background2" w:themeFillShade="E6"/>
            <w:vAlign w:val="center"/>
          </w:tcPr>
          <w:p w14:paraId="602D68C9" w14:textId="77777777" w:rsidR="00D80CDD" w:rsidRPr="00840CE5" w:rsidRDefault="00D80CDD" w:rsidP="0048474C">
            <w:pPr>
              <w:keepNext/>
              <w:jc w:val="center"/>
              <w:cnfStyle w:val="100000000000" w:firstRow="1" w:lastRow="0" w:firstColumn="0" w:lastColumn="0" w:oddVBand="0" w:evenVBand="0" w:oddHBand="0" w:evenHBand="0" w:firstRowFirstColumn="0" w:firstRowLastColumn="0" w:lastRowFirstColumn="0" w:lastRowLastColumn="0"/>
              <w:rPr>
                <w:rFonts w:cs="Arial"/>
                <w:color w:val="auto"/>
              </w:rPr>
            </w:pPr>
            <w:r w:rsidRPr="00840CE5">
              <w:rPr>
                <w:rFonts w:cs="Arial"/>
                <w:color w:val="auto"/>
              </w:rPr>
              <w:t>Codex STAN 72-1981</w:t>
            </w:r>
          </w:p>
        </w:tc>
        <w:tc>
          <w:tcPr>
            <w:tcW w:w="1148" w:type="pct"/>
            <w:gridSpan w:val="2"/>
            <w:tcBorders>
              <w:top w:val="none" w:sz="0" w:space="0" w:color="auto"/>
              <w:left w:val="none" w:sz="0" w:space="0" w:color="auto"/>
              <w:bottom w:val="none" w:sz="0" w:space="0" w:color="auto"/>
              <w:right w:val="none" w:sz="0" w:space="0" w:color="auto"/>
            </w:tcBorders>
            <w:shd w:val="clear" w:color="auto" w:fill="FDE9D9" w:themeFill="accent6" w:themeFillTint="33"/>
            <w:vAlign w:val="center"/>
          </w:tcPr>
          <w:p w14:paraId="4919E041" w14:textId="77777777" w:rsidR="00D80CDD" w:rsidRPr="00840CE5" w:rsidRDefault="00D80CDD" w:rsidP="0048474C">
            <w:pPr>
              <w:keepNext/>
              <w:jc w:val="center"/>
              <w:cnfStyle w:val="100000000000" w:firstRow="1" w:lastRow="0" w:firstColumn="0" w:lastColumn="0" w:oddVBand="0" w:evenVBand="0" w:oddHBand="0" w:evenHBand="0" w:firstRowFirstColumn="0" w:firstRowLastColumn="0" w:lastRowFirstColumn="0" w:lastRowLastColumn="0"/>
              <w:rPr>
                <w:rFonts w:cs="Arial"/>
                <w:color w:val="auto"/>
              </w:rPr>
            </w:pPr>
            <w:r w:rsidRPr="00840CE5">
              <w:rPr>
                <w:color w:val="auto"/>
                <w:lang w:val="en-AU" w:bidi="ar-SA"/>
              </w:rPr>
              <w:t>EU 2016/127</w:t>
            </w:r>
          </w:p>
        </w:tc>
      </w:tr>
      <w:tr w:rsidR="00D80CDD" w:rsidRPr="00C90454" w14:paraId="16297293" w14:textId="77777777" w:rsidTr="00D80CDD">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768" w:type="pct"/>
            <w:vMerge/>
            <w:tcBorders>
              <w:right w:val="none" w:sz="0" w:space="0" w:color="auto"/>
            </w:tcBorders>
            <w:shd w:val="clear" w:color="auto" w:fill="E5DFEC" w:themeFill="accent4" w:themeFillTint="33"/>
            <w:vAlign w:val="center"/>
          </w:tcPr>
          <w:p w14:paraId="6BD2B5CB" w14:textId="77777777" w:rsidR="00D80CDD" w:rsidRPr="00840CE5" w:rsidRDefault="00D80CDD" w:rsidP="0048474C">
            <w:pPr>
              <w:keepNext/>
              <w:keepLines/>
              <w:jc w:val="center"/>
              <w:rPr>
                <w:rFonts w:cs="Arial"/>
                <w:szCs w:val="20"/>
              </w:rPr>
            </w:pPr>
          </w:p>
        </w:tc>
        <w:tc>
          <w:tcPr>
            <w:tcW w:w="789" w:type="pct"/>
            <w:vMerge/>
            <w:tcBorders>
              <w:left w:val="none" w:sz="0" w:space="0" w:color="auto"/>
              <w:right w:val="none" w:sz="0" w:space="0" w:color="auto"/>
            </w:tcBorders>
            <w:shd w:val="clear" w:color="auto" w:fill="EAF1DD" w:themeFill="accent3" w:themeFillTint="33"/>
            <w:vAlign w:val="center"/>
          </w:tcPr>
          <w:p w14:paraId="2DB3D188" w14:textId="77777777" w:rsidR="00D80CDD" w:rsidRPr="00840CE5" w:rsidRDefault="00D80CDD" w:rsidP="0048474C">
            <w:pPr>
              <w:keepNext/>
              <w:keepLines/>
              <w:jc w:val="center"/>
              <w:cnfStyle w:val="000000100000" w:firstRow="0" w:lastRow="0" w:firstColumn="0" w:lastColumn="0" w:oddVBand="0" w:evenVBand="0" w:oddHBand="1" w:evenHBand="0" w:firstRowFirstColumn="0" w:firstRowLastColumn="0" w:lastRowFirstColumn="0" w:lastRowLastColumn="0"/>
              <w:rPr>
                <w:rFonts w:cs="Arial"/>
                <w:b/>
                <w:szCs w:val="20"/>
              </w:rPr>
            </w:pPr>
          </w:p>
        </w:tc>
        <w:tc>
          <w:tcPr>
            <w:tcW w:w="574" w:type="pct"/>
            <w:tcBorders>
              <w:left w:val="none" w:sz="0" w:space="0" w:color="auto"/>
              <w:right w:val="none" w:sz="0" w:space="0" w:color="auto"/>
            </w:tcBorders>
            <w:shd w:val="clear" w:color="auto" w:fill="DAEEF3" w:themeFill="accent5" w:themeFillTint="33"/>
            <w:vAlign w:val="center"/>
          </w:tcPr>
          <w:p w14:paraId="667A1E6D" w14:textId="77777777" w:rsidR="00D80CDD" w:rsidRPr="00840CE5" w:rsidRDefault="00D80CDD" w:rsidP="0048474C">
            <w:pPr>
              <w:keepNext/>
              <w:keepLines/>
              <w:jc w:val="center"/>
              <w:cnfStyle w:val="000000100000" w:firstRow="0" w:lastRow="0" w:firstColumn="0" w:lastColumn="0" w:oddVBand="0" w:evenVBand="0" w:oddHBand="1" w:evenHBand="0" w:firstRowFirstColumn="0" w:firstRowLastColumn="0" w:lastRowFirstColumn="0" w:lastRowLastColumn="0"/>
              <w:rPr>
                <w:rFonts w:cs="Arial"/>
                <w:b/>
                <w:szCs w:val="20"/>
              </w:rPr>
            </w:pPr>
            <w:r w:rsidRPr="00840CE5">
              <w:rPr>
                <w:rFonts w:cs="Arial"/>
                <w:b/>
                <w:szCs w:val="20"/>
              </w:rPr>
              <w:t>Min</w:t>
            </w:r>
          </w:p>
        </w:tc>
        <w:tc>
          <w:tcPr>
            <w:tcW w:w="574" w:type="pct"/>
            <w:tcBorders>
              <w:left w:val="none" w:sz="0" w:space="0" w:color="auto"/>
              <w:right w:val="none" w:sz="0" w:space="0" w:color="auto"/>
            </w:tcBorders>
            <w:shd w:val="clear" w:color="auto" w:fill="DAEEF3" w:themeFill="accent5" w:themeFillTint="33"/>
            <w:vAlign w:val="center"/>
          </w:tcPr>
          <w:p w14:paraId="75EE3B7F" w14:textId="77777777" w:rsidR="00D80CDD" w:rsidRPr="00840CE5" w:rsidRDefault="00D80CDD" w:rsidP="0048474C">
            <w:pPr>
              <w:keepNext/>
              <w:keepLines/>
              <w:jc w:val="center"/>
              <w:cnfStyle w:val="000000100000" w:firstRow="0" w:lastRow="0" w:firstColumn="0" w:lastColumn="0" w:oddVBand="0" w:evenVBand="0" w:oddHBand="1" w:evenHBand="0" w:firstRowFirstColumn="0" w:firstRowLastColumn="0" w:lastRowFirstColumn="0" w:lastRowLastColumn="0"/>
              <w:rPr>
                <w:rFonts w:cs="Arial"/>
                <w:b/>
                <w:szCs w:val="20"/>
              </w:rPr>
            </w:pPr>
            <w:r w:rsidRPr="00840CE5">
              <w:rPr>
                <w:rFonts w:cs="Arial"/>
                <w:b/>
                <w:szCs w:val="20"/>
              </w:rPr>
              <w:t>Max</w:t>
            </w:r>
          </w:p>
        </w:tc>
        <w:tc>
          <w:tcPr>
            <w:tcW w:w="574" w:type="pct"/>
            <w:tcBorders>
              <w:left w:val="none" w:sz="0" w:space="0" w:color="auto"/>
              <w:right w:val="none" w:sz="0" w:space="0" w:color="auto"/>
            </w:tcBorders>
            <w:shd w:val="clear" w:color="auto" w:fill="DDD9C3" w:themeFill="background2" w:themeFillShade="E6"/>
            <w:vAlign w:val="center"/>
          </w:tcPr>
          <w:p w14:paraId="4F6D79A9" w14:textId="77777777" w:rsidR="00D80CDD" w:rsidRPr="00840CE5" w:rsidRDefault="00D80CDD" w:rsidP="0048474C">
            <w:pPr>
              <w:keepNext/>
              <w:keepLines/>
              <w:jc w:val="center"/>
              <w:cnfStyle w:val="000000100000" w:firstRow="0" w:lastRow="0" w:firstColumn="0" w:lastColumn="0" w:oddVBand="0" w:evenVBand="0" w:oddHBand="1" w:evenHBand="0" w:firstRowFirstColumn="0" w:firstRowLastColumn="0" w:lastRowFirstColumn="0" w:lastRowLastColumn="0"/>
              <w:rPr>
                <w:rFonts w:cs="Arial"/>
                <w:b/>
                <w:szCs w:val="20"/>
              </w:rPr>
            </w:pPr>
            <w:r w:rsidRPr="00840CE5">
              <w:rPr>
                <w:rFonts w:cs="Arial"/>
                <w:b/>
                <w:szCs w:val="20"/>
              </w:rPr>
              <w:t>Min</w:t>
            </w:r>
          </w:p>
        </w:tc>
        <w:tc>
          <w:tcPr>
            <w:tcW w:w="574" w:type="pct"/>
            <w:tcBorders>
              <w:left w:val="none" w:sz="0" w:space="0" w:color="auto"/>
              <w:right w:val="none" w:sz="0" w:space="0" w:color="auto"/>
            </w:tcBorders>
            <w:shd w:val="clear" w:color="auto" w:fill="DDD9C3" w:themeFill="background2" w:themeFillShade="E6"/>
            <w:vAlign w:val="center"/>
          </w:tcPr>
          <w:p w14:paraId="35E1326B" w14:textId="77777777" w:rsidR="00D80CDD" w:rsidRPr="00840CE5" w:rsidRDefault="00D80CDD" w:rsidP="0048474C">
            <w:pPr>
              <w:keepNext/>
              <w:keepLines/>
              <w:jc w:val="center"/>
              <w:cnfStyle w:val="000000100000" w:firstRow="0" w:lastRow="0" w:firstColumn="0" w:lastColumn="0" w:oddVBand="0" w:evenVBand="0" w:oddHBand="1" w:evenHBand="0" w:firstRowFirstColumn="0" w:firstRowLastColumn="0" w:lastRowFirstColumn="0" w:lastRowLastColumn="0"/>
              <w:rPr>
                <w:rFonts w:cs="Arial"/>
                <w:b/>
                <w:szCs w:val="20"/>
              </w:rPr>
            </w:pPr>
            <w:r w:rsidRPr="00840CE5">
              <w:rPr>
                <w:rFonts w:cs="Arial"/>
                <w:b/>
                <w:szCs w:val="20"/>
              </w:rPr>
              <w:t>Max</w:t>
            </w:r>
          </w:p>
        </w:tc>
        <w:tc>
          <w:tcPr>
            <w:tcW w:w="574" w:type="pct"/>
            <w:tcBorders>
              <w:left w:val="none" w:sz="0" w:space="0" w:color="auto"/>
              <w:right w:val="none" w:sz="0" w:space="0" w:color="auto"/>
            </w:tcBorders>
            <w:shd w:val="clear" w:color="auto" w:fill="FDE9D9" w:themeFill="accent6" w:themeFillTint="33"/>
            <w:vAlign w:val="center"/>
          </w:tcPr>
          <w:p w14:paraId="1B580D89" w14:textId="77777777" w:rsidR="00D80CDD" w:rsidRPr="00840CE5" w:rsidRDefault="00D80CDD" w:rsidP="0048474C">
            <w:pPr>
              <w:keepNext/>
              <w:keepLines/>
              <w:jc w:val="center"/>
              <w:cnfStyle w:val="000000100000" w:firstRow="0" w:lastRow="0" w:firstColumn="0" w:lastColumn="0" w:oddVBand="0" w:evenVBand="0" w:oddHBand="1" w:evenHBand="0" w:firstRowFirstColumn="0" w:firstRowLastColumn="0" w:lastRowFirstColumn="0" w:lastRowLastColumn="0"/>
              <w:rPr>
                <w:rFonts w:cs="Arial"/>
                <w:b/>
                <w:szCs w:val="20"/>
              </w:rPr>
            </w:pPr>
            <w:r w:rsidRPr="00840CE5">
              <w:rPr>
                <w:rFonts w:cs="Arial"/>
                <w:b/>
                <w:szCs w:val="20"/>
              </w:rPr>
              <w:t>Min</w:t>
            </w:r>
          </w:p>
        </w:tc>
        <w:tc>
          <w:tcPr>
            <w:tcW w:w="574" w:type="pct"/>
            <w:tcBorders>
              <w:left w:val="none" w:sz="0" w:space="0" w:color="auto"/>
            </w:tcBorders>
            <w:shd w:val="clear" w:color="auto" w:fill="FDE9D9" w:themeFill="accent6" w:themeFillTint="33"/>
            <w:vAlign w:val="center"/>
          </w:tcPr>
          <w:p w14:paraId="1C0C125E" w14:textId="77777777" w:rsidR="00D80CDD" w:rsidRPr="00840CE5" w:rsidRDefault="00D80CDD" w:rsidP="0048474C">
            <w:pPr>
              <w:keepNext/>
              <w:keepLines/>
              <w:jc w:val="center"/>
              <w:cnfStyle w:val="000000100000" w:firstRow="0" w:lastRow="0" w:firstColumn="0" w:lastColumn="0" w:oddVBand="0" w:evenVBand="0" w:oddHBand="1" w:evenHBand="0" w:firstRowFirstColumn="0" w:firstRowLastColumn="0" w:lastRowFirstColumn="0" w:lastRowLastColumn="0"/>
              <w:rPr>
                <w:rFonts w:cs="Arial"/>
                <w:b/>
                <w:szCs w:val="20"/>
              </w:rPr>
            </w:pPr>
            <w:r w:rsidRPr="00840CE5">
              <w:rPr>
                <w:rFonts w:cs="Arial"/>
                <w:b/>
                <w:szCs w:val="20"/>
              </w:rPr>
              <w:t>Max</w:t>
            </w:r>
          </w:p>
        </w:tc>
      </w:tr>
      <w:tr w:rsidR="00D80CDD" w:rsidRPr="00C90454" w14:paraId="67AFF93D" w14:textId="77777777" w:rsidTr="00D80CDD">
        <w:trPr>
          <w:cnfStyle w:val="000000010000" w:firstRow="0" w:lastRow="0" w:firstColumn="0" w:lastColumn="0" w:oddVBand="0" w:evenVBand="0" w:oddHBand="0" w:evenHBand="1"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768" w:type="pct"/>
            <w:vMerge w:val="restart"/>
            <w:tcBorders>
              <w:right w:val="none" w:sz="0" w:space="0" w:color="auto"/>
            </w:tcBorders>
            <w:shd w:val="clear" w:color="auto" w:fill="FFFFFF" w:themeFill="background1"/>
            <w:vAlign w:val="center"/>
          </w:tcPr>
          <w:p w14:paraId="33866BDE" w14:textId="77777777" w:rsidR="00D80CDD" w:rsidRDefault="00D80CDD" w:rsidP="0048474C">
            <w:pPr>
              <w:keepNext/>
              <w:keepLines/>
              <w:spacing w:before="40" w:after="40"/>
              <w:jc w:val="center"/>
            </w:pPr>
            <w:r w:rsidRPr="00027947">
              <w:t>Chromium</w:t>
            </w:r>
          </w:p>
          <w:p w14:paraId="4F1D1D62" w14:textId="583E396C" w:rsidR="00D80CDD" w:rsidRPr="00C90454" w:rsidRDefault="00D80CDD" w:rsidP="0048474C">
            <w:pPr>
              <w:keepNext/>
              <w:keepLines/>
              <w:spacing w:before="40" w:after="40"/>
              <w:jc w:val="center"/>
              <w:rPr>
                <w:rFonts w:cs="Arial"/>
                <w:szCs w:val="20"/>
              </w:rPr>
            </w:pPr>
            <w:r>
              <w:rPr>
                <w:lang w:eastAsia="en-AU" w:bidi="ar-SA"/>
              </w:rPr>
              <w:t>(</w:t>
            </w:r>
            <w:r w:rsidRPr="009B7018">
              <w:rPr>
                <w:lang w:eastAsia="en-AU" w:bidi="ar-SA"/>
              </w:rPr>
              <w:t>µg/100 kJ</w:t>
            </w:r>
            <w:r>
              <w:rPr>
                <w:lang w:eastAsia="en-AU" w:bidi="ar-SA"/>
              </w:rPr>
              <w:t>)</w:t>
            </w:r>
          </w:p>
        </w:tc>
        <w:tc>
          <w:tcPr>
            <w:tcW w:w="789" w:type="pct"/>
            <w:tcBorders>
              <w:left w:val="none" w:sz="0" w:space="0" w:color="auto"/>
              <w:right w:val="none" w:sz="0" w:space="0" w:color="auto"/>
            </w:tcBorders>
          </w:tcPr>
          <w:p w14:paraId="4D4E4178" w14:textId="46A0E0C9" w:rsidR="00D80CDD" w:rsidRPr="00472CA2" w:rsidRDefault="00D80CDD" w:rsidP="0048474C">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cs="Arial"/>
                <w:szCs w:val="20"/>
              </w:rPr>
            </w:pPr>
            <w:r>
              <w:rPr>
                <w:rFonts w:cs="Arial"/>
                <w:szCs w:val="20"/>
              </w:rPr>
              <w:t>Infant formula</w:t>
            </w:r>
          </w:p>
        </w:tc>
        <w:tc>
          <w:tcPr>
            <w:tcW w:w="574" w:type="pct"/>
            <w:tcBorders>
              <w:left w:val="none" w:sz="0" w:space="0" w:color="auto"/>
              <w:right w:val="none" w:sz="0" w:space="0" w:color="auto"/>
            </w:tcBorders>
            <w:shd w:val="clear" w:color="auto" w:fill="FFFFFF" w:themeFill="background1"/>
            <w:vAlign w:val="center"/>
          </w:tcPr>
          <w:p w14:paraId="4E3267B8" w14:textId="77777777" w:rsidR="00D80CDD" w:rsidRPr="00472CA2" w:rsidRDefault="00D80CDD" w:rsidP="0048474C">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cs="Arial"/>
                <w:szCs w:val="20"/>
              </w:rPr>
            </w:pPr>
            <w:r>
              <w:rPr>
                <w:rFonts w:cs="Arial"/>
                <w:szCs w:val="20"/>
              </w:rPr>
              <w:t>-</w:t>
            </w:r>
          </w:p>
        </w:tc>
        <w:tc>
          <w:tcPr>
            <w:tcW w:w="574" w:type="pct"/>
            <w:tcBorders>
              <w:left w:val="none" w:sz="0" w:space="0" w:color="auto"/>
              <w:right w:val="none" w:sz="0" w:space="0" w:color="auto"/>
            </w:tcBorders>
            <w:shd w:val="clear" w:color="auto" w:fill="FFFFFF" w:themeFill="background1"/>
            <w:vAlign w:val="center"/>
          </w:tcPr>
          <w:p w14:paraId="7EC1D07C" w14:textId="77777777" w:rsidR="00D80CDD" w:rsidRPr="00472CA2" w:rsidRDefault="00D80CDD" w:rsidP="0048474C">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cs="Arial"/>
                <w:szCs w:val="20"/>
              </w:rPr>
            </w:pPr>
            <w:r>
              <w:rPr>
                <w:rFonts w:cs="Arial"/>
                <w:szCs w:val="20"/>
              </w:rPr>
              <w:t>2.0*</w:t>
            </w:r>
          </w:p>
        </w:tc>
        <w:tc>
          <w:tcPr>
            <w:tcW w:w="574" w:type="pct"/>
            <w:tcBorders>
              <w:left w:val="none" w:sz="0" w:space="0" w:color="auto"/>
              <w:right w:val="none" w:sz="0" w:space="0" w:color="auto"/>
            </w:tcBorders>
            <w:shd w:val="clear" w:color="auto" w:fill="FFFFFF" w:themeFill="background1"/>
            <w:vAlign w:val="center"/>
          </w:tcPr>
          <w:p w14:paraId="6C6832A9" w14:textId="77777777" w:rsidR="00D80CDD" w:rsidRPr="00472CA2" w:rsidRDefault="00D80CDD" w:rsidP="0048474C">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cs="Arial"/>
                <w:szCs w:val="20"/>
              </w:rPr>
            </w:pPr>
            <w:r>
              <w:rPr>
                <w:rFonts w:cs="Arial"/>
                <w:szCs w:val="20"/>
              </w:rPr>
              <w:t>-</w:t>
            </w:r>
          </w:p>
        </w:tc>
        <w:tc>
          <w:tcPr>
            <w:tcW w:w="574" w:type="pct"/>
            <w:tcBorders>
              <w:left w:val="none" w:sz="0" w:space="0" w:color="auto"/>
              <w:right w:val="none" w:sz="0" w:space="0" w:color="auto"/>
            </w:tcBorders>
            <w:shd w:val="clear" w:color="auto" w:fill="FFFFFF" w:themeFill="background1"/>
            <w:vAlign w:val="center"/>
          </w:tcPr>
          <w:p w14:paraId="746C62EB" w14:textId="77777777" w:rsidR="00D80CDD" w:rsidRPr="00C90454" w:rsidRDefault="00D80CDD" w:rsidP="0048474C">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cs="Arial"/>
                <w:szCs w:val="20"/>
              </w:rPr>
            </w:pPr>
            <w:r>
              <w:rPr>
                <w:rFonts w:cs="Arial"/>
                <w:szCs w:val="20"/>
              </w:rPr>
              <w:t>-</w:t>
            </w:r>
          </w:p>
        </w:tc>
        <w:tc>
          <w:tcPr>
            <w:tcW w:w="574" w:type="pct"/>
            <w:tcBorders>
              <w:left w:val="none" w:sz="0" w:space="0" w:color="auto"/>
              <w:right w:val="none" w:sz="0" w:space="0" w:color="auto"/>
            </w:tcBorders>
            <w:shd w:val="clear" w:color="auto" w:fill="FFFFFF" w:themeFill="background1"/>
            <w:vAlign w:val="center"/>
          </w:tcPr>
          <w:p w14:paraId="7D1BD65E" w14:textId="77777777" w:rsidR="00D80CDD" w:rsidRPr="007D00E4" w:rsidRDefault="00D80CDD" w:rsidP="0048474C">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cs="Arial"/>
                <w:szCs w:val="20"/>
              </w:rPr>
            </w:pPr>
            <w:r w:rsidRPr="007D00E4">
              <w:rPr>
                <w:rFonts w:cs="Arial"/>
                <w:szCs w:val="20"/>
              </w:rPr>
              <w:t>-</w:t>
            </w:r>
          </w:p>
        </w:tc>
        <w:tc>
          <w:tcPr>
            <w:tcW w:w="574" w:type="pct"/>
            <w:tcBorders>
              <w:left w:val="none" w:sz="0" w:space="0" w:color="auto"/>
            </w:tcBorders>
            <w:shd w:val="clear" w:color="auto" w:fill="FFFFFF" w:themeFill="background1"/>
            <w:vAlign w:val="center"/>
          </w:tcPr>
          <w:p w14:paraId="2FFBBDE0" w14:textId="77777777" w:rsidR="00D80CDD" w:rsidRPr="007D00E4" w:rsidRDefault="00D80CDD" w:rsidP="0048474C">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cs="Arial"/>
                <w:szCs w:val="20"/>
              </w:rPr>
            </w:pPr>
            <w:r w:rsidRPr="007D00E4">
              <w:rPr>
                <w:rFonts w:cs="Arial"/>
                <w:szCs w:val="20"/>
              </w:rPr>
              <w:t>-</w:t>
            </w:r>
          </w:p>
        </w:tc>
      </w:tr>
      <w:tr w:rsidR="00D80CDD" w:rsidRPr="00C90454" w14:paraId="387EA02F" w14:textId="77777777" w:rsidTr="00D80CDD">
        <w:trPr>
          <w:cnfStyle w:val="000000100000" w:firstRow="0" w:lastRow="0" w:firstColumn="0" w:lastColumn="0" w:oddVBand="0" w:evenVBand="0" w:oddHBand="1" w:evenHBand="0"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768" w:type="pct"/>
            <w:vMerge/>
            <w:tcBorders>
              <w:right w:val="none" w:sz="0" w:space="0" w:color="auto"/>
            </w:tcBorders>
            <w:shd w:val="clear" w:color="auto" w:fill="FFFFFF" w:themeFill="background1"/>
            <w:vAlign w:val="center"/>
          </w:tcPr>
          <w:p w14:paraId="64F98235" w14:textId="77777777" w:rsidR="00D80CDD" w:rsidRPr="00027947" w:rsidRDefault="00D80CDD" w:rsidP="0048474C">
            <w:pPr>
              <w:keepNext/>
              <w:keepLines/>
              <w:spacing w:before="40" w:after="40"/>
              <w:jc w:val="center"/>
            </w:pPr>
          </w:p>
        </w:tc>
        <w:tc>
          <w:tcPr>
            <w:tcW w:w="789" w:type="pct"/>
            <w:tcBorders>
              <w:left w:val="none" w:sz="0" w:space="0" w:color="auto"/>
              <w:right w:val="none" w:sz="0" w:space="0" w:color="auto"/>
            </w:tcBorders>
            <w:shd w:val="clear" w:color="auto" w:fill="F2F2F2" w:themeFill="background1" w:themeFillShade="F2"/>
          </w:tcPr>
          <w:p w14:paraId="066CCFAF" w14:textId="77777777" w:rsidR="00D80CDD" w:rsidRPr="00472CA2" w:rsidRDefault="00D80CDD" w:rsidP="0048474C">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cs="Arial"/>
                <w:szCs w:val="20"/>
              </w:rPr>
            </w:pPr>
            <w:r>
              <w:rPr>
                <w:rFonts w:cs="Arial"/>
                <w:szCs w:val="20"/>
              </w:rPr>
              <w:t>IFPSDU</w:t>
            </w:r>
          </w:p>
        </w:tc>
        <w:tc>
          <w:tcPr>
            <w:tcW w:w="574" w:type="pct"/>
            <w:tcBorders>
              <w:left w:val="none" w:sz="0" w:space="0" w:color="auto"/>
              <w:right w:val="none" w:sz="0" w:space="0" w:color="auto"/>
            </w:tcBorders>
            <w:shd w:val="clear" w:color="auto" w:fill="F2F2F2" w:themeFill="background1" w:themeFillShade="F2"/>
            <w:vAlign w:val="center"/>
          </w:tcPr>
          <w:p w14:paraId="176813C4" w14:textId="77777777" w:rsidR="00D80CDD" w:rsidRPr="00472CA2" w:rsidRDefault="00D80CDD" w:rsidP="0048474C">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cs="Arial"/>
                <w:szCs w:val="20"/>
              </w:rPr>
            </w:pPr>
            <w:r w:rsidRPr="007D00E4">
              <w:rPr>
                <w:rFonts w:cs="Arial"/>
                <w:szCs w:val="20"/>
              </w:rPr>
              <w:t> ≥ 0.35</w:t>
            </w:r>
            <w:r>
              <w:rPr>
                <w:rFonts w:cs="Arial"/>
                <w:szCs w:val="20"/>
              </w:rPr>
              <w:t>^</w:t>
            </w:r>
          </w:p>
        </w:tc>
        <w:tc>
          <w:tcPr>
            <w:tcW w:w="574" w:type="pct"/>
            <w:tcBorders>
              <w:left w:val="none" w:sz="0" w:space="0" w:color="auto"/>
              <w:right w:val="none" w:sz="0" w:space="0" w:color="auto"/>
            </w:tcBorders>
            <w:shd w:val="clear" w:color="auto" w:fill="F2F2F2" w:themeFill="background1" w:themeFillShade="F2"/>
            <w:vAlign w:val="center"/>
          </w:tcPr>
          <w:p w14:paraId="0ECAF99B" w14:textId="77777777" w:rsidR="00D80CDD" w:rsidRPr="00472CA2" w:rsidRDefault="00D80CDD" w:rsidP="0048474C">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cs="Arial"/>
                <w:szCs w:val="20"/>
              </w:rPr>
            </w:pPr>
            <w:r w:rsidRPr="007D00E4">
              <w:rPr>
                <w:rFonts w:cs="Arial"/>
                <w:szCs w:val="20"/>
              </w:rPr>
              <w:t> ≤ 2.0</w:t>
            </w:r>
            <w:r>
              <w:rPr>
                <w:rFonts w:cs="Arial"/>
                <w:szCs w:val="20"/>
              </w:rPr>
              <w:t>^</w:t>
            </w:r>
          </w:p>
        </w:tc>
        <w:tc>
          <w:tcPr>
            <w:tcW w:w="574" w:type="pct"/>
            <w:tcBorders>
              <w:left w:val="none" w:sz="0" w:space="0" w:color="auto"/>
              <w:right w:val="none" w:sz="0" w:space="0" w:color="auto"/>
            </w:tcBorders>
            <w:shd w:val="clear" w:color="auto" w:fill="F2F2F2" w:themeFill="background1" w:themeFillShade="F2"/>
            <w:vAlign w:val="center"/>
          </w:tcPr>
          <w:p w14:paraId="1BD67A04" w14:textId="77777777" w:rsidR="00D80CDD" w:rsidRPr="00472CA2" w:rsidRDefault="00D80CDD" w:rsidP="0048474C">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cs="Arial"/>
                <w:szCs w:val="20"/>
              </w:rPr>
            </w:pPr>
            <w:r>
              <w:rPr>
                <w:rFonts w:cs="Arial"/>
                <w:szCs w:val="20"/>
              </w:rPr>
              <w:t>0.4^^</w:t>
            </w:r>
          </w:p>
        </w:tc>
        <w:tc>
          <w:tcPr>
            <w:tcW w:w="574" w:type="pct"/>
            <w:tcBorders>
              <w:left w:val="none" w:sz="0" w:space="0" w:color="auto"/>
              <w:right w:val="none" w:sz="0" w:space="0" w:color="auto"/>
            </w:tcBorders>
            <w:shd w:val="clear" w:color="auto" w:fill="F2F2F2" w:themeFill="background1" w:themeFillShade="F2"/>
            <w:vAlign w:val="center"/>
          </w:tcPr>
          <w:p w14:paraId="0E13A29B" w14:textId="77777777" w:rsidR="00D80CDD" w:rsidRPr="00C90454" w:rsidRDefault="00D80CDD" w:rsidP="0048474C">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cs="Arial"/>
                <w:szCs w:val="20"/>
              </w:rPr>
            </w:pPr>
            <w:r>
              <w:rPr>
                <w:rFonts w:cs="Arial"/>
                <w:szCs w:val="20"/>
              </w:rPr>
              <w:t>2.4^^</w:t>
            </w:r>
          </w:p>
        </w:tc>
        <w:tc>
          <w:tcPr>
            <w:tcW w:w="574" w:type="pct"/>
            <w:tcBorders>
              <w:left w:val="none" w:sz="0" w:space="0" w:color="auto"/>
              <w:right w:val="none" w:sz="0" w:space="0" w:color="auto"/>
            </w:tcBorders>
            <w:shd w:val="clear" w:color="auto" w:fill="F2F2F2" w:themeFill="background1" w:themeFillShade="F2"/>
            <w:vAlign w:val="center"/>
          </w:tcPr>
          <w:p w14:paraId="2251BBCC" w14:textId="77777777" w:rsidR="00D80CDD" w:rsidRPr="007D00E4" w:rsidRDefault="00D80CDD" w:rsidP="0048474C">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cs="Arial"/>
                <w:szCs w:val="20"/>
              </w:rPr>
            </w:pPr>
            <w:r w:rsidRPr="007D00E4">
              <w:rPr>
                <w:rFonts w:cs="Arial"/>
                <w:szCs w:val="20"/>
              </w:rPr>
              <w:t>-</w:t>
            </w:r>
          </w:p>
        </w:tc>
        <w:tc>
          <w:tcPr>
            <w:tcW w:w="574" w:type="pct"/>
            <w:tcBorders>
              <w:left w:val="none" w:sz="0" w:space="0" w:color="auto"/>
            </w:tcBorders>
            <w:shd w:val="clear" w:color="auto" w:fill="F2F2F2" w:themeFill="background1" w:themeFillShade="F2"/>
            <w:vAlign w:val="center"/>
          </w:tcPr>
          <w:p w14:paraId="349E5062" w14:textId="77777777" w:rsidR="00D80CDD" w:rsidRPr="007D00E4" w:rsidRDefault="00D80CDD" w:rsidP="0048474C">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cs="Arial"/>
                <w:szCs w:val="20"/>
              </w:rPr>
            </w:pPr>
            <w:r w:rsidRPr="007D00E4">
              <w:rPr>
                <w:rFonts w:cs="Arial"/>
                <w:szCs w:val="20"/>
              </w:rPr>
              <w:t>-</w:t>
            </w:r>
          </w:p>
        </w:tc>
      </w:tr>
      <w:tr w:rsidR="00D80CDD" w:rsidRPr="00C90454" w14:paraId="1D677E45" w14:textId="77777777" w:rsidTr="00D80CDD">
        <w:trPr>
          <w:cnfStyle w:val="000000010000" w:firstRow="0" w:lastRow="0" w:firstColumn="0" w:lastColumn="0" w:oddVBand="0" w:evenVBand="0" w:oddHBand="0" w:evenHBand="1"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768" w:type="pct"/>
            <w:vMerge w:val="restart"/>
            <w:tcBorders>
              <w:right w:val="none" w:sz="0" w:space="0" w:color="auto"/>
            </w:tcBorders>
            <w:shd w:val="clear" w:color="auto" w:fill="FFFFFF" w:themeFill="background1"/>
            <w:vAlign w:val="center"/>
          </w:tcPr>
          <w:p w14:paraId="24966602" w14:textId="77777777" w:rsidR="00D80CDD" w:rsidRDefault="00D80CDD" w:rsidP="0048474C">
            <w:pPr>
              <w:keepNext/>
              <w:keepLines/>
              <w:spacing w:before="40" w:after="40"/>
              <w:jc w:val="center"/>
            </w:pPr>
            <w:r>
              <w:t>Molybdenum</w:t>
            </w:r>
          </w:p>
          <w:p w14:paraId="6CD40A15" w14:textId="5E594DB8" w:rsidR="00D80CDD" w:rsidRDefault="00D80CDD" w:rsidP="0048474C">
            <w:pPr>
              <w:keepNext/>
              <w:keepLines/>
              <w:spacing w:before="40" w:after="40"/>
              <w:jc w:val="center"/>
              <w:rPr>
                <w:rFonts w:cs="Arial"/>
                <w:szCs w:val="20"/>
              </w:rPr>
            </w:pPr>
            <w:r>
              <w:t>(</w:t>
            </w:r>
            <w:r w:rsidRPr="009B7018">
              <w:rPr>
                <w:lang w:eastAsia="en-AU" w:bidi="ar-SA"/>
              </w:rPr>
              <w:t>µg/100 kJ</w:t>
            </w:r>
            <w:r>
              <w:rPr>
                <w:lang w:eastAsia="en-AU" w:bidi="ar-SA"/>
              </w:rPr>
              <w:t>)</w:t>
            </w:r>
          </w:p>
        </w:tc>
        <w:tc>
          <w:tcPr>
            <w:tcW w:w="789" w:type="pct"/>
            <w:tcBorders>
              <w:left w:val="none" w:sz="0" w:space="0" w:color="auto"/>
              <w:right w:val="none" w:sz="0" w:space="0" w:color="auto"/>
            </w:tcBorders>
          </w:tcPr>
          <w:p w14:paraId="457DB522" w14:textId="4A85E0E5" w:rsidR="00D80CDD" w:rsidRPr="00472CA2" w:rsidRDefault="00D80CDD" w:rsidP="001B2A80">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cs="Arial"/>
                <w:szCs w:val="20"/>
              </w:rPr>
            </w:pPr>
            <w:r>
              <w:rPr>
                <w:rFonts w:cs="Arial"/>
                <w:szCs w:val="20"/>
              </w:rPr>
              <w:t>Infant formula</w:t>
            </w:r>
          </w:p>
        </w:tc>
        <w:tc>
          <w:tcPr>
            <w:tcW w:w="574" w:type="pct"/>
            <w:tcBorders>
              <w:left w:val="none" w:sz="0" w:space="0" w:color="auto"/>
              <w:right w:val="none" w:sz="0" w:space="0" w:color="auto"/>
            </w:tcBorders>
            <w:shd w:val="clear" w:color="auto" w:fill="FFFFFF" w:themeFill="background1"/>
            <w:vAlign w:val="center"/>
          </w:tcPr>
          <w:p w14:paraId="029AA209" w14:textId="77777777" w:rsidR="00D80CDD" w:rsidRPr="00472CA2" w:rsidRDefault="00D80CDD" w:rsidP="0048474C">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cs="Arial"/>
                <w:szCs w:val="20"/>
              </w:rPr>
            </w:pPr>
            <w:r>
              <w:rPr>
                <w:rFonts w:cs="Arial"/>
                <w:szCs w:val="20"/>
              </w:rPr>
              <w:t>-</w:t>
            </w:r>
          </w:p>
        </w:tc>
        <w:tc>
          <w:tcPr>
            <w:tcW w:w="574" w:type="pct"/>
            <w:tcBorders>
              <w:left w:val="none" w:sz="0" w:space="0" w:color="auto"/>
              <w:right w:val="none" w:sz="0" w:space="0" w:color="auto"/>
            </w:tcBorders>
            <w:shd w:val="clear" w:color="auto" w:fill="FFFFFF" w:themeFill="background1"/>
            <w:vAlign w:val="center"/>
          </w:tcPr>
          <w:p w14:paraId="0146EE18" w14:textId="77777777" w:rsidR="00D80CDD" w:rsidRPr="007D00E4" w:rsidRDefault="00D80CDD" w:rsidP="0048474C">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cs="Arial"/>
                <w:szCs w:val="20"/>
              </w:rPr>
            </w:pPr>
            <w:r w:rsidRPr="007D00E4">
              <w:rPr>
                <w:rFonts w:cs="Arial"/>
                <w:szCs w:val="20"/>
              </w:rPr>
              <w:t>3.0</w:t>
            </w:r>
            <w:r>
              <w:rPr>
                <w:rFonts w:cs="Arial"/>
                <w:szCs w:val="20"/>
              </w:rPr>
              <w:t>*</w:t>
            </w:r>
          </w:p>
        </w:tc>
        <w:tc>
          <w:tcPr>
            <w:tcW w:w="574" w:type="pct"/>
            <w:tcBorders>
              <w:left w:val="none" w:sz="0" w:space="0" w:color="auto"/>
              <w:right w:val="none" w:sz="0" w:space="0" w:color="auto"/>
            </w:tcBorders>
            <w:shd w:val="clear" w:color="auto" w:fill="FFFFFF" w:themeFill="background1"/>
            <w:vAlign w:val="center"/>
          </w:tcPr>
          <w:p w14:paraId="1928B264" w14:textId="77777777" w:rsidR="00D80CDD" w:rsidRPr="00472CA2" w:rsidRDefault="00D80CDD" w:rsidP="0048474C">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cs="Arial"/>
                <w:szCs w:val="20"/>
              </w:rPr>
            </w:pPr>
            <w:r>
              <w:rPr>
                <w:rFonts w:cs="Arial"/>
                <w:szCs w:val="20"/>
              </w:rPr>
              <w:t>-</w:t>
            </w:r>
          </w:p>
        </w:tc>
        <w:tc>
          <w:tcPr>
            <w:tcW w:w="574" w:type="pct"/>
            <w:tcBorders>
              <w:left w:val="none" w:sz="0" w:space="0" w:color="auto"/>
              <w:right w:val="none" w:sz="0" w:space="0" w:color="auto"/>
            </w:tcBorders>
            <w:shd w:val="clear" w:color="auto" w:fill="FFFFFF" w:themeFill="background1"/>
            <w:vAlign w:val="center"/>
          </w:tcPr>
          <w:p w14:paraId="49505C1F" w14:textId="77777777" w:rsidR="00D80CDD" w:rsidRDefault="00D80CDD" w:rsidP="0048474C">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cs="Arial"/>
                <w:szCs w:val="20"/>
              </w:rPr>
            </w:pPr>
            <w:r>
              <w:rPr>
                <w:rFonts w:cs="Arial"/>
                <w:szCs w:val="20"/>
              </w:rPr>
              <w:t>-</w:t>
            </w:r>
          </w:p>
        </w:tc>
        <w:tc>
          <w:tcPr>
            <w:tcW w:w="574" w:type="pct"/>
            <w:tcBorders>
              <w:left w:val="none" w:sz="0" w:space="0" w:color="auto"/>
              <w:right w:val="none" w:sz="0" w:space="0" w:color="auto"/>
            </w:tcBorders>
            <w:shd w:val="clear" w:color="auto" w:fill="FFFFFF" w:themeFill="background1"/>
            <w:vAlign w:val="center"/>
          </w:tcPr>
          <w:p w14:paraId="2AEAE803" w14:textId="77777777" w:rsidR="00D80CDD" w:rsidRPr="007D00E4" w:rsidRDefault="00D80CDD" w:rsidP="0048474C">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cs="Arial"/>
                <w:szCs w:val="20"/>
              </w:rPr>
            </w:pPr>
            <w:r w:rsidRPr="007D00E4">
              <w:rPr>
                <w:rFonts w:cs="Arial"/>
                <w:szCs w:val="20"/>
              </w:rPr>
              <w:t>-</w:t>
            </w:r>
          </w:p>
        </w:tc>
        <w:tc>
          <w:tcPr>
            <w:tcW w:w="574" w:type="pct"/>
            <w:tcBorders>
              <w:left w:val="none" w:sz="0" w:space="0" w:color="auto"/>
            </w:tcBorders>
            <w:shd w:val="clear" w:color="auto" w:fill="FFFFFF" w:themeFill="background1"/>
            <w:vAlign w:val="center"/>
          </w:tcPr>
          <w:p w14:paraId="10D38379" w14:textId="77777777" w:rsidR="00D80CDD" w:rsidRPr="007D00E4" w:rsidRDefault="00D80CDD" w:rsidP="0048474C">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cs="Arial"/>
                <w:szCs w:val="20"/>
              </w:rPr>
            </w:pPr>
            <w:r w:rsidRPr="007D00E4">
              <w:rPr>
                <w:rFonts w:cs="Arial"/>
                <w:szCs w:val="20"/>
              </w:rPr>
              <w:t>3.3</w:t>
            </w:r>
          </w:p>
        </w:tc>
      </w:tr>
      <w:tr w:rsidR="00D80CDD" w:rsidRPr="00C90454" w14:paraId="44A3C0C5" w14:textId="77777777" w:rsidTr="00D80CDD">
        <w:trPr>
          <w:cnfStyle w:val="000000100000" w:firstRow="0" w:lastRow="0" w:firstColumn="0" w:lastColumn="0" w:oddVBand="0" w:evenVBand="0" w:oddHBand="1" w:evenHBand="0"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768" w:type="pct"/>
            <w:vMerge/>
            <w:tcBorders>
              <w:right w:val="none" w:sz="0" w:space="0" w:color="auto"/>
            </w:tcBorders>
            <w:shd w:val="clear" w:color="auto" w:fill="FFFFFF" w:themeFill="background1"/>
            <w:vAlign w:val="center"/>
          </w:tcPr>
          <w:p w14:paraId="2663D138" w14:textId="77777777" w:rsidR="00D80CDD" w:rsidRDefault="00D80CDD" w:rsidP="0048474C">
            <w:pPr>
              <w:keepNext/>
              <w:keepLines/>
              <w:spacing w:before="40" w:after="40"/>
              <w:jc w:val="center"/>
            </w:pPr>
          </w:p>
        </w:tc>
        <w:tc>
          <w:tcPr>
            <w:tcW w:w="789" w:type="pct"/>
            <w:tcBorders>
              <w:left w:val="none" w:sz="0" w:space="0" w:color="auto"/>
              <w:right w:val="none" w:sz="0" w:space="0" w:color="auto"/>
            </w:tcBorders>
            <w:shd w:val="clear" w:color="auto" w:fill="F2F2F2" w:themeFill="background1" w:themeFillShade="F2"/>
          </w:tcPr>
          <w:p w14:paraId="5A58A206" w14:textId="77777777" w:rsidR="00D80CDD" w:rsidRPr="00472CA2" w:rsidRDefault="00D80CDD" w:rsidP="0048474C">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cs="Arial"/>
                <w:szCs w:val="20"/>
              </w:rPr>
            </w:pPr>
            <w:r>
              <w:rPr>
                <w:rFonts w:cs="Arial"/>
                <w:szCs w:val="20"/>
              </w:rPr>
              <w:t>IFPSDU</w:t>
            </w:r>
          </w:p>
        </w:tc>
        <w:tc>
          <w:tcPr>
            <w:tcW w:w="574" w:type="pct"/>
            <w:tcBorders>
              <w:left w:val="none" w:sz="0" w:space="0" w:color="auto"/>
              <w:right w:val="none" w:sz="0" w:space="0" w:color="auto"/>
            </w:tcBorders>
            <w:shd w:val="clear" w:color="auto" w:fill="F2F2F2" w:themeFill="background1" w:themeFillShade="F2"/>
            <w:vAlign w:val="center"/>
          </w:tcPr>
          <w:p w14:paraId="154CB825" w14:textId="77777777" w:rsidR="00D80CDD" w:rsidRPr="00472CA2" w:rsidRDefault="00D80CDD" w:rsidP="0048474C">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cs="Arial"/>
                <w:szCs w:val="20"/>
              </w:rPr>
            </w:pPr>
            <w:r w:rsidRPr="007D00E4">
              <w:rPr>
                <w:rFonts w:cs="Arial"/>
                <w:szCs w:val="20"/>
              </w:rPr>
              <w:t>≥ 0.36</w:t>
            </w:r>
            <w:r>
              <w:rPr>
                <w:rFonts w:cs="Arial"/>
                <w:szCs w:val="20"/>
              </w:rPr>
              <w:t>^</w:t>
            </w:r>
          </w:p>
        </w:tc>
        <w:tc>
          <w:tcPr>
            <w:tcW w:w="574" w:type="pct"/>
            <w:tcBorders>
              <w:left w:val="none" w:sz="0" w:space="0" w:color="auto"/>
              <w:right w:val="none" w:sz="0" w:space="0" w:color="auto"/>
            </w:tcBorders>
            <w:shd w:val="clear" w:color="auto" w:fill="F2F2F2" w:themeFill="background1" w:themeFillShade="F2"/>
            <w:vAlign w:val="center"/>
          </w:tcPr>
          <w:p w14:paraId="3B410F80" w14:textId="77777777" w:rsidR="00D80CDD" w:rsidRPr="007D00E4" w:rsidRDefault="00D80CDD" w:rsidP="0048474C">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cs="Arial"/>
                <w:szCs w:val="20"/>
              </w:rPr>
            </w:pPr>
            <w:r w:rsidRPr="007D00E4">
              <w:rPr>
                <w:rFonts w:cs="Arial"/>
                <w:szCs w:val="20"/>
              </w:rPr>
              <w:t>≤ 3.0</w:t>
            </w:r>
            <w:r>
              <w:rPr>
                <w:rFonts w:cs="Arial"/>
                <w:szCs w:val="20"/>
              </w:rPr>
              <w:t>^</w:t>
            </w:r>
          </w:p>
        </w:tc>
        <w:tc>
          <w:tcPr>
            <w:tcW w:w="574" w:type="pct"/>
            <w:tcBorders>
              <w:left w:val="none" w:sz="0" w:space="0" w:color="auto"/>
              <w:right w:val="none" w:sz="0" w:space="0" w:color="auto"/>
            </w:tcBorders>
            <w:shd w:val="clear" w:color="auto" w:fill="F2F2F2" w:themeFill="background1" w:themeFillShade="F2"/>
            <w:vAlign w:val="center"/>
          </w:tcPr>
          <w:p w14:paraId="49FC73D9" w14:textId="77777777" w:rsidR="00D80CDD" w:rsidRPr="00472CA2" w:rsidRDefault="00D80CDD" w:rsidP="0048474C">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cs="Arial"/>
                <w:szCs w:val="20"/>
              </w:rPr>
            </w:pPr>
            <w:r>
              <w:rPr>
                <w:rFonts w:cs="Arial"/>
                <w:szCs w:val="20"/>
              </w:rPr>
              <w:t>0.4^^</w:t>
            </w:r>
          </w:p>
        </w:tc>
        <w:tc>
          <w:tcPr>
            <w:tcW w:w="574" w:type="pct"/>
            <w:tcBorders>
              <w:left w:val="none" w:sz="0" w:space="0" w:color="auto"/>
              <w:right w:val="none" w:sz="0" w:space="0" w:color="auto"/>
            </w:tcBorders>
            <w:shd w:val="clear" w:color="auto" w:fill="F2F2F2" w:themeFill="background1" w:themeFillShade="F2"/>
            <w:vAlign w:val="center"/>
          </w:tcPr>
          <w:p w14:paraId="74F51735" w14:textId="77777777" w:rsidR="00D80CDD" w:rsidRDefault="00D80CDD" w:rsidP="0048474C">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cs="Arial"/>
                <w:szCs w:val="20"/>
              </w:rPr>
            </w:pPr>
            <w:r>
              <w:rPr>
                <w:rFonts w:cs="Arial"/>
                <w:szCs w:val="20"/>
              </w:rPr>
              <w:t>2.4^^</w:t>
            </w:r>
          </w:p>
        </w:tc>
        <w:tc>
          <w:tcPr>
            <w:tcW w:w="574" w:type="pct"/>
            <w:tcBorders>
              <w:left w:val="none" w:sz="0" w:space="0" w:color="auto"/>
              <w:right w:val="none" w:sz="0" w:space="0" w:color="auto"/>
            </w:tcBorders>
            <w:shd w:val="clear" w:color="auto" w:fill="F2F2F2" w:themeFill="background1" w:themeFillShade="F2"/>
            <w:vAlign w:val="center"/>
          </w:tcPr>
          <w:p w14:paraId="7988421D" w14:textId="77777777" w:rsidR="00D80CDD" w:rsidRPr="007D00E4" w:rsidRDefault="00D80CDD" w:rsidP="0048474C">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cs="Arial"/>
                <w:szCs w:val="20"/>
              </w:rPr>
            </w:pPr>
            <w:r w:rsidRPr="007D00E4">
              <w:rPr>
                <w:rFonts w:cs="Arial"/>
                <w:szCs w:val="20"/>
              </w:rPr>
              <w:t>-</w:t>
            </w:r>
          </w:p>
        </w:tc>
        <w:tc>
          <w:tcPr>
            <w:tcW w:w="574" w:type="pct"/>
            <w:tcBorders>
              <w:left w:val="none" w:sz="0" w:space="0" w:color="auto"/>
            </w:tcBorders>
            <w:shd w:val="clear" w:color="auto" w:fill="F2F2F2" w:themeFill="background1" w:themeFillShade="F2"/>
            <w:vAlign w:val="center"/>
          </w:tcPr>
          <w:p w14:paraId="7B5D4818" w14:textId="77777777" w:rsidR="00D80CDD" w:rsidRPr="007D00E4" w:rsidRDefault="00D80CDD" w:rsidP="0048474C">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cs="Arial"/>
                <w:szCs w:val="20"/>
              </w:rPr>
            </w:pPr>
            <w:r w:rsidRPr="007D00E4">
              <w:rPr>
                <w:rFonts w:cs="Arial"/>
                <w:szCs w:val="20"/>
              </w:rPr>
              <w:t>-</w:t>
            </w:r>
          </w:p>
        </w:tc>
      </w:tr>
    </w:tbl>
    <w:p w14:paraId="59272FBD" w14:textId="77777777" w:rsidR="00474767" w:rsidRPr="00840CE5" w:rsidRDefault="00474767" w:rsidP="00474767">
      <w:pPr>
        <w:rPr>
          <w:rFonts w:cs="Arial"/>
          <w:i/>
          <w:sz w:val="18"/>
          <w:szCs w:val="18"/>
          <w:lang w:eastAsia="en-GB"/>
        </w:rPr>
      </w:pPr>
      <w:bookmarkStart w:id="386" w:name="_Ref338765399"/>
      <w:r w:rsidRPr="00840CE5">
        <w:rPr>
          <w:rFonts w:cs="Arial"/>
          <w:i/>
          <w:sz w:val="18"/>
          <w:szCs w:val="18"/>
          <w:lang w:eastAsia="en-GB"/>
        </w:rPr>
        <w:t>*S29—10</w:t>
      </w:r>
      <w:bookmarkEnd w:id="386"/>
    </w:p>
    <w:p w14:paraId="4F5F4E42" w14:textId="7DD9364A" w:rsidR="00474767" w:rsidRPr="00840CE5" w:rsidRDefault="00474767" w:rsidP="00474767">
      <w:pPr>
        <w:rPr>
          <w:rFonts w:cs="Arial"/>
          <w:i/>
          <w:sz w:val="18"/>
          <w:szCs w:val="18"/>
          <w:lang w:eastAsia="en-GB"/>
        </w:rPr>
      </w:pPr>
      <w:r w:rsidRPr="00840CE5">
        <w:rPr>
          <w:rFonts w:cs="Arial"/>
          <w:i/>
          <w:sz w:val="18"/>
          <w:szCs w:val="18"/>
          <w:lang w:eastAsia="en-GB"/>
        </w:rPr>
        <w:t>^2.9.1—15</w:t>
      </w:r>
      <w:r w:rsidR="000062F9">
        <w:rPr>
          <w:rFonts w:cs="Arial"/>
          <w:i/>
          <w:sz w:val="18"/>
          <w:szCs w:val="18"/>
          <w:lang w:eastAsia="en-GB"/>
        </w:rPr>
        <w:t xml:space="preserve"> P</w:t>
      </w:r>
      <w:r w:rsidR="000062F9" w:rsidRPr="000062F9">
        <w:rPr>
          <w:rFonts w:cs="Arial"/>
          <w:i/>
          <w:sz w:val="18"/>
          <w:szCs w:val="18"/>
          <w:lang w:eastAsia="en-GB"/>
        </w:rPr>
        <w:t>roducts for specific dietary use based on a protein substitute</w:t>
      </w:r>
    </w:p>
    <w:p w14:paraId="0E42A429" w14:textId="5E2C9149" w:rsidR="00474767" w:rsidRPr="00840CE5" w:rsidRDefault="00474767" w:rsidP="00474767">
      <w:pPr>
        <w:rPr>
          <w:i/>
          <w:sz w:val="18"/>
          <w:szCs w:val="18"/>
        </w:rPr>
      </w:pPr>
      <w:r w:rsidRPr="00840CE5">
        <w:rPr>
          <w:rFonts w:cs="Arial"/>
          <w:i/>
          <w:sz w:val="18"/>
          <w:szCs w:val="18"/>
          <w:lang w:eastAsia="en-GB"/>
        </w:rPr>
        <w:t>^^</w:t>
      </w:r>
      <w:r w:rsidRPr="00840CE5">
        <w:rPr>
          <w:i/>
          <w:sz w:val="18"/>
          <w:szCs w:val="18"/>
          <w:lang w:eastAsia="en-AU" w:bidi="ar-SA"/>
        </w:rPr>
        <w:t xml:space="preserve"> Codex STAN 72-1981, Section B </w:t>
      </w:r>
      <w:r w:rsidRPr="00840CE5">
        <w:rPr>
          <w:i/>
          <w:sz w:val="18"/>
          <w:szCs w:val="18"/>
        </w:rPr>
        <w:t>Formula for Special Medical Purposes</w:t>
      </w:r>
    </w:p>
    <w:p w14:paraId="7FB550E9" w14:textId="77777777" w:rsidR="00776154" w:rsidRDefault="00776154" w:rsidP="00776154">
      <w:pPr>
        <w:pStyle w:val="Heading4"/>
      </w:pPr>
      <w:r w:rsidRPr="00BA1FD9">
        <w:t>Previous consideration</w:t>
      </w:r>
    </w:p>
    <w:p w14:paraId="69EDF4DA" w14:textId="2803C299" w:rsidR="00776154" w:rsidRDefault="00776154" w:rsidP="00776154">
      <w:pPr>
        <w:ind w:right="-286"/>
      </w:pPr>
      <w:r>
        <w:rPr>
          <w:lang w:eastAsia="en-AU" w:bidi="ar-SA"/>
        </w:rPr>
        <w:t xml:space="preserve">When Standard 2.9.1 was developed, the assessment concluded that </w:t>
      </w:r>
      <w:r w:rsidRPr="00CF4EC4">
        <w:rPr>
          <w:lang w:eastAsia="en-AU" w:bidi="ar-SA"/>
        </w:rPr>
        <w:t xml:space="preserve">there </w:t>
      </w:r>
      <w:r>
        <w:rPr>
          <w:lang w:eastAsia="en-AU" w:bidi="ar-SA"/>
        </w:rPr>
        <w:t>wa</w:t>
      </w:r>
      <w:r w:rsidRPr="00CF4EC4">
        <w:rPr>
          <w:lang w:eastAsia="en-AU" w:bidi="ar-SA"/>
        </w:rPr>
        <w:t>s no reliable biological or nutritional data to specify infant requirements or recommended intakes</w:t>
      </w:r>
      <w:r w:rsidR="000062F9">
        <w:rPr>
          <w:lang w:eastAsia="en-AU" w:bidi="ar-SA"/>
        </w:rPr>
        <w:t xml:space="preserve"> for chromium and molybdenum</w:t>
      </w:r>
      <w:r w:rsidRPr="00CF4EC4">
        <w:rPr>
          <w:lang w:eastAsia="en-AU" w:bidi="ar-SA"/>
        </w:rPr>
        <w:t xml:space="preserve">. </w:t>
      </w:r>
      <w:r>
        <w:rPr>
          <w:bCs/>
          <w:iCs/>
          <w:szCs w:val="22"/>
          <w:lang w:eastAsia="en-AU" w:bidi="ar-SA"/>
        </w:rPr>
        <w:t>Since then, AI</w:t>
      </w:r>
      <w:r w:rsidR="000062F9">
        <w:rPr>
          <w:bCs/>
          <w:iCs/>
          <w:szCs w:val="22"/>
          <w:lang w:eastAsia="en-AU" w:bidi="ar-SA"/>
        </w:rPr>
        <w:t>s</w:t>
      </w:r>
      <w:r w:rsidR="00192F1E">
        <w:rPr>
          <w:bCs/>
          <w:iCs/>
          <w:szCs w:val="22"/>
          <w:lang w:eastAsia="en-AU" w:bidi="ar-SA"/>
        </w:rPr>
        <w:t xml:space="preserve"> has been set for</w:t>
      </w:r>
      <w:r>
        <w:rPr>
          <w:bCs/>
          <w:iCs/>
          <w:szCs w:val="22"/>
          <w:lang w:eastAsia="en-AU" w:bidi="ar-SA"/>
        </w:rPr>
        <w:t xml:space="preserve"> both younger (</w:t>
      </w:r>
      <w:r w:rsidRPr="00A10AA7">
        <w:t>0</w:t>
      </w:r>
      <w:r>
        <w:t>–</w:t>
      </w:r>
      <w:r w:rsidRPr="00A10AA7">
        <w:t>6</w:t>
      </w:r>
      <w:r>
        <w:t xml:space="preserve"> months) </w:t>
      </w:r>
      <w:r>
        <w:rPr>
          <w:bCs/>
          <w:iCs/>
          <w:szCs w:val="22"/>
          <w:lang w:eastAsia="en-AU" w:bidi="ar-SA"/>
        </w:rPr>
        <w:t xml:space="preserve">and older </w:t>
      </w:r>
      <w:r>
        <w:t xml:space="preserve">(7–12 months) </w:t>
      </w:r>
      <w:r>
        <w:rPr>
          <w:bCs/>
          <w:iCs/>
          <w:szCs w:val="22"/>
          <w:lang w:eastAsia="en-AU" w:bidi="ar-SA"/>
        </w:rPr>
        <w:t>infants</w:t>
      </w:r>
      <w:r>
        <w:t xml:space="preserve"> </w:t>
      </w:r>
      <w:r>
        <w:rPr>
          <w:lang w:eastAsia="en-AU" w:bidi="ar-SA"/>
        </w:rPr>
        <w:t>(NHMRC and MoH 2006). B</w:t>
      </w:r>
      <w:r w:rsidRPr="00210C6C">
        <w:rPr>
          <w:lang w:eastAsia="en-AU" w:bidi="ar-SA"/>
        </w:rPr>
        <w:t xml:space="preserve">ecause no minimum amounts have been defined in either standard, the 2016 nutrition </w:t>
      </w:r>
      <w:r w:rsidR="00962408">
        <w:rPr>
          <w:lang w:eastAsia="en-AU" w:bidi="ar-SA"/>
        </w:rPr>
        <w:t xml:space="preserve">risk </w:t>
      </w:r>
      <w:r w:rsidRPr="00210C6C">
        <w:rPr>
          <w:lang w:eastAsia="en-AU" w:bidi="ar-SA"/>
        </w:rPr>
        <w:t>assessment did not</w:t>
      </w:r>
      <w:r w:rsidR="000062F9">
        <w:rPr>
          <w:lang w:eastAsia="en-AU" w:bidi="ar-SA"/>
        </w:rPr>
        <w:t xml:space="preserve"> assess</w:t>
      </w:r>
      <w:r w:rsidR="00192F1E">
        <w:rPr>
          <w:lang w:eastAsia="en-AU" w:bidi="ar-SA"/>
        </w:rPr>
        <w:t xml:space="preserve"> </w:t>
      </w:r>
      <w:r w:rsidR="000062F9">
        <w:rPr>
          <w:lang w:eastAsia="en-AU" w:bidi="ar-SA"/>
        </w:rPr>
        <w:t>the</w:t>
      </w:r>
      <w:r w:rsidRPr="00210C6C">
        <w:rPr>
          <w:lang w:eastAsia="en-AU" w:bidi="ar-SA"/>
        </w:rPr>
        <w:t xml:space="preserve"> minimum intake </w:t>
      </w:r>
      <w:r w:rsidR="00962408">
        <w:rPr>
          <w:lang w:eastAsia="en-AU" w:bidi="ar-SA"/>
        </w:rPr>
        <w:t xml:space="preserve">to </w:t>
      </w:r>
      <w:r w:rsidR="00192F1E">
        <w:rPr>
          <w:lang w:eastAsia="en-AU" w:bidi="ar-SA"/>
        </w:rPr>
        <w:t>meet the</w:t>
      </w:r>
      <w:r w:rsidRPr="00210C6C">
        <w:rPr>
          <w:lang w:eastAsia="en-AU" w:bidi="ar-SA"/>
        </w:rPr>
        <w:t xml:space="preserve"> AI</w:t>
      </w:r>
      <w:r w:rsidR="000062F9">
        <w:rPr>
          <w:lang w:eastAsia="en-AU" w:bidi="ar-SA"/>
        </w:rPr>
        <w:t xml:space="preserve"> amount</w:t>
      </w:r>
      <w:r w:rsidRPr="00210C6C">
        <w:rPr>
          <w:lang w:eastAsia="en-AU" w:bidi="ar-SA"/>
        </w:rPr>
        <w:t>.</w:t>
      </w:r>
    </w:p>
    <w:p w14:paraId="68D732EC" w14:textId="77777777" w:rsidR="00776154" w:rsidRDefault="00776154" w:rsidP="00776154"/>
    <w:p w14:paraId="22C97EDF" w14:textId="01C8274A" w:rsidR="00776154" w:rsidRPr="00E22299" w:rsidRDefault="00776154" w:rsidP="00776154">
      <w:pPr>
        <w:rPr>
          <w:bCs/>
          <w:iCs/>
          <w:szCs w:val="22"/>
          <w:lang w:eastAsia="en-AU" w:bidi="ar-SA"/>
        </w:rPr>
      </w:pPr>
      <w:r>
        <w:t xml:space="preserve">The </w:t>
      </w:r>
      <w:r w:rsidR="00962408">
        <w:t xml:space="preserve">2016 </w:t>
      </w:r>
      <w:r>
        <w:t xml:space="preserve">nutrition </w:t>
      </w:r>
      <w:r w:rsidR="00962408">
        <w:t xml:space="preserve">risk </w:t>
      </w:r>
      <w:r>
        <w:t xml:space="preserve">assessment also </w:t>
      </w:r>
      <w:r>
        <w:rPr>
          <w:bCs/>
          <w:iCs/>
          <w:szCs w:val="22"/>
          <w:lang w:eastAsia="en-AU" w:bidi="ar-SA"/>
        </w:rPr>
        <w:t>noted</w:t>
      </w:r>
      <w:r w:rsidRPr="00CF4EC4">
        <w:rPr>
          <w:bCs/>
          <w:iCs/>
          <w:szCs w:val="22"/>
          <w:lang w:eastAsia="en-AU" w:bidi="ar-SA"/>
        </w:rPr>
        <w:t xml:space="preserve"> there </w:t>
      </w:r>
      <w:r>
        <w:rPr>
          <w:bCs/>
          <w:iCs/>
          <w:szCs w:val="22"/>
          <w:lang w:eastAsia="en-AU" w:bidi="ar-SA"/>
        </w:rPr>
        <w:t xml:space="preserve">is no Australian and New Zealand UL set for chromium or molybdenum, as there </w:t>
      </w:r>
      <w:r w:rsidRPr="00CF4EC4">
        <w:rPr>
          <w:bCs/>
          <w:iCs/>
          <w:szCs w:val="22"/>
          <w:lang w:eastAsia="en-AU" w:bidi="ar-SA"/>
        </w:rPr>
        <w:t>are no known adverse effects associated with high intakes of</w:t>
      </w:r>
      <w:r>
        <w:rPr>
          <w:bCs/>
          <w:iCs/>
          <w:szCs w:val="22"/>
          <w:lang w:eastAsia="en-AU" w:bidi="ar-SA"/>
        </w:rPr>
        <w:t xml:space="preserve"> these minerals</w:t>
      </w:r>
      <w:r w:rsidRPr="00CF4EC4">
        <w:rPr>
          <w:bCs/>
          <w:iCs/>
          <w:szCs w:val="22"/>
          <w:lang w:eastAsia="en-AU" w:bidi="ar-SA"/>
        </w:rPr>
        <w:t xml:space="preserve"> from food</w:t>
      </w:r>
      <w:r>
        <w:rPr>
          <w:bCs/>
          <w:iCs/>
          <w:szCs w:val="22"/>
          <w:lang w:eastAsia="en-AU" w:bidi="ar-SA"/>
        </w:rPr>
        <w:t xml:space="preserve">. Based on this the 2016 nutrition </w:t>
      </w:r>
      <w:r w:rsidR="00962408">
        <w:rPr>
          <w:bCs/>
          <w:iCs/>
          <w:szCs w:val="22"/>
          <w:lang w:eastAsia="en-AU" w:bidi="ar-SA"/>
        </w:rPr>
        <w:t xml:space="preserve">risk </w:t>
      </w:r>
      <w:r>
        <w:rPr>
          <w:bCs/>
          <w:iCs/>
          <w:szCs w:val="22"/>
          <w:lang w:eastAsia="en-AU" w:bidi="ar-SA"/>
        </w:rPr>
        <w:t xml:space="preserve">assessment concluded that </w:t>
      </w:r>
      <w:r w:rsidRPr="00CF4EC4">
        <w:rPr>
          <w:bCs/>
          <w:iCs/>
          <w:szCs w:val="22"/>
          <w:lang w:eastAsia="en-AU" w:bidi="ar-SA"/>
        </w:rPr>
        <w:t>remov</w:t>
      </w:r>
      <w:r>
        <w:rPr>
          <w:bCs/>
          <w:iCs/>
          <w:szCs w:val="22"/>
          <w:lang w:eastAsia="en-AU" w:bidi="ar-SA"/>
        </w:rPr>
        <w:t xml:space="preserve">al of the guidance </w:t>
      </w:r>
      <w:r w:rsidRPr="00CF4EC4">
        <w:rPr>
          <w:bCs/>
          <w:iCs/>
          <w:szCs w:val="22"/>
          <w:lang w:eastAsia="en-AU" w:bidi="ar-SA"/>
        </w:rPr>
        <w:t>level</w:t>
      </w:r>
      <w:r>
        <w:rPr>
          <w:bCs/>
          <w:iCs/>
          <w:szCs w:val="22"/>
          <w:lang w:eastAsia="en-AU" w:bidi="ar-SA"/>
        </w:rPr>
        <w:t>s</w:t>
      </w:r>
      <w:r w:rsidRPr="00CF4EC4">
        <w:rPr>
          <w:bCs/>
          <w:iCs/>
          <w:szCs w:val="22"/>
          <w:lang w:eastAsia="en-AU" w:bidi="ar-SA"/>
        </w:rPr>
        <w:t xml:space="preserve"> </w:t>
      </w:r>
      <w:r>
        <w:rPr>
          <w:bCs/>
          <w:iCs/>
          <w:szCs w:val="22"/>
          <w:lang w:eastAsia="en-AU" w:bidi="ar-SA"/>
        </w:rPr>
        <w:t>to align with Codex STAN 72-1982 wa</w:t>
      </w:r>
      <w:r w:rsidRPr="00CF4EC4">
        <w:rPr>
          <w:bCs/>
          <w:iCs/>
          <w:szCs w:val="22"/>
          <w:lang w:eastAsia="en-AU" w:bidi="ar-SA"/>
        </w:rPr>
        <w:t>s unlikely to impact on infant health</w:t>
      </w:r>
      <w:r>
        <w:rPr>
          <w:bCs/>
          <w:iCs/>
          <w:szCs w:val="22"/>
          <w:lang w:eastAsia="en-AU" w:bidi="ar-SA"/>
        </w:rPr>
        <w:t xml:space="preserve">. </w:t>
      </w:r>
    </w:p>
    <w:p w14:paraId="27150382" w14:textId="77777777" w:rsidR="00776154" w:rsidRDefault="00776154" w:rsidP="00776154">
      <w:pPr>
        <w:pStyle w:val="Heading4"/>
        <w:ind w:left="0" w:firstLine="0"/>
      </w:pPr>
      <w:r w:rsidRPr="00BA1FD9">
        <w:t>S</w:t>
      </w:r>
      <w:r>
        <w:t>takeholder views</w:t>
      </w:r>
    </w:p>
    <w:p w14:paraId="18C7ABBD" w14:textId="2235BB50" w:rsidR="00962408" w:rsidRDefault="00776154" w:rsidP="00962408">
      <w:pPr>
        <w:rPr>
          <w:lang w:bidi="ar-SA"/>
        </w:rPr>
      </w:pPr>
      <w:r>
        <w:t xml:space="preserve">The 2016 </w:t>
      </w:r>
      <w:r w:rsidR="00962408">
        <w:t xml:space="preserve">Consultation paper </w:t>
      </w:r>
      <w:r>
        <w:t xml:space="preserve">sought </w:t>
      </w:r>
      <w:r w:rsidRPr="00BB5288">
        <w:rPr>
          <w:lang w:val="en-AU" w:bidi="ar-SA"/>
        </w:rPr>
        <w:t>further in</w:t>
      </w:r>
      <w:r>
        <w:rPr>
          <w:lang w:val="en-AU" w:bidi="ar-SA"/>
        </w:rPr>
        <w:t xml:space="preserve">formation to consider whether there is a need to set a minimum requirement for chromium and molybdenum and to retain the current GULs. </w:t>
      </w:r>
      <w:r w:rsidR="00962408">
        <w:rPr>
          <w:lang w:val="en-AU" w:bidi="ar-SA"/>
        </w:rPr>
        <w:t xml:space="preserve">Four submitters (one government, three industry) commented on chromium </w:t>
      </w:r>
      <w:r w:rsidR="00962408">
        <w:rPr>
          <w:lang w:eastAsia="en-AU" w:bidi="ar-SA"/>
        </w:rPr>
        <w:t>and molybdenum</w:t>
      </w:r>
      <w:r w:rsidR="00962408">
        <w:rPr>
          <w:lang w:val="en-AU" w:bidi="ar-SA"/>
        </w:rPr>
        <w:t>. Industry submitters d</w:t>
      </w:r>
      <w:r w:rsidR="000062F9">
        <w:rPr>
          <w:lang w:val="en-AU" w:bidi="ar-SA"/>
        </w:rPr>
        <w:t>id</w:t>
      </w:r>
      <w:r w:rsidR="00962408">
        <w:rPr>
          <w:lang w:val="en-AU" w:bidi="ar-SA"/>
        </w:rPr>
        <w:t xml:space="preserve"> </w:t>
      </w:r>
      <w:r w:rsidR="00962408" w:rsidRPr="001E5242">
        <w:rPr>
          <w:lang w:val="en-AU" w:bidi="ar-SA"/>
        </w:rPr>
        <w:t>not support a min</w:t>
      </w:r>
      <w:r w:rsidR="00962408">
        <w:rPr>
          <w:lang w:val="en-AU" w:bidi="ar-SA"/>
        </w:rPr>
        <w:t>imum</w:t>
      </w:r>
      <w:r w:rsidR="00962408" w:rsidRPr="001E5242">
        <w:rPr>
          <w:lang w:val="en-AU" w:bidi="ar-SA"/>
        </w:rPr>
        <w:t>, max</w:t>
      </w:r>
      <w:r w:rsidR="00962408">
        <w:rPr>
          <w:lang w:val="en-AU" w:bidi="ar-SA"/>
        </w:rPr>
        <w:t xml:space="preserve">imum, or GUL being set for chromium </w:t>
      </w:r>
      <w:r w:rsidR="00962408">
        <w:rPr>
          <w:lang w:eastAsia="en-AU" w:bidi="ar-SA"/>
        </w:rPr>
        <w:t>or molybdenum</w:t>
      </w:r>
      <w:r w:rsidR="00962408">
        <w:rPr>
          <w:lang w:val="en-AU" w:bidi="ar-SA"/>
        </w:rPr>
        <w:t xml:space="preserve"> on the basis of </w:t>
      </w:r>
      <w:r w:rsidR="00962408" w:rsidRPr="001E5242">
        <w:rPr>
          <w:lang w:val="en-AU" w:bidi="ar-SA"/>
        </w:rPr>
        <w:t>insufficient evidence.</w:t>
      </w:r>
      <w:r w:rsidR="00A42624">
        <w:rPr>
          <w:lang w:val="en-AU" w:bidi="ar-SA"/>
        </w:rPr>
        <w:t xml:space="preserve"> The</w:t>
      </w:r>
      <w:r w:rsidR="000062F9">
        <w:rPr>
          <w:lang w:val="en-AU" w:bidi="ar-SA"/>
        </w:rPr>
        <w:t xml:space="preserve"> N</w:t>
      </w:r>
      <w:r w:rsidR="00FA2697">
        <w:rPr>
          <w:lang w:val="en-AU" w:bidi="ar-SA"/>
        </w:rPr>
        <w:t xml:space="preserve">ew </w:t>
      </w:r>
      <w:r w:rsidR="000062F9">
        <w:rPr>
          <w:lang w:val="en-AU" w:bidi="ar-SA"/>
        </w:rPr>
        <w:t>Z</w:t>
      </w:r>
      <w:r w:rsidR="00FA2697">
        <w:rPr>
          <w:lang w:val="en-AU" w:bidi="ar-SA"/>
        </w:rPr>
        <w:t>ealand</w:t>
      </w:r>
      <w:r w:rsidR="00A42624">
        <w:rPr>
          <w:lang w:val="en-AU" w:bidi="ar-SA"/>
        </w:rPr>
        <w:t xml:space="preserve"> government submission</w:t>
      </w:r>
      <w:r w:rsidR="00962408">
        <w:rPr>
          <w:lang w:val="en-AU" w:bidi="ar-SA"/>
        </w:rPr>
        <w:t xml:space="preserve"> indicated that </w:t>
      </w:r>
      <w:r w:rsidR="00962408" w:rsidRPr="00BD2CCB">
        <w:rPr>
          <w:lang w:bidi="ar-SA"/>
        </w:rPr>
        <w:t>the 2016 New Zealand Total Diet Study</w:t>
      </w:r>
      <w:r w:rsidR="00962408">
        <w:rPr>
          <w:lang w:bidi="ar-SA"/>
        </w:rPr>
        <w:t xml:space="preserve"> (NZ TDS) </w:t>
      </w:r>
      <w:r w:rsidR="00962408">
        <w:rPr>
          <w:lang w:val="en-AU" w:bidi="ar-SA"/>
        </w:rPr>
        <w:t xml:space="preserve">included data on </w:t>
      </w:r>
      <w:r w:rsidR="00962408" w:rsidRPr="00137A55">
        <w:rPr>
          <w:lang w:bidi="ar-SA"/>
        </w:rPr>
        <w:t>chromium</w:t>
      </w:r>
      <w:r w:rsidR="00962408">
        <w:rPr>
          <w:lang w:bidi="ar-SA"/>
        </w:rPr>
        <w:t xml:space="preserve"> and molybdenum levels</w:t>
      </w:r>
      <w:r w:rsidR="00962408" w:rsidRPr="00137A55">
        <w:rPr>
          <w:lang w:bidi="ar-SA"/>
        </w:rPr>
        <w:t xml:space="preserve"> in infant formula</w:t>
      </w:r>
      <w:r w:rsidR="00962408">
        <w:rPr>
          <w:lang w:bidi="ar-SA"/>
        </w:rPr>
        <w:t xml:space="preserve"> which could be used to estimate infant intakes.</w:t>
      </w:r>
    </w:p>
    <w:p w14:paraId="37C0EA8E" w14:textId="478219EB" w:rsidR="00D9197D" w:rsidRDefault="00D9197D" w:rsidP="00962408">
      <w:pPr>
        <w:rPr>
          <w:lang w:bidi="ar-SA"/>
        </w:rPr>
      </w:pPr>
    </w:p>
    <w:p w14:paraId="7FFA1217" w14:textId="0EA34763" w:rsidR="002D7A45" w:rsidRDefault="00D9197D" w:rsidP="00962408">
      <w:pPr>
        <w:rPr>
          <w:lang w:bidi="ar-SA"/>
        </w:rPr>
      </w:pPr>
      <w:r>
        <w:rPr>
          <w:lang w:bidi="ar-SA"/>
        </w:rPr>
        <w:t>The 2017 Consultation paper sough</w:t>
      </w:r>
      <w:r w:rsidR="002D7A45">
        <w:rPr>
          <w:lang w:bidi="ar-SA"/>
        </w:rPr>
        <w:t>t</w:t>
      </w:r>
      <w:r>
        <w:rPr>
          <w:lang w:bidi="ar-SA"/>
        </w:rPr>
        <w:t xml:space="preserve"> further information on the </w:t>
      </w:r>
      <w:r w:rsidRPr="00D9197D">
        <w:rPr>
          <w:lang w:bidi="ar-SA"/>
        </w:rPr>
        <w:t>minimum and maximum amount of chromium</w:t>
      </w:r>
      <w:r>
        <w:rPr>
          <w:lang w:bidi="ar-SA"/>
        </w:rPr>
        <w:t xml:space="preserve"> and </w:t>
      </w:r>
      <w:r>
        <w:rPr>
          <w:bCs/>
          <w:iCs/>
          <w:szCs w:val="22"/>
          <w:lang w:eastAsia="en-AU" w:bidi="ar-SA"/>
        </w:rPr>
        <w:t>molybdenum</w:t>
      </w:r>
      <w:r w:rsidR="001B2A80">
        <w:rPr>
          <w:bCs/>
          <w:iCs/>
          <w:szCs w:val="22"/>
          <w:lang w:eastAsia="en-AU" w:bidi="ar-SA"/>
        </w:rPr>
        <w:t xml:space="preserve"> </w:t>
      </w:r>
      <w:r w:rsidR="001B2A80">
        <w:rPr>
          <w:lang w:bidi="ar-SA"/>
        </w:rPr>
        <w:t>prescribed</w:t>
      </w:r>
      <w:r>
        <w:rPr>
          <w:lang w:bidi="ar-SA"/>
        </w:rPr>
        <w:t xml:space="preserve"> in IFPSDU. </w:t>
      </w:r>
      <w:r w:rsidR="002D7A45">
        <w:rPr>
          <w:lang w:bidi="ar-SA"/>
        </w:rPr>
        <w:t>Two submitters (one government, one health professional) provided comments. The government submission noted that a</w:t>
      </w:r>
      <w:r w:rsidRPr="00D9197D">
        <w:rPr>
          <w:lang w:bidi="ar-SA"/>
        </w:rPr>
        <w:t xml:space="preserve"> maximum value for chromium</w:t>
      </w:r>
      <w:r w:rsidR="002D7A45">
        <w:rPr>
          <w:lang w:bidi="ar-SA"/>
        </w:rPr>
        <w:t xml:space="preserve"> and </w:t>
      </w:r>
      <w:r w:rsidR="002D7A45">
        <w:rPr>
          <w:bCs/>
          <w:iCs/>
          <w:szCs w:val="22"/>
          <w:lang w:eastAsia="en-AU" w:bidi="ar-SA"/>
        </w:rPr>
        <w:t>molybdenum</w:t>
      </w:r>
      <w:r w:rsidRPr="00D9197D">
        <w:rPr>
          <w:lang w:bidi="ar-SA"/>
        </w:rPr>
        <w:t xml:space="preserve"> is difficult to manage due to natu</w:t>
      </w:r>
      <w:r w:rsidR="002D7A45">
        <w:rPr>
          <w:lang w:bidi="ar-SA"/>
        </w:rPr>
        <w:t xml:space="preserve">ral variation in raw materials and recommended </w:t>
      </w:r>
      <w:r w:rsidR="002D7A45" w:rsidRPr="00D9197D">
        <w:rPr>
          <w:lang w:bidi="ar-SA"/>
        </w:rPr>
        <w:t xml:space="preserve">setting a maximum value </w:t>
      </w:r>
      <w:r w:rsidR="002D7A45">
        <w:rPr>
          <w:lang w:bidi="ar-SA"/>
        </w:rPr>
        <w:t>that is</w:t>
      </w:r>
      <w:r w:rsidR="002D7A45" w:rsidRPr="00D9197D">
        <w:rPr>
          <w:lang w:bidi="ar-SA"/>
        </w:rPr>
        <w:t xml:space="preserve"> large enough to avoid excessive technological constraints</w:t>
      </w:r>
      <w:r w:rsidR="002D7A45">
        <w:rPr>
          <w:lang w:bidi="ar-SA"/>
        </w:rPr>
        <w:t xml:space="preserve"> or if a</w:t>
      </w:r>
      <w:r w:rsidR="002D7A45" w:rsidRPr="00D9197D">
        <w:rPr>
          <w:lang w:bidi="ar-SA"/>
        </w:rPr>
        <w:t xml:space="preserve"> maximum is unable to be established, it should be kept open in order to align with Europe or the United States.</w:t>
      </w:r>
      <w:r w:rsidR="002D7A45">
        <w:rPr>
          <w:lang w:bidi="ar-SA"/>
        </w:rPr>
        <w:t xml:space="preserve"> The health professional did not provide </w:t>
      </w:r>
      <w:r w:rsidR="001B2A80">
        <w:rPr>
          <w:lang w:bidi="ar-SA"/>
        </w:rPr>
        <w:t>comments</w:t>
      </w:r>
      <w:r w:rsidR="002D7A45">
        <w:rPr>
          <w:lang w:bidi="ar-SA"/>
        </w:rPr>
        <w:t xml:space="preserve"> specific to </w:t>
      </w:r>
      <w:r w:rsidR="002D7A45" w:rsidRPr="00D9197D">
        <w:rPr>
          <w:lang w:bidi="ar-SA"/>
        </w:rPr>
        <w:t>chromium</w:t>
      </w:r>
      <w:r w:rsidR="002D7A45">
        <w:rPr>
          <w:lang w:bidi="ar-SA"/>
        </w:rPr>
        <w:t xml:space="preserve"> and </w:t>
      </w:r>
      <w:r w:rsidR="00204D4F">
        <w:rPr>
          <w:lang w:bidi="ar-SA"/>
        </w:rPr>
        <w:t>molybdenum, however</w:t>
      </w:r>
      <w:r w:rsidR="002D7A45" w:rsidRPr="002674A3">
        <w:rPr>
          <w:lang w:bidi="ar-SA"/>
        </w:rPr>
        <w:t xml:space="preserve"> not</w:t>
      </w:r>
      <w:r w:rsidR="007C62B9">
        <w:rPr>
          <w:lang w:bidi="ar-SA"/>
        </w:rPr>
        <w:t>e</w:t>
      </w:r>
      <w:r w:rsidR="00204D4F">
        <w:rPr>
          <w:lang w:bidi="ar-SA"/>
        </w:rPr>
        <w:t xml:space="preserve">d </w:t>
      </w:r>
      <w:r w:rsidR="002D7A45" w:rsidRPr="002674A3">
        <w:rPr>
          <w:lang w:bidi="ar-SA"/>
        </w:rPr>
        <w:t xml:space="preserve">that there should be </w:t>
      </w:r>
      <w:r w:rsidR="002D7A45">
        <w:rPr>
          <w:lang w:bidi="ar-SA"/>
        </w:rPr>
        <w:t>scientific rationale for any variations to the standard composition and that requirements should be guided by review of current literature and scientific opinion.</w:t>
      </w:r>
    </w:p>
    <w:p w14:paraId="711BE608" w14:textId="2162F724" w:rsidR="00776154" w:rsidRDefault="00962408" w:rsidP="00776154">
      <w:pPr>
        <w:pStyle w:val="Heading4"/>
      </w:pPr>
      <w:r>
        <w:t>Nutrition r</w:t>
      </w:r>
      <w:r w:rsidR="00776154" w:rsidRPr="00BA1FD9">
        <w:t>isk assessment</w:t>
      </w:r>
    </w:p>
    <w:p w14:paraId="5654B857" w14:textId="31E03E57" w:rsidR="00776154" w:rsidRPr="00137A55" w:rsidRDefault="00776154" w:rsidP="00776154">
      <w:pPr>
        <w:rPr>
          <w:lang w:val="en-AU" w:bidi="ar-SA"/>
        </w:rPr>
      </w:pPr>
      <w:r>
        <w:rPr>
          <w:lang w:eastAsia="en-AU"/>
        </w:rPr>
        <w:t xml:space="preserve">No further </w:t>
      </w:r>
      <w:r w:rsidR="00962408">
        <w:rPr>
          <w:lang w:eastAsia="en-AU"/>
        </w:rPr>
        <w:t xml:space="preserve">nutrition </w:t>
      </w:r>
      <w:r>
        <w:rPr>
          <w:lang w:eastAsia="en-AU"/>
        </w:rPr>
        <w:t>risk assessment was considered on this issue.</w:t>
      </w:r>
    </w:p>
    <w:p w14:paraId="0B30D021" w14:textId="77777777" w:rsidR="00776154" w:rsidRDefault="00776154" w:rsidP="00776154">
      <w:pPr>
        <w:pStyle w:val="Heading4"/>
      </w:pPr>
      <w:r w:rsidRPr="00BA1FD9">
        <w:lastRenderedPageBreak/>
        <w:t>Options and discussion</w:t>
      </w:r>
    </w:p>
    <w:p w14:paraId="6AAD3264" w14:textId="4647C50C" w:rsidR="00776154" w:rsidRDefault="00776154" w:rsidP="00776154">
      <w:pPr>
        <w:rPr>
          <w:lang w:eastAsia="en-AU"/>
        </w:rPr>
      </w:pPr>
      <w:r w:rsidRPr="00BD2CCB">
        <w:rPr>
          <w:lang w:eastAsia="en-AU"/>
        </w:rPr>
        <w:t xml:space="preserve">The </w:t>
      </w:r>
      <w:r>
        <w:rPr>
          <w:lang w:eastAsia="en-AU"/>
        </w:rPr>
        <w:t xml:space="preserve">2016 </w:t>
      </w:r>
      <w:r w:rsidR="00962408">
        <w:rPr>
          <w:lang w:eastAsia="en-AU"/>
        </w:rPr>
        <w:t>C</w:t>
      </w:r>
      <w:r>
        <w:rPr>
          <w:lang w:eastAsia="en-AU"/>
        </w:rPr>
        <w:t>onsultation paper estimated intakes of chromium and molybdenum from infant formula based on concentrations of these elements measured in the 22</w:t>
      </w:r>
      <w:r w:rsidRPr="00BD2CCB">
        <w:rPr>
          <w:vertAlign w:val="superscript"/>
          <w:lang w:eastAsia="en-AU"/>
        </w:rPr>
        <w:t>nd</w:t>
      </w:r>
      <w:r>
        <w:rPr>
          <w:lang w:eastAsia="en-AU"/>
        </w:rPr>
        <w:t xml:space="preserve"> Australian Total Diet Study (ATDS). The theoretical infant diet estimated mean intakes for both chromium and molybdenum that were well above the AI. Results from the 2016 NZ TDS for chromium and molybdenum were below the limit of reporting and therefore not informative for comparison </w:t>
      </w:r>
      <w:r w:rsidR="00962408">
        <w:rPr>
          <w:lang w:eastAsia="en-AU"/>
        </w:rPr>
        <w:t xml:space="preserve">with </w:t>
      </w:r>
      <w:r>
        <w:rPr>
          <w:lang w:eastAsia="en-AU"/>
        </w:rPr>
        <w:t xml:space="preserve">the AI. </w:t>
      </w:r>
    </w:p>
    <w:p w14:paraId="4A5F462F" w14:textId="6D4E9B4B" w:rsidR="00587C07" w:rsidRDefault="00587C07" w:rsidP="00776154">
      <w:pPr>
        <w:rPr>
          <w:lang w:eastAsia="en-AU"/>
        </w:rPr>
      </w:pPr>
    </w:p>
    <w:p w14:paraId="2B9C1568" w14:textId="323FF1CA" w:rsidR="001B2A80" w:rsidRDefault="00204D4F" w:rsidP="00776154">
      <w:pPr>
        <w:rPr>
          <w:lang w:eastAsia="en-AU"/>
        </w:rPr>
      </w:pPr>
      <w:r>
        <w:rPr>
          <w:lang w:eastAsia="en-AU"/>
        </w:rPr>
        <w:t>Currently no UL</w:t>
      </w:r>
      <w:r w:rsidR="001B2A80">
        <w:rPr>
          <w:lang w:eastAsia="en-AU"/>
        </w:rPr>
        <w:t xml:space="preserve">s </w:t>
      </w:r>
      <w:r>
        <w:rPr>
          <w:lang w:eastAsia="en-AU"/>
        </w:rPr>
        <w:t xml:space="preserve">are </w:t>
      </w:r>
      <w:r w:rsidR="001B2A80">
        <w:rPr>
          <w:lang w:eastAsia="en-AU"/>
        </w:rPr>
        <w:t>established for chromium and molybdenum in Australia</w:t>
      </w:r>
      <w:r w:rsidR="002674A3">
        <w:rPr>
          <w:lang w:eastAsia="en-AU"/>
        </w:rPr>
        <w:t xml:space="preserve"> and New Zealand</w:t>
      </w:r>
      <w:r w:rsidR="001B2A80">
        <w:rPr>
          <w:lang w:eastAsia="en-AU"/>
        </w:rPr>
        <w:t xml:space="preserve">, or in </w:t>
      </w:r>
      <w:r w:rsidR="001B2A80" w:rsidRPr="00D9197D">
        <w:rPr>
          <w:lang w:bidi="ar-SA"/>
        </w:rPr>
        <w:t>Europe or the United States</w:t>
      </w:r>
      <w:r w:rsidR="001B2A80">
        <w:rPr>
          <w:lang w:bidi="ar-SA"/>
        </w:rPr>
        <w:t xml:space="preserve"> as there are no known </w:t>
      </w:r>
      <w:r w:rsidR="001B2A80">
        <w:rPr>
          <w:szCs w:val="22"/>
        </w:rPr>
        <w:t xml:space="preserve">adverse effects associated with high intakes of chromium or molybdenum from food. Originally, </w:t>
      </w:r>
      <w:r w:rsidR="002674A3">
        <w:rPr>
          <w:szCs w:val="22"/>
        </w:rPr>
        <w:t xml:space="preserve">the </w:t>
      </w:r>
      <w:r w:rsidR="001B2A80">
        <w:rPr>
          <w:szCs w:val="22"/>
        </w:rPr>
        <w:t>voluntary maximum was set as a precaution (ANZFA 1999a) however the EC SCF</w:t>
      </w:r>
      <w:r w:rsidR="00600045">
        <w:rPr>
          <w:szCs w:val="22"/>
        </w:rPr>
        <w:t xml:space="preserve"> (</w:t>
      </w:r>
      <w:r w:rsidR="00192F1E">
        <w:rPr>
          <w:szCs w:val="22"/>
        </w:rPr>
        <w:t>2003</w:t>
      </w:r>
      <w:r w:rsidR="00600045">
        <w:rPr>
          <w:szCs w:val="22"/>
        </w:rPr>
        <w:t>)</w:t>
      </w:r>
      <w:r w:rsidR="001B2A80">
        <w:rPr>
          <w:szCs w:val="22"/>
        </w:rPr>
        <w:t xml:space="preserve"> did not recommend setting maximum amounts. The 2016 nutrition risk assessment concluded that removing the voluntary maximum amounts for chromium and molybdenum from infant formula would be unlikely to pose a risk to infant health.</w:t>
      </w:r>
    </w:p>
    <w:p w14:paraId="2334B415" w14:textId="70744362" w:rsidR="001B2A80" w:rsidRDefault="001B2A80" w:rsidP="00776154">
      <w:pPr>
        <w:rPr>
          <w:lang w:eastAsia="en-AU"/>
        </w:rPr>
      </w:pPr>
    </w:p>
    <w:p w14:paraId="48F5FB59" w14:textId="3508B307" w:rsidR="00587C07" w:rsidRDefault="001B2A80" w:rsidP="00776154">
      <w:pPr>
        <w:rPr>
          <w:lang w:eastAsia="en-AU"/>
        </w:rPr>
      </w:pPr>
      <w:r>
        <w:rPr>
          <w:lang w:eastAsia="en-AU"/>
        </w:rPr>
        <w:t xml:space="preserve">The range for chromium and molybdenum under </w:t>
      </w:r>
      <w:r w:rsidR="007751FB">
        <w:rPr>
          <w:lang w:eastAsia="en-AU" w:bidi="ar-SA"/>
        </w:rPr>
        <w:t xml:space="preserve">section </w:t>
      </w:r>
      <w:r w:rsidRPr="00474767">
        <w:rPr>
          <w:lang w:eastAsia="en-AU" w:bidi="ar-SA"/>
        </w:rPr>
        <w:t>2.9.1—15</w:t>
      </w:r>
      <w:r w:rsidR="002674A3">
        <w:rPr>
          <w:lang w:eastAsia="en-AU" w:bidi="ar-SA"/>
        </w:rPr>
        <w:t xml:space="preserve"> for IF</w:t>
      </w:r>
      <w:r w:rsidR="000F08CD">
        <w:rPr>
          <w:lang w:eastAsia="en-AU" w:bidi="ar-SA"/>
        </w:rPr>
        <w:t>P</w:t>
      </w:r>
      <w:r w:rsidR="002674A3">
        <w:rPr>
          <w:lang w:eastAsia="en-AU" w:bidi="ar-SA"/>
        </w:rPr>
        <w:t>SDU</w:t>
      </w:r>
      <w:r w:rsidR="00600045">
        <w:rPr>
          <w:lang w:eastAsia="en-AU" w:bidi="ar-SA"/>
        </w:rPr>
        <w:t xml:space="preserve"> (p</w:t>
      </w:r>
      <w:r w:rsidR="00600045" w:rsidRPr="00600045">
        <w:rPr>
          <w:lang w:eastAsia="en-AU" w:bidi="ar-SA"/>
        </w:rPr>
        <w:t>roducts based on a protein substitute</w:t>
      </w:r>
      <w:r w:rsidR="00600045">
        <w:rPr>
          <w:lang w:eastAsia="en-AU" w:bidi="ar-SA"/>
        </w:rPr>
        <w:t>)</w:t>
      </w:r>
      <w:r w:rsidR="002674A3">
        <w:rPr>
          <w:lang w:eastAsia="en-AU" w:bidi="ar-SA"/>
        </w:rPr>
        <w:t xml:space="preserve"> were</w:t>
      </w:r>
      <w:r>
        <w:rPr>
          <w:lang w:eastAsia="en-AU" w:bidi="ar-SA"/>
        </w:rPr>
        <w:t xml:space="preserve"> set to ensure minimum levels were </w:t>
      </w:r>
      <w:r w:rsidR="0048474C">
        <w:rPr>
          <w:lang w:eastAsia="en-AU" w:bidi="ar-SA"/>
        </w:rPr>
        <w:t>achieved during the manufacture of IF</w:t>
      </w:r>
      <w:r w:rsidR="000F08CD">
        <w:rPr>
          <w:lang w:eastAsia="en-AU" w:bidi="ar-SA"/>
        </w:rPr>
        <w:t>P</w:t>
      </w:r>
      <w:r w:rsidR="0048474C">
        <w:rPr>
          <w:lang w:eastAsia="en-AU" w:bidi="ar-SA"/>
        </w:rPr>
        <w:t>SDU. Infant formula does not require the addition of</w:t>
      </w:r>
      <w:r w:rsidR="0048474C" w:rsidRPr="0048474C">
        <w:rPr>
          <w:lang w:eastAsia="en-AU"/>
        </w:rPr>
        <w:t xml:space="preserve"> </w:t>
      </w:r>
      <w:r w:rsidR="0048474C">
        <w:rPr>
          <w:lang w:eastAsia="en-AU"/>
        </w:rPr>
        <w:t>chromium and molybdenum as these levels are met through the base macronutrients levels prescribed in Standard 2.9.1. However, f</w:t>
      </w:r>
      <w:r w:rsidR="00204D4F">
        <w:rPr>
          <w:lang w:eastAsia="en-AU"/>
        </w:rPr>
        <w:t>or purified or refined formulas</w:t>
      </w:r>
      <w:r w:rsidR="0048474C">
        <w:rPr>
          <w:lang w:eastAsia="en-AU"/>
        </w:rPr>
        <w:t>, there is a need for the addition of</w:t>
      </w:r>
      <w:r w:rsidR="0048474C" w:rsidRPr="0048474C">
        <w:rPr>
          <w:lang w:eastAsia="en-AU"/>
        </w:rPr>
        <w:t xml:space="preserve"> </w:t>
      </w:r>
      <w:r w:rsidR="0048474C">
        <w:rPr>
          <w:lang w:eastAsia="en-AU"/>
        </w:rPr>
        <w:t xml:space="preserve">chromium and molybdenum. </w:t>
      </w:r>
    </w:p>
    <w:p w14:paraId="11730D35" w14:textId="77777777" w:rsidR="00776154" w:rsidRDefault="00776154" w:rsidP="00776154">
      <w:pPr>
        <w:pStyle w:val="Heading4"/>
      </w:pPr>
      <w:r w:rsidRPr="00BA1FD9">
        <w:t>Prop</w:t>
      </w:r>
      <w:r>
        <w:t>o</w:t>
      </w:r>
      <w:r w:rsidRPr="00BA1FD9">
        <w:t xml:space="preserve">sed </w:t>
      </w:r>
      <w:r>
        <w:t>approach</w:t>
      </w:r>
    </w:p>
    <w:p w14:paraId="2C930B77" w14:textId="5C4A59CF" w:rsidR="000753C0" w:rsidRDefault="00776154" w:rsidP="000753C0">
      <w:pPr>
        <w:rPr>
          <w:b/>
          <w:sz w:val="18"/>
          <w:szCs w:val="18"/>
        </w:rPr>
      </w:pPr>
      <w:r>
        <w:rPr>
          <w:lang w:val="en-AU" w:bidi="ar-SA"/>
        </w:rPr>
        <w:t xml:space="preserve">Based on the above estimated intakes and the conclusions of the 2016 nutrition </w:t>
      </w:r>
      <w:r w:rsidR="00962408">
        <w:rPr>
          <w:lang w:val="en-AU" w:bidi="ar-SA"/>
        </w:rPr>
        <w:t xml:space="preserve">risk </w:t>
      </w:r>
      <w:r>
        <w:rPr>
          <w:lang w:val="en-AU" w:bidi="ar-SA"/>
        </w:rPr>
        <w:t>assessment</w:t>
      </w:r>
      <w:r w:rsidR="007C62B9">
        <w:rPr>
          <w:lang w:val="en-AU" w:bidi="ar-SA"/>
        </w:rPr>
        <w:t>,</w:t>
      </w:r>
      <w:r>
        <w:rPr>
          <w:lang w:val="en-AU" w:bidi="ar-SA"/>
        </w:rPr>
        <w:t xml:space="preserve"> FSANZ proposes to align the permissions for chromium and molybdenum with Codex STAN 72-1981 by removing the current maximum level (GUL). </w:t>
      </w:r>
      <w:r w:rsidR="0048474C">
        <w:rPr>
          <w:lang w:val="en-AU" w:bidi="ar-SA"/>
        </w:rPr>
        <w:t>FSANZ will retain the current permissions for chromium and molybdenum in IF</w:t>
      </w:r>
      <w:r w:rsidR="000F08CD">
        <w:rPr>
          <w:lang w:val="en-AU" w:bidi="ar-SA"/>
        </w:rPr>
        <w:t>P</w:t>
      </w:r>
      <w:r w:rsidR="0048474C">
        <w:rPr>
          <w:lang w:val="en-AU" w:bidi="ar-SA"/>
        </w:rPr>
        <w:t xml:space="preserve">SDU under </w:t>
      </w:r>
      <w:r w:rsidR="0048474C">
        <w:rPr>
          <w:lang w:eastAsia="en-AU" w:bidi="ar-SA"/>
        </w:rPr>
        <w:t>Standard</w:t>
      </w:r>
      <w:r w:rsidR="0048474C" w:rsidRPr="00474767">
        <w:rPr>
          <w:lang w:eastAsia="en-AU" w:bidi="ar-SA"/>
        </w:rPr>
        <w:t xml:space="preserve"> 2.9.1—15</w:t>
      </w:r>
      <w:r w:rsidR="0048474C">
        <w:rPr>
          <w:lang w:eastAsia="en-AU" w:bidi="ar-SA"/>
        </w:rPr>
        <w:t>.</w:t>
      </w:r>
      <w:r w:rsidR="00D80CDD">
        <w:rPr>
          <w:lang w:eastAsia="en-AU" w:bidi="ar-SA"/>
        </w:rPr>
        <w:t xml:space="preserve"> </w:t>
      </w:r>
      <w:r w:rsidR="000753C0">
        <w:t>The regulation of IF</w:t>
      </w:r>
      <w:r w:rsidR="00A45884">
        <w:t>P</w:t>
      </w:r>
      <w:r w:rsidR="000753C0">
        <w:t>SDU will be further explored in the next Consultation paper.</w:t>
      </w:r>
    </w:p>
    <w:p w14:paraId="5B30669C" w14:textId="68646520" w:rsidR="00776154" w:rsidRDefault="0048474C" w:rsidP="002D0686">
      <w:pPr>
        <w:pStyle w:val="Heading3"/>
      </w:pPr>
      <w:r>
        <w:t>7</w:t>
      </w:r>
      <w:r w:rsidR="00776154">
        <w:t>.3.</w:t>
      </w:r>
      <w:r w:rsidR="002D0686">
        <w:t>8</w:t>
      </w:r>
      <w:r w:rsidR="00776154">
        <w:tab/>
      </w:r>
      <w:r w:rsidR="00776154" w:rsidRPr="001F2D49">
        <w:t>Iodine</w:t>
      </w:r>
      <w:r w:rsidR="00776154" w:rsidRPr="001F2D49" w:rsidDel="00962408">
        <w:t xml:space="preserve"> </w:t>
      </w:r>
      <w:r w:rsidR="00776154" w:rsidDel="00962408">
        <w:t>(minimum, maximum)</w:t>
      </w:r>
    </w:p>
    <w:p w14:paraId="6ADD57B8" w14:textId="77777777" w:rsidR="00776154" w:rsidRDefault="00776154" w:rsidP="00776154">
      <w:pPr>
        <w:pStyle w:val="Heading4"/>
      </w:pPr>
      <w:r w:rsidRPr="00BA1FD9">
        <w:t>Current regulations</w:t>
      </w:r>
    </w:p>
    <w:p w14:paraId="487B2102" w14:textId="014C55F9" w:rsidR="00776154" w:rsidRPr="00EA3E96" w:rsidRDefault="00776154" w:rsidP="00776154">
      <w:pPr>
        <w:rPr>
          <w:rFonts w:cs="Arial"/>
        </w:rPr>
      </w:pPr>
      <w:r w:rsidRPr="000F350E">
        <w:rPr>
          <w:rFonts w:cs="Arial"/>
        </w:rPr>
        <w:t xml:space="preserve">The minimum iodine amount under Codex STAN 72-1981 is more than double the minimum </w:t>
      </w:r>
      <w:r w:rsidR="00E325FC">
        <w:rPr>
          <w:rFonts w:cs="Arial"/>
        </w:rPr>
        <w:t>specified in section S29—9</w:t>
      </w:r>
      <w:r w:rsidRPr="000F350E">
        <w:rPr>
          <w:rFonts w:cs="Arial"/>
        </w:rPr>
        <w:t>. The use of the maximum iodine level as</w:t>
      </w:r>
      <w:r w:rsidR="00D0635C" w:rsidRPr="000F350E">
        <w:rPr>
          <w:rFonts w:cs="Arial"/>
        </w:rPr>
        <w:t xml:space="preserve"> a GUL is discussed in Section 7</w:t>
      </w:r>
      <w:r w:rsidRPr="000F350E">
        <w:rPr>
          <w:rFonts w:cs="Arial"/>
        </w:rPr>
        <w:t xml:space="preserve">.1. </w:t>
      </w:r>
      <w:r w:rsidRPr="000F350E">
        <w:rPr>
          <w:rFonts w:cs="Arial"/>
          <w:lang w:eastAsia="en-AU" w:bidi="ar-SA"/>
        </w:rPr>
        <w:t xml:space="preserve">EU </w:t>
      </w:r>
      <w:r w:rsidR="00962408" w:rsidRPr="000F350E">
        <w:rPr>
          <w:rFonts w:cs="Arial"/>
          <w:lang w:eastAsia="en-AU" w:bidi="ar-SA"/>
        </w:rPr>
        <w:t xml:space="preserve">2016/127 </w:t>
      </w:r>
      <w:r w:rsidRPr="000F350E">
        <w:rPr>
          <w:rFonts w:cs="Arial"/>
          <w:lang w:eastAsia="en-AU" w:bidi="ar-SA"/>
        </w:rPr>
        <w:t>set a range for iodine of 3.6</w:t>
      </w:r>
      <w:r w:rsidR="00962408" w:rsidRPr="000F350E">
        <w:rPr>
          <w:rFonts w:cs="Arial"/>
          <w:lang w:eastAsia="en-AU" w:bidi="ar-SA"/>
        </w:rPr>
        <w:t>–</w:t>
      </w:r>
      <w:r w:rsidRPr="000F350E">
        <w:rPr>
          <w:rFonts w:cs="Arial"/>
          <w:lang w:eastAsia="en-AU" w:bidi="ar-SA"/>
        </w:rPr>
        <w:t xml:space="preserve">6.9 </w:t>
      </w:r>
      <w:r w:rsidR="00962408" w:rsidRPr="00A45884">
        <w:rPr>
          <w:rFonts w:cs="Arial"/>
          <w:lang w:eastAsia="en-AU" w:bidi="ar-SA"/>
        </w:rPr>
        <w:t>µ</w:t>
      </w:r>
      <w:r w:rsidR="00D80CDD">
        <w:rPr>
          <w:rFonts w:cs="Arial"/>
          <w:lang w:eastAsia="en-AU" w:bidi="ar-SA"/>
        </w:rPr>
        <w:t>g/100 kJ (</w:t>
      </w:r>
      <w:r w:rsidR="00D0635C" w:rsidRPr="000F350E">
        <w:rPr>
          <w:rFonts w:cs="Arial"/>
          <w:lang w:eastAsia="en-AU" w:bidi="ar-SA"/>
        </w:rPr>
        <w:t>Table 7</w:t>
      </w:r>
      <w:r w:rsidRPr="000F350E">
        <w:rPr>
          <w:rFonts w:cs="Arial"/>
          <w:lang w:eastAsia="en-AU" w:bidi="ar-SA"/>
        </w:rPr>
        <w:t>.</w:t>
      </w:r>
      <w:r w:rsidR="00F1262C">
        <w:rPr>
          <w:rFonts w:cs="Arial"/>
          <w:lang w:eastAsia="en-AU" w:bidi="ar-SA"/>
        </w:rPr>
        <w:t>9</w:t>
      </w:r>
      <w:r w:rsidR="00D80CDD">
        <w:rPr>
          <w:rFonts w:cs="Arial"/>
          <w:lang w:eastAsia="en-AU" w:bidi="ar-SA"/>
        </w:rPr>
        <w:t>)</w:t>
      </w:r>
      <w:r w:rsidRPr="000F350E">
        <w:rPr>
          <w:rFonts w:cs="Arial"/>
          <w:lang w:eastAsia="en-AU" w:bidi="ar-SA"/>
        </w:rPr>
        <w:t>.</w:t>
      </w:r>
    </w:p>
    <w:p w14:paraId="36AE2A9C" w14:textId="77777777" w:rsidR="00776154" w:rsidRPr="00E054B6" w:rsidRDefault="00776154" w:rsidP="00776154">
      <w:pPr>
        <w:rPr>
          <w:lang w:val="en-AU" w:bidi="ar-SA"/>
        </w:rPr>
      </w:pPr>
    </w:p>
    <w:p w14:paraId="52A57731" w14:textId="0CB6D052" w:rsidR="00776154" w:rsidRPr="008468E6" w:rsidRDefault="0048474C" w:rsidP="00E9515E">
      <w:pPr>
        <w:pStyle w:val="FSTitle"/>
      </w:pPr>
      <w:bookmarkStart w:id="387" w:name="_Toc74061250"/>
      <w:r>
        <w:t>Table 7</w:t>
      </w:r>
      <w:r w:rsidR="00776154" w:rsidRPr="008468E6">
        <w:t>.</w:t>
      </w:r>
      <w:r w:rsidR="00F1262C">
        <w:t>9</w:t>
      </w:r>
      <w:r w:rsidR="00776154" w:rsidRPr="008468E6">
        <w:tab/>
        <w:t>Permitted range for iodine</w:t>
      </w:r>
      <w:bookmarkEnd w:id="387"/>
      <w:r w:rsidR="00776154" w:rsidRPr="008468E6">
        <w:t xml:space="preserve"> </w:t>
      </w:r>
    </w:p>
    <w:tbl>
      <w:tblPr>
        <w:tblStyle w:val="MediumShading1-Accent3"/>
        <w:tblW w:w="89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7.3.3.3 Permitted range for iodine (µg /100 kJ) "/>
        <w:tblDescription w:val="This table summarises the permitted range for iodine in Standard 2.9.1, Codex STAN 72-1981 and EU 2016/127."/>
      </w:tblPr>
      <w:tblGrid>
        <w:gridCol w:w="1386"/>
        <w:gridCol w:w="903"/>
        <w:gridCol w:w="907"/>
        <w:gridCol w:w="907"/>
        <w:gridCol w:w="1137"/>
        <w:gridCol w:w="675"/>
        <w:gridCol w:w="912"/>
        <w:gridCol w:w="2099"/>
      </w:tblGrid>
      <w:tr w:rsidR="00D80CDD" w:rsidRPr="00052C45" w14:paraId="1E19BB7C" w14:textId="77777777" w:rsidTr="00D80CDD">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776" w:type="pct"/>
            <w:vMerge w:val="restart"/>
            <w:tcBorders>
              <w:top w:val="none" w:sz="0" w:space="0" w:color="auto"/>
              <w:left w:val="none" w:sz="0" w:space="0" w:color="auto"/>
              <w:bottom w:val="none" w:sz="0" w:space="0" w:color="auto"/>
              <w:right w:val="none" w:sz="0" w:space="0" w:color="auto"/>
            </w:tcBorders>
            <w:shd w:val="clear" w:color="auto" w:fill="E5DFEC" w:themeFill="accent4" w:themeFillTint="33"/>
            <w:vAlign w:val="center"/>
          </w:tcPr>
          <w:p w14:paraId="30DA6872" w14:textId="12956F4D" w:rsidR="00D80CDD" w:rsidRPr="00840CE5" w:rsidRDefault="00D80CDD" w:rsidP="00D80CDD">
            <w:pPr>
              <w:keepNext/>
              <w:jc w:val="center"/>
              <w:rPr>
                <w:rFonts w:cs="Arial"/>
                <w:color w:val="auto"/>
              </w:rPr>
            </w:pPr>
            <w:r>
              <w:rPr>
                <w:rFonts w:cs="Arial"/>
                <w:color w:val="auto"/>
              </w:rPr>
              <w:t>Micronutrient</w:t>
            </w:r>
          </w:p>
        </w:tc>
        <w:tc>
          <w:tcPr>
            <w:tcW w:w="1014" w:type="pct"/>
            <w:gridSpan w:val="2"/>
            <w:tcBorders>
              <w:top w:val="none" w:sz="0" w:space="0" w:color="auto"/>
              <w:left w:val="none" w:sz="0" w:space="0" w:color="auto"/>
              <w:bottom w:val="none" w:sz="0" w:space="0" w:color="auto"/>
              <w:right w:val="none" w:sz="0" w:space="0" w:color="auto"/>
            </w:tcBorders>
            <w:shd w:val="clear" w:color="auto" w:fill="EAF1DD" w:themeFill="accent3" w:themeFillTint="33"/>
            <w:vAlign w:val="center"/>
          </w:tcPr>
          <w:p w14:paraId="167DC3C4" w14:textId="77777777" w:rsidR="00D80CDD" w:rsidRPr="00840CE5" w:rsidRDefault="00D80CDD" w:rsidP="00840CE5">
            <w:pPr>
              <w:keepNext/>
              <w:jc w:val="center"/>
              <w:cnfStyle w:val="100000000000" w:firstRow="1" w:lastRow="0" w:firstColumn="0" w:lastColumn="0" w:oddVBand="0" w:evenVBand="0" w:oddHBand="0" w:evenHBand="0" w:firstRowFirstColumn="0" w:firstRowLastColumn="0" w:lastRowFirstColumn="0" w:lastRowLastColumn="0"/>
              <w:rPr>
                <w:rFonts w:cs="Arial"/>
                <w:color w:val="auto"/>
              </w:rPr>
            </w:pPr>
            <w:r w:rsidRPr="00840CE5">
              <w:rPr>
                <w:rFonts w:cs="Arial"/>
                <w:color w:val="auto"/>
              </w:rPr>
              <w:t>Standard 2.9.1</w:t>
            </w:r>
          </w:p>
        </w:tc>
        <w:tc>
          <w:tcPr>
            <w:tcW w:w="1145" w:type="pct"/>
            <w:gridSpan w:val="2"/>
            <w:tcBorders>
              <w:top w:val="none" w:sz="0" w:space="0" w:color="auto"/>
              <w:left w:val="none" w:sz="0" w:space="0" w:color="auto"/>
              <w:bottom w:val="none" w:sz="0" w:space="0" w:color="auto"/>
              <w:right w:val="none" w:sz="0" w:space="0" w:color="auto"/>
            </w:tcBorders>
            <w:shd w:val="clear" w:color="auto" w:fill="DAEEF3" w:themeFill="accent5" w:themeFillTint="33"/>
            <w:vAlign w:val="center"/>
          </w:tcPr>
          <w:p w14:paraId="71CBEF72" w14:textId="123489A5" w:rsidR="00D80CDD" w:rsidRPr="00840CE5" w:rsidRDefault="00D80CDD" w:rsidP="00840CE5">
            <w:pPr>
              <w:keepNext/>
              <w:jc w:val="center"/>
              <w:cnfStyle w:val="100000000000" w:firstRow="1" w:lastRow="0" w:firstColumn="0" w:lastColumn="0" w:oddVBand="0" w:evenVBand="0" w:oddHBand="0" w:evenHBand="0" w:firstRowFirstColumn="0" w:firstRowLastColumn="0" w:lastRowFirstColumn="0" w:lastRowLastColumn="0"/>
              <w:rPr>
                <w:rFonts w:cs="Arial"/>
                <w:color w:val="auto"/>
              </w:rPr>
            </w:pPr>
            <w:r w:rsidRPr="00840CE5">
              <w:rPr>
                <w:rFonts w:cs="Arial"/>
                <w:color w:val="auto"/>
              </w:rPr>
              <w:t>Codex STAN 72-1981</w:t>
            </w:r>
          </w:p>
        </w:tc>
        <w:tc>
          <w:tcPr>
            <w:tcW w:w="889" w:type="pct"/>
            <w:gridSpan w:val="2"/>
            <w:tcBorders>
              <w:top w:val="none" w:sz="0" w:space="0" w:color="auto"/>
              <w:left w:val="none" w:sz="0" w:space="0" w:color="auto"/>
              <w:bottom w:val="none" w:sz="0" w:space="0" w:color="auto"/>
              <w:right w:val="none" w:sz="0" w:space="0" w:color="auto"/>
            </w:tcBorders>
            <w:shd w:val="clear" w:color="auto" w:fill="DDD9C3" w:themeFill="background2" w:themeFillShade="E6"/>
            <w:vAlign w:val="center"/>
          </w:tcPr>
          <w:p w14:paraId="37ADDFED" w14:textId="5B2A1EC2" w:rsidR="00D80CDD" w:rsidRPr="00840CE5" w:rsidRDefault="00D80CDD" w:rsidP="00840CE5">
            <w:pPr>
              <w:keepNext/>
              <w:jc w:val="center"/>
              <w:cnfStyle w:val="100000000000" w:firstRow="1" w:lastRow="0" w:firstColumn="0" w:lastColumn="0" w:oddVBand="0" w:evenVBand="0" w:oddHBand="0" w:evenHBand="0" w:firstRowFirstColumn="0" w:firstRowLastColumn="0" w:lastRowFirstColumn="0" w:lastRowLastColumn="0"/>
              <w:rPr>
                <w:rFonts w:cs="Arial"/>
                <w:color w:val="auto"/>
              </w:rPr>
            </w:pPr>
            <w:r w:rsidRPr="00840CE5">
              <w:rPr>
                <w:rFonts w:cs="Arial"/>
                <w:color w:val="auto"/>
              </w:rPr>
              <w:t>EU 2016/127</w:t>
            </w:r>
          </w:p>
        </w:tc>
        <w:tc>
          <w:tcPr>
            <w:tcW w:w="1176" w:type="pct"/>
            <w:vMerge w:val="restart"/>
            <w:tcBorders>
              <w:top w:val="none" w:sz="0" w:space="0" w:color="auto"/>
              <w:left w:val="none" w:sz="0" w:space="0" w:color="auto"/>
              <w:bottom w:val="none" w:sz="0" w:space="0" w:color="auto"/>
              <w:right w:val="none" w:sz="0" w:space="0" w:color="auto"/>
            </w:tcBorders>
            <w:shd w:val="clear" w:color="auto" w:fill="FDE9D9" w:themeFill="accent6" w:themeFillTint="33"/>
            <w:vAlign w:val="center"/>
          </w:tcPr>
          <w:p w14:paraId="24745626" w14:textId="132DDCE4" w:rsidR="00D80CDD" w:rsidRPr="00840CE5" w:rsidRDefault="00D80CDD" w:rsidP="00BC4A54">
            <w:pPr>
              <w:keepNext/>
              <w:jc w:val="center"/>
              <w:cnfStyle w:val="100000000000" w:firstRow="1" w:lastRow="0" w:firstColumn="0" w:lastColumn="0" w:oddVBand="0" w:evenVBand="0" w:oddHBand="0" w:evenHBand="0" w:firstRowFirstColumn="0" w:firstRowLastColumn="0" w:lastRowFirstColumn="0" w:lastRowLastColumn="0"/>
              <w:rPr>
                <w:rFonts w:cs="Arial"/>
                <w:color w:val="auto"/>
              </w:rPr>
            </w:pPr>
            <w:r w:rsidRPr="00840CE5">
              <w:rPr>
                <w:rFonts w:cs="Arial"/>
                <w:color w:val="auto"/>
              </w:rPr>
              <w:t>Content in products on the market</w:t>
            </w:r>
          </w:p>
        </w:tc>
      </w:tr>
      <w:tr w:rsidR="00D80CDD" w:rsidRPr="00052C45" w14:paraId="59F4523E" w14:textId="77777777" w:rsidTr="00D80CDD">
        <w:tblPrEx>
          <w:tblCellMar>
            <w:left w:w="103" w:type="dxa"/>
            <w:right w:w="103" w:type="dxa"/>
          </w:tblCellMar>
        </w:tblPrEx>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76" w:type="pct"/>
            <w:vMerge/>
            <w:tcBorders>
              <w:right w:val="none" w:sz="0" w:space="0" w:color="auto"/>
            </w:tcBorders>
            <w:shd w:val="clear" w:color="auto" w:fill="E5DFEC" w:themeFill="accent4" w:themeFillTint="33"/>
            <w:vAlign w:val="center"/>
          </w:tcPr>
          <w:p w14:paraId="5C3A490E" w14:textId="77777777" w:rsidR="00D80CDD" w:rsidRPr="00840CE5" w:rsidRDefault="00D80CDD" w:rsidP="00776154">
            <w:pPr>
              <w:spacing w:beforeLines="40" w:before="96" w:afterLines="40" w:after="96"/>
              <w:jc w:val="center"/>
              <w:rPr>
                <w:rFonts w:cs="Arial"/>
                <w:b w:val="0"/>
                <w:bCs w:val="0"/>
                <w:szCs w:val="20"/>
              </w:rPr>
            </w:pPr>
          </w:p>
        </w:tc>
        <w:tc>
          <w:tcPr>
            <w:tcW w:w="506" w:type="pct"/>
            <w:tcBorders>
              <w:left w:val="none" w:sz="0" w:space="0" w:color="auto"/>
              <w:right w:val="none" w:sz="0" w:space="0" w:color="auto"/>
            </w:tcBorders>
            <w:shd w:val="clear" w:color="auto" w:fill="EAF1DD" w:themeFill="accent3" w:themeFillTint="33"/>
            <w:vAlign w:val="center"/>
          </w:tcPr>
          <w:p w14:paraId="11DEDD81" w14:textId="77777777" w:rsidR="00D80CDD" w:rsidRPr="00840CE5" w:rsidRDefault="00D80CDD" w:rsidP="00776154">
            <w:pPr>
              <w:jc w:val="center"/>
              <w:cnfStyle w:val="000000100000" w:firstRow="0" w:lastRow="0" w:firstColumn="0" w:lastColumn="0" w:oddVBand="0" w:evenVBand="0" w:oddHBand="1" w:evenHBand="0" w:firstRowFirstColumn="0" w:firstRowLastColumn="0" w:lastRowFirstColumn="0" w:lastRowLastColumn="0"/>
              <w:rPr>
                <w:rFonts w:cs="Arial"/>
                <w:b/>
                <w:szCs w:val="20"/>
              </w:rPr>
            </w:pPr>
            <w:r w:rsidRPr="00840CE5">
              <w:rPr>
                <w:rFonts w:cs="Arial"/>
                <w:b/>
                <w:szCs w:val="20"/>
              </w:rPr>
              <w:t>Min</w:t>
            </w:r>
          </w:p>
        </w:tc>
        <w:tc>
          <w:tcPr>
            <w:tcW w:w="508" w:type="pct"/>
            <w:tcBorders>
              <w:left w:val="none" w:sz="0" w:space="0" w:color="auto"/>
              <w:right w:val="none" w:sz="0" w:space="0" w:color="auto"/>
            </w:tcBorders>
            <w:shd w:val="clear" w:color="auto" w:fill="EAF1DD" w:themeFill="accent3" w:themeFillTint="33"/>
            <w:vAlign w:val="center"/>
          </w:tcPr>
          <w:p w14:paraId="2DE450AB" w14:textId="77777777" w:rsidR="00D80CDD" w:rsidRPr="00840CE5" w:rsidRDefault="00D80CDD" w:rsidP="00776154">
            <w:pPr>
              <w:jc w:val="center"/>
              <w:cnfStyle w:val="000000100000" w:firstRow="0" w:lastRow="0" w:firstColumn="0" w:lastColumn="0" w:oddVBand="0" w:evenVBand="0" w:oddHBand="1" w:evenHBand="0" w:firstRowFirstColumn="0" w:firstRowLastColumn="0" w:lastRowFirstColumn="0" w:lastRowLastColumn="0"/>
              <w:rPr>
                <w:rFonts w:cs="Arial"/>
                <w:b/>
                <w:szCs w:val="20"/>
              </w:rPr>
            </w:pPr>
            <w:r w:rsidRPr="00840CE5">
              <w:rPr>
                <w:rFonts w:cs="Arial"/>
                <w:b/>
                <w:szCs w:val="20"/>
              </w:rPr>
              <w:t>Max</w:t>
            </w:r>
          </w:p>
        </w:tc>
        <w:tc>
          <w:tcPr>
            <w:tcW w:w="508" w:type="pct"/>
            <w:tcBorders>
              <w:left w:val="none" w:sz="0" w:space="0" w:color="auto"/>
              <w:right w:val="none" w:sz="0" w:space="0" w:color="auto"/>
            </w:tcBorders>
            <w:shd w:val="clear" w:color="auto" w:fill="DAEEF3" w:themeFill="accent5" w:themeFillTint="33"/>
            <w:vAlign w:val="center"/>
          </w:tcPr>
          <w:p w14:paraId="2AF76971" w14:textId="77777777" w:rsidR="00D80CDD" w:rsidRPr="00840CE5" w:rsidRDefault="00D80CDD" w:rsidP="00776154">
            <w:pPr>
              <w:jc w:val="center"/>
              <w:cnfStyle w:val="000000100000" w:firstRow="0" w:lastRow="0" w:firstColumn="0" w:lastColumn="0" w:oddVBand="0" w:evenVBand="0" w:oddHBand="1" w:evenHBand="0" w:firstRowFirstColumn="0" w:firstRowLastColumn="0" w:lastRowFirstColumn="0" w:lastRowLastColumn="0"/>
              <w:rPr>
                <w:rFonts w:cs="Arial"/>
                <w:b/>
                <w:szCs w:val="20"/>
              </w:rPr>
            </w:pPr>
            <w:r w:rsidRPr="00840CE5">
              <w:rPr>
                <w:rFonts w:cs="Arial"/>
                <w:b/>
                <w:szCs w:val="20"/>
              </w:rPr>
              <w:t>Min</w:t>
            </w:r>
          </w:p>
        </w:tc>
        <w:tc>
          <w:tcPr>
            <w:tcW w:w="637" w:type="pct"/>
            <w:tcBorders>
              <w:left w:val="none" w:sz="0" w:space="0" w:color="auto"/>
              <w:right w:val="none" w:sz="0" w:space="0" w:color="auto"/>
            </w:tcBorders>
            <w:shd w:val="clear" w:color="auto" w:fill="DAEEF3" w:themeFill="accent5" w:themeFillTint="33"/>
            <w:vAlign w:val="center"/>
          </w:tcPr>
          <w:p w14:paraId="7094EC2A" w14:textId="77777777" w:rsidR="00D80CDD" w:rsidRPr="00840CE5" w:rsidRDefault="00D80CDD" w:rsidP="00776154">
            <w:pPr>
              <w:jc w:val="center"/>
              <w:cnfStyle w:val="000000100000" w:firstRow="0" w:lastRow="0" w:firstColumn="0" w:lastColumn="0" w:oddVBand="0" w:evenVBand="0" w:oddHBand="1" w:evenHBand="0" w:firstRowFirstColumn="0" w:firstRowLastColumn="0" w:lastRowFirstColumn="0" w:lastRowLastColumn="0"/>
              <w:rPr>
                <w:rFonts w:cs="Arial"/>
                <w:b/>
                <w:szCs w:val="20"/>
              </w:rPr>
            </w:pPr>
            <w:r w:rsidRPr="00840CE5">
              <w:rPr>
                <w:rFonts w:cs="Arial"/>
                <w:b/>
                <w:szCs w:val="20"/>
              </w:rPr>
              <w:t>Max</w:t>
            </w:r>
          </w:p>
        </w:tc>
        <w:tc>
          <w:tcPr>
            <w:tcW w:w="378" w:type="pct"/>
            <w:tcBorders>
              <w:left w:val="none" w:sz="0" w:space="0" w:color="auto"/>
              <w:right w:val="none" w:sz="0" w:space="0" w:color="auto"/>
            </w:tcBorders>
            <w:shd w:val="clear" w:color="auto" w:fill="DDD9C3" w:themeFill="background2" w:themeFillShade="E6"/>
            <w:vAlign w:val="center"/>
          </w:tcPr>
          <w:p w14:paraId="1C34F87A" w14:textId="77777777" w:rsidR="00D80CDD" w:rsidRPr="00D80CDD" w:rsidRDefault="00D80CDD" w:rsidP="00D80CDD">
            <w:pPr>
              <w:jc w:val="center"/>
              <w:cnfStyle w:val="000000100000" w:firstRow="0" w:lastRow="0" w:firstColumn="0" w:lastColumn="0" w:oddVBand="0" w:evenVBand="0" w:oddHBand="1" w:evenHBand="0" w:firstRowFirstColumn="0" w:firstRowLastColumn="0" w:lastRowFirstColumn="0" w:lastRowLastColumn="0"/>
              <w:rPr>
                <w:rFonts w:cs="Arial"/>
                <w:b/>
                <w:szCs w:val="20"/>
              </w:rPr>
            </w:pPr>
            <w:r w:rsidRPr="00840CE5">
              <w:rPr>
                <w:rFonts w:cs="Arial"/>
                <w:b/>
                <w:szCs w:val="20"/>
              </w:rPr>
              <w:t>Min</w:t>
            </w:r>
          </w:p>
        </w:tc>
        <w:tc>
          <w:tcPr>
            <w:tcW w:w="511" w:type="pct"/>
            <w:tcBorders>
              <w:left w:val="none" w:sz="0" w:space="0" w:color="auto"/>
              <w:right w:val="none" w:sz="0" w:space="0" w:color="auto"/>
            </w:tcBorders>
            <w:shd w:val="clear" w:color="auto" w:fill="DDD9C3" w:themeFill="background2" w:themeFillShade="E6"/>
            <w:vAlign w:val="center"/>
          </w:tcPr>
          <w:p w14:paraId="372D257B" w14:textId="77777777" w:rsidR="00D80CDD" w:rsidRPr="00D80CDD" w:rsidRDefault="00D80CDD" w:rsidP="00D80CDD">
            <w:pPr>
              <w:jc w:val="center"/>
              <w:cnfStyle w:val="000000100000" w:firstRow="0" w:lastRow="0" w:firstColumn="0" w:lastColumn="0" w:oddVBand="0" w:evenVBand="0" w:oddHBand="1" w:evenHBand="0" w:firstRowFirstColumn="0" w:firstRowLastColumn="0" w:lastRowFirstColumn="0" w:lastRowLastColumn="0"/>
              <w:rPr>
                <w:rFonts w:cs="Arial"/>
                <w:b/>
                <w:szCs w:val="20"/>
              </w:rPr>
            </w:pPr>
            <w:r w:rsidRPr="00840CE5">
              <w:rPr>
                <w:rFonts w:cs="Arial"/>
                <w:b/>
                <w:szCs w:val="20"/>
              </w:rPr>
              <w:t>Max</w:t>
            </w:r>
          </w:p>
        </w:tc>
        <w:tc>
          <w:tcPr>
            <w:tcW w:w="1176" w:type="pct"/>
            <w:vMerge/>
            <w:tcBorders>
              <w:left w:val="none" w:sz="0" w:space="0" w:color="auto"/>
            </w:tcBorders>
            <w:shd w:val="clear" w:color="auto" w:fill="FDE9D9" w:themeFill="accent6" w:themeFillTint="33"/>
            <w:vAlign w:val="center"/>
          </w:tcPr>
          <w:p w14:paraId="5A03AC42" w14:textId="77777777" w:rsidR="00D80CDD" w:rsidRPr="00052C45" w:rsidRDefault="00D80CDD" w:rsidP="00776154">
            <w:pPr>
              <w:spacing w:beforeLines="40" w:before="96" w:afterLines="40" w:after="96"/>
              <w:jc w:val="center"/>
              <w:cnfStyle w:val="000000100000" w:firstRow="0" w:lastRow="0" w:firstColumn="0" w:lastColumn="0" w:oddVBand="0" w:evenVBand="0" w:oddHBand="1" w:evenHBand="0" w:firstRowFirstColumn="0" w:firstRowLastColumn="0" w:lastRowFirstColumn="0" w:lastRowLastColumn="0"/>
              <w:rPr>
                <w:rFonts w:cs="Arial"/>
                <w:strike/>
                <w:szCs w:val="20"/>
              </w:rPr>
            </w:pPr>
          </w:p>
        </w:tc>
      </w:tr>
      <w:tr w:rsidR="00D80CDD" w:rsidRPr="00052C45" w14:paraId="3E96EB9C" w14:textId="77777777" w:rsidTr="00D80CDD">
        <w:trPr>
          <w:cnfStyle w:val="000000010000" w:firstRow="0" w:lastRow="0" w:firstColumn="0" w:lastColumn="0" w:oddVBand="0" w:evenVBand="0" w:oddHBand="0" w:evenHBand="1"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776" w:type="pct"/>
            <w:tcBorders>
              <w:right w:val="none" w:sz="0" w:space="0" w:color="auto"/>
            </w:tcBorders>
            <w:vAlign w:val="center"/>
          </w:tcPr>
          <w:p w14:paraId="2DECCD24" w14:textId="77777777" w:rsidR="00D80CDD" w:rsidRPr="00D80CDD" w:rsidRDefault="00D80CDD" w:rsidP="00D80CDD">
            <w:pPr>
              <w:jc w:val="center"/>
              <w:rPr>
                <w:rFonts w:cs="Arial"/>
                <w:szCs w:val="20"/>
              </w:rPr>
            </w:pPr>
            <w:r w:rsidRPr="00D80CDD">
              <w:rPr>
                <w:rFonts w:cs="Arial"/>
                <w:bCs w:val="0"/>
                <w:szCs w:val="20"/>
              </w:rPr>
              <w:t>Iodine</w:t>
            </w:r>
          </w:p>
          <w:p w14:paraId="0D03EE71" w14:textId="6B6A0E9C" w:rsidR="00D80CDD" w:rsidRPr="00052C45" w:rsidRDefault="00D80CDD" w:rsidP="00D80CDD">
            <w:pPr>
              <w:jc w:val="center"/>
              <w:rPr>
                <w:rFonts w:cs="Arial"/>
                <w:b w:val="0"/>
                <w:bCs w:val="0"/>
                <w:szCs w:val="20"/>
              </w:rPr>
            </w:pPr>
            <w:r w:rsidRPr="00D80CDD">
              <w:rPr>
                <w:rFonts w:cs="Arial"/>
                <w:szCs w:val="20"/>
              </w:rPr>
              <w:t>(µg/100 kJ)</w:t>
            </w:r>
          </w:p>
        </w:tc>
        <w:tc>
          <w:tcPr>
            <w:tcW w:w="506" w:type="pct"/>
            <w:tcBorders>
              <w:left w:val="none" w:sz="0" w:space="0" w:color="auto"/>
              <w:right w:val="none" w:sz="0" w:space="0" w:color="auto"/>
            </w:tcBorders>
            <w:vAlign w:val="center"/>
          </w:tcPr>
          <w:p w14:paraId="0B8EC6CA" w14:textId="77777777" w:rsidR="00D80CDD" w:rsidRPr="00052C45" w:rsidRDefault="00D80CDD" w:rsidP="00776154">
            <w:pPr>
              <w:spacing w:beforeLines="40" w:before="96" w:afterLines="40" w:after="96"/>
              <w:jc w:val="center"/>
              <w:cnfStyle w:val="000000010000" w:firstRow="0" w:lastRow="0" w:firstColumn="0" w:lastColumn="0" w:oddVBand="0" w:evenVBand="0" w:oddHBand="0" w:evenHBand="1" w:firstRowFirstColumn="0" w:firstRowLastColumn="0" w:lastRowFirstColumn="0" w:lastRowLastColumn="0"/>
              <w:rPr>
                <w:rFonts w:cs="Arial"/>
                <w:szCs w:val="20"/>
              </w:rPr>
            </w:pPr>
            <w:r w:rsidRPr="00052C45">
              <w:rPr>
                <w:rFonts w:cs="Arial"/>
                <w:szCs w:val="20"/>
              </w:rPr>
              <w:t>1.2</w:t>
            </w:r>
          </w:p>
        </w:tc>
        <w:tc>
          <w:tcPr>
            <w:tcW w:w="508" w:type="pct"/>
            <w:tcBorders>
              <w:left w:val="none" w:sz="0" w:space="0" w:color="auto"/>
              <w:right w:val="none" w:sz="0" w:space="0" w:color="auto"/>
            </w:tcBorders>
            <w:vAlign w:val="center"/>
          </w:tcPr>
          <w:p w14:paraId="7F6CDBC4" w14:textId="77777777" w:rsidR="00D80CDD" w:rsidRPr="00052C45" w:rsidRDefault="00D80CDD" w:rsidP="00776154">
            <w:pPr>
              <w:spacing w:beforeLines="40" w:before="96" w:afterLines="40" w:after="96"/>
              <w:jc w:val="center"/>
              <w:cnfStyle w:val="000000010000" w:firstRow="0" w:lastRow="0" w:firstColumn="0" w:lastColumn="0" w:oddVBand="0" w:evenVBand="0" w:oddHBand="0" w:evenHBand="1" w:firstRowFirstColumn="0" w:firstRowLastColumn="0" w:lastRowFirstColumn="0" w:lastRowLastColumn="0"/>
              <w:rPr>
                <w:rFonts w:cs="Arial"/>
                <w:szCs w:val="20"/>
              </w:rPr>
            </w:pPr>
            <w:r w:rsidRPr="00052C45">
              <w:rPr>
                <w:rFonts w:cs="Arial"/>
                <w:szCs w:val="20"/>
              </w:rPr>
              <w:t>10</w:t>
            </w:r>
          </w:p>
        </w:tc>
        <w:tc>
          <w:tcPr>
            <w:tcW w:w="508" w:type="pct"/>
            <w:tcBorders>
              <w:left w:val="none" w:sz="0" w:space="0" w:color="auto"/>
              <w:right w:val="none" w:sz="0" w:space="0" w:color="auto"/>
            </w:tcBorders>
            <w:vAlign w:val="center"/>
          </w:tcPr>
          <w:p w14:paraId="0E37EABD" w14:textId="77777777" w:rsidR="00D80CDD" w:rsidRPr="00052C45" w:rsidRDefault="00D80CDD" w:rsidP="00776154">
            <w:pPr>
              <w:spacing w:beforeLines="40" w:before="96" w:afterLines="40" w:after="96"/>
              <w:jc w:val="center"/>
              <w:cnfStyle w:val="000000010000" w:firstRow="0" w:lastRow="0" w:firstColumn="0" w:lastColumn="0" w:oddVBand="0" w:evenVBand="0" w:oddHBand="0" w:evenHBand="1" w:firstRowFirstColumn="0" w:firstRowLastColumn="0" w:lastRowFirstColumn="0" w:lastRowLastColumn="0"/>
              <w:rPr>
                <w:rFonts w:cs="Arial"/>
                <w:szCs w:val="20"/>
              </w:rPr>
            </w:pPr>
            <w:r w:rsidRPr="00052C45">
              <w:rPr>
                <w:rFonts w:cs="Arial"/>
                <w:szCs w:val="20"/>
              </w:rPr>
              <w:t>2.5</w:t>
            </w:r>
          </w:p>
        </w:tc>
        <w:tc>
          <w:tcPr>
            <w:tcW w:w="637" w:type="pct"/>
            <w:tcBorders>
              <w:left w:val="none" w:sz="0" w:space="0" w:color="auto"/>
              <w:right w:val="none" w:sz="0" w:space="0" w:color="auto"/>
            </w:tcBorders>
            <w:vAlign w:val="center"/>
          </w:tcPr>
          <w:p w14:paraId="123503F1" w14:textId="77777777" w:rsidR="00D80CDD" w:rsidRPr="00052C45" w:rsidRDefault="00D80CDD" w:rsidP="00776154">
            <w:pPr>
              <w:spacing w:beforeLines="40" w:before="96" w:afterLines="40" w:after="96"/>
              <w:jc w:val="center"/>
              <w:cnfStyle w:val="000000010000" w:firstRow="0" w:lastRow="0" w:firstColumn="0" w:lastColumn="0" w:oddVBand="0" w:evenVBand="0" w:oddHBand="0" w:evenHBand="1" w:firstRowFirstColumn="0" w:firstRowLastColumn="0" w:lastRowFirstColumn="0" w:lastRowLastColumn="0"/>
              <w:rPr>
                <w:rFonts w:cs="Arial"/>
                <w:szCs w:val="20"/>
              </w:rPr>
            </w:pPr>
            <w:r w:rsidRPr="00052C45">
              <w:rPr>
                <w:rFonts w:cs="Arial"/>
                <w:szCs w:val="20"/>
              </w:rPr>
              <w:t>14 (GUL)</w:t>
            </w:r>
          </w:p>
        </w:tc>
        <w:tc>
          <w:tcPr>
            <w:tcW w:w="378" w:type="pct"/>
            <w:tcBorders>
              <w:left w:val="none" w:sz="0" w:space="0" w:color="auto"/>
              <w:right w:val="none" w:sz="0" w:space="0" w:color="auto"/>
            </w:tcBorders>
            <w:vAlign w:val="center"/>
          </w:tcPr>
          <w:p w14:paraId="16E4FFA2" w14:textId="77777777" w:rsidR="00D80CDD" w:rsidRDefault="00D80CDD" w:rsidP="00776154">
            <w:pPr>
              <w:spacing w:beforeLines="40" w:before="96" w:afterLines="40" w:after="96"/>
              <w:jc w:val="center"/>
              <w:cnfStyle w:val="000000010000" w:firstRow="0" w:lastRow="0" w:firstColumn="0" w:lastColumn="0" w:oddVBand="0" w:evenVBand="0" w:oddHBand="0" w:evenHBand="1" w:firstRowFirstColumn="0" w:firstRowLastColumn="0" w:lastRowFirstColumn="0" w:lastRowLastColumn="0"/>
              <w:rPr>
                <w:rFonts w:cs="Arial"/>
                <w:szCs w:val="20"/>
              </w:rPr>
            </w:pPr>
            <w:r>
              <w:rPr>
                <w:rFonts w:cs="Arial"/>
                <w:szCs w:val="20"/>
              </w:rPr>
              <w:t>3.6</w:t>
            </w:r>
          </w:p>
        </w:tc>
        <w:tc>
          <w:tcPr>
            <w:tcW w:w="511" w:type="pct"/>
            <w:tcBorders>
              <w:left w:val="none" w:sz="0" w:space="0" w:color="auto"/>
              <w:right w:val="none" w:sz="0" w:space="0" w:color="auto"/>
            </w:tcBorders>
            <w:vAlign w:val="center"/>
          </w:tcPr>
          <w:p w14:paraId="6A2F9D7A" w14:textId="77777777" w:rsidR="00D80CDD" w:rsidRDefault="00D80CDD" w:rsidP="00776154">
            <w:pPr>
              <w:spacing w:beforeLines="40" w:before="96" w:afterLines="40" w:after="96"/>
              <w:jc w:val="center"/>
              <w:cnfStyle w:val="000000010000" w:firstRow="0" w:lastRow="0" w:firstColumn="0" w:lastColumn="0" w:oddVBand="0" w:evenVBand="0" w:oddHBand="0" w:evenHBand="1" w:firstRowFirstColumn="0" w:firstRowLastColumn="0" w:lastRowFirstColumn="0" w:lastRowLastColumn="0"/>
              <w:rPr>
                <w:rFonts w:cs="Arial"/>
                <w:szCs w:val="20"/>
              </w:rPr>
            </w:pPr>
            <w:r>
              <w:rPr>
                <w:rFonts w:cs="Arial"/>
                <w:szCs w:val="20"/>
              </w:rPr>
              <w:t>6.9</w:t>
            </w:r>
          </w:p>
        </w:tc>
        <w:tc>
          <w:tcPr>
            <w:tcW w:w="1176" w:type="pct"/>
            <w:tcBorders>
              <w:left w:val="none" w:sz="0" w:space="0" w:color="auto"/>
            </w:tcBorders>
            <w:vAlign w:val="center"/>
          </w:tcPr>
          <w:p w14:paraId="3FB930EE" w14:textId="766F40E6" w:rsidR="00D80CDD" w:rsidRPr="00F75A81" w:rsidRDefault="00D80CDD" w:rsidP="00BC4A54">
            <w:pPr>
              <w:spacing w:beforeLines="40" w:before="96" w:afterLines="40" w:after="96"/>
              <w:jc w:val="center"/>
              <w:cnfStyle w:val="000000010000" w:firstRow="0" w:lastRow="0" w:firstColumn="0" w:lastColumn="0" w:oddVBand="0" w:evenVBand="0" w:oddHBand="0" w:evenHBand="1" w:firstRowFirstColumn="0" w:firstRowLastColumn="0" w:lastRowFirstColumn="0" w:lastRowLastColumn="0"/>
              <w:rPr>
                <w:rFonts w:cs="Arial"/>
                <w:szCs w:val="20"/>
                <w:highlight w:val="yellow"/>
              </w:rPr>
            </w:pPr>
            <w:r w:rsidRPr="00F22AB9">
              <w:rPr>
                <w:rFonts w:cs="Arial"/>
                <w:szCs w:val="20"/>
              </w:rPr>
              <w:t>2</w:t>
            </w:r>
            <w:r>
              <w:rPr>
                <w:rFonts w:cs="Arial"/>
                <w:szCs w:val="20"/>
              </w:rPr>
              <w:t>.19–8.42</w:t>
            </w:r>
          </w:p>
        </w:tc>
      </w:tr>
    </w:tbl>
    <w:p w14:paraId="3ED98EA6" w14:textId="77777777" w:rsidR="00776154" w:rsidRDefault="00776154" w:rsidP="00776154">
      <w:pPr>
        <w:pStyle w:val="Heading4"/>
      </w:pPr>
      <w:r w:rsidRPr="00BA1FD9">
        <w:t>Previous consideration</w:t>
      </w:r>
    </w:p>
    <w:p w14:paraId="3B423B04" w14:textId="7A6C7648" w:rsidR="00776154" w:rsidRPr="00211234" w:rsidRDefault="00776154" w:rsidP="00776154">
      <w:pPr>
        <w:rPr>
          <w:lang w:eastAsia="en-AU" w:bidi="ar-SA"/>
        </w:rPr>
      </w:pPr>
      <w:r>
        <w:rPr>
          <w:lang w:eastAsia="en-AU" w:bidi="ar-SA"/>
        </w:rPr>
        <w:t>T</w:t>
      </w:r>
      <w:r w:rsidRPr="00044F24">
        <w:rPr>
          <w:lang w:eastAsia="en-AU" w:bidi="ar-SA"/>
        </w:rPr>
        <w:t>he</w:t>
      </w:r>
      <w:r>
        <w:rPr>
          <w:lang w:eastAsia="en-AU" w:bidi="ar-SA"/>
        </w:rPr>
        <w:t xml:space="preserve"> 2016</w:t>
      </w:r>
      <w:r w:rsidRPr="00044F24">
        <w:rPr>
          <w:lang w:eastAsia="en-AU" w:bidi="ar-SA"/>
        </w:rPr>
        <w:t xml:space="preserve"> </w:t>
      </w:r>
      <w:r>
        <w:rPr>
          <w:lang w:eastAsia="en-AU" w:bidi="ar-SA"/>
        </w:rPr>
        <w:t xml:space="preserve">nutrition </w:t>
      </w:r>
      <w:r w:rsidR="00962408">
        <w:rPr>
          <w:lang w:eastAsia="en-AU" w:bidi="ar-SA"/>
        </w:rPr>
        <w:t xml:space="preserve">risk </w:t>
      </w:r>
      <w:r>
        <w:rPr>
          <w:lang w:eastAsia="en-AU" w:bidi="ar-SA"/>
        </w:rPr>
        <w:t xml:space="preserve">assessment reported that estimated iodine intakes based on a minimum iodine level of </w:t>
      </w:r>
      <w:r w:rsidRPr="00F526F0">
        <w:t>1.2 µg/100 kJ</w:t>
      </w:r>
      <w:r>
        <w:t xml:space="preserve"> (</w:t>
      </w:r>
      <w:r w:rsidR="00E325FC">
        <w:rPr>
          <w:lang w:eastAsia="en-AU" w:bidi="ar-SA"/>
        </w:rPr>
        <w:t>Schedule 29</w:t>
      </w:r>
      <w:r>
        <w:rPr>
          <w:lang w:eastAsia="en-AU" w:bidi="ar-SA"/>
        </w:rPr>
        <w:t xml:space="preserve">) or </w:t>
      </w:r>
      <w:r w:rsidRPr="00DB5D28">
        <w:rPr>
          <w:lang w:eastAsia="en-AU" w:bidi="ar-SA"/>
        </w:rPr>
        <w:t>2.5</w:t>
      </w:r>
      <w:r>
        <w:rPr>
          <w:lang w:eastAsia="en-AU" w:bidi="ar-SA"/>
        </w:rPr>
        <w:t> </w:t>
      </w:r>
      <w:r w:rsidRPr="00DB5D28">
        <w:rPr>
          <w:rFonts w:cs="Arial"/>
          <w:lang w:eastAsia="en-AU" w:bidi="ar-SA"/>
        </w:rPr>
        <w:t>µ</w:t>
      </w:r>
      <w:r w:rsidRPr="00DB5D28">
        <w:rPr>
          <w:lang w:eastAsia="en-AU" w:bidi="ar-SA"/>
        </w:rPr>
        <w:t>g/100</w:t>
      </w:r>
      <w:r>
        <w:rPr>
          <w:lang w:eastAsia="en-AU" w:bidi="ar-SA"/>
        </w:rPr>
        <w:t> </w:t>
      </w:r>
      <w:r w:rsidRPr="00DB5D28">
        <w:rPr>
          <w:lang w:eastAsia="en-AU" w:bidi="ar-SA"/>
        </w:rPr>
        <w:t>kJ</w:t>
      </w:r>
      <w:r>
        <w:rPr>
          <w:lang w:eastAsia="en-AU" w:bidi="ar-SA"/>
        </w:rPr>
        <w:t xml:space="preserve"> (Codex STAN 72-1981) </w:t>
      </w:r>
      <w:r w:rsidRPr="00211234">
        <w:rPr>
          <w:lang w:eastAsia="en-AU" w:bidi="ar-SA"/>
        </w:rPr>
        <w:t>do</w:t>
      </w:r>
      <w:r>
        <w:rPr>
          <w:lang w:eastAsia="en-AU" w:bidi="ar-SA"/>
        </w:rPr>
        <w:t xml:space="preserve"> </w:t>
      </w:r>
      <w:r w:rsidRPr="00211234">
        <w:rPr>
          <w:lang w:eastAsia="en-AU" w:bidi="ar-SA"/>
        </w:rPr>
        <w:t>not meet the AI</w:t>
      </w:r>
      <w:r>
        <w:rPr>
          <w:lang w:eastAsia="en-AU" w:bidi="ar-SA"/>
        </w:rPr>
        <w:t xml:space="preserve"> for younger or older </w:t>
      </w:r>
      <w:r w:rsidRPr="00211234">
        <w:rPr>
          <w:lang w:eastAsia="en-AU" w:bidi="ar-SA"/>
        </w:rPr>
        <w:t>infants</w:t>
      </w:r>
      <w:r>
        <w:rPr>
          <w:lang w:eastAsia="en-AU" w:bidi="ar-SA"/>
        </w:rPr>
        <w:t xml:space="preserve">. Raising </w:t>
      </w:r>
      <w:r w:rsidRPr="00DB5D28">
        <w:rPr>
          <w:lang w:eastAsia="en-AU" w:bidi="ar-SA"/>
        </w:rPr>
        <w:t xml:space="preserve">the minimum iodine content </w:t>
      </w:r>
      <w:r>
        <w:rPr>
          <w:lang w:eastAsia="en-AU" w:bidi="ar-SA"/>
        </w:rPr>
        <w:t xml:space="preserve">may </w:t>
      </w:r>
      <w:r w:rsidRPr="00DB5D28">
        <w:rPr>
          <w:lang w:eastAsia="en-AU" w:bidi="ar-SA"/>
        </w:rPr>
        <w:t>i</w:t>
      </w:r>
      <w:r>
        <w:rPr>
          <w:lang w:eastAsia="en-AU" w:bidi="ar-SA"/>
        </w:rPr>
        <w:t xml:space="preserve">ncrease </w:t>
      </w:r>
      <w:r w:rsidRPr="00DB5D28">
        <w:rPr>
          <w:lang w:eastAsia="en-AU" w:bidi="ar-SA"/>
        </w:rPr>
        <w:t>iodin</w:t>
      </w:r>
      <w:r>
        <w:rPr>
          <w:lang w:eastAsia="en-AU" w:bidi="ar-SA"/>
        </w:rPr>
        <w:t xml:space="preserve">e intakes in formula-fed infants who would be then </w:t>
      </w:r>
      <w:r w:rsidR="00C35E97">
        <w:rPr>
          <w:lang w:eastAsia="en-AU" w:bidi="ar-SA"/>
        </w:rPr>
        <w:t xml:space="preserve">be </w:t>
      </w:r>
      <w:r>
        <w:rPr>
          <w:lang w:eastAsia="en-AU" w:bidi="ar-SA"/>
        </w:rPr>
        <w:t xml:space="preserve">more likely to meet the AI. However, it is also noted that </w:t>
      </w:r>
      <w:r w:rsidRPr="00211234">
        <w:rPr>
          <w:lang w:eastAsia="en-AU" w:bidi="ar-SA"/>
        </w:rPr>
        <w:t xml:space="preserve">studies in the period </w:t>
      </w:r>
      <w:r>
        <w:rPr>
          <w:lang w:eastAsia="en-AU" w:bidi="ar-SA"/>
        </w:rPr>
        <w:t>after mandatory</w:t>
      </w:r>
      <w:r w:rsidR="00C35E97">
        <w:rPr>
          <w:lang w:eastAsia="en-AU" w:bidi="ar-SA"/>
        </w:rPr>
        <w:t xml:space="preserve"> </w:t>
      </w:r>
      <w:r w:rsidRPr="00211234">
        <w:rPr>
          <w:lang w:eastAsia="en-AU" w:bidi="ar-SA"/>
        </w:rPr>
        <w:t>iodine fortification suggest that A</w:t>
      </w:r>
      <w:r>
        <w:rPr>
          <w:lang w:eastAsia="en-AU" w:bidi="ar-SA"/>
        </w:rPr>
        <w:t xml:space="preserve">ustralian and </w:t>
      </w:r>
      <w:r w:rsidRPr="00211234">
        <w:rPr>
          <w:lang w:eastAsia="en-AU" w:bidi="ar-SA"/>
        </w:rPr>
        <w:t>N</w:t>
      </w:r>
      <w:r>
        <w:rPr>
          <w:lang w:eastAsia="en-AU" w:bidi="ar-SA"/>
        </w:rPr>
        <w:t xml:space="preserve">ew </w:t>
      </w:r>
      <w:r w:rsidRPr="00211234">
        <w:rPr>
          <w:lang w:eastAsia="en-AU" w:bidi="ar-SA"/>
        </w:rPr>
        <w:t>Z</w:t>
      </w:r>
      <w:r>
        <w:rPr>
          <w:lang w:eastAsia="en-AU" w:bidi="ar-SA"/>
        </w:rPr>
        <w:t>ealand</w:t>
      </w:r>
      <w:r w:rsidRPr="00211234">
        <w:rPr>
          <w:lang w:eastAsia="en-AU" w:bidi="ar-SA"/>
        </w:rPr>
        <w:t xml:space="preserve"> infants are not iodine deficient</w:t>
      </w:r>
      <w:r>
        <w:rPr>
          <w:lang w:eastAsia="en-AU" w:bidi="ar-SA"/>
        </w:rPr>
        <w:t>.</w:t>
      </w:r>
    </w:p>
    <w:p w14:paraId="76DED195" w14:textId="77777777" w:rsidR="00776154" w:rsidRPr="00211234" w:rsidRDefault="00776154" w:rsidP="00776154">
      <w:pPr>
        <w:rPr>
          <w:lang w:eastAsia="en-AU" w:bidi="ar-SA"/>
        </w:rPr>
      </w:pPr>
    </w:p>
    <w:p w14:paraId="5D1B25C2" w14:textId="340FE56D" w:rsidR="00776154" w:rsidRDefault="00776154" w:rsidP="00776154">
      <w:pPr>
        <w:rPr>
          <w:rFonts w:eastAsia="Calibri"/>
          <w:szCs w:val="22"/>
          <w:lang w:bidi="ar-SA"/>
        </w:rPr>
      </w:pPr>
      <w:r w:rsidRPr="003137B5">
        <w:t xml:space="preserve">The </w:t>
      </w:r>
      <w:r>
        <w:t xml:space="preserve">2016 nutrition </w:t>
      </w:r>
      <w:r w:rsidR="00C35E97">
        <w:t xml:space="preserve">risk </w:t>
      </w:r>
      <w:r>
        <w:t>assessment noted that t</w:t>
      </w:r>
      <w:r w:rsidRPr="00DB5D28">
        <w:rPr>
          <w:rFonts w:eastAsia="Calibri"/>
          <w:szCs w:val="22"/>
          <w:lang w:bidi="ar-SA"/>
        </w:rPr>
        <w:t xml:space="preserve">here is no </w:t>
      </w:r>
      <w:r>
        <w:rPr>
          <w:rFonts w:eastAsia="Calibri"/>
          <w:szCs w:val="22"/>
          <w:lang w:bidi="ar-SA"/>
        </w:rPr>
        <w:t xml:space="preserve">iodine </w:t>
      </w:r>
      <w:r w:rsidRPr="00DB5D28">
        <w:rPr>
          <w:rFonts w:eastAsia="Calibri"/>
          <w:szCs w:val="22"/>
          <w:lang w:bidi="ar-SA"/>
        </w:rPr>
        <w:t xml:space="preserve">UL </w:t>
      </w:r>
      <w:r>
        <w:rPr>
          <w:rFonts w:eastAsia="Calibri"/>
          <w:szCs w:val="22"/>
          <w:lang w:bidi="ar-SA"/>
        </w:rPr>
        <w:t xml:space="preserve">for </w:t>
      </w:r>
      <w:r w:rsidRPr="00DB5D28">
        <w:rPr>
          <w:rFonts w:eastAsia="Calibri"/>
          <w:szCs w:val="22"/>
          <w:lang w:bidi="ar-SA"/>
        </w:rPr>
        <w:t xml:space="preserve">infants in </w:t>
      </w:r>
      <w:r w:rsidR="00F46AB9">
        <w:rPr>
          <w:rFonts w:eastAsia="Calibri"/>
          <w:szCs w:val="22"/>
          <w:lang w:bidi="ar-SA"/>
        </w:rPr>
        <w:t>ANZ</w:t>
      </w:r>
      <w:r>
        <w:rPr>
          <w:rFonts w:eastAsia="Calibri"/>
          <w:szCs w:val="22"/>
          <w:lang w:bidi="ar-SA"/>
        </w:rPr>
        <w:t xml:space="preserve">, and </w:t>
      </w:r>
      <w:r w:rsidRPr="003137B5">
        <w:t>con</w:t>
      </w:r>
      <w:r>
        <w:t>cludes</w:t>
      </w:r>
      <w:r w:rsidRPr="003137B5">
        <w:t xml:space="preserve"> that </w:t>
      </w:r>
      <w:r>
        <w:t xml:space="preserve">a </w:t>
      </w:r>
      <w:r>
        <w:rPr>
          <w:rFonts w:eastAsia="Calibri"/>
          <w:szCs w:val="22"/>
          <w:lang w:bidi="ar-SA"/>
        </w:rPr>
        <w:t xml:space="preserve">higher maximum of 14 </w:t>
      </w:r>
      <w:r w:rsidR="0048474C" w:rsidRPr="0048474C">
        <w:rPr>
          <w:rFonts w:eastAsia="Calibri"/>
          <w:szCs w:val="22"/>
          <w:lang w:bidi="ar-SA"/>
        </w:rPr>
        <w:t>µ</w:t>
      </w:r>
      <w:r w:rsidRPr="0048474C">
        <w:rPr>
          <w:rFonts w:eastAsia="Calibri"/>
          <w:szCs w:val="22"/>
          <w:lang w:bidi="ar-SA"/>
        </w:rPr>
        <w:t>g/100 kJ</w:t>
      </w:r>
      <w:r>
        <w:rPr>
          <w:rFonts w:eastAsia="Calibri"/>
          <w:szCs w:val="22"/>
          <w:lang w:bidi="ar-SA"/>
        </w:rPr>
        <w:t xml:space="preserve"> </w:t>
      </w:r>
      <w:r w:rsidRPr="003137B5">
        <w:rPr>
          <w:rFonts w:eastAsia="Calibri"/>
          <w:szCs w:val="22"/>
          <w:lang w:bidi="ar-SA"/>
        </w:rPr>
        <w:t xml:space="preserve">would be unlikely to adversely </w:t>
      </w:r>
      <w:r>
        <w:rPr>
          <w:rFonts w:eastAsia="Calibri"/>
          <w:szCs w:val="22"/>
          <w:lang w:bidi="ar-SA"/>
        </w:rPr>
        <w:t>pose a risk to</w:t>
      </w:r>
      <w:r w:rsidRPr="003137B5">
        <w:rPr>
          <w:rFonts w:eastAsia="Calibri"/>
          <w:szCs w:val="22"/>
          <w:lang w:bidi="ar-SA"/>
        </w:rPr>
        <w:t xml:space="preserve"> infant health.</w:t>
      </w:r>
    </w:p>
    <w:p w14:paraId="75845B37" w14:textId="77777777" w:rsidR="00776154" w:rsidRDefault="00776154" w:rsidP="00776154"/>
    <w:p w14:paraId="71AC41B7" w14:textId="729A9A7C" w:rsidR="00776154" w:rsidRDefault="00776154" w:rsidP="00776154">
      <w:pPr>
        <w:rPr>
          <w:lang w:eastAsia="en-AU" w:bidi="ar-SA"/>
        </w:rPr>
      </w:pPr>
      <w:r>
        <w:t>FSANZ’s preliminary view was that</w:t>
      </w:r>
      <w:r w:rsidRPr="00A0518A">
        <w:t xml:space="preserve"> </w:t>
      </w:r>
      <w:r>
        <w:t xml:space="preserve">alignment with </w:t>
      </w:r>
      <w:r w:rsidRPr="00A0518A">
        <w:t>the higher</w:t>
      </w:r>
      <w:r>
        <w:t xml:space="preserve"> Codex</w:t>
      </w:r>
      <w:r w:rsidRPr="00A0518A">
        <w:t xml:space="preserve"> minimum and GUL for iodine </w:t>
      </w:r>
      <w:r>
        <w:t xml:space="preserve">may be </w:t>
      </w:r>
      <w:r w:rsidRPr="00A0518A">
        <w:t>appropriate for A</w:t>
      </w:r>
      <w:r>
        <w:t xml:space="preserve">ustralian and </w:t>
      </w:r>
      <w:r w:rsidRPr="00A0518A">
        <w:t>N</w:t>
      </w:r>
      <w:r>
        <w:t xml:space="preserve">ew </w:t>
      </w:r>
      <w:r w:rsidRPr="00A0518A">
        <w:t>Z</w:t>
      </w:r>
      <w:r>
        <w:t>ealand</w:t>
      </w:r>
      <w:r w:rsidRPr="00A0518A">
        <w:t xml:space="preserve"> infants. We </w:t>
      </w:r>
      <w:r>
        <w:t xml:space="preserve">sought information on </w:t>
      </w:r>
      <w:r w:rsidRPr="00A0518A">
        <w:t>whether this is likely to require reformulation by manufacturers</w:t>
      </w:r>
      <w:r>
        <w:rPr>
          <w:lang w:eastAsia="en-AU" w:bidi="ar-SA"/>
        </w:rPr>
        <w:t xml:space="preserve">. </w:t>
      </w:r>
    </w:p>
    <w:p w14:paraId="786209AE" w14:textId="77777777" w:rsidR="00776154" w:rsidRDefault="00776154" w:rsidP="00776154">
      <w:pPr>
        <w:pStyle w:val="Heading4"/>
        <w:ind w:left="0" w:firstLine="0"/>
      </w:pPr>
      <w:r w:rsidRPr="00BA1FD9">
        <w:t>S</w:t>
      </w:r>
      <w:r>
        <w:t>takeholder views</w:t>
      </w:r>
    </w:p>
    <w:p w14:paraId="641A5052" w14:textId="409F2B62" w:rsidR="00776154" w:rsidRDefault="00776154" w:rsidP="00776154">
      <w:pPr>
        <w:rPr>
          <w:lang w:val="en-AU" w:bidi="ar-SA"/>
        </w:rPr>
      </w:pPr>
      <w:r>
        <w:rPr>
          <w:lang w:val="en-AU" w:bidi="ar-SA"/>
        </w:rPr>
        <w:t>Eleven submitters (</w:t>
      </w:r>
      <w:r w:rsidR="00C35E97">
        <w:rPr>
          <w:lang w:val="en-AU" w:bidi="ar-SA"/>
        </w:rPr>
        <w:t>two</w:t>
      </w:r>
      <w:r>
        <w:rPr>
          <w:lang w:val="en-AU" w:bidi="ar-SA"/>
        </w:rPr>
        <w:t xml:space="preserve"> government, </w:t>
      </w:r>
      <w:r w:rsidR="00C35E97">
        <w:rPr>
          <w:lang w:val="en-AU" w:bidi="ar-SA"/>
        </w:rPr>
        <w:t>eight</w:t>
      </w:r>
      <w:r w:rsidRPr="005306D9">
        <w:rPr>
          <w:lang w:val="en-AU" w:bidi="ar-SA"/>
        </w:rPr>
        <w:t xml:space="preserve"> </w:t>
      </w:r>
      <w:r>
        <w:rPr>
          <w:lang w:val="en-AU" w:bidi="ar-SA"/>
        </w:rPr>
        <w:t xml:space="preserve">industry, </w:t>
      </w:r>
      <w:r w:rsidR="00C35E97">
        <w:rPr>
          <w:lang w:val="en-AU" w:bidi="ar-SA"/>
        </w:rPr>
        <w:t>one</w:t>
      </w:r>
      <w:r>
        <w:rPr>
          <w:lang w:val="en-AU" w:bidi="ar-SA"/>
        </w:rPr>
        <w:t xml:space="preserve"> health professional) commented on the permitted range for iodine. All submitters supported increasing the minimum level to at least the Codex STAN 72-1981 level and there was also support to increase the iodine minimum to align with EU 2016</w:t>
      </w:r>
      <w:r w:rsidR="00C35E97">
        <w:rPr>
          <w:lang w:val="en-AU" w:bidi="ar-SA"/>
        </w:rPr>
        <w:t>/127</w:t>
      </w:r>
      <w:r>
        <w:rPr>
          <w:lang w:val="en-AU" w:bidi="ar-SA"/>
        </w:rPr>
        <w:t>.</w:t>
      </w:r>
    </w:p>
    <w:p w14:paraId="60883A38" w14:textId="77777777" w:rsidR="00776154" w:rsidRDefault="00776154" w:rsidP="00776154">
      <w:pPr>
        <w:rPr>
          <w:lang w:val="en-AU" w:bidi="ar-SA"/>
        </w:rPr>
      </w:pPr>
    </w:p>
    <w:p w14:paraId="652E6DC7" w14:textId="4B02D318" w:rsidR="00776154" w:rsidRDefault="00776154" w:rsidP="00776154">
      <w:pPr>
        <w:rPr>
          <w:lang w:val="en-AU" w:bidi="ar-SA"/>
        </w:rPr>
      </w:pPr>
      <w:r>
        <w:rPr>
          <w:lang w:val="en-AU" w:bidi="ar-SA"/>
        </w:rPr>
        <w:t>Additionally one submitter provided data of iodine content from a label survey of 40 infant formulas on the Australian market in 2010</w:t>
      </w:r>
      <w:r w:rsidR="00204D4F">
        <w:rPr>
          <w:lang w:val="en-AU" w:bidi="ar-SA"/>
        </w:rPr>
        <w:t xml:space="preserve"> (see below)</w:t>
      </w:r>
      <w:r>
        <w:rPr>
          <w:lang w:val="en-AU" w:bidi="ar-SA"/>
        </w:rPr>
        <w:t>. The submitter requested further review of iodine levels in infant formula to ensure adequate iodine intakes.</w:t>
      </w:r>
    </w:p>
    <w:p w14:paraId="413659AA" w14:textId="77777777" w:rsidR="00776154" w:rsidRDefault="00776154" w:rsidP="00776154">
      <w:pPr>
        <w:rPr>
          <w:lang w:val="en-AU" w:bidi="ar-SA"/>
        </w:rPr>
      </w:pPr>
    </w:p>
    <w:p w14:paraId="5D1A9796" w14:textId="33E98135" w:rsidR="00776154" w:rsidRDefault="00776154" w:rsidP="00776154">
      <w:pPr>
        <w:rPr>
          <w:lang w:val="en-AU" w:bidi="ar-SA"/>
        </w:rPr>
      </w:pPr>
      <w:r>
        <w:rPr>
          <w:lang w:val="en-AU" w:bidi="ar-SA"/>
        </w:rPr>
        <w:t>Aligning the maximum level with Codex STAN 72-1981 was also supported by most submitters with one government submitter opposing alignment to the higher Codex amount, noting that the EU 2016</w:t>
      </w:r>
      <w:r w:rsidR="00C35E97">
        <w:rPr>
          <w:lang w:val="en-AU" w:bidi="ar-SA"/>
        </w:rPr>
        <w:t>/127</w:t>
      </w:r>
      <w:r>
        <w:rPr>
          <w:lang w:val="en-AU" w:bidi="ar-SA"/>
        </w:rPr>
        <w:t xml:space="preserve"> maximum (6.9 </w:t>
      </w:r>
      <w:r w:rsidR="00C35E97" w:rsidRPr="0048474C">
        <w:rPr>
          <w:lang w:val="en-AU" w:bidi="ar-SA"/>
        </w:rPr>
        <w:t>µ</w:t>
      </w:r>
      <w:r>
        <w:rPr>
          <w:lang w:val="en-AU" w:bidi="ar-SA"/>
        </w:rPr>
        <w:t xml:space="preserve">g/100 kJ) is closer to the current maximum under </w:t>
      </w:r>
      <w:r w:rsidR="00E325FC">
        <w:rPr>
          <w:lang w:val="en-AU" w:bidi="ar-SA"/>
        </w:rPr>
        <w:t>the Code</w:t>
      </w:r>
      <w:r>
        <w:rPr>
          <w:lang w:val="en-AU" w:bidi="ar-SA"/>
        </w:rPr>
        <w:t>.</w:t>
      </w:r>
    </w:p>
    <w:p w14:paraId="6036449C" w14:textId="3BA55A93" w:rsidR="00776154" w:rsidRDefault="00C35E97" w:rsidP="00776154">
      <w:pPr>
        <w:pStyle w:val="Heading4"/>
      </w:pPr>
      <w:r>
        <w:t>Nutrition r</w:t>
      </w:r>
      <w:r w:rsidR="00776154" w:rsidRPr="00BA1FD9">
        <w:t>isk assessment</w:t>
      </w:r>
    </w:p>
    <w:p w14:paraId="1CF2FCD3" w14:textId="17067036" w:rsidR="00776154" w:rsidRDefault="00776154" w:rsidP="00776154">
      <w:pPr>
        <w:rPr>
          <w:lang w:eastAsia="en-AU"/>
        </w:rPr>
      </w:pPr>
      <w:r>
        <w:rPr>
          <w:lang w:val="en-AU" w:bidi="ar-SA"/>
        </w:rPr>
        <w:t xml:space="preserve">The 2021 nutrition </w:t>
      </w:r>
      <w:r w:rsidR="00C35E97">
        <w:rPr>
          <w:lang w:val="en-AU" w:bidi="ar-SA"/>
        </w:rPr>
        <w:t xml:space="preserve">risk </w:t>
      </w:r>
      <w:r>
        <w:rPr>
          <w:lang w:val="en-AU" w:bidi="ar-SA"/>
        </w:rPr>
        <w:t>assessment concluded that the u</w:t>
      </w:r>
      <w:r w:rsidRPr="00D66F38">
        <w:rPr>
          <w:lang w:eastAsia="en-AU"/>
        </w:rPr>
        <w:t>se of the EU 2016/127 minimum amount</w:t>
      </w:r>
      <w:r>
        <w:rPr>
          <w:lang w:eastAsia="en-AU"/>
        </w:rPr>
        <w:t xml:space="preserve"> (3.6</w:t>
      </w:r>
      <w:r w:rsidRPr="00D66F38">
        <w:rPr>
          <w:lang w:eastAsia="en-AU"/>
        </w:rPr>
        <w:t xml:space="preserve"> µg/100 kJ</w:t>
      </w:r>
      <w:r>
        <w:rPr>
          <w:lang w:eastAsia="en-AU"/>
        </w:rPr>
        <w:t>) and maximum amount (6.9 </w:t>
      </w:r>
      <w:r w:rsidRPr="00D66F38">
        <w:rPr>
          <w:lang w:eastAsia="en-AU"/>
        </w:rPr>
        <w:t>µg/100 kJ</w:t>
      </w:r>
      <w:r>
        <w:rPr>
          <w:lang w:eastAsia="en-AU"/>
        </w:rPr>
        <w:t>)</w:t>
      </w:r>
      <w:r w:rsidRPr="00D66F38">
        <w:rPr>
          <w:lang w:eastAsia="en-AU"/>
        </w:rPr>
        <w:t xml:space="preserve"> </w:t>
      </w:r>
      <w:r w:rsidR="008B529B">
        <w:rPr>
          <w:lang w:eastAsia="en-AU"/>
        </w:rPr>
        <w:t xml:space="preserve">poses </w:t>
      </w:r>
      <w:r w:rsidR="00182BD8">
        <w:rPr>
          <w:lang w:eastAsia="en-AU"/>
        </w:rPr>
        <w:t xml:space="preserve">a low </w:t>
      </w:r>
      <w:r w:rsidRPr="00D66F38">
        <w:rPr>
          <w:lang w:eastAsia="en-AU"/>
        </w:rPr>
        <w:t>risk to infant health.</w:t>
      </w:r>
    </w:p>
    <w:p w14:paraId="30D9F090" w14:textId="77777777" w:rsidR="00776154" w:rsidRDefault="00776154" w:rsidP="00776154">
      <w:pPr>
        <w:rPr>
          <w:lang w:eastAsia="en-AU"/>
        </w:rPr>
      </w:pPr>
    </w:p>
    <w:p w14:paraId="33EE89D9" w14:textId="7FD744C3" w:rsidR="00776154" w:rsidRPr="00E772BF" w:rsidRDefault="00776154" w:rsidP="00776154">
      <w:pPr>
        <w:rPr>
          <w:lang w:val="en"/>
        </w:rPr>
      </w:pPr>
      <w:r>
        <w:rPr>
          <w:lang w:eastAsia="en-AU"/>
        </w:rPr>
        <w:t>The nutrition</w:t>
      </w:r>
      <w:r w:rsidR="00C35E97">
        <w:rPr>
          <w:lang w:eastAsia="en-AU"/>
        </w:rPr>
        <w:t xml:space="preserve"> risk</w:t>
      </w:r>
      <w:r>
        <w:rPr>
          <w:lang w:eastAsia="en-AU"/>
        </w:rPr>
        <w:t xml:space="preserve"> assessment also </w:t>
      </w:r>
      <w:r w:rsidR="00C35E97">
        <w:rPr>
          <w:lang w:eastAsia="en-AU"/>
        </w:rPr>
        <w:t xml:space="preserve">considered </w:t>
      </w:r>
      <w:r>
        <w:rPr>
          <w:lang w:eastAsia="en-AU"/>
        </w:rPr>
        <w:t>a recent study</w:t>
      </w:r>
      <w:r w:rsidR="00C35E97">
        <w:rPr>
          <w:lang w:eastAsia="en-AU"/>
        </w:rPr>
        <w:t xml:space="preserve"> by</w:t>
      </w:r>
      <w:r>
        <w:rPr>
          <w:lang w:eastAsia="en-AU"/>
        </w:rPr>
        <w:t xml:space="preserve"> </w:t>
      </w:r>
      <w:r>
        <w:rPr>
          <w:lang w:eastAsia="en-AU" w:bidi="ar-SA"/>
        </w:rPr>
        <w:t>Huy</w:t>
      </w:r>
      <w:r w:rsidR="00C35E97">
        <w:rPr>
          <w:lang w:eastAsia="en-AU" w:bidi="ar-SA"/>
        </w:rPr>
        <w:t>n</w:t>
      </w:r>
      <w:r>
        <w:rPr>
          <w:lang w:eastAsia="en-AU" w:bidi="ar-SA"/>
        </w:rPr>
        <w:t xml:space="preserve">h et al. (2017) which investigated the relationship between iodine status of lactating mothers and their infants following the mandatory iodine fortification of bread </w:t>
      </w:r>
      <w:r w:rsidR="00C35E97">
        <w:rPr>
          <w:lang w:eastAsia="en-AU" w:bidi="ar-SA"/>
        </w:rPr>
        <w:t xml:space="preserve">in </w:t>
      </w:r>
      <w:r>
        <w:rPr>
          <w:lang w:eastAsia="en-AU" w:bidi="ar-SA"/>
        </w:rPr>
        <w:t>Australia in 2009. The study concluded</w:t>
      </w:r>
      <w:r>
        <w:rPr>
          <w:lang w:val="en-AU" w:bidi="ar-SA"/>
        </w:rPr>
        <w:t xml:space="preserve"> </w:t>
      </w:r>
      <w:r>
        <w:rPr>
          <w:lang w:val="en"/>
        </w:rPr>
        <w:t xml:space="preserve">that the iodine status of lactating mothers and their infants in South Australia was sufficient </w:t>
      </w:r>
      <w:r w:rsidR="00C35E97">
        <w:rPr>
          <w:lang w:val="en"/>
        </w:rPr>
        <w:t xml:space="preserve">after </w:t>
      </w:r>
      <w:r>
        <w:rPr>
          <w:lang w:val="en"/>
        </w:rPr>
        <w:t>mandatory iodine fortification</w:t>
      </w:r>
      <w:r w:rsidR="00C35E97">
        <w:rPr>
          <w:lang w:val="en"/>
        </w:rPr>
        <w:t xml:space="preserve"> was introduced</w:t>
      </w:r>
      <w:r>
        <w:rPr>
          <w:lang w:val="en"/>
        </w:rPr>
        <w:t>. The outcomes of this study address</w:t>
      </w:r>
      <w:r w:rsidR="00204D4F">
        <w:rPr>
          <w:lang w:val="en"/>
        </w:rPr>
        <w:t xml:space="preserve"> the</w:t>
      </w:r>
      <w:r>
        <w:rPr>
          <w:lang w:val="en"/>
        </w:rPr>
        <w:t xml:space="preserve"> concerns raised during consultation that </w:t>
      </w:r>
      <w:r w:rsidRPr="00E772BF">
        <w:rPr>
          <w:lang w:eastAsia="en-AU" w:bidi="ar-SA"/>
        </w:rPr>
        <w:t>formula-fed infants cannot obtain an adequate iodine intake</w:t>
      </w:r>
      <w:r>
        <w:rPr>
          <w:lang w:eastAsia="en-AU" w:bidi="ar-SA"/>
        </w:rPr>
        <w:t xml:space="preserve"> </w:t>
      </w:r>
      <w:r w:rsidR="00C35E97">
        <w:rPr>
          <w:lang w:eastAsia="en-AU" w:bidi="ar-SA"/>
        </w:rPr>
        <w:t xml:space="preserve">under </w:t>
      </w:r>
      <w:r>
        <w:rPr>
          <w:lang w:eastAsia="en-AU" w:bidi="ar-SA"/>
        </w:rPr>
        <w:t xml:space="preserve">the current </w:t>
      </w:r>
      <w:r w:rsidR="00204D4F">
        <w:rPr>
          <w:lang w:eastAsia="en-AU" w:bidi="ar-SA"/>
        </w:rPr>
        <w:t>provisions in Standard 2.9.1</w:t>
      </w:r>
      <w:r w:rsidR="008B529B">
        <w:rPr>
          <w:lang w:eastAsia="en-AU" w:bidi="ar-SA"/>
        </w:rPr>
        <w:t>/Schedule 29</w:t>
      </w:r>
      <w:r>
        <w:rPr>
          <w:lang w:eastAsia="en-AU" w:bidi="ar-SA"/>
        </w:rPr>
        <w:t>.</w:t>
      </w:r>
    </w:p>
    <w:p w14:paraId="612B12E3" w14:textId="77777777" w:rsidR="00776154" w:rsidRDefault="00776154" w:rsidP="00776154">
      <w:pPr>
        <w:pStyle w:val="Heading4"/>
      </w:pPr>
      <w:r w:rsidRPr="00BA1FD9">
        <w:t>Options and discussion</w:t>
      </w:r>
    </w:p>
    <w:p w14:paraId="4C806C20" w14:textId="77777777" w:rsidR="00776154" w:rsidRPr="00307193" w:rsidRDefault="00776154" w:rsidP="00776154">
      <w:pPr>
        <w:pStyle w:val="Heading5"/>
        <w:rPr>
          <w:lang w:val="en-AU"/>
        </w:rPr>
      </w:pPr>
      <w:r w:rsidRPr="00307193">
        <w:rPr>
          <w:lang w:val="en-AU"/>
        </w:rPr>
        <w:t>Minimum</w:t>
      </w:r>
    </w:p>
    <w:p w14:paraId="75C0E369" w14:textId="2E96E707" w:rsidR="00776154" w:rsidRDefault="00204D4F" w:rsidP="00776154">
      <w:pPr>
        <w:rPr>
          <w:lang w:val="en-AU" w:bidi="ar-SA"/>
        </w:rPr>
      </w:pPr>
      <w:r>
        <w:rPr>
          <w:lang w:val="en-AU" w:bidi="ar-SA"/>
        </w:rPr>
        <w:t xml:space="preserve">A </w:t>
      </w:r>
      <w:r w:rsidR="00776154">
        <w:rPr>
          <w:lang w:val="en-AU" w:bidi="ar-SA"/>
        </w:rPr>
        <w:t>submitter provided data of iodine content based on label information of</w:t>
      </w:r>
      <w:r w:rsidR="00776154" w:rsidRPr="00AD6F1E">
        <w:rPr>
          <w:lang w:val="en-AU" w:bidi="ar-SA"/>
        </w:rPr>
        <w:t xml:space="preserve"> 40 infant formulas on the market on 2010</w:t>
      </w:r>
      <w:r w:rsidR="00776154">
        <w:rPr>
          <w:lang w:val="en-AU" w:bidi="ar-SA"/>
        </w:rPr>
        <w:t>. These formulas</w:t>
      </w:r>
      <w:r w:rsidR="00776154" w:rsidRPr="00AD6F1E">
        <w:rPr>
          <w:lang w:val="en-AU" w:bidi="ar-SA"/>
        </w:rPr>
        <w:t xml:space="preserve"> had range of 4</w:t>
      </w:r>
      <w:r w:rsidR="00C35E97">
        <w:rPr>
          <w:lang w:val="en-AU" w:bidi="ar-SA"/>
        </w:rPr>
        <w:t>–</w:t>
      </w:r>
      <w:r w:rsidR="00776154" w:rsidRPr="00AD6F1E">
        <w:rPr>
          <w:lang w:val="en-AU" w:bidi="ar-SA"/>
        </w:rPr>
        <w:t xml:space="preserve">12 </w:t>
      </w:r>
      <w:r w:rsidR="00C35E97" w:rsidRPr="0048474C">
        <w:rPr>
          <w:lang w:val="en-AU" w:bidi="ar-SA"/>
        </w:rPr>
        <w:t>µ</w:t>
      </w:r>
      <w:r w:rsidR="00776154" w:rsidRPr="00AD6F1E">
        <w:rPr>
          <w:lang w:val="en-AU" w:bidi="ar-SA"/>
        </w:rPr>
        <w:t>g/100 m</w:t>
      </w:r>
      <w:r w:rsidR="00C35E97">
        <w:rPr>
          <w:lang w:val="en-AU" w:bidi="ar-SA"/>
        </w:rPr>
        <w:t>L</w:t>
      </w:r>
      <w:r w:rsidR="00776154" w:rsidRPr="00AD6F1E">
        <w:rPr>
          <w:lang w:val="en-AU" w:bidi="ar-SA"/>
        </w:rPr>
        <w:t xml:space="preserve"> (1.5</w:t>
      </w:r>
      <w:r w:rsidR="00C35E97">
        <w:rPr>
          <w:lang w:val="en-AU" w:bidi="ar-SA"/>
        </w:rPr>
        <w:t>–</w:t>
      </w:r>
      <w:r w:rsidR="00776154" w:rsidRPr="00AD6F1E">
        <w:rPr>
          <w:lang w:val="en-AU" w:bidi="ar-SA"/>
        </w:rPr>
        <w:t>4.4</w:t>
      </w:r>
      <w:r w:rsidR="00C35E97">
        <w:rPr>
          <w:lang w:val="en-AU" w:bidi="ar-SA"/>
        </w:rPr>
        <w:t> </w:t>
      </w:r>
      <w:r w:rsidR="00C35E97" w:rsidRPr="0048474C">
        <w:rPr>
          <w:lang w:val="en-AU" w:bidi="ar-SA"/>
        </w:rPr>
        <w:t>µ</w:t>
      </w:r>
      <w:r w:rsidR="00776154" w:rsidRPr="00AD6F1E">
        <w:rPr>
          <w:lang w:val="en-AU" w:bidi="ar-SA"/>
        </w:rPr>
        <w:t>g/100 kJ</w:t>
      </w:r>
      <w:r w:rsidR="00776154">
        <w:rPr>
          <w:lang w:val="en-AU" w:bidi="ar-SA"/>
        </w:rPr>
        <w:t>) which was lower than</w:t>
      </w:r>
      <w:r w:rsidR="00776154" w:rsidRPr="004629D4">
        <w:rPr>
          <w:lang w:val="en-AU" w:bidi="ar-SA"/>
        </w:rPr>
        <w:t xml:space="preserve"> that determined in FSANZ </w:t>
      </w:r>
      <w:r w:rsidR="00C35E97" w:rsidRPr="004629D4">
        <w:rPr>
          <w:lang w:val="en-AU" w:bidi="ar-SA"/>
        </w:rPr>
        <w:t>label survey</w:t>
      </w:r>
      <w:r w:rsidR="00C35E97">
        <w:rPr>
          <w:lang w:val="en-AU" w:bidi="ar-SA"/>
        </w:rPr>
        <w:t>s in</w:t>
      </w:r>
      <w:r w:rsidR="00C35E97" w:rsidRPr="004629D4">
        <w:rPr>
          <w:lang w:val="en-AU" w:bidi="ar-SA"/>
        </w:rPr>
        <w:t xml:space="preserve"> </w:t>
      </w:r>
      <w:r w:rsidR="00776154" w:rsidRPr="004629D4">
        <w:rPr>
          <w:lang w:val="en-AU" w:bidi="ar-SA"/>
        </w:rPr>
        <w:t>2</w:t>
      </w:r>
      <w:r w:rsidR="0048474C">
        <w:rPr>
          <w:lang w:val="en-AU" w:bidi="ar-SA"/>
        </w:rPr>
        <w:t>013</w:t>
      </w:r>
      <w:r w:rsidR="00377B78">
        <w:rPr>
          <w:lang w:val="en-AU" w:bidi="ar-SA"/>
        </w:rPr>
        <w:t>–</w:t>
      </w:r>
      <w:r w:rsidR="0048474C">
        <w:rPr>
          <w:lang w:val="en-AU" w:bidi="ar-SA"/>
        </w:rPr>
        <w:t>2014</w:t>
      </w:r>
      <w:r w:rsidR="00776154" w:rsidRPr="004629D4">
        <w:rPr>
          <w:lang w:val="en-AU" w:bidi="ar-SA"/>
        </w:rPr>
        <w:t xml:space="preserve"> (2.1</w:t>
      </w:r>
      <w:r w:rsidR="00C35E97">
        <w:rPr>
          <w:lang w:val="en-AU" w:bidi="ar-SA"/>
        </w:rPr>
        <w:t>–</w:t>
      </w:r>
      <w:r w:rsidR="00776154" w:rsidRPr="004629D4">
        <w:rPr>
          <w:lang w:val="en-AU" w:bidi="ar-SA"/>
        </w:rPr>
        <w:t xml:space="preserve">5.9 </w:t>
      </w:r>
      <w:r w:rsidR="00C35E97" w:rsidRPr="0048474C">
        <w:rPr>
          <w:lang w:val="en-AU" w:bidi="ar-SA"/>
        </w:rPr>
        <w:t>µ</w:t>
      </w:r>
      <w:r w:rsidR="00776154" w:rsidRPr="004629D4">
        <w:rPr>
          <w:lang w:val="en-AU" w:bidi="ar-SA"/>
        </w:rPr>
        <w:t>g/100 kJ)</w:t>
      </w:r>
      <w:r w:rsidR="00776154">
        <w:rPr>
          <w:lang w:val="en-AU" w:bidi="ar-SA"/>
        </w:rPr>
        <w:t xml:space="preserve"> and 2021 (</w:t>
      </w:r>
      <w:r w:rsidR="00776154" w:rsidRPr="00FF04F2">
        <w:rPr>
          <w:lang w:val="en-AU" w:bidi="ar-SA"/>
        </w:rPr>
        <w:t xml:space="preserve">2.19–8.42 </w:t>
      </w:r>
      <w:r w:rsidR="00C35E97" w:rsidRPr="0048474C">
        <w:rPr>
          <w:lang w:val="en-AU" w:bidi="ar-SA"/>
        </w:rPr>
        <w:t>µ</w:t>
      </w:r>
      <w:r w:rsidR="00776154" w:rsidRPr="004629D4">
        <w:rPr>
          <w:lang w:val="en-AU" w:bidi="ar-SA"/>
        </w:rPr>
        <w:t>g/100 kJ</w:t>
      </w:r>
      <w:r w:rsidR="00776154">
        <w:rPr>
          <w:lang w:val="en-AU" w:bidi="ar-SA"/>
        </w:rPr>
        <w:t>)</w:t>
      </w:r>
      <w:r w:rsidR="00776154" w:rsidRPr="004629D4">
        <w:rPr>
          <w:lang w:val="en-AU" w:bidi="ar-SA"/>
        </w:rPr>
        <w:t>.</w:t>
      </w:r>
      <w:r w:rsidR="00776154">
        <w:rPr>
          <w:lang w:val="en-AU" w:bidi="ar-SA"/>
        </w:rPr>
        <w:t xml:space="preserve"> The 2010 information suggested that </w:t>
      </w:r>
      <w:r w:rsidR="00C35E97">
        <w:rPr>
          <w:lang w:val="en-AU" w:bidi="ar-SA"/>
        </w:rPr>
        <w:t xml:space="preserve">formula-fed </w:t>
      </w:r>
      <w:r w:rsidR="00776154">
        <w:rPr>
          <w:lang w:val="en-AU" w:bidi="ar-SA"/>
        </w:rPr>
        <w:t xml:space="preserve">infants may not </w:t>
      </w:r>
      <w:r w:rsidR="00C35E97">
        <w:rPr>
          <w:lang w:val="en-AU" w:bidi="ar-SA"/>
        </w:rPr>
        <w:t>be meeting the AI</w:t>
      </w:r>
      <w:r w:rsidR="00776154">
        <w:rPr>
          <w:lang w:val="en-AU" w:bidi="ar-SA"/>
        </w:rPr>
        <w:t xml:space="preserve"> for iodine. Indeed, estimated intakes (using the </w:t>
      </w:r>
      <w:r w:rsidR="00776154" w:rsidRPr="00BE602C">
        <w:rPr>
          <w:lang w:val="en-AU" w:bidi="ar-SA"/>
        </w:rPr>
        <w:t xml:space="preserve">midpoint of the Codex energy range </w:t>
      </w:r>
      <w:r w:rsidR="00C35E97">
        <w:rPr>
          <w:lang w:val="en-AU" w:bidi="ar-SA"/>
        </w:rPr>
        <w:t xml:space="preserve">of </w:t>
      </w:r>
      <w:r w:rsidR="00776154">
        <w:rPr>
          <w:lang w:val="en-AU" w:bidi="ar-SA"/>
        </w:rPr>
        <w:t xml:space="preserve">2725 kJ/L) based on the 2010 </w:t>
      </w:r>
      <w:r w:rsidR="00C35E97">
        <w:rPr>
          <w:lang w:val="en-AU" w:bidi="ar-SA"/>
        </w:rPr>
        <w:t xml:space="preserve">products </w:t>
      </w:r>
      <w:r w:rsidR="00776154">
        <w:rPr>
          <w:lang w:val="en-AU" w:bidi="ar-SA"/>
        </w:rPr>
        <w:t xml:space="preserve">would not meet the NHMRC AI for iodine. Comparing the 2010 information with </w:t>
      </w:r>
      <w:r w:rsidR="00C35E97">
        <w:rPr>
          <w:lang w:val="en-AU" w:bidi="ar-SA"/>
        </w:rPr>
        <w:t xml:space="preserve">surveys undertaken by FSANZ in </w:t>
      </w:r>
      <w:r w:rsidR="00776154">
        <w:rPr>
          <w:lang w:val="en-AU" w:bidi="ar-SA"/>
        </w:rPr>
        <w:t>2</w:t>
      </w:r>
      <w:r w:rsidR="00C75C37">
        <w:rPr>
          <w:lang w:val="en-AU" w:bidi="ar-SA"/>
        </w:rPr>
        <w:t>013</w:t>
      </w:r>
      <w:r w:rsidR="00377B78">
        <w:rPr>
          <w:lang w:val="en-AU" w:bidi="ar-SA"/>
        </w:rPr>
        <w:t>–</w:t>
      </w:r>
      <w:r w:rsidR="00C75C37">
        <w:rPr>
          <w:lang w:val="en-AU" w:bidi="ar-SA"/>
        </w:rPr>
        <w:t>2014</w:t>
      </w:r>
      <w:r w:rsidR="00776154">
        <w:rPr>
          <w:lang w:val="en-AU" w:bidi="ar-SA"/>
        </w:rPr>
        <w:t xml:space="preserve"> and 2021</w:t>
      </w:r>
      <w:r w:rsidR="00C35E97">
        <w:rPr>
          <w:lang w:val="en-AU" w:bidi="ar-SA"/>
        </w:rPr>
        <w:t xml:space="preserve"> suggests</w:t>
      </w:r>
      <w:r w:rsidR="00776154">
        <w:rPr>
          <w:lang w:val="en-AU" w:bidi="ar-SA"/>
        </w:rPr>
        <w:t xml:space="preserve"> </w:t>
      </w:r>
      <w:r>
        <w:rPr>
          <w:lang w:val="en-AU" w:bidi="ar-SA"/>
        </w:rPr>
        <w:t>industry re-formulation has</w:t>
      </w:r>
      <w:r w:rsidR="00776154">
        <w:rPr>
          <w:lang w:val="en-AU" w:bidi="ar-SA"/>
        </w:rPr>
        <w:t xml:space="preserve"> occurred</w:t>
      </w:r>
      <w:r>
        <w:rPr>
          <w:lang w:val="en-AU" w:bidi="ar-SA"/>
        </w:rPr>
        <w:t xml:space="preserve"> (Figure 7.3.3.3)</w:t>
      </w:r>
      <w:r w:rsidR="00776154">
        <w:rPr>
          <w:lang w:val="en-AU" w:bidi="ar-SA"/>
        </w:rPr>
        <w:t xml:space="preserve">. </w:t>
      </w:r>
    </w:p>
    <w:p w14:paraId="03E1208B" w14:textId="77777777" w:rsidR="00776154" w:rsidRDefault="00776154" w:rsidP="00776154">
      <w:pPr>
        <w:rPr>
          <w:lang w:val="en-AU" w:bidi="ar-SA"/>
        </w:rPr>
      </w:pPr>
    </w:p>
    <w:p w14:paraId="6EAA2F76" w14:textId="38D29EF9" w:rsidR="00776154" w:rsidRDefault="00776154" w:rsidP="00776154">
      <w:pPr>
        <w:rPr>
          <w:lang w:val="en-AU" w:bidi="ar-SA"/>
        </w:rPr>
      </w:pPr>
      <w:r w:rsidRPr="00BE602C">
        <w:rPr>
          <w:lang w:val="en-AU" w:bidi="ar-SA"/>
        </w:rPr>
        <w:t>The 2017 Huynh et al</w:t>
      </w:r>
      <w:r w:rsidR="002074F2">
        <w:rPr>
          <w:lang w:val="en-AU" w:bidi="ar-SA"/>
        </w:rPr>
        <w:t>.</w:t>
      </w:r>
      <w:r w:rsidRPr="00BE602C">
        <w:rPr>
          <w:lang w:val="en-AU" w:bidi="ar-SA"/>
        </w:rPr>
        <w:t xml:space="preserve"> study examined in the </w:t>
      </w:r>
      <w:r w:rsidR="005C368C">
        <w:rPr>
          <w:lang w:val="en-AU" w:bidi="ar-SA"/>
        </w:rPr>
        <w:t xml:space="preserve">nutrition </w:t>
      </w:r>
      <w:r w:rsidRPr="00BE602C">
        <w:rPr>
          <w:lang w:val="en-AU" w:bidi="ar-SA"/>
        </w:rPr>
        <w:t>risk assessment supports incre</w:t>
      </w:r>
      <w:r>
        <w:rPr>
          <w:lang w:val="en-AU" w:bidi="ar-SA"/>
        </w:rPr>
        <w:t xml:space="preserve">asing the iodine minimum to </w:t>
      </w:r>
      <w:r w:rsidRPr="00C45EA7">
        <w:rPr>
          <w:lang w:eastAsia="en-AU" w:bidi="ar-SA"/>
        </w:rPr>
        <w:t xml:space="preserve">3.7 </w:t>
      </w:r>
      <w:r w:rsidRPr="00C45EA7">
        <w:rPr>
          <w:rFonts w:cs="Arial"/>
          <w:lang w:eastAsia="en-AU" w:bidi="ar-SA"/>
        </w:rPr>
        <w:t>µg/100 kJ</w:t>
      </w:r>
      <w:r w:rsidR="005C368C">
        <w:rPr>
          <w:rFonts w:cs="Arial"/>
          <w:lang w:eastAsia="en-AU" w:bidi="ar-SA"/>
        </w:rPr>
        <w:t>.</w:t>
      </w:r>
      <w:r>
        <w:rPr>
          <w:lang w:val="en-AU" w:bidi="ar-SA"/>
        </w:rPr>
        <w:t xml:space="preserve"> This is </w:t>
      </w:r>
      <w:r w:rsidRPr="00BE602C">
        <w:rPr>
          <w:lang w:val="en-AU" w:bidi="ar-SA"/>
        </w:rPr>
        <w:t xml:space="preserve">based on </w:t>
      </w:r>
      <w:r w:rsidR="005C368C">
        <w:rPr>
          <w:lang w:val="en-AU" w:bidi="ar-SA"/>
        </w:rPr>
        <w:t xml:space="preserve">observed </w:t>
      </w:r>
      <w:r>
        <w:rPr>
          <w:lang w:val="en-AU" w:bidi="ar-SA"/>
        </w:rPr>
        <w:t>breast</w:t>
      </w:r>
      <w:r w:rsidR="005C368C">
        <w:rPr>
          <w:lang w:val="en-AU" w:bidi="ar-SA"/>
        </w:rPr>
        <w:t xml:space="preserve"> </w:t>
      </w:r>
      <w:r>
        <w:rPr>
          <w:lang w:val="en-AU" w:bidi="ar-SA"/>
        </w:rPr>
        <w:t xml:space="preserve">milk iodine </w:t>
      </w:r>
      <w:r>
        <w:rPr>
          <w:lang w:val="en-AU" w:bidi="ar-SA"/>
        </w:rPr>
        <w:lastRenderedPageBreak/>
        <w:t>conce</w:t>
      </w:r>
      <w:r w:rsidR="005C368C">
        <w:rPr>
          <w:lang w:val="en-AU" w:bidi="ar-SA"/>
        </w:rPr>
        <w:t>n</w:t>
      </w:r>
      <w:r>
        <w:rPr>
          <w:lang w:val="en-AU" w:bidi="ar-SA"/>
        </w:rPr>
        <w:t>t</w:t>
      </w:r>
      <w:r w:rsidR="005C368C">
        <w:rPr>
          <w:lang w:val="en-AU" w:bidi="ar-SA"/>
        </w:rPr>
        <w:t>r</w:t>
      </w:r>
      <w:r>
        <w:rPr>
          <w:lang w:val="en-AU" w:bidi="ar-SA"/>
        </w:rPr>
        <w:t xml:space="preserve">ations of </w:t>
      </w:r>
      <w:r>
        <w:rPr>
          <w:lang w:eastAsia="en-AU" w:bidi="ar-SA"/>
        </w:rPr>
        <w:t>100</w:t>
      </w:r>
      <w:r w:rsidRPr="00302AB2">
        <w:rPr>
          <w:lang w:eastAsia="en-AU" w:bidi="ar-SA"/>
        </w:rPr>
        <w:t xml:space="preserve"> </w:t>
      </w:r>
      <w:r w:rsidRPr="00C45EA7">
        <w:rPr>
          <w:lang w:eastAsia="en-AU" w:bidi="ar-SA"/>
        </w:rPr>
        <w:t>µg/L</w:t>
      </w:r>
      <w:r>
        <w:rPr>
          <w:lang w:eastAsia="en-AU" w:bidi="ar-SA"/>
        </w:rPr>
        <w:t xml:space="preserve">, which maintains iodine sufficiency in most infants, and </w:t>
      </w:r>
      <w:r>
        <w:rPr>
          <w:rFonts w:cs="Arial"/>
          <w:lang w:eastAsia="en-AU" w:bidi="ar-SA"/>
        </w:rPr>
        <w:t>the mean energy content of human milk is 2</w:t>
      </w:r>
      <w:r w:rsidR="002F0646">
        <w:rPr>
          <w:rFonts w:cs="Arial"/>
          <w:lang w:eastAsia="en-AU" w:bidi="ar-SA"/>
        </w:rPr>
        <w:t>720 kJ/L (Nommsen et al. 1991</w:t>
      </w:r>
      <w:r>
        <w:rPr>
          <w:lang w:eastAsia="en-AU" w:bidi="ar-SA"/>
        </w:rPr>
        <w:t xml:space="preserve">). </w:t>
      </w:r>
      <w:r>
        <w:rPr>
          <w:lang w:val="en-AU" w:bidi="ar-SA"/>
        </w:rPr>
        <w:t>Estimated intakes based on this minimum would meet the ANZ AI and</w:t>
      </w:r>
      <w:r w:rsidR="005C368C">
        <w:rPr>
          <w:lang w:val="en-AU" w:bidi="ar-SA"/>
        </w:rPr>
        <w:t xml:space="preserve"> it</w:t>
      </w:r>
      <w:r>
        <w:rPr>
          <w:lang w:val="en-AU" w:bidi="ar-SA"/>
        </w:rPr>
        <w:t xml:space="preserve"> is aligned with EU 2016</w:t>
      </w:r>
      <w:r w:rsidR="005C368C">
        <w:rPr>
          <w:lang w:val="en-AU" w:bidi="ar-SA"/>
        </w:rPr>
        <w:t>/127</w:t>
      </w:r>
      <w:r>
        <w:rPr>
          <w:lang w:val="en-AU" w:bidi="ar-SA"/>
        </w:rPr>
        <w:t xml:space="preserve"> (derived </w:t>
      </w:r>
      <w:r w:rsidRPr="00C34A49">
        <w:rPr>
          <w:lang w:val="en-AU" w:bidi="ar-SA"/>
        </w:rPr>
        <w:t>from</w:t>
      </w:r>
      <w:r>
        <w:rPr>
          <w:lang w:val="en-AU" w:bidi="ar-SA"/>
        </w:rPr>
        <w:t xml:space="preserve"> </w:t>
      </w:r>
      <w:r w:rsidRPr="00C34A49">
        <w:rPr>
          <w:lang w:val="en-AU" w:bidi="ar-SA"/>
        </w:rPr>
        <w:t>an observed mean content in human milk of 0.13 mg</w:t>
      </w:r>
      <w:r>
        <w:rPr>
          <w:lang w:val="en-AU" w:bidi="ar-SA"/>
        </w:rPr>
        <w:t xml:space="preserve">/L, with an intake of 0.8 L/day). </w:t>
      </w:r>
    </w:p>
    <w:p w14:paraId="11EBC033" w14:textId="77777777" w:rsidR="00776154" w:rsidRDefault="00776154" w:rsidP="00776154">
      <w:pPr>
        <w:rPr>
          <w:lang w:val="en-AU" w:bidi="ar-SA"/>
        </w:rPr>
      </w:pPr>
    </w:p>
    <w:p w14:paraId="1C392199" w14:textId="7E896B92" w:rsidR="00776154" w:rsidRDefault="00776154" w:rsidP="00776154">
      <w:pPr>
        <w:rPr>
          <w:lang w:val="en-AU" w:bidi="ar-SA"/>
        </w:rPr>
      </w:pPr>
      <w:r>
        <w:rPr>
          <w:lang w:val="en-AU" w:bidi="ar-SA"/>
        </w:rPr>
        <w:t xml:space="preserve">The </w:t>
      </w:r>
      <w:r w:rsidR="003362C9">
        <w:rPr>
          <w:lang w:val="en-AU" w:bidi="ar-SA"/>
        </w:rPr>
        <w:t>2016</w:t>
      </w:r>
      <w:r>
        <w:rPr>
          <w:lang w:val="en-AU" w:bidi="ar-SA"/>
        </w:rPr>
        <w:t xml:space="preserve"> NZTDS showed dietary iodine intake for infants was 76% of the </w:t>
      </w:r>
      <w:r w:rsidR="003362C9">
        <w:rPr>
          <w:lang w:val="en-AU" w:bidi="ar-SA"/>
        </w:rPr>
        <w:t>AI</w:t>
      </w:r>
      <w:r>
        <w:rPr>
          <w:lang w:val="en-AU" w:bidi="ar-SA"/>
        </w:rPr>
        <w:t xml:space="preserve">, of which infant formula contributed 72%. </w:t>
      </w:r>
    </w:p>
    <w:p w14:paraId="56CA9F7B" w14:textId="77777777" w:rsidR="00776154" w:rsidRDefault="00776154" w:rsidP="00776154">
      <w:pPr>
        <w:pStyle w:val="Heading5"/>
        <w:rPr>
          <w:lang w:eastAsia="en-AU"/>
        </w:rPr>
      </w:pPr>
      <w:r>
        <w:rPr>
          <w:lang w:eastAsia="en-AU"/>
        </w:rPr>
        <w:t>Maximum</w:t>
      </w:r>
    </w:p>
    <w:p w14:paraId="365514AA" w14:textId="3CB6EB87" w:rsidR="00776154" w:rsidRPr="004650E4" w:rsidRDefault="00776154" w:rsidP="00776154">
      <w:pPr>
        <w:rPr>
          <w:lang w:eastAsia="en-AU" w:bidi="ar-SA"/>
        </w:rPr>
      </w:pPr>
      <w:r>
        <w:rPr>
          <w:lang w:eastAsia="en-AU" w:bidi="ar-SA"/>
        </w:rPr>
        <w:t>The permitted range under EU 2016</w:t>
      </w:r>
      <w:r w:rsidR="003362C9">
        <w:rPr>
          <w:lang w:eastAsia="en-AU" w:bidi="ar-SA"/>
        </w:rPr>
        <w:t>/127</w:t>
      </w:r>
      <w:r>
        <w:rPr>
          <w:lang w:eastAsia="en-AU" w:bidi="ar-SA"/>
        </w:rPr>
        <w:t xml:space="preserve"> is narrower than that specified in </w:t>
      </w:r>
      <w:r w:rsidR="00E325FC">
        <w:rPr>
          <w:lang w:eastAsia="en-AU" w:bidi="ar-SA"/>
        </w:rPr>
        <w:t>section S29—9</w:t>
      </w:r>
      <w:r>
        <w:rPr>
          <w:lang w:eastAsia="en-AU" w:bidi="ar-SA"/>
        </w:rPr>
        <w:t xml:space="preserve"> and Codex STAN 72-1981 and </w:t>
      </w:r>
      <w:r w:rsidR="003362C9">
        <w:rPr>
          <w:lang w:eastAsia="en-AU" w:bidi="ar-SA"/>
        </w:rPr>
        <w:t xml:space="preserve">is the </w:t>
      </w:r>
      <w:r>
        <w:rPr>
          <w:lang w:eastAsia="en-AU" w:bidi="ar-SA"/>
        </w:rPr>
        <w:t>most consistent with human milk concentrations (</w:t>
      </w:r>
      <w:r w:rsidR="00D0635C">
        <w:rPr>
          <w:lang w:eastAsia="en-AU" w:bidi="ar-SA"/>
        </w:rPr>
        <w:t>Figure 7</w:t>
      </w:r>
      <w:r>
        <w:rPr>
          <w:lang w:eastAsia="en-AU" w:bidi="ar-SA"/>
        </w:rPr>
        <w:t>.3.</w:t>
      </w:r>
      <w:r w:rsidR="007F4A71">
        <w:rPr>
          <w:lang w:eastAsia="en-AU" w:bidi="ar-SA"/>
        </w:rPr>
        <w:t>8</w:t>
      </w:r>
      <w:r>
        <w:rPr>
          <w:lang w:eastAsia="en-AU" w:bidi="ar-SA"/>
        </w:rPr>
        <w:t xml:space="preserve">). The conclusion of the 2016 Consultation </w:t>
      </w:r>
      <w:r w:rsidR="003362C9">
        <w:rPr>
          <w:lang w:eastAsia="en-AU" w:bidi="ar-SA"/>
        </w:rPr>
        <w:t>p</w:t>
      </w:r>
      <w:r>
        <w:rPr>
          <w:lang w:eastAsia="en-AU" w:bidi="ar-SA"/>
        </w:rPr>
        <w:t xml:space="preserve">aper was that there were no safety concerns with the higher Codex maximum as there is no ANZ UL. However there was also no clear explanation for the much higher amount. The permitted range under the </w:t>
      </w:r>
      <w:r w:rsidR="00B96544">
        <w:t>Codex Draft Standard for FUF</w:t>
      </w:r>
      <w:r w:rsidR="00B96544">
        <w:rPr>
          <w:lang w:eastAsia="en-AU" w:bidi="ar-SA"/>
        </w:rPr>
        <w:t xml:space="preserve"> </w:t>
      </w:r>
      <w:r>
        <w:rPr>
          <w:lang w:eastAsia="en-AU" w:bidi="ar-SA"/>
        </w:rPr>
        <w:t>aligns with the current Codex STAN 72-1981 (2.4</w:t>
      </w:r>
      <w:r w:rsidR="003362C9">
        <w:rPr>
          <w:lang w:eastAsia="en-AU" w:bidi="ar-SA"/>
        </w:rPr>
        <w:t>–</w:t>
      </w:r>
      <w:r>
        <w:rPr>
          <w:lang w:eastAsia="en-AU" w:bidi="ar-SA"/>
        </w:rPr>
        <w:t>14</w:t>
      </w:r>
      <w:r w:rsidR="003362C9">
        <w:rPr>
          <w:lang w:eastAsia="en-AU" w:bidi="ar-SA"/>
        </w:rPr>
        <w:t>.0</w:t>
      </w:r>
      <w:r>
        <w:rPr>
          <w:lang w:eastAsia="en-AU" w:bidi="ar-SA"/>
        </w:rPr>
        <w:t xml:space="preserve"> (GUL) </w:t>
      </w:r>
      <w:r w:rsidR="003362C9" w:rsidRPr="00C75C37">
        <w:rPr>
          <w:lang w:eastAsia="en-AU" w:bidi="ar-SA"/>
        </w:rPr>
        <w:t>µ</w:t>
      </w:r>
      <w:r>
        <w:rPr>
          <w:lang w:eastAsia="en-AU" w:bidi="ar-SA"/>
        </w:rPr>
        <w:t xml:space="preserve">g/100 kJ). </w:t>
      </w:r>
    </w:p>
    <w:p w14:paraId="79069592" w14:textId="77777777" w:rsidR="00776154" w:rsidRDefault="00776154" w:rsidP="00776154">
      <w:pPr>
        <w:rPr>
          <w:lang w:val="en-AU" w:bidi="ar-SA"/>
        </w:rPr>
      </w:pPr>
    </w:p>
    <w:p w14:paraId="0CA4FDC0" w14:textId="77777777" w:rsidR="00776154" w:rsidRDefault="00776154" w:rsidP="00776154">
      <w:pPr>
        <w:rPr>
          <w:lang w:val="en-AU" w:bidi="ar-SA"/>
        </w:rPr>
      </w:pPr>
      <w:r>
        <w:rPr>
          <w:noProof/>
          <w:lang w:eastAsia="en-GB" w:bidi="ar-SA"/>
        </w:rPr>
        <w:drawing>
          <wp:inline distT="0" distB="0" distL="0" distR="0" wp14:anchorId="38CB8E99" wp14:editId="742A4777">
            <wp:extent cx="5278582" cy="21194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278582" cy="2119475"/>
                    </a:xfrm>
                    <a:prstGeom prst="rect">
                      <a:avLst/>
                    </a:prstGeom>
                    <a:noFill/>
                  </pic:spPr>
                </pic:pic>
              </a:graphicData>
            </a:graphic>
          </wp:inline>
        </w:drawing>
      </w:r>
    </w:p>
    <w:p w14:paraId="30A75E08" w14:textId="07A8C741" w:rsidR="00776154" w:rsidRPr="00452F92" w:rsidRDefault="00D0635C" w:rsidP="0011607A">
      <w:pPr>
        <w:pStyle w:val="FSCaption"/>
      </w:pPr>
      <w:r>
        <w:t>Figure 7</w:t>
      </w:r>
      <w:r w:rsidR="00776154">
        <w:t>.3.</w:t>
      </w:r>
      <w:r w:rsidR="007F4A71">
        <w:t>8</w:t>
      </w:r>
      <w:r w:rsidR="00776154" w:rsidRPr="00452F92">
        <w:tab/>
        <w:t xml:space="preserve">Comparison of the permitted ranges for </w:t>
      </w:r>
      <w:r w:rsidR="00776154">
        <w:t>iodine</w:t>
      </w:r>
      <w:r w:rsidR="00776154" w:rsidRPr="00452F92">
        <w:t xml:space="preserve"> in Standard 2.9.1, Codex STAN 72-1981 and EU 2016</w:t>
      </w:r>
      <w:r w:rsidR="003362C9">
        <w:t>/127</w:t>
      </w:r>
      <w:r w:rsidR="00776154" w:rsidRPr="00452F92">
        <w:t>, human milk concentration, and the survey of the content in products on the ANZ market.</w:t>
      </w:r>
    </w:p>
    <w:p w14:paraId="1FCF23FD" w14:textId="77777777" w:rsidR="00776154" w:rsidRDefault="00776154" w:rsidP="00776154">
      <w:pPr>
        <w:pStyle w:val="Heading4"/>
      </w:pPr>
      <w:r w:rsidRPr="00BA1FD9">
        <w:t>Prop</w:t>
      </w:r>
      <w:r>
        <w:t>o</w:t>
      </w:r>
      <w:r w:rsidRPr="00BA1FD9">
        <w:t xml:space="preserve">sed </w:t>
      </w:r>
      <w:r>
        <w:t>approach</w:t>
      </w:r>
    </w:p>
    <w:p w14:paraId="68A45489" w14:textId="3C0CEA67" w:rsidR="00776154" w:rsidRDefault="00776154" w:rsidP="00776154">
      <w:pPr>
        <w:rPr>
          <w:lang w:val="en-AU" w:bidi="ar-SA"/>
        </w:rPr>
      </w:pPr>
      <w:r>
        <w:rPr>
          <w:lang w:val="en-AU" w:bidi="ar-SA"/>
        </w:rPr>
        <w:t>To ensure infants meet their requirements for iodine, the proposed approach is to align the minimum amount with EU 2016</w:t>
      </w:r>
      <w:r w:rsidR="003362C9">
        <w:rPr>
          <w:lang w:val="en-AU" w:bidi="ar-SA"/>
        </w:rPr>
        <w:t>/127</w:t>
      </w:r>
      <w:r>
        <w:rPr>
          <w:lang w:val="en-AU" w:bidi="ar-SA"/>
        </w:rPr>
        <w:t xml:space="preserve"> (3.6 </w:t>
      </w:r>
      <w:r w:rsidR="003362C9" w:rsidRPr="00C75C37">
        <w:rPr>
          <w:lang w:val="en-AU" w:bidi="ar-SA"/>
        </w:rPr>
        <w:t>µ</w:t>
      </w:r>
      <w:r>
        <w:rPr>
          <w:lang w:val="en-AU" w:bidi="ar-SA"/>
        </w:rPr>
        <w:t>g/</w:t>
      </w:r>
      <w:r w:rsidR="00B56B4C">
        <w:rPr>
          <w:lang w:val="en-AU" w:bidi="ar-SA"/>
        </w:rPr>
        <w:t>100</w:t>
      </w:r>
      <w:r w:rsidR="003362C9">
        <w:rPr>
          <w:lang w:val="en-AU" w:bidi="ar-SA"/>
        </w:rPr>
        <w:t xml:space="preserve"> </w:t>
      </w:r>
      <w:r>
        <w:rPr>
          <w:lang w:val="en-AU" w:bidi="ar-SA"/>
        </w:rPr>
        <w:t xml:space="preserve">kJ). FSANZ proposes to retain the existing </w:t>
      </w:r>
      <w:r w:rsidR="00E325FC">
        <w:rPr>
          <w:lang w:val="en-AU" w:bidi="ar-SA"/>
        </w:rPr>
        <w:t>section S29—9</w:t>
      </w:r>
      <w:r>
        <w:rPr>
          <w:lang w:val="en-AU" w:bidi="ar-SA"/>
        </w:rPr>
        <w:t xml:space="preserve"> maximum as this amount is comparable to expert recommendations and is an amount that manufact</w:t>
      </w:r>
      <w:r w:rsidR="00D80CDD">
        <w:rPr>
          <w:lang w:val="en-AU" w:bidi="ar-SA"/>
        </w:rPr>
        <w:t>urers are able to meet already.</w:t>
      </w:r>
    </w:p>
    <w:p w14:paraId="034BEB62" w14:textId="50F845AE" w:rsidR="00776154" w:rsidRDefault="00C75C37" w:rsidP="002D0686">
      <w:pPr>
        <w:pStyle w:val="Heading3"/>
      </w:pPr>
      <w:r>
        <w:t>7</w:t>
      </w:r>
      <w:r w:rsidR="00776154">
        <w:t>.3.</w:t>
      </w:r>
      <w:r w:rsidR="002D0686">
        <w:t>9</w:t>
      </w:r>
      <w:r w:rsidR="00776154">
        <w:tab/>
        <w:t>Zinc and Zn:Cu ratio</w:t>
      </w:r>
    </w:p>
    <w:p w14:paraId="1291B964" w14:textId="77777777" w:rsidR="00776154" w:rsidRDefault="00776154" w:rsidP="00776154">
      <w:pPr>
        <w:pStyle w:val="Heading4"/>
      </w:pPr>
      <w:r w:rsidRPr="00BA1FD9">
        <w:t>Current regulations</w:t>
      </w:r>
    </w:p>
    <w:p w14:paraId="7DFFC6C3" w14:textId="3030BB92" w:rsidR="00776154" w:rsidRDefault="00776154" w:rsidP="00776154">
      <w:pPr>
        <w:rPr>
          <w:lang w:bidi="ar-SA"/>
        </w:rPr>
      </w:pPr>
      <w:r>
        <w:rPr>
          <w:lang w:bidi="ar-SA"/>
        </w:rPr>
        <w:t xml:space="preserve">Standard 2.9.1, </w:t>
      </w:r>
      <w:r w:rsidRPr="000905CE">
        <w:rPr>
          <w:lang w:bidi="ar-SA"/>
        </w:rPr>
        <w:t xml:space="preserve">Codex STAN 72-1981 </w:t>
      </w:r>
      <w:r>
        <w:rPr>
          <w:lang w:bidi="ar-SA"/>
        </w:rPr>
        <w:t xml:space="preserve">and </w:t>
      </w:r>
      <w:r w:rsidR="003362C9">
        <w:rPr>
          <w:lang w:bidi="ar-SA"/>
        </w:rPr>
        <w:t xml:space="preserve">EU </w:t>
      </w:r>
      <w:r>
        <w:rPr>
          <w:lang w:bidi="ar-SA"/>
        </w:rPr>
        <w:t>2016</w:t>
      </w:r>
      <w:r w:rsidR="003362C9">
        <w:rPr>
          <w:lang w:bidi="ar-SA"/>
        </w:rPr>
        <w:t>/127</w:t>
      </w:r>
      <w:r>
        <w:rPr>
          <w:lang w:bidi="ar-SA"/>
        </w:rPr>
        <w:t xml:space="preserve"> </w:t>
      </w:r>
      <w:r w:rsidRPr="000905CE">
        <w:rPr>
          <w:lang w:bidi="ar-SA"/>
        </w:rPr>
        <w:t>are aligned for the minimum amount of zinc</w:t>
      </w:r>
      <w:r>
        <w:rPr>
          <w:lang w:bidi="ar-SA"/>
        </w:rPr>
        <w:t xml:space="preserve">. Standard 2.9.1 has a higher maximum amount than the GUL in Codex STAN 72-1981 and the maximum in </w:t>
      </w:r>
      <w:r w:rsidR="003362C9">
        <w:rPr>
          <w:lang w:bidi="ar-SA"/>
        </w:rPr>
        <w:t>EU 2016/127</w:t>
      </w:r>
      <w:r>
        <w:rPr>
          <w:lang w:bidi="ar-SA"/>
        </w:rPr>
        <w:t>.</w:t>
      </w:r>
      <w:r w:rsidR="00F1262C">
        <w:rPr>
          <w:lang w:bidi="ar-SA"/>
        </w:rPr>
        <w:t xml:space="preserve"> </w:t>
      </w:r>
      <w:r w:rsidRPr="000905CE">
        <w:rPr>
          <w:lang w:bidi="ar-SA"/>
        </w:rPr>
        <w:t xml:space="preserve">Standard 2.9.1 also prescribes a </w:t>
      </w:r>
      <w:r w:rsidR="003362C9">
        <w:rPr>
          <w:lang w:bidi="ar-SA"/>
        </w:rPr>
        <w:t xml:space="preserve">maximum </w:t>
      </w:r>
      <w:r w:rsidRPr="000905CE">
        <w:rPr>
          <w:lang w:bidi="ar-SA"/>
        </w:rPr>
        <w:t xml:space="preserve">ratio of zinc to copper (Zn:Cu) of 15:1, whereas Codex STAN 72-1981 </w:t>
      </w:r>
      <w:r>
        <w:rPr>
          <w:lang w:bidi="ar-SA"/>
        </w:rPr>
        <w:t xml:space="preserve">and </w:t>
      </w:r>
      <w:r w:rsidR="003362C9">
        <w:rPr>
          <w:lang w:bidi="ar-SA"/>
        </w:rPr>
        <w:t xml:space="preserve">EU 2016/127 </w:t>
      </w:r>
      <w:r>
        <w:rPr>
          <w:lang w:bidi="ar-SA"/>
        </w:rPr>
        <w:t>do</w:t>
      </w:r>
      <w:r w:rsidRPr="000905CE">
        <w:rPr>
          <w:lang w:bidi="ar-SA"/>
        </w:rPr>
        <w:t xml:space="preserve"> not specify a ratio</w:t>
      </w:r>
      <w:r w:rsidR="00F1262C">
        <w:rPr>
          <w:lang w:bidi="ar-SA"/>
        </w:rPr>
        <w:t xml:space="preserve"> (Table 7.10)</w:t>
      </w:r>
      <w:r w:rsidRPr="000905CE">
        <w:rPr>
          <w:lang w:bidi="ar-SA"/>
        </w:rPr>
        <w:t>.</w:t>
      </w:r>
      <w:r>
        <w:rPr>
          <w:lang w:bidi="ar-SA"/>
        </w:rPr>
        <w:t xml:space="preserve"> </w:t>
      </w:r>
    </w:p>
    <w:p w14:paraId="0C2D52DE" w14:textId="77777777" w:rsidR="00840CE5" w:rsidRPr="00E054B6" w:rsidRDefault="00840CE5" w:rsidP="00776154">
      <w:pPr>
        <w:rPr>
          <w:lang w:bidi="ar-SA"/>
        </w:rPr>
      </w:pPr>
    </w:p>
    <w:p w14:paraId="587932A8" w14:textId="3B3327D0" w:rsidR="00776154" w:rsidRPr="00C75C37" w:rsidRDefault="00C75C37" w:rsidP="00FA28CD">
      <w:pPr>
        <w:pStyle w:val="FSTitle"/>
      </w:pPr>
      <w:bookmarkStart w:id="388" w:name="_Toc74061251"/>
      <w:r>
        <w:lastRenderedPageBreak/>
        <w:t>Table 7</w:t>
      </w:r>
      <w:r w:rsidR="00F1262C">
        <w:t>.10</w:t>
      </w:r>
      <w:r w:rsidR="00F1262C">
        <w:tab/>
      </w:r>
      <w:r w:rsidR="00776154" w:rsidRPr="00C75C37">
        <w:t>Permitted range for zinc</w:t>
      </w:r>
      <w:bookmarkEnd w:id="388"/>
      <w:r w:rsidR="00776154" w:rsidRPr="00C75C37">
        <w:t xml:space="preserve"> </w:t>
      </w:r>
    </w:p>
    <w:tbl>
      <w:tblPr>
        <w:tblStyle w:val="MediumShading1-Accent3"/>
        <w:tblW w:w="9077"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7.3.3.4 Permitted range for zinc (mg/100 kJ) "/>
        <w:tblDescription w:val="This table summarises the permitted range for zinc in Standard 2.9.1, Codex STAN 72-1981 and EU 2016/127."/>
      </w:tblPr>
      <w:tblGrid>
        <w:gridCol w:w="1384"/>
        <w:gridCol w:w="863"/>
        <w:gridCol w:w="870"/>
        <w:gridCol w:w="1075"/>
        <w:gridCol w:w="1077"/>
        <w:gridCol w:w="928"/>
        <w:gridCol w:w="928"/>
        <w:gridCol w:w="1952"/>
      </w:tblGrid>
      <w:tr w:rsidR="00D80CDD" w:rsidRPr="00052C45" w14:paraId="3013F9D9" w14:textId="77777777" w:rsidTr="00204D4F">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762" w:type="pct"/>
            <w:vMerge w:val="restart"/>
            <w:tcBorders>
              <w:top w:val="none" w:sz="0" w:space="0" w:color="auto"/>
              <w:left w:val="none" w:sz="0" w:space="0" w:color="auto"/>
              <w:bottom w:val="none" w:sz="0" w:space="0" w:color="auto"/>
              <w:right w:val="none" w:sz="0" w:space="0" w:color="auto"/>
            </w:tcBorders>
            <w:shd w:val="clear" w:color="auto" w:fill="E5DFEC" w:themeFill="accent4" w:themeFillTint="33"/>
            <w:vAlign w:val="center"/>
          </w:tcPr>
          <w:p w14:paraId="3C992EC6" w14:textId="1C42647D" w:rsidR="00D80CDD" w:rsidRPr="00840CE5" w:rsidRDefault="00D80CDD" w:rsidP="008915F4">
            <w:pPr>
              <w:jc w:val="center"/>
              <w:rPr>
                <w:rFonts w:cs="Arial"/>
                <w:color w:val="auto"/>
                <w:szCs w:val="20"/>
              </w:rPr>
            </w:pPr>
            <w:r>
              <w:rPr>
                <w:rFonts w:cs="Arial"/>
                <w:color w:val="auto"/>
                <w:szCs w:val="20"/>
              </w:rPr>
              <w:t xml:space="preserve">Micronutrient </w:t>
            </w:r>
          </w:p>
        </w:tc>
        <w:tc>
          <w:tcPr>
            <w:tcW w:w="955" w:type="pct"/>
            <w:gridSpan w:val="2"/>
            <w:tcBorders>
              <w:top w:val="none" w:sz="0" w:space="0" w:color="auto"/>
              <w:left w:val="none" w:sz="0" w:space="0" w:color="auto"/>
              <w:bottom w:val="none" w:sz="0" w:space="0" w:color="auto"/>
              <w:right w:val="none" w:sz="0" w:space="0" w:color="auto"/>
            </w:tcBorders>
            <w:shd w:val="clear" w:color="auto" w:fill="EAF1DD" w:themeFill="accent3" w:themeFillTint="33"/>
            <w:vAlign w:val="center"/>
          </w:tcPr>
          <w:p w14:paraId="44DDFA06" w14:textId="38B69DB1" w:rsidR="00D80CDD" w:rsidRPr="00840CE5" w:rsidRDefault="0077322E" w:rsidP="008915F4">
            <w:pPr>
              <w:jc w:val="center"/>
              <w:cnfStyle w:val="100000000000" w:firstRow="1" w:lastRow="0" w:firstColumn="0" w:lastColumn="0" w:oddVBand="0" w:evenVBand="0" w:oddHBand="0" w:evenHBand="0" w:firstRowFirstColumn="0" w:firstRowLastColumn="0" w:lastRowFirstColumn="0" w:lastRowLastColumn="0"/>
              <w:rPr>
                <w:color w:val="auto"/>
              </w:rPr>
            </w:pPr>
            <w:r>
              <w:rPr>
                <w:color w:val="auto"/>
              </w:rPr>
              <w:t>Standard 2.9.1 (</w:t>
            </w:r>
            <w:r w:rsidR="00790B79">
              <w:rPr>
                <w:color w:val="auto"/>
              </w:rPr>
              <w:t>Section 29—9</w:t>
            </w:r>
            <w:r>
              <w:rPr>
                <w:color w:val="auto"/>
              </w:rPr>
              <w:t>)</w:t>
            </w:r>
          </w:p>
        </w:tc>
        <w:tc>
          <w:tcPr>
            <w:tcW w:w="1185" w:type="pct"/>
            <w:gridSpan w:val="2"/>
            <w:tcBorders>
              <w:top w:val="none" w:sz="0" w:space="0" w:color="auto"/>
              <w:left w:val="none" w:sz="0" w:space="0" w:color="auto"/>
              <w:bottom w:val="none" w:sz="0" w:space="0" w:color="auto"/>
              <w:right w:val="none" w:sz="0" w:space="0" w:color="auto"/>
            </w:tcBorders>
            <w:shd w:val="clear" w:color="auto" w:fill="DAEEF3" w:themeFill="accent5" w:themeFillTint="33"/>
            <w:vAlign w:val="center"/>
          </w:tcPr>
          <w:p w14:paraId="12CDA248" w14:textId="5C2D42FA" w:rsidR="00D80CDD" w:rsidRPr="00840CE5" w:rsidRDefault="00D80CDD" w:rsidP="008915F4">
            <w:pPr>
              <w:jc w:val="center"/>
              <w:cnfStyle w:val="100000000000" w:firstRow="1" w:lastRow="0" w:firstColumn="0" w:lastColumn="0" w:oddVBand="0" w:evenVBand="0" w:oddHBand="0" w:evenHBand="0" w:firstRowFirstColumn="0" w:firstRowLastColumn="0" w:lastRowFirstColumn="0" w:lastRowLastColumn="0"/>
              <w:rPr>
                <w:color w:val="auto"/>
              </w:rPr>
            </w:pPr>
            <w:r w:rsidRPr="00840CE5">
              <w:rPr>
                <w:color w:val="auto"/>
              </w:rPr>
              <w:t>Codex STAN 72-1981</w:t>
            </w:r>
          </w:p>
        </w:tc>
        <w:tc>
          <w:tcPr>
            <w:tcW w:w="1022" w:type="pct"/>
            <w:gridSpan w:val="2"/>
            <w:tcBorders>
              <w:top w:val="none" w:sz="0" w:space="0" w:color="auto"/>
              <w:left w:val="none" w:sz="0" w:space="0" w:color="auto"/>
              <w:bottom w:val="none" w:sz="0" w:space="0" w:color="auto"/>
              <w:right w:val="none" w:sz="0" w:space="0" w:color="auto"/>
            </w:tcBorders>
            <w:shd w:val="clear" w:color="auto" w:fill="DDD9C3" w:themeFill="background2" w:themeFillShade="E6"/>
            <w:vAlign w:val="center"/>
          </w:tcPr>
          <w:p w14:paraId="75D75F6C" w14:textId="5536B9B4" w:rsidR="00D80CDD" w:rsidRPr="00840CE5" w:rsidRDefault="00D80CDD" w:rsidP="008915F4">
            <w:pPr>
              <w:jc w:val="center"/>
              <w:cnfStyle w:val="100000000000" w:firstRow="1" w:lastRow="0" w:firstColumn="0" w:lastColumn="0" w:oddVBand="0" w:evenVBand="0" w:oddHBand="0" w:evenHBand="0" w:firstRowFirstColumn="0" w:firstRowLastColumn="0" w:lastRowFirstColumn="0" w:lastRowLastColumn="0"/>
              <w:rPr>
                <w:color w:val="auto"/>
              </w:rPr>
            </w:pPr>
            <w:r w:rsidRPr="00840CE5">
              <w:rPr>
                <w:color w:val="auto"/>
              </w:rPr>
              <w:t>EU 2016/127</w:t>
            </w:r>
          </w:p>
        </w:tc>
        <w:tc>
          <w:tcPr>
            <w:tcW w:w="1075" w:type="pct"/>
            <w:vMerge w:val="restart"/>
            <w:tcBorders>
              <w:top w:val="none" w:sz="0" w:space="0" w:color="auto"/>
              <w:left w:val="none" w:sz="0" w:space="0" w:color="auto"/>
              <w:bottom w:val="none" w:sz="0" w:space="0" w:color="auto"/>
              <w:right w:val="none" w:sz="0" w:space="0" w:color="auto"/>
            </w:tcBorders>
            <w:shd w:val="clear" w:color="auto" w:fill="FDE9D9" w:themeFill="accent6" w:themeFillTint="33"/>
            <w:vAlign w:val="center"/>
          </w:tcPr>
          <w:p w14:paraId="6274A612" w14:textId="4C8AC521" w:rsidR="00D80CDD" w:rsidRPr="00840CE5" w:rsidRDefault="00D80CDD" w:rsidP="008915F4">
            <w:pPr>
              <w:jc w:val="center"/>
              <w:cnfStyle w:val="100000000000" w:firstRow="1" w:lastRow="0" w:firstColumn="0" w:lastColumn="0" w:oddVBand="0" w:evenVBand="0" w:oddHBand="0" w:evenHBand="0" w:firstRowFirstColumn="0" w:firstRowLastColumn="0" w:lastRowFirstColumn="0" w:lastRowLastColumn="0"/>
              <w:rPr>
                <w:strike/>
                <w:color w:val="auto"/>
              </w:rPr>
            </w:pPr>
            <w:r w:rsidRPr="00840CE5">
              <w:rPr>
                <w:rFonts w:cs="Arial"/>
                <w:bCs w:val="0"/>
                <w:color w:val="auto"/>
                <w:szCs w:val="20"/>
              </w:rPr>
              <w:t>Content in products on the market</w:t>
            </w:r>
          </w:p>
        </w:tc>
      </w:tr>
      <w:tr w:rsidR="00D80CDD" w:rsidRPr="00052C45" w14:paraId="3DE7F634" w14:textId="77777777" w:rsidTr="00204D4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762" w:type="pct"/>
            <w:vMerge/>
            <w:tcBorders>
              <w:right w:val="none" w:sz="0" w:space="0" w:color="auto"/>
            </w:tcBorders>
            <w:shd w:val="clear" w:color="auto" w:fill="E5DFEC" w:themeFill="accent4" w:themeFillTint="33"/>
            <w:vAlign w:val="center"/>
          </w:tcPr>
          <w:p w14:paraId="0964D699" w14:textId="77777777" w:rsidR="00D80CDD" w:rsidRPr="00840CE5" w:rsidRDefault="00D80CDD" w:rsidP="00776154">
            <w:pPr>
              <w:spacing w:beforeLines="40" w:before="96" w:afterLines="40" w:after="96"/>
              <w:jc w:val="center"/>
              <w:rPr>
                <w:rFonts w:cs="Arial"/>
                <w:b w:val="0"/>
                <w:bCs w:val="0"/>
                <w:szCs w:val="20"/>
              </w:rPr>
            </w:pPr>
          </w:p>
        </w:tc>
        <w:tc>
          <w:tcPr>
            <w:tcW w:w="476" w:type="pct"/>
            <w:tcBorders>
              <w:left w:val="none" w:sz="0" w:space="0" w:color="auto"/>
              <w:right w:val="none" w:sz="0" w:space="0" w:color="auto"/>
            </w:tcBorders>
            <w:shd w:val="clear" w:color="auto" w:fill="EAF1DD" w:themeFill="accent3" w:themeFillTint="33"/>
            <w:vAlign w:val="center"/>
          </w:tcPr>
          <w:p w14:paraId="3C52DCA8" w14:textId="77777777" w:rsidR="00D80CDD" w:rsidRPr="00840CE5" w:rsidRDefault="00D80CDD" w:rsidP="00776154">
            <w:pPr>
              <w:jc w:val="center"/>
              <w:cnfStyle w:val="000000100000" w:firstRow="0" w:lastRow="0" w:firstColumn="0" w:lastColumn="0" w:oddVBand="0" w:evenVBand="0" w:oddHBand="1" w:evenHBand="0" w:firstRowFirstColumn="0" w:firstRowLastColumn="0" w:lastRowFirstColumn="0" w:lastRowLastColumn="0"/>
              <w:rPr>
                <w:rFonts w:cs="Arial"/>
                <w:b/>
                <w:szCs w:val="20"/>
              </w:rPr>
            </w:pPr>
            <w:r w:rsidRPr="00840CE5">
              <w:rPr>
                <w:rFonts w:cs="Arial"/>
                <w:b/>
                <w:szCs w:val="20"/>
              </w:rPr>
              <w:t>Min</w:t>
            </w:r>
          </w:p>
        </w:tc>
        <w:tc>
          <w:tcPr>
            <w:tcW w:w="479" w:type="pct"/>
            <w:tcBorders>
              <w:left w:val="none" w:sz="0" w:space="0" w:color="auto"/>
              <w:right w:val="none" w:sz="0" w:space="0" w:color="auto"/>
            </w:tcBorders>
            <w:shd w:val="clear" w:color="auto" w:fill="EAF1DD" w:themeFill="accent3" w:themeFillTint="33"/>
            <w:vAlign w:val="center"/>
          </w:tcPr>
          <w:p w14:paraId="51E7F5DE" w14:textId="77777777" w:rsidR="00D80CDD" w:rsidRPr="00840CE5" w:rsidRDefault="00D80CDD" w:rsidP="00776154">
            <w:pPr>
              <w:jc w:val="center"/>
              <w:cnfStyle w:val="000000100000" w:firstRow="0" w:lastRow="0" w:firstColumn="0" w:lastColumn="0" w:oddVBand="0" w:evenVBand="0" w:oddHBand="1" w:evenHBand="0" w:firstRowFirstColumn="0" w:firstRowLastColumn="0" w:lastRowFirstColumn="0" w:lastRowLastColumn="0"/>
              <w:rPr>
                <w:rFonts w:cs="Arial"/>
                <w:b/>
                <w:szCs w:val="20"/>
              </w:rPr>
            </w:pPr>
            <w:r w:rsidRPr="00840CE5">
              <w:rPr>
                <w:rFonts w:cs="Arial"/>
                <w:b/>
                <w:szCs w:val="20"/>
              </w:rPr>
              <w:t>Max</w:t>
            </w:r>
          </w:p>
        </w:tc>
        <w:tc>
          <w:tcPr>
            <w:tcW w:w="592" w:type="pct"/>
            <w:tcBorders>
              <w:left w:val="none" w:sz="0" w:space="0" w:color="auto"/>
              <w:right w:val="none" w:sz="0" w:space="0" w:color="auto"/>
            </w:tcBorders>
            <w:shd w:val="clear" w:color="auto" w:fill="DAEEF3" w:themeFill="accent5" w:themeFillTint="33"/>
            <w:vAlign w:val="center"/>
          </w:tcPr>
          <w:p w14:paraId="4AD02183" w14:textId="77777777" w:rsidR="00D80CDD" w:rsidRPr="00840CE5" w:rsidRDefault="00D80CDD" w:rsidP="00776154">
            <w:pPr>
              <w:jc w:val="center"/>
              <w:cnfStyle w:val="000000100000" w:firstRow="0" w:lastRow="0" w:firstColumn="0" w:lastColumn="0" w:oddVBand="0" w:evenVBand="0" w:oddHBand="1" w:evenHBand="0" w:firstRowFirstColumn="0" w:firstRowLastColumn="0" w:lastRowFirstColumn="0" w:lastRowLastColumn="0"/>
              <w:rPr>
                <w:rFonts w:cs="Arial"/>
                <w:b/>
                <w:szCs w:val="20"/>
              </w:rPr>
            </w:pPr>
            <w:r w:rsidRPr="00840CE5">
              <w:rPr>
                <w:rFonts w:cs="Arial"/>
                <w:b/>
                <w:szCs w:val="20"/>
              </w:rPr>
              <w:t>Min</w:t>
            </w:r>
          </w:p>
        </w:tc>
        <w:tc>
          <w:tcPr>
            <w:tcW w:w="593" w:type="pct"/>
            <w:tcBorders>
              <w:left w:val="none" w:sz="0" w:space="0" w:color="auto"/>
              <w:right w:val="none" w:sz="0" w:space="0" w:color="auto"/>
            </w:tcBorders>
            <w:shd w:val="clear" w:color="auto" w:fill="DAEEF3" w:themeFill="accent5" w:themeFillTint="33"/>
            <w:vAlign w:val="center"/>
          </w:tcPr>
          <w:p w14:paraId="2DA26C97" w14:textId="77777777" w:rsidR="00D80CDD" w:rsidRPr="00840CE5" w:rsidRDefault="00D80CDD" w:rsidP="00776154">
            <w:pPr>
              <w:jc w:val="center"/>
              <w:cnfStyle w:val="000000100000" w:firstRow="0" w:lastRow="0" w:firstColumn="0" w:lastColumn="0" w:oddVBand="0" w:evenVBand="0" w:oddHBand="1" w:evenHBand="0" w:firstRowFirstColumn="0" w:firstRowLastColumn="0" w:lastRowFirstColumn="0" w:lastRowLastColumn="0"/>
              <w:rPr>
                <w:rFonts w:cs="Arial"/>
                <w:b/>
                <w:szCs w:val="20"/>
              </w:rPr>
            </w:pPr>
            <w:r w:rsidRPr="00840CE5">
              <w:rPr>
                <w:rFonts w:cs="Arial"/>
                <w:b/>
                <w:szCs w:val="20"/>
              </w:rPr>
              <w:t>Max</w:t>
            </w:r>
          </w:p>
        </w:tc>
        <w:tc>
          <w:tcPr>
            <w:tcW w:w="511" w:type="pct"/>
            <w:tcBorders>
              <w:left w:val="none" w:sz="0" w:space="0" w:color="auto"/>
              <w:right w:val="none" w:sz="0" w:space="0" w:color="auto"/>
            </w:tcBorders>
            <w:shd w:val="clear" w:color="auto" w:fill="DDD9C3" w:themeFill="background2" w:themeFillShade="E6"/>
            <w:vAlign w:val="center"/>
          </w:tcPr>
          <w:p w14:paraId="4B2CBA11" w14:textId="77777777" w:rsidR="00D80CDD" w:rsidRPr="008915F4" w:rsidRDefault="00D80CDD" w:rsidP="008915F4">
            <w:pPr>
              <w:jc w:val="center"/>
              <w:cnfStyle w:val="000000100000" w:firstRow="0" w:lastRow="0" w:firstColumn="0" w:lastColumn="0" w:oddVBand="0" w:evenVBand="0" w:oddHBand="1" w:evenHBand="0" w:firstRowFirstColumn="0" w:firstRowLastColumn="0" w:lastRowFirstColumn="0" w:lastRowLastColumn="0"/>
              <w:rPr>
                <w:rFonts w:cs="Arial"/>
                <w:b/>
                <w:szCs w:val="20"/>
              </w:rPr>
            </w:pPr>
            <w:r w:rsidRPr="00840CE5">
              <w:rPr>
                <w:rFonts w:cs="Arial"/>
                <w:b/>
                <w:szCs w:val="20"/>
              </w:rPr>
              <w:t>Min</w:t>
            </w:r>
          </w:p>
        </w:tc>
        <w:tc>
          <w:tcPr>
            <w:tcW w:w="511" w:type="pct"/>
            <w:tcBorders>
              <w:left w:val="none" w:sz="0" w:space="0" w:color="auto"/>
              <w:right w:val="none" w:sz="0" w:space="0" w:color="auto"/>
            </w:tcBorders>
            <w:shd w:val="clear" w:color="auto" w:fill="DDD9C3" w:themeFill="background2" w:themeFillShade="E6"/>
            <w:vAlign w:val="center"/>
          </w:tcPr>
          <w:p w14:paraId="0DEAF685" w14:textId="77777777" w:rsidR="00D80CDD" w:rsidRPr="008915F4" w:rsidRDefault="00D80CDD" w:rsidP="008915F4">
            <w:pPr>
              <w:jc w:val="center"/>
              <w:cnfStyle w:val="000000100000" w:firstRow="0" w:lastRow="0" w:firstColumn="0" w:lastColumn="0" w:oddVBand="0" w:evenVBand="0" w:oddHBand="1" w:evenHBand="0" w:firstRowFirstColumn="0" w:firstRowLastColumn="0" w:lastRowFirstColumn="0" w:lastRowLastColumn="0"/>
              <w:rPr>
                <w:rFonts w:cs="Arial"/>
                <w:b/>
                <w:szCs w:val="20"/>
              </w:rPr>
            </w:pPr>
            <w:r w:rsidRPr="00840CE5">
              <w:rPr>
                <w:rFonts w:cs="Arial"/>
                <w:b/>
                <w:szCs w:val="20"/>
              </w:rPr>
              <w:t>Max</w:t>
            </w:r>
          </w:p>
        </w:tc>
        <w:tc>
          <w:tcPr>
            <w:tcW w:w="1075" w:type="pct"/>
            <w:vMerge/>
            <w:tcBorders>
              <w:left w:val="none" w:sz="0" w:space="0" w:color="auto"/>
            </w:tcBorders>
            <w:shd w:val="clear" w:color="auto" w:fill="FDE9D9" w:themeFill="accent6" w:themeFillTint="33"/>
            <w:vAlign w:val="center"/>
          </w:tcPr>
          <w:p w14:paraId="0A0005B7" w14:textId="77777777" w:rsidR="00D80CDD" w:rsidRPr="00052C45" w:rsidRDefault="00D80CDD" w:rsidP="00776154">
            <w:pPr>
              <w:spacing w:beforeLines="40" w:before="96" w:afterLines="40" w:after="96"/>
              <w:jc w:val="center"/>
              <w:cnfStyle w:val="000000100000" w:firstRow="0" w:lastRow="0" w:firstColumn="0" w:lastColumn="0" w:oddVBand="0" w:evenVBand="0" w:oddHBand="1" w:evenHBand="0" w:firstRowFirstColumn="0" w:firstRowLastColumn="0" w:lastRowFirstColumn="0" w:lastRowLastColumn="0"/>
              <w:rPr>
                <w:rFonts w:cs="Arial"/>
                <w:strike/>
                <w:szCs w:val="20"/>
              </w:rPr>
            </w:pPr>
          </w:p>
        </w:tc>
      </w:tr>
      <w:tr w:rsidR="00D80CDD" w:rsidRPr="00052C45" w14:paraId="570004C1" w14:textId="77777777" w:rsidTr="00204D4F">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762" w:type="pct"/>
            <w:vMerge w:val="restart"/>
            <w:tcBorders>
              <w:right w:val="none" w:sz="0" w:space="0" w:color="auto"/>
            </w:tcBorders>
            <w:vAlign w:val="center"/>
          </w:tcPr>
          <w:p w14:paraId="0F43EFCB" w14:textId="77777777" w:rsidR="00D80CDD" w:rsidRPr="008915F4" w:rsidRDefault="00D80CDD" w:rsidP="008915F4">
            <w:pPr>
              <w:jc w:val="center"/>
              <w:rPr>
                <w:szCs w:val="20"/>
              </w:rPr>
            </w:pPr>
            <w:r w:rsidRPr="008915F4">
              <w:rPr>
                <w:szCs w:val="20"/>
              </w:rPr>
              <w:t>Zinc</w:t>
            </w:r>
          </w:p>
          <w:p w14:paraId="06DCEFA0" w14:textId="78ED6261" w:rsidR="00D80CDD" w:rsidRPr="00052C45" w:rsidRDefault="00D80CDD" w:rsidP="008915F4">
            <w:pPr>
              <w:jc w:val="center"/>
              <w:rPr>
                <w:rFonts w:cs="Arial"/>
                <w:b w:val="0"/>
                <w:bCs w:val="0"/>
                <w:szCs w:val="20"/>
              </w:rPr>
            </w:pPr>
            <w:r>
              <w:rPr>
                <w:b w:val="0"/>
                <w:szCs w:val="20"/>
              </w:rPr>
              <w:t>(</w:t>
            </w:r>
            <w:r w:rsidRPr="00052C45">
              <w:rPr>
                <w:szCs w:val="20"/>
              </w:rPr>
              <w:t>mg/100 kJ</w:t>
            </w:r>
            <w:r>
              <w:rPr>
                <w:szCs w:val="20"/>
              </w:rPr>
              <w:t>)</w:t>
            </w:r>
          </w:p>
        </w:tc>
        <w:tc>
          <w:tcPr>
            <w:tcW w:w="476" w:type="pct"/>
            <w:vMerge w:val="restart"/>
            <w:tcBorders>
              <w:left w:val="none" w:sz="0" w:space="0" w:color="auto"/>
              <w:right w:val="none" w:sz="0" w:space="0" w:color="auto"/>
            </w:tcBorders>
            <w:vAlign w:val="center"/>
          </w:tcPr>
          <w:p w14:paraId="3CC14694" w14:textId="77777777" w:rsidR="00D80CDD" w:rsidRPr="00052C45" w:rsidRDefault="00D80CDD" w:rsidP="008915F4">
            <w:pPr>
              <w:jc w:val="center"/>
              <w:cnfStyle w:val="000000010000" w:firstRow="0" w:lastRow="0" w:firstColumn="0" w:lastColumn="0" w:oddVBand="0" w:evenVBand="0" w:oddHBand="0" w:evenHBand="1" w:firstRowFirstColumn="0" w:firstRowLastColumn="0" w:lastRowFirstColumn="0" w:lastRowLastColumn="0"/>
              <w:rPr>
                <w:rFonts w:cs="Arial"/>
                <w:szCs w:val="20"/>
              </w:rPr>
            </w:pPr>
            <w:r w:rsidRPr="00052C45">
              <w:rPr>
                <w:szCs w:val="20"/>
              </w:rPr>
              <w:t>0.12</w:t>
            </w:r>
          </w:p>
        </w:tc>
        <w:tc>
          <w:tcPr>
            <w:tcW w:w="479" w:type="pct"/>
            <w:vMerge w:val="restart"/>
            <w:tcBorders>
              <w:left w:val="none" w:sz="0" w:space="0" w:color="auto"/>
              <w:right w:val="none" w:sz="0" w:space="0" w:color="auto"/>
            </w:tcBorders>
            <w:vAlign w:val="center"/>
          </w:tcPr>
          <w:p w14:paraId="5DBD7D8C" w14:textId="77777777" w:rsidR="00D80CDD" w:rsidRPr="00052C45" w:rsidRDefault="00D80CDD" w:rsidP="008915F4">
            <w:pPr>
              <w:jc w:val="center"/>
              <w:cnfStyle w:val="000000010000" w:firstRow="0" w:lastRow="0" w:firstColumn="0" w:lastColumn="0" w:oddVBand="0" w:evenVBand="0" w:oddHBand="0" w:evenHBand="1" w:firstRowFirstColumn="0" w:firstRowLastColumn="0" w:lastRowFirstColumn="0" w:lastRowLastColumn="0"/>
              <w:rPr>
                <w:rFonts w:cs="Arial"/>
                <w:szCs w:val="20"/>
              </w:rPr>
            </w:pPr>
            <w:r w:rsidRPr="00052C45">
              <w:rPr>
                <w:szCs w:val="20"/>
              </w:rPr>
              <w:t>0.43</w:t>
            </w:r>
          </w:p>
        </w:tc>
        <w:tc>
          <w:tcPr>
            <w:tcW w:w="592" w:type="pct"/>
            <w:vMerge w:val="restart"/>
            <w:tcBorders>
              <w:left w:val="none" w:sz="0" w:space="0" w:color="auto"/>
              <w:right w:val="none" w:sz="0" w:space="0" w:color="auto"/>
            </w:tcBorders>
            <w:vAlign w:val="center"/>
          </w:tcPr>
          <w:p w14:paraId="49863F46" w14:textId="77777777" w:rsidR="00D80CDD" w:rsidRPr="00052C45" w:rsidRDefault="00D80CDD" w:rsidP="008915F4">
            <w:pPr>
              <w:jc w:val="center"/>
              <w:cnfStyle w:val="000000010000" w:firstRow="0" w:lastRow="0" w:firstColumn="0" w:lastColumn="0" w:oddVBand="0" w:evenVBand="0" w:oddHBand="0" w:evenHBand="1" w:firstRowFirstColumn="0" w:firstRowLastColumn="0" w:lastRowFirstColumn="0" w:lastRowLastColumn="0"/>
              <w:rPr>
                <w:rFonts w:cs="Arial"/>
                <w:szCs w:val="20"/>
              </w:rPr>
            </w:pPr>
            <w:r w:rsidRPr="00052C45">
              <w:rPr>
                <w:szCs w:val="20"/>
              </w:rPr>
              <w:t>0.12</w:t>
            </w:r>
          </w:p>
        </w:tc>
        <w:tc>
          <w:tcPr>
            <w:tcW w:w="593" w:type="pct"/>
            <w:vMerge w:val="restart"/>
            <w:tcBorders>
              <w:left w:val="none" w:sz="0" w:space="0" w:color="auto"/>
              <w:right w:val="none" w:sz="0" w:space="0" w:color="auto"/>
            </w:tcBorders>
            <w:vAlign w:val="center"/>
          </w:tcPr>
          <w:p w14:paraId="3E362AFC" w14:textId="77777777" w:rsidR="00D80CDD" w:rsidRPr="00052C45" w:rsidRDefault="00D80CDD" w:rsidP="008915F4">
            <w:pPr>
              <w:jc w:val="center"/>
              <w:cnfStyle w:val="000000010000" w:firstRow="0" w:lastRow="0" w:firstColumn="0" w:lastColumn="0" w:oddVBand="0" w:evenVBand="0" w:oddHBand="0" w:evenHBand="1" w:firstRowFirstColumn="0" w:firstRowLastColumn="0" w:lastRowFirstColumn="0" w:lastRowLastColumn="0"/>
              <w:rPr>
                <w:rFonts w:cs="Arial"/>
                <w:szCs w:val="20"/>
              </w:rPr>
            </w:pPr>
            <w:r w:rsidRPr="00052C45">
              <w:rPr>
                <w:szCs w:val="20"/>
              </w:rPr>
              <w:t>0.36 (GUL)</w:t>
            </w:r>
          </w:p>
        </w:tc>
        <w:tc>
          <w:tcPr>
            <w:tcW w:w="511" w:type="pct"/>
            <w:tcBorders>
              <w:left w:val="none" w:sz="0" w:space="0" w:color="auto"/>
              <w:right w:val="none" w:sz="0" w:space="0" w:color="auto"/>
            </w:tcBorders>
            <w:vAlign w:val="center"/>
          </w:tcPr>
          <w:p w14:paraId="3F1BD51F" w14:textId="77777777" w:rsidR="00D80CDD" w:rsidRDefault="00D80CDD" w:rsidP="008915F4">
            <w:pPr>
              <w:jc w:val="center"/>
              <w:cnfStyle w:val="000000010000" w:firstRow="0" w:lastRow="0" w:firstColumn="0" w:lastColumn="0" w:oddVBand="0" w:evenVBand="0" w:oddHBand="0" w:evenHBand="1" w:firstRowFirstColumn="0" w:firstRowLastColumn="0" w:lastRowFirstColumn="0" w:lastRowLastColumn="0"/>
              <w:rPr>
                <w:rFonts w:cs="Arial"/>
                <w:szCs w:val="20"/>
              </w:rPr>
            </w:pPr>
            <w:r>
              <w:rPr>
                <w:rFonts w:cs="Arial"/>
                <w:szCs w:val="20"/>
              </w:rPr>
              <w:t>0.12</w:t>
            </w:r>
          </w:p>
        </w:tc>
        <w:tc>
          <w:tcPr>
            <w:tcW w:w="511" w:type="pct"/>
            <w:tcBorders>
              <w:left w:val="none" w:sz="0" w:space="0" w:color="auto"/>
              <w:right w:val="none" w:sz="0" w:space="0" w:color="auto"/>
            </w:tcBorders>
            <w:vAlign w:val="center"/>
          </w:tcPr>
          <w:p w14:paraId="29CBDC5B" w14:textId="77777777" w:rsidR="00D80CDD" w:rsidRDefault="00D80CDD" w:rsidP="008915F4">
            <w:pPr>
              <w:jc w:val="center"/>
              <w:cnfStyle w:val="000000010000" w:firstRow="0" w:lastRow="0" w:firstColumn="0" w:lastColumn="0" w:oddVBand="0" w:evenVBand="0" w:oddHBand="0" w:evenHBand="1" w:firstRowFirstColumn="0" w:firstRowLastColumn="0" w:lastRowFirstColumn="0" w:lastRowLastColumn="0"/>
              <w:rPr>
                <w:rFonts w:cs="Arial"/>
                <w:szCs w:val="20"/>
              </w:rPr>
            </w:pPr>
            <w:r>
              <w:rPr>
                <w:rFonts w:cs="Arial"/>
                <w:szCs w:val="20"/>
              </w:rPr>
              <w:t>0.24</w:t>
            </w:r>
          </w:p>
        </w:tc>
        <w:tc>
          <w:tcPr>
            <w:tcW w:w="1075" w:type="pct"/>
            <w:vMerge w:val="restart"/>
            <w:tcBorders>
              <w:left w:val="none" w:sz="0" w:space="0" w:color="auto"/>
            </w:tcBorders>
            <w:vAlign w:val="center"/>
          </w:tcPr>
          <w:p w14:paraId="0CD15D96" w14:textId="77777777" w:rsidR="00D80CDD" w:rsidRPr="00F75A81" w:rsidRDefault="00D80CDD" w:rsidP="008915F4">
            <w:pPr>
              <w:jc w:val="center"/>
              <w:cnfStyle w:val="000000010000" w:firstRow="0" w:lastRow="0" w:firstColumn="0" w:lastColumn="0" w:oddVBand="0" w:evenVBand="0" w:oddHBand="0" w:evenHBand="1" w:firstRowFirstColumn="0" w:firstRowLastColumn="0" w:lastRowFirstColumn="0" w:lastRowLastColumn="0"/>
              <w:rPr>
                <w:rFonts w:cs="Arial"/>
                <w:szCs w:val="20"/>
                <w:highlight w:val="yellow"/>
              </w:rPr>
            </w:pPr>
            <w:r w:rsidRPr="00F75A81">
              <w:rPr>
                <w:rFonts w:eastAsia="Arial Unicode MS" w:cs="Arial"/>
                <w:szCs w:val="20"/>
              </w:rPr>
              <w:t>0</w:t>
            </w:r>
            <w:r>
              <w:rPr>
                <w:rFonts w:eastAsia="Arial Unicode MS" w:cs="Arial"/>
                <w:szCs w:val="20"/>
              </w:rPr>
              <w:t>.15</w:t>
            </w:r>
            <w:r w:rsidRPr="00F75A81">
              <w:rPr>
                <w:rFonts w:eastAsia="Arial Unicode MS" w:cs="Arial"/>
                <w:szCs w:val="20"/>
              </w:rPr>
              <w:t>–0.2</w:t>
            </w:r>
            <w:r>
              <w:rPr>
                <w:rFonts w:eastAsia="Arial Unicode MS" w:cs="Arial"/>
                <w:szCs w:val="20"/>
              </w:rPr>
              <w:t>9</w:t>
            </w:r>
          </w:p>
        </w:tc>
      </w:tr>
      <w:tr w:rsidR="00D80CDD" w:rsidRPr="00052C45" w14:paraId="0FB925F0" w14:textId="77777777" w:rsidTr="00204D4F">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762" w:type="pct"/>
            <w:vMerge/>
            <w:tcBorders>
              <w:right w:val="none" w:sz="0" w:space="0" w:color="auto"/>
            </w:tcBorders>
            <w:vAlign w:val="center"/>
          </w:tcPr>
          <w:p w14:paraId="36C341F8" w14:textId="77777777" w:rsidR="00D80CDD" w:rsidRPr="00052C45" w:rsidRDefault="00D80CDD" w:rsidP="00776154">
            <w:pPr>
              <w:spacing w:beforeLines="40" w:before="96" w:afterLines="40" w:after="96"/>
              <w:jc w:val="center"/>
              <w:rPr>
                <w:b w:val="0"/>
                <w:szCs w:val="20"/>
              </w:rPr>
            </w:pPr>
          </w:p>
        </w:tc>
        <w:tc>
          <w:tcPr>
            <w:tcW w:w="476" w:type="pct"/>
            <w:vMerge/>
            <w:tcBorders>
              <w:left w:val="none" w:sz="0" w:space="0" w:color="auto"/>
              <w:right w:val="none" w:sz="0" w:space="0" w:color="auto"/>
            </w:tcBorders>
            <w:vAlign w:val="center"/>
          </w:tcPr>
          <w:p w14:paraId="0F6073C2" w14:textId="77777777" w:rsidR="00D80CDD" w:rsidRPr="00052C45" w:rsidRDefault="00D80CDD" w:rsidP="00776154">
            <w:pPr>
              <w:spacing w:beforeLines="40" w:before="96" w:afterLines="40" w:after="96"/>
              <w:jc w:val="center"/>
              <w:cnfStyle w:val="000000100000" w:firstRow="0" w:lastRow="0" w:firstColumn="0" w:lastColumn="0" w:oddVBand="0" w:evenVBand="0" w:oddHBand="1" w:evenHBand="0" w:firstRowFirstColumn="0" w:firstRowLastColumn="0" w:lastRowFirstColumn="0" w:lastRowLastColumn="0"/>
              <w:rPr>
                <w:szCs w:val="20"/>
              </w:rPr>
            </w:pPr>
          </w:p>
        </w:tc>
        <w:tc>
          <w:tcPr>
            <w:tcW w:w="479" w:type="pct"/>
            <w:vMerge/>
            <w:tcBorders>
              <w:left w:val="none" w:sz="0" w:space="0" w:color="auto"/>
              <w:right w:val="none" w:sz="0" w:space="0" w:color="auto"/>
            </w:tcBorders>
            <w:vAlign w:val="center"/>
          </w:tcPr>
          <w:p w14:paraId="02458311" w14:textId="77777777" w:rsidR="00D80CDD" w:rsidRPr="00052C45" w:rsidRDefault="00D80CDD" w:rsidP="00776154">
            <w:pPr>
              <w:spacing w:beforeLines="40" w:before="96" w:afterLines="40" w:after="96"/>
              <w:jc w:val="center"/>
              <w:cnfStyle w:val="000000100000" w:firstRow="0" w:lastRow="0" w:firstColumn="0" w:lastColumn="0" w:oddVBand="0" w:evenVBand="0" w:oddHBand="1" w:evenHBand="0" w:firstRowFirstColumn="0" w:firstRowLastColumn="0" w:lastRowFirstColumn="0" w:lastRowLastColumn="0"/>
              <w:rPr>
                <w:szCs w:val="20"/>
              </w:rPr>
            </w:pPr>
          </w:p>
        </w:tc>
        <w:tc>
          <w:tcPr>
            <w:tcW w:w="592" w:type="pct"/>
            <w:vMerge/>
            <w:tcBorders>
              <w:left w:val="none" w:sz="0" w:space="0" w:color="auto"/>
              <w:right w:val="none" w:sz="0" w:space="0" w:color="auto"/>
            </w:tcBorders>
            <w:vAlign w:val="center"/>
          </w:tcPr>
          <w:p w14:paraId="3FC1CF62" w14:textId="77777777" w:rsidR="00D80CDD" w:rsidRPr="00052C45" w:rsidRDefault="00D80CDD" w:rsidP="00776154">
            <w:pPr>
              <w:spacing w:beforeLines="40" w:before="96" w:afterLines="40" w:after="96"/>
              <w:jc w:val="center"/>
              <w:cnfStyle w:val="000000100000" w:firstRow="0" w:lastRow="0" w:firstColumn="0" w:lastColumn="0" w:oddVBand="0" w:evenVBand="0" w:oddHBand="1" w:evenHBand="0" w:firstRowFirstColumn="0" w:firstRowLastColumn="0" w:lastRowFirstColumn="0" w:lastRowLastColumn="0"/>
              <w:rPr>
                <w:szCs w:val="20"/>
              </w:rPr>
            </w:pPr>
          </w:p>
        </w:tc>
        <w:tc>
          <w:tcPr>
            <w:tcW w:w="593" w:type="pct"/>
            <w:vMerge/>
            <w:tcBorders>
              <w:left w:val="none" w:sz="0" w:space="0" w:color="auto"/>
              <w:right w:val="none" w:sz="0" w:space="0" w:color="auto"/>
            </w:tcBorders>
            <w:vAlign w:val="center"/>
          </w:tcPr>
          <w:p w14:paraId="093DC2E4" w14:textId="77777777" w:rsidR="00D80CDD" w:rsidRPr="00052C45" w:rsidRDefault="00D80CDD" w:rsidP="00776154">
            <w:pPr>
              <w:spacing w:beforeLines="40" w:before="96" w:afterLines="40" w:after="96"/>
              <w:jc w:val="center"/>
              <w:cnfStyle w:val="000000100000" w:firstRow="0" w:lastRow="0" w:firstColumn="0" w:lastColumn="0" w:oddVBand="0" w:evenVBand="0" w:oddHBand="1" w:evenHBand="0" w:firstRowFirstColumn="0" w:firstRowLastColumn="0" w:lastRowFirstColumn="0" w:lastRowLastColumn="0"/>
              <w:rPr>
                <w:szCs w:val="20"/>
              </w:rPr>
            </w:pPr>
          </w:p>
        </w:tc>
        <w:tc>
          <w:tcPr>
            <w:tcW w:w="511" w:type="pct"/>
            <w:tcBorders>
              <w:left w:val="none" w:sz="0" w:space="0" w:color="auto"/>
              <w:right w:val="none" w:sz="0" w:space="0" w:color="auto"/>
            </w:tcBorders>
            <w:shd w:val="clear" w:color="auto" w:fill="auto"/>
            <w:vAlign w:val="center"/>
          </w:tcPr>
          <w:p w14:paraId="216A589B" w14:textId="21F6E9AD" w:rsidR="00D80CDD" w:rsidRDefault="00D80CDD" w:rsidP="00776154">
            <w:pPr>
              <w:spacing w:beforeLines="40" w:before="96" w:afterLines="40" w:after="96"/>
              <w:jc w:val="center"/>
              <w:cnfStyle w:val="000000100000" w:firstRow="0" w:lastRow="0" w:firstColumn="0" w:lastColumn="0" w:oddVBand="0" w:evenVBand="0" w:oddHBand="1" w:evenHBand="0" w:firstRowFirstColumn="0" w:firstRowLastColumn="0" w:lastRowFirstColumn="0" w:lastRowLastColumn="0"/>
              <w:rPr>
                <w:rFonts w:cs="Arial"/>
                <w:szCs w:val="20"/>
              </w:rPr>
            </w:pPr>
            <w:r>
              <w:rPr>
                <w:rFonts w:cs="Arial"/>
                <w:szCs w:val="20"/>
              </w:rPr>
              <w:t>0.18*</w:t>
            </w:r>
          </w:p>
        </w:tc>
        <w:tc>
          <w:tcPr>
            <w:tcW w:w="511" w:type="pct"/>
            <w:tcBorders>
              <w:left w:val="none" w:sz="0" w:space="0" w:color="auto"/>
              <w:right w:val="none" w:sz="0" w:space="0" w:color="auto"/>
            </w:tcBorders>
            <w:shd w:val="clear" w:color="auto" w:fill="auto"/>
            <w:vAlign w:val="center"/>
          </w:tcPr>
          <w:p w14:paraId="07D5F97F" w14:textId="6F94BD44" w:rsidR="00D80CDD" w:rsidRDefault="00D80CDD" w:rsidP="00776154">
            <w:pPr>
              <w:spacing w:beforeLines="40" w:before="96" w:afterLines="40" w:after="96"/>
              <w:jc w:val="center"/>
              <w:cnfStyle w:val="000000100000" w:firstRow="0" w:lastRow="0" w:firstColumn="0" w:lastColumn="0" w:oddVBand="0" w:evenVBand="0" w:oddHBand="1" w:evenHBand="0" w:firstRowFirstColumn="0" w:firstRowLastColumn="0" w:lastRowFirstColumn="0" w:lastRowLastColumn="0"/>
              <w:rPr>
                <w:rFonts w:cs="Arial"/>
                <w:szCs w:val="20"/>
              </w:rPr>
            </w:pPr>
            <w:r>
              <w:rPr>
                <w:rFonts w:cs="Arial"/>
                <w:szCs w:val="20"/>
              </w:rPr>
              <w:t>0.30*</w:t>
            </w:r>
          </w:p>
        </w:tc>
        <w:tc>
          <w:tcPr>
            <w:tcW w:w="1075" w:type="pct"/>
            <w:vMerge/>
            <w:tcBorders>
              <w:left w:val="none" w:sz="0" w:space="0" w:color="auto"/>
            </w:tcBorders>
            <w:vAlign w:val="center"/>
          </w:tcPr>
          <w:p w14:paraId="36D11FAE" w14:textId="77777777" w:rsidR="00D80CDD" w:rsidRPr="00F75A81" w:rsidRDefault="00D80CDD" w:rsidP="00776154">
            <w:pPr>
              <w:spacing w:beforeLines="40" w:before="96" w:afterLines="40" w:after="96"/>
              <w:jc w:val="center"/>
              <w:cnfStyle w:val="000000100000" w:firstRow="0" w:lastRow="0" w:firstColumn="0" w:lastColumn="0" w:oddVBand="0" w:evenVBand="0" w:oddHBand="1" w:evenHBand="0" w:firstRowFirstColumn="0" w:firstRowLastColumn="0" w:lastRowFirstColumn="0" w:lastRowLastColumn="0"/>
              <w:rPr>
                <w:rFonts w:eastAsia="Arial Unicode MS" w:cs="Arial"/>
                <w:szCs w:val="20"/>
              </w:rPr>
            </w:pPr>
          </w:p>
        </w:tc>
      </w:tr>
    </w:tbl>
    <w:p w14:paraId="4CF125DA" w14:textId="0506D6CD" w:rsidR="00776154" w:rsidRPr="00C75C37" w:rsidRDefault="003362C9" w:rsidP="00776154">
      <w:pPr>
        <w:rPr>
          <w:i/>
          <w:sz w:val="18"/>
        </w:rPr>
      </w:pPr>
      <w:r w:rsidRPr="00C75C37">
        <w:rPr>
          <w:i/>
          <w:sz w:val="18"/>
        </w:rPr>
        <w:t>*</w:t>
      </w:r>
      <w:r w:rsidR="00776154" w:rsidRPr="00C75C37">
        <w:rPr>
          <w:i/>
          <w:sz w:val="18"/>
        </w:rPr>
        <w:t xml:space="preserve"> Infant formula manufactured from soya protein isolates, alone or in a mixture with cow</w:t>
      </w:r>
      <w:r w:rsidR="00C73A77" w:rsidRPr="00C75C37">
        <w:rPr>
          <w:i/>
          <w:sz w:val="18"/>
        </w:rPr>
        <w:t>’</w:t>
      </w:r>
      <w:r w:rsidR="00776154" w:rsidRPr="00C75C37">
        <w:rPr>
          <w:i/>
          <w:sz w:val="18"/>
        </w:rPr>
        <w:t>s milk or goat</w:t>
      </w:r>
      <w:r w:rsidR="00C73A77" w:rsidRPr="00C75C37">
        <w:rPr>
          <w:i/>
          <w:sz w:val="18"/>
        </w:rPr>
        <w:t>’</w:t>
      </w:r>
      <w:r w:rsidR="00776154" w:rsidRPr="00C75C37">
        <w:rPr>
          <w:i/>
          <w:sz w:val="18"/>
        </w:rPr>
        <w:t>s milk proteins</w:t>
      </w:r>
    </w:p>
    <w:p w14:paraId="5A4608D7" w14:textId="77777777" w:rsidR="00776154" w:rsidRDefault="00776154" w:rsidP="00776154">
      <w:pPr>
        <w:pStyle w:val="Heading4"/>
      </w:pPr>
      <w:r w:rsidRPr="00BA1FD9">
        <w:t>Previous consideration</w:t>
      </w:r>
    </w:p>
    <w:p w14:paraId="4BCE087B" w14:textId="1241E549" w:rsidR="00776154" w:rsidRDefault="00776154" w:rsidP="00776154">
      <w:pPr>
        <w:rPr>
          <w:lang w:eastAsia="en-AU" w:bidi="ar-SA"/>
        </w:rPr>
      </w:pPr>
      <w:r>
        <w:rPr>
          <w:lang w:eastAsia="en-AU" w:bidi="ar-SA"/>
        </w:rPr>
        <w:t xml:space="preserve">The 2016 nutrition </w:t>
      </w:r>
      <w:r w:rsidR="003362C9">
        <w:rPr>
          <w:lang w:eastAsia="en-AU" w:bidi="ar-SA"/>
        </w:rPr>
        <w:t xml:space="preserve">risk </w:t>
      </w:r>
      <w:r>
        <w:rPr>
          <w:lang w:eastAsia="en-AU" w:bidi="ar-SA"/>
        </w:rPr>
        <w:t xml:space="preserve">assessment concluded that despite </w:t>
      </w:r>
      <w:r>
        <w:rPr>
          <w:rFonts w:cs="Arial"/>
          <w:szCs w:val="22"/>
        </w:rPr>
        <w:t xml:space="preserve">both the maximum in </w:t>
      </w:r>
      <w:r w:rsidR="0077322E">
        <w:rPr>
          <w:rFonts w:cs="Arial"/>
          <w:szCs w:val="22"/>
        </w:rPr>
        <w:t>Schedule 29</w:t>
      </w:r>
      <w:r>
        <w:rPr>
          <w:rFonts w:cs="Arial"/>
          <w:szCs w:val="22"/>
        </w:rPr>
        <w:t xml:space="preserve"> and the lower GUL in Codex STAN 72-1981 </w:t>
      </w:r>
      <w:r>
        <w:rPr>
          <w:lang w:eastAsia="en-AU" w:bidi="ar-SA"/>
        </w:rPr>
        <w:t xml:space="preserve">potentially </w:t>
      </w:r>
      <w:r w:rsidR="003362C9">
        <w:rPr>
          <w:lang w:eastAsia="en-AU" w:bidi="ar-SA"/>
        </w:rPr>
        <w:t xml:space="preserve">contributing to intakes </w:t>
      </w:r>
      <w:r>
        <w:rPr>
          <w:lang w:eastAsia="en-AU" w:bidi="ar-SA"/>
        </w:rPr>
        <w:t>exceeding the UL, there is no evidence of risk to infant health as the UL is</w:t>
      </w:r>
      <w:r w:rsidRPr="00492C69">
        <w:rPr>
          <w:lang w:eastAsia="en-AU" w:bidi="ar-SA"/>
        </w:rPr>
        <w:t xml:space="preserve"> </w:t>
      </w:r>
      <w:r>
        <w:rPr>
          <w:lang w:eastAsia="en-AU" w:bidi="ar-SA"/>
        </w:rPr>
        <w:t xml:space="preserve">overly conservative (FSANZ 2011). FSANZ considered alignment with the Codex GUL </w:t>
      </w:r>
      <w:r w:rsidRPr="00DB5D28">
        <w:rPr>
          <w:lang w:eastAsia="en-AU" w:bidi="ar-SA"/>
        </w:rPr>
        <w:t xml:space="preserve">would be unlikely </w:t>
      </w:r>
      <w:r>
        <w:rPr>
          <w:lang w:eastAsia="en-AU" w:bidi="ar-SA"/>
        </w:rPr>
        <w:t>to pose a risk to infant health</w:t>
      </w:r>
      <w:r w:rsidRPr="00DB5D28">
        <w:rPr>
          <w:lang w:eastAsia="en-AU" w:bidi="ar-SA"/>
        </w:rPr>
        <w:t>.</w:t>
      </w:r>
      <w:r>
        <w:rPr>
          <w:lang w:eastAsia="en-AU" w:bidi="ar-SA"/>
        </w:rPr>
        <w:t xml:space="preserve"> </w:t>
      </w:r>
    </w:p>
    <w:p w14:paraId="3A28317F" w14:textId="77777777" w:rsidR="00776154" w:rsidRDefault="00776154" w:rsidP="00776154">
      <w:pPr>
        <w:rPr>
          <w:lang w:eastAsia="en-AU" w:bidi="ar-SA"/>
        </w:rPr>
      </w:pPr>
    </w:p>
    <w:p w14:paraId="32FFB4AC" w14:textId="058B5445" w:rsidR="00776154" w:rsidRDefault="00776154" w:rsidP="00776154">
      <w:r w:rsidRPr="001511C8">
        <w:t xml:space="preserve">The </w:t>
      </w:r>
      <w:r>
        <w:t xml:space="preserve">2016 </w:t>
      </w:r>
      <w:r w:rsidRPr="001511C8">
        <w:t xml:space="preserve">nutrition </w:t>
      </w:r>
      <w:r w:rsidR="003362C9">
        <w:t>risk</w:t>
      </w:r>
      <w:r w:rsidRPr="001511C8">
        <w:t xml:space="preserve"> assessment </w:t>
      </w:r>
      <w:r>
        <w:t xml:space="preserve">also </w:t>
      </w:r>
      <w:r w:rsidRPr="001511C8">
        <w:t>note</w:t>
      </w:r>
      <w:r>
        <w:t>d</w:t>
      </w:r>
      <w:r w:rsidRPr="001511C8">
        <w:t xml:space="preserve"> </w:t>
      </w:r>
      <w:r>
        <w:rPr>
          <w:lang w:eastAsia="en-AU" w:bidi="ar-SA"/>
        </w:rPr>
        <w:t>limited evidence to support the need for a</w:t>
      </w:r>
      <w:r w:rsidRPr="00DB5D28">
        <w:rPr>
          <w:lang w:eastAsia="en-AU"/>
        </w:rPr>
        <w:t xml:space="preserve"> </w:t>
      </w:r>
      <w:r w:rsidRPr="001511C8">
        <w:t xml:space="preserve">Zn:Cu </w:t>
      </w:r>
      <w:r>
        <w:rPr>
          <w:lang w:eastAsia="en-AU"/>
        </w:rPr>
        <w:t>ratio in formula and</w:t>
      </w:r>
      <w:r>
        <w:t xml:space="preserve"> </w:t>
      </w:r>
      <w:r w:rsidRPr="001511C8">
        <w:t>conclude</w:t>
      </w:r>
      <w:r>
        <w:t>d</w:t>
      </w:r>
      <w:r w:rsidRPr="001511C8">
        <w:t xml:space="preserve"> that </w:t>
      </w:r>
      <w:r>
        <w:t>deleting</w:t>
      </w:r>
      <w:r w:rsidRPr="001511C8">
        <w:t xml:space="preserve"> the Z</w:t>
      </w:r>
      <w:r>
        <w:t xml:space="preserve">n:Cu ratio from Standard 2.9.1 </w:t>
      </w:r>
      <w:r w:rsidRPr="001511C8">
        <w:t>would have minimal impact on micronutrient s</w:t>
      </w:r>
      <w:r>
        <w:t xml:space="preserve">tatus of healthy term infants. </w:t>
      </w:r>
    </w:p>
    <w:p w14:paraId="16C2F4AB" w14:textId="77777777" w:rsidR="00776154" w:rsidRDefault="00776154" w:rsidP="00776154"/>
    <w:p w14:paraId="5030F0DA" w14:textId="5CD09749" w:rsidR="00776154" w:rsidRPr="000905CE" w:rsidRDefault="00776154" w:rsidP="00776154">
      <w:pPr>
        <w:rPr>
          <w:lang w:val="en-AU" w:bidi="ar-SA"/>
        </w:rPr>
      </w:pPr>
      <w:r>
        <w:rPr>
          <w:szCs w:val="22"/>
        </w:rPr>
        <w:t xml:space="preserve">The assessment also considered that setting minimum amounts for certain minerals in soy-based formula should consider the phytic acid content of soy proteins and the potential for reduced availability of minerals. </w:t>
      </w:r>
      <w:r w:rsidR="0077322E">
        <w:rPr>
          <w:szCs w:val="22"/>
        </w:rPr>
        <w:t>L</w:t>
      </w:r>
      <w:r>
        <w:rPr>
          <w:szCs w:val="22"/>
        </w:rPr>
        <w:t xml:space="preserve">iterature </w:t>
      </w:r>
      <w:r w:rsidR="0077322E">
        <w:rPr>
          <w:szCs w:val="22"/>
        </w:rPr>
        <w:t xml:space="preserve">reports </w:t>
      </w:r>
      <w:r>
        <w:rPr>
          <w:szCs w:val="22"/>
        </w:rPr>
        <w:t>suggest</w:t>
      </w:r>
      <w:r w:rsidR="0077322E">
        <w:rPr>
          <w:szCs w:val="22"/>
        </w:rPr>
        <w:t xml:space="preserve"> </w:t>
      </w:r>
      <w:r>
        <w:rPr>
          <w:szCs w:val="22"/>
        </w:rPr>
        <w:t xml:space="preserve">it is technologically possible to remove phytic acid from soy-based formula and noted that studies show reduction of phytic acid content </w:t>
      </w:r>
      <w:r w:rsidR="00EF0450">
        <w:rPr>
          <w:szCs w:val="22"/>
        </w:rPr>
        <w:t>by 50-100%</w:t>
      </w:r>
      <w:r>
        <w:rPr>
          <w:szCs w:val="22"/>
        </w:rPr>
        <w:t xml:space="preserve"> in ready-to-feed formula improves zinc absorption (EFSA 2014</w:t>
      </w:r>
      <w:r w:rsidR="00056097">
        <w:rPr>
          <w:szCs w:val="22"/>
        </w:rPr>
        <w:t>b</w:t>
      </w:r>
      <w:r>
        <w:rPr>
          <w:szCs w:val="22"/>
        </w:rPr>
        <w:t>).</w:t>
      </w:r>
    </w:p>
    <w:p w14:paraId="0094C5E6" w14:textId="77777777" w:rsidR="00776154" w:rsidRDefault="00776154" w:rsidP="00776154">
      <w:pPr>
        <w:rPr>
          <w:lang w:eastAsia="en-AU" w:bidi="ar-SA"/>
        </w:rPr>
      </w:pPr>
    </w:p>
    <w:p w14:paraId="6678AED7" w14:textId="6D81802C" w:rsidR="00776154" w:rsidRDefault="00776154" w:rsidP="00776154">
      <w:r>
        <w:t xml:space="preserve">FSANZ sought further information from submitters to inform the appropriate amount of </w:t>
      </w:r>
      <w:r w:rsidR="003362C9">
        <w:t>zinc</w:t>
      </w:r>
      <w:r>
        <w:t>, the Zn:Cu ratio and phytic acid content, particularly in light of the composition of soy</w:t>
      </w:r>
      <w:r w:rsidR="003362C9">
        <w:t>-</w:t>
      </w:r>
      <w:r>
        <w:t xml:space="preserve">based formula. </w:t>
      </w:r>
    </w:p>
    <w:p w14:paraId="3ED86757" w14:textId="77777777" w:rsidR="00776154" w:rsidRDefault="00776154" w:rsidP="00776154">
      <w:pPr>
        <w:rPr>
          <w:lang w:eastAsia="en-AU" w:bidi="ar-SA"/>
        </w:rPr>
      </w:pPr>
    </w:p>
    <w:p w14:paraId="0F0155DE" w14:textId="460F8A90" w:rsidR="00776154" w:rsidRDefault="00776154" w:rsidP="00776154">
      <w:r>
        <w:rPr>
          <w:lang w:eastAsia="en-AU" w:bidi="ar-SA"/>
        </w:rPr>
        <w:t>T</w:t>
      </w:r>
      <w:r w:rsidRPr="00CC253B">
        <w:rPr>
          <w:lang w:eastAsia="en-AU" w:bidi="ar-SA"/>
        </w:rPr>
        <w:t xml:space="preserve">he </w:t>
      </w:r>
      <w:r>
        <w:rPr>
          <w:lang w:eastAsia="en-AU" w:bidi="ar-SA"/>
        </w:rPr>
        <w:t>higher</w:t>
      </w:r>
      <w:r w:rsidRPr="00CC253B">
        <w:rPr>
          <w:lang w:eastAsia="en-AU" w:bidi="ar-SA"/>
        </w:rPr>
        <w:t xml:space="preserve"> </w:t>
      </w:r>
      <w:r>
        <w:rPr>
          <w:lang w:eastAsia="en-AU" w:bidi="ar-SA"/>
        </w:rPr>
        <w:t xml:space="preserve">maximum amount in </w:t>
      </w:r>
      <w:r w:rsidR="00790B79">
        <w:rPr>
          <w:lang w:eastAsia="en-AU" w:bidi="ar-SA"/>
        </w:rPr>
        <w:t>section S29—9</w:t>
      </w:r>
      <w:r>
        <w:rPr>
          <w:lang w:eastAsia="en-AU" w:bidi="ar-SA"/>
        </w:rPr>
        <w:t xml:space="preserve"> allowed for lower absorption of zinc from</w:t>
      </w:r>
      <w:r w:rsidRPr="000401EE">
        <w:rPr>
          <w:lang w:eastAsia="en-AU" w:bidi="ar-SA"/>
        </w:rPr>
        <w:t xml:space="preserve"> </w:t>
      </w:r>
      <w:r>
        <w:rPr>
          <w:lang w:eastAsia="en-AU" w:bidi="ar-SA"/>
        </w:rPr>
        <w:t>s</w:t>
      </w:r>
      <w:r w:rsidRPr="003318CD">
        <w:rPr>
          <w:lang w:eastAsia="en-AU" w:bidi="ar-SA"/>
        </w:rPr>
        <w:t>oy-based formula due to the presence of phyt</w:t>
      </w:r>
      <w:r>
        <w:rPr>
          <w:lang w:eastAsia="en-AU" w:bidi="ar-SA"/>
        </w:rPr>
        <w:t>ates</w:t>
      </w:r>
      <w:r w:rsidRPr="003318CD">
        <w:rPr>
          <w:lang w:eastAsia="en-AU" w:bidi="ar-SA"/>
        </w:rPr>
        <w:t>, which can bind with zinc</w:t>
      </w:r>
      <w:r>
        <w:rPr>
          <w:lang w:eastAsia="en-AU" w:bidi="ar-SA"/>
        </w:rPr>
        <w:t xml:space="preserve">. The </w:t>
      </w:r>
      <w:r w:rsidR="003362C9">
        <w:t>Zn:Cu</w:t>
      </w:r>
      <w:r>
        <w:t xml:space="preserve"> </w:t>
      </w:r>
      <w:r>
        <w:rPr>
          <w:lang w:eastAsia="en-AU" w:bidi="ar-SA"/>
        </w:rPr>
        <w:t xml:space="preserve">ratio was included to manage the potential impact of </w:t>
      </w:r>
      <w:r w:rsidRPr="00DB5D28">
        <w:rPr>
          <w:lang w:eastAsia="en-AU" w:bidi="ar-SA"/>
        </w:rPr>
        <w:t>zinc</w:t>
      </w:r>
      <w:r>
        <w:rPr>
          <w:lang w:eastAsia="en-AU" w:bidi="ar-SA"/>
        </w:rPr>
        <w:t xml:space="preserve"> intakes on copper bioavailability (ANZFA 1999b)</w:t>
      </w:r>
      <w:r w:rsidRPr="003318CD">
        <w:rPr>
          <w:lang w:eastAsia="en-AU" w:bidi="ar-SA"/>
        </w:rPr>
        <w:t>.</w:t>
      </w:r>
      <w:r>
        <w:rPr>
          <w:lang w:eastAsia="en-AU" w:bidi="ar-SA"/>
        </w:rPr>
        <w:t xml:space="preserve"> </w:t>
      </w:r>
      <w:r w:rsidRPr="009815DD">
        <w:t>In 2005</w:t>
      </w:r>
      <w:r>
        <w:t>,</w:t>
      </w:r>
      <w:r w:rsidRPr="009815DD">
        <w:t xml:space="preserve"> the </w:t>
      </w:r>
      <w:r>
        <w:t xml:space="preserve">draft </w:t>
      </w:r>
      <w:r w:rsidRPr="009815DD">
        <w:t xml:space="preserve">Codex GUL was reduced from the previous (2003) level </w:t>
      </w:r>
      <w:r w:rsidRPr="00633A06">
        <w:rPr>
          <w:lang w:eastAsia="en-AU" w:bidi="ar-SA"/>
        </w:rPr>
        <w:t xml:space="preserve">on the basis that high intakes </w:t>
      </w:r>
      <w:r>
        <w:rPr>
          <w:lang w:eastAsia="en-AU" w:bidi="ar-SA"/>
        </w:rPr>
        <w:t xml:space="preserve">of </w:t>
      </w:r>
      <w:r w:rsidRPr="00932FAB">
        <w:rPr>
          <w:lang w:eastAsia="en-AU" w:bidi="ar-SA"/>
        </w:rPr>
        <w:t>zinc</w:t>
      </w:r>
      <w:r w:rsidRPr="00633A06">
        <w:rPr>
          <w:lang w:eastAsia="en-AU" w:bidi="ar-SA"/>
        </w:rPr>
        <w:t xml:space="preserve"> may interfere with the absorption and met</w:t>
      </w:r>
      <w:r>
        <w:rPr>
          <w:lang w:eastAsia="en-AU" w:bidi="ar-SA"/>
        </w:rPr>
        <w:t xml:space="preserve">abolism of other micronutrients, such as </w:t>
      </w:r>
      <w:r w:rsidRPr="00932FAB">
        <w:rPr>
          <w:lang w:eastAsia="en-AU" w:bidi="ar-SA"/>
        </w:rPr>
        <w:t>copper</w:t>
      </w:r>
      <w:r>
        <w:rPr>
          <w:lang w:eastAsia="en-AU" w:bidi="ar-SA"/>
        </w:rPr>
        <w:t>.</w:t>
      </w:r>
      <w:r w:rsidRPr="00932FAB">
        <w:rPr>
          <w:lang w:eastAsia="en-AU" w:bidi="ar-SA"/>
        </w:rPr>
        <w:t xml:space="preserve"> </w:t>
      </w:r>
      <w:r w:rsidRPr="001511C8">
        <w:t xml:space="preserve">At the time of gazettal of Standard </w:t>
      </w:r>
      <w:r>
        <w:t>2.9.1, the Zn:Cu</w:t>
      </w:r>
      <w:r w:rsidRPr="001511C8">
        <w:t xml:space="preserve"> ratio was a new concept in infant </w:t>
      </w:r>
      <w:r>
        <w:t>nutrition</w:t>
      </w:r>
      <w:r w:rsidRPr="001511C8">
        <w:t xml:space="preserve"> and was considered a separate issue from the minimum and maximum limits of zinc and copper</w:t>
      </w:r>
      <w:r>
        <w:t xml:space="preserve"> (ANZFA 2002)</w:t>
      </w:r>
      <w:r w:rsidRPr="001511C8">
        <w:t xml:space="preserve">. A cautious approach was taken and the ratio was included in the </w:t>
      </w:r>
      <w:r w:rsidR="004841A6">
        <w:t>s</w:t>
      </w:r>
      <w:r w:rsidRPr="001511C8">
        <w:t xml:space="preserve">tandard for several reasons: </w:t>
      </w:r>
    </w:p>
    <w:p w14:paraId="4147D048" w14:textId="77777777" w:rsidR="00776154" w:rsidRDefault="00776154" w:rsidP="00776154"/>
    <w:p w14:paraId="6CF5D7E6" w14:textId="70F67606" w:rsidR="00776154" w:rsidRPr="0077322E" w:rsidRDefault="00776154" w:rsidP="0077322E">
      <w:pPr>
        <w:pStyle w:val="FSBullet"/>
        <w:spacing w:after="120"/>
        <w:rPr>
          <w:rFonts w:eastAsia="Arial Unicode MS"/>
        </w:rPr>
      </w:pPr>
      <w:r w:rsidRPr="001511C8">
        <w:rPr>
          <w:rFonts w:eastAsia="Arial Unicode MS"/>
        </w:rPr>
        <w:t xml:space="preserve">the Zn:Cu ratio of </w:t>
      </w:r>
      <w:r>
        <w:rPr>
          <w:rFonts w:eastAsia="Arial Unicode MS"/>
        </w:rPr>
        <w:t xml:space="preserve">breast </w:t>
      </w:r>
      <w:r w:rsidRPr="001511C8">
        <w:rPr>
          <w:rFonts w:eastAsia="Arial Unicode MS"/>
        </w:rPr>
        <w:t xml:space="preserve">milk is 10:1 but there </w:t>
      </w:r>
      <w:r>
        <w:rPr>
          <w:rFonts w:eastAsia="Arial Unicode MS"/>
        </w:rPr>
        <w:t>were</w:t>
      </w:r>
      <w:r w:rsidRPr="001511C8">
        <w:rPr>
          <w:rFonts w:eastAsia="Arial Unicode MS"/>
        </w:rPr>
        <w:t xml:space="preserve"> no studies in infants to indicate the appropriate or optimal Zn:Cu ratio for formula </w:t>
      </w:r>
    </w:p>
    <w:p w14:paraId="7A380C39" w14:textId="0E6AB35B" w:rsidR="00776154" w:rsidRPr="0077322E" w:rsidRDefault="00776154" w:rsidP="0077322E">
      <w:pPr>
        <w:pStyle w:val="FSBullet"/>
        <w:spacing w:after="120"/>
        <w:rPr>
          <w:rFonts w:eastAsia="Arial Unicode MS"/>
        </w:rPr>
      </w:pPr>
      <w:r w:rsidRPr="001511C8">
        <w:rPr>
          <w:rFonts w:eastAsia="Arial Unicode MS"/>
        </w:rPr>
        <w:t>infants have immature systems (absorption, metabolism, excretion)</w:t>
      </w:r>
      <w:r w:rsidR="00C75C37">
        <w:rPr>
          <w:rFonts w:eastAsia="Arial Unicode MS"/>
        </w:rPr>
        <w:t xml:space="preserve"> and are therefore considered a more vulnerable population </w:t>
      </w:r>
    </w:p>
    <w:p w14:paraId="6FE36463" w14:textId="21660CA1" w:rsidR="00776154" w:rsidRPr="0077322E" w:rsidRDefault="00776154" w:rsidP="0077322E">
      <w:pPr>
        <w:pStyle w:val="FSBullet"/>
        <w:spacing w:after="120"/>
        <w:rPr>
          <w:rFonts w:eastAsia="Arial Unicode MS"/>
        </w:rPr>
      </w:pPr>
      <w:r>
        <w:rPr>
          <w:rFonts w:eastAsia="Arial Unicode MS"/>
        </w:rPr>
        <w:t xml:space="preserve">when </w:t>
      </w:r>
      <w:r w:rsidRPr="001511C8">
        <w:rPr>
          <w:rFonts w:eastAsia="Arial Unicode MS"/>
        </w:rPr>
        <w:t>infant formula is the sole source of nutrition, infants are at a stage of development characterised by intense growth (which may make infants more vulnerable to factors such as copper deficiency)</w:t>
      </w:r>
    </w:p>
    <w:p w14:paraId="018F0F6C" w14:textId="77777777" w:rsidR="00776154" w:rsidRPr="00752B9D" w:rsidRDefault="00776154" w:rsidP="0077322E">
      <w:pPr>
        <w:pStyle w:val="FSBullet"/>
        <w:spacing w:after="120"/>
        <w:rPr>
          <w:rFonts w:eastAsia="Arial Unicode MS"/>
        </w:rPr>
      </w:pPr>
      <w:r w:rsidRPr="001511C8">
        <w:rPr>
          <w:rFonts w:eastAsia="Arial Unicode MS"/>
        </w:rPr>
        <w:t xml:space="preserve">data on adverse effects </w:t>
      </w:r>
      <w:r>
        <w:rPr>
          <w:rFonts w:eastAsia="Arial Unicode MS"/>
        </w:rPr>
        <w:t>are</w:t>
      </w:r>
      <w:r w:rsidRPr="001511C8">
        <w:rPr>
          <w:rFonts w:eastAsia="Arial Unicode MS"/>
        </w:rPr>
        <w:t xml:space="preserve"> limited.</w:t>
      </w:r>
    </w:p>
    <w:p w14:paraId="684F539C" w14:textId="77777777" w:rsidR="00776154" w:rsidRDefault="00776154" w:rsidP="00776154">
      <w:pPr>
        <w:pStyle w:val="Heading4"/>
        <w:ind w:left="0" w:firstLine="0"/>
      </w:pPr>
      <w:r w:rsidRPr="00BA1FD9">
        <w:lastRenderedPageBreak/>
        <w:t>S</w:t>
      </w:r>
      <w:r>
        <w:t>takeholder views</w:t>
      </w:r>
    </w:p>
    <w:p w14:paraId="46477C69" w14:textId="15B5C2C3" w:rsidR="00776154" w:rsidRDefault="00776154" w:rsidP="00776154">
      <w:pPr>
        <w:rPr>
          <w:lang w:val="en-AU" w:bidi="ar-SA"/>
        </w:rPr>
      </w:pPr>
      <w:r>
        <w:rPr>
          <w:lang w:val="en-AU" w:bidi="ar-SA"/>
        </w:rPr>
        <w:t>Five submitters (</w:t>
      </w:r>
      <w:r w:rsidR="004841A6">
        <w:rPr>
          <w:lang w:val="en-AU" w:bidi="ar-SA"/>
        </w:rPr>
        <w:t>two</w:t>
      </w:r>
      <w:r>
        <w:rPr>
          <w:lang w:val="en-AU" w:bidi="ar-SA"/>
        </w:rPr>
        <w:t xml:space="preserve"> government, </w:t>
      </w:r>
      <w:r w:rsidR="004841A6">
        <w:rPr>
          <w:lang w:val="en-AU" w:bidi="ar-SA"/>
        </w:rPr>
        <w:t>three</w:t>
      </w:r>
      <w:r>
        <w:rPr>
          <w:lang w:val="en-AU" w:bidi="ar-SA"/>
        </w:rPr>
        <w:t xml:space="preserve"> industry) commented on the permitted range for zinc and the need for a prescribed Zn:Cu ratio. Retaining the prescribed Zn:Cu ratio was not supported. Views on the maximum level were varied. Use of the Codex maximum was supported by three submitters who provided evidence </w:t>
      </w:r>
      <w:r w:rsidR="004841A6">
        <w:rPr>
          <w:lang w:val="en-AU" w:bidi="ar-SA"/>
        </w:rPr>
        <w:t xml:space="preserve">indicating </w:t>
      </w:r>
      <w:r>
        <w:rPr>
          <w:lang w:val="en-AU" w:bidi="ar-SA"/>
        </w:rPr>
        <w:t>that the UL was inappropriately low, and that both Standard 2.9.1 and Codex maximum</w:t>
      </w:r>
      <w:r w:rsidR="00C75C37">
        <w:rPr>
          <w:lang w:val="en-AU" w:bidi="ar-SA"/>
        </w:rPr>
        <w:t xml:space="preserve"> should </w:t>
      </w:r>
      <w:r>
        <w:rPr>
          <w:lang w:val="en-AU" w:bidi="ar-SA"/>
        </w:rPr>
        <w:t>accommodate higher levels of zinc in soy-based formula. One submitter supported retaining the current maximum (no rationale provided) and one supported aligning the zinc maximum with EU 2016</w:t>
      </w:r>
      <w:r w:rsidR="004841A6">
        <w:rPr>
          <w:lang w:val="en-AU" w:bidi="ar-SA"/>
        </w:rPr>
        <w:t>/127</w:t>
      </w:r>
      <w:r>
        <w:rPr>
          <w:lang w:val="en-AU" w:bidi="ar-SA"/>
        </w:rPr>
        <w:t xml:space="preserve"> since this level would be closest to the ANZ UL. In the latter case, a separate, higher zinc maximum would be needed to allow higher levels of zinc in soy</w:t>
      </w:r>
      <w:r w:rsidR="004841A6">
        <w:rPr>
          <w:lang w:val="en-AU" w:bidi="ar-SA"/>
        </w:rPr>
        <w:t>-</w:t>
      </w:r>
      <w:r>
        <w:rPr>
          <w:lang w:val="en-AU" w:bidi="ar-SA"/>
        </w:rPr>
        <w:t>based formula.</w:t>
      </w:r>
    </w:p>
    <w:p w14:paraId="3F7CAD4C" w14:textId="77777777" w:rsidR="00776154" w:rsidRDefault="00776154" w:rsidP="00776154">
      <w:pPr>
        <w:rPr>
          <w:lang w:val="en-AU" w:bidi="ar-SA"/>
        </w:rPr>
      </w:pPr>
    </w:p>
    <w:p w14:paraId="2D111EB1" w14:textId="3E39759C" w:rsidR="00776154" w:rsidRPr="00093F15" w:rsidRDefault="00776154" w:rsidP="00776154">
      <w:r>
        <w:rPr>
          <w:lang w:val="en-AU" w:bidi="ar-SA"/>
        </w:rPr>
        <w:t>Four submitters (</w:t>
      </w:r>
      <w:r w:rsidR="004841A6">
        <w:rPr>
          <w:lang w:val="en-AU" w:bidi="ar-SA"/>
        </w:rPr>
        <w:t>two</w:t>
      </w:r>
      <w:r>
        <w:rPr>
          <w:lang w:val="en-AU" w:bidi="ar-SA"/>
        </w:rPr>
        <w:t xml:space="preserve"> government, </w:t>
      </w:r>
      <w:r w:rsidR="004841A6">
        <w:rPr>
          <w:lang w:val="en-AU" w:bidi="ar-SA"/>
        </w:rPr>
        <w:t>two</w:t>
      </w:r>
      <w:r w:rsidR="0077322E">
        <w:rPr>
          <w:lang w:val="en-AU" w:bidi="ar-SA"/>
        </w:rPr>
        <w:t xml:space="preserve"> industry) commented on phytic acid content in</w:t>
      </w:r>
      <w:r>
        <w:rPr>
          <w:lang w:val="en-AU" w:bidi="ar-SA"/>
        </w:rPr>
        <w:t xml:space="preserve"> soy-based formula. One government submitter noted support for setting separate limits for zinc in soy-based infant formula to align within </w:t>
      </w:r>
      <w:r w:rsidR="004841A6">
        <w:rPr>
          <w:lang w:val="en-AU" w:bidi="ar-SA"/>
        </w:rPr>
        <w:t xml:space="preserve">EU </w:t>
      </w:r>
      <w:r>
        <w:rPr>
          <w:lang w:val="en-AU" w:bidi="ar-SA"/>
        </w:rPr>
        <w:t>2016</w:t>
      </w:r>
      <w:r w:rsidR="004841A6">
        <w:rPr>
          <w:lang w:val="en-AU" w:bidi="ar-SA"/>
        </w:rPr>
        <w:t>/127</w:t>
      </w:r>
      <w:r>
        <w:rPr>
          <w:lang w:val="en-AU" w:bidi="ar-SA"/>
        </w:rPr>
        <w:t xml:space="preserve">. An industry submitter noted </w:t>
      </w:r>
      <w:r>
        <w:t>that even though there may be less efficient zinc absorption from soy protein isolate formulas, higher levels of zinc intake could impact on the absorption of copper. The industry submitter recommended that a separate upper level of zinc for soy</w:t>
      </w:r>
      <w:r w:rsidR="004841A6">
        <w:t>-based</w:t>
      </w:r>
      <w:r>
        <w:t xml:space="preserve"> formula may not be ideal, however proposed an upper level for zinc for all formulas should account for any additional needs of soy</w:t>
      </w:r>
      <w:r w:rsidR="004841A6">
        <w:t>-based</w:t>
      </w:r>
      <w:r>
        <w:t xml:space="preserve"> formula. Two submitters provided a Systematic Review with Meta-Analysis (Vandenplas, 2014) that noted that </w:t>
      </w:r>
      <w:r w:rsidR="004841A6">
        <w:t>s</w:t>
      </w:r>
      <w:r>
        <w:t xml:space="preserve">oy </w:t>
      </w:r>
      <w:r w:rsidR="004841A6">
        <w:t>p</w:t>
      </w:r>
      <w:r>
        <w:t xml:space="preserve">rotein </w:t>
      </w:r>
      <w:r w:rsidR="004841A6">
        <w:t>i</w:t>
      </w:r>
      <w:r>
        <w:t>solate</w:t>
      </w:r>
      <w:r w:rsidRPr="00093F15">
        <w:t xml:space="preserve"> </w:t>
      </w:r>
      <w:r>
        <w:t>contains 1–2% of phytates and found feeding soy-based infant formula to young infants did not result in any negative impact on the levels of certain minerals including zinc and calcium nor on overall growth.</w:t>
      </w:r>
    </w:p>
    <w:p w14:paraId="04D33D3A" w14:textId="0AEB6A94" w:rsidR="00776154" w:rsidRDefault="004841A6" w:rsidP="00776154">
      <w:pPr>
        <w:pStyle w:val="Heading4"/>
      </w:pPr>
      <w:r>
        <w:t>Nutrition r</w:t>
      </w:r>
      <w:r w:rsidR="00776154" w:rsidRPr="00BA1FD9">
        <w:t>isk assessment</w:t>
      </w:r>
    </w:p>
    <w:p w14:paraId="5A728F52" w14:textId="1707FCE1" w:rsidR="00036EB5" w:rsidRPr="000B5177" w:rsidRDefault="00036EB5" w:rsidP="00036EB5">
      <w:pPr>
        <w:keepNext/>
        <w:keepLines/>
        <w:contextualSpacing/>
        <w:rPr>
          <w:lang w:eastAsia="en-AU"/>
        </w:rPr>
      </w:pPr>
      <w:r>
        <w:rPr>
          <w:lang w:eastAsia="en-AU"/>
        </w:rPr>
        <w:t xml:space="preserve">The 2021 nutrition  risk assessment considered range specified for zinc in EU 2016/127. </w:t>
      </w:r>
      <w:r w:rsidRPr="000B5177">
        <w:rPr>
          <w:lang w:eastAsia="en-AU"/>
        </w:rPr>
        <w:t>Use of</w:t>
      </w:r>
      <w:r>
        <w:rPr>
          <w:lang w:eastAsia="en-AU"/>
        </w:rPr>
        <w:t xml:space="preserve"> the EU 2016/127 minimum amount</w:t>
      </w:r>
      <w:r w:rsidRPr="000B5177">
        <w:rPr>
          <w:lang w:eastAsia="en-AU"/>
        </w:rPr>
        <w:t xml:space="preserve"> of 0.12 mg/100 kJ (for infant formula manufactured from cow’s milk or goat’s milk proteins or protein hydrolysates) is the same as the current value in the Code. The EU 2016/127 </w:t>
      </w:r>
      <w:r>
        <w:rPr>
          <w:lang w:eastAsia="en-AU"/>
        </w:rPr>
        <w:t>minimum amount</w:t>
      </w:r>
      <w:r w:rsidRPr="000B5177">
        <w:rPr>
          <w:lang w:eastAsia="en-AU"/>
        </w:rPr>
        <w:t xml:space="preserve"> </w:t>
      </w:r>
      <w:r>
        <w:rPr>
          <w:lang w:eastAsia="en-AU"/>
        </w:rPr>
        <w:t>of</w:t>
      </w:r>
      <w:r w:rsidRPr="000B5177">
        <w:rPr>
          <w:lang w:eastAsia="en-AU"/>
        </w:rPr>
        <w:t xml:space="preserve"> 0.18 mg/100 kJ</w:t>
      </w:r>
      <w:r>
        <w:rPr>
          <w:lang w:eastAsia="en-AU"/>
        </w:rPr>
        <w:t xml:space="preserve"> (</w:t>
      </w:r>
      <w:r w:rsidRPr="000B5177">
        <w:rPr>
          <w:lang w:eastAsia="en-AU"/>
        </w:rPr>
        <w:t>for infant formula manufactured from soya protein isolates, alone or in a mixture with cow’s milk or goat’s milk proteins</w:t>
      </w:r>
      <w:r>
        <w:rPr>
          <w:lang w:eastAsia="en-AU"/>
        </w:rPr>
        <w:t>)</w:t>
      </w:r>
      <w:r w:rsidRPr="000B5177">
        <w:rPr>
          <w:lang w:eastAsia="en-AU"/>
        </w:rPr>
        <w:t xml:space="preserve"> is higher than the Code value of 0.12 mg/100 kJ. Adoption of the EU 2016/127 minimum amounts will not result in any additional risk to infant health.</w:t>
      </w:r>
      <w:r w:rsidRPr="000B5177">
        <w:t xml:space="preserve"> </w:t>
      </w:r>
    </w:p>
    <w:p w14:paraId="77F116DA" w14:textId="77777777" w:rsidR="00036EB5" w:rsidRPr="000B5177" w:rsidRDefault="00036EB5" w:rsidP="00036EB5">
      <w:pPr>
        <w:contextualSpacing/>
        <w:rPr>
          <w:lang w:eastAsia="en-AU"/>
        </w:rPr>
      </w:pPr>
    </w:p>
    <w:p w14:paraId="77068FC5" w14:textId="77777777" w:rsidR="00036EB5" w:rsidRDefault="00036EB5" w:rsidP="00036EB5">
      <w:pPr>
        <w:contextualSpacing/>
        <w:rPr>
          <w:lang w:eastAsia="en-AU"/>
        </w:rPr>
      </w:pPr>
      <w:r w:rsidRPr="000B5177">
        <w:rPr>
          <w:lang w:eastAsia="en-AU"/>
        </w:rPr>
        <w:t>Use of the EU 2016/127 maximum amounts of 0.24 mg/</w:t>
      </w:r>
      <w:r w:rsidRPr="006C3E97">
        <w:rPr>
          <w:lang w:eastAsia="en-AU"/>
        </w:rPr>
        <w:t>100 kJ (for infant formula manufactured from cow</w:t>
      </w:r>
      <w:r>
        <w:rPr>
          <w:lang w:eastAsia="en-AU"/>
        </w:rPr>
        <w:t>’</w:t>
      </w:r>
      <w:r w:rsidRPr="006C3E97">
        <w:rPr>
          <w:lang w:eastAsia="en-AU"/>
        </w:rPr>
        <w:t>s milk or goat</w:t>
      </w:r>
      <w:r>
        <w:rPr>
          <w:lang w:eastAsia="en-AU"/>
        </w:rPr>
        <w:t>’</w:t>
      </w:r>
      <w:r w:rsidRPr="006C3E97">
        <w:rPr>
          <w:lang w:eastAsia="en-AU"/>
        </w:rPr>
        <w:t>s milk proteins or prote</w:t>
      </w:r>
      <w:r>
        <w:rPr>
          <w:lang w:eastAsia="en-AU"/>
        </w:rPr>
        <w:t>in hydrolysates) and 0.3 mg/100 </w:t>
      </w:r>
      <w:r w:rsidRPr="006C3E97">
        <w:rPr>
          <w:lang w:eastAsia="en-AU"/>
        </w:rPr>
        <w:t>kJ (</w:t>
      </w:r>
      <w:r w:rsidRPr="006C3E97">
        <w:t>for infant formula manufactured from soya protein isolates, alone or in a mixture with cow</w:t>
      </w:r>
      <w:r>
        <w:t>’</w:t>
      </w:r>
      <w:r w:rsidRPr="006C3E97">
        <w:t>s milk or goat</w:t>
      </w:r>
      <w:r>
        <w:t>’</w:t>
      </w:r>
      <w:r w:rsidRPr="006C3E97">
        <w:t>s milk proteins)</w:t>
      </w:r>
      <w:r w:rsidRPr="006C3E97">
        <w:rPr>
          <w:lang w:eastAsia="en-AU"/>
        </w:rPr>
        <w:t xml:space="preserve"> pose</w:t>
      </w:r>
      <w:r>
        <w:rPr>
          <w:lang w:eastAsia="en-AU"/>
        </w:rPr>
        <w:t>s</w:t>
      </w:r>
      <w:r w:rsidRPr="006C3E97">
        <w:rPr>
          <w:lang w:eastAsia="en-AU"/>
        </w:rPr>
        <w:t xml:space="preserve"> a </w:t>
      </w:r>
      <w:r>
        <w:rPr>
          <w:lang w:eastAsia="en-AU"/>
        </w:rPr>
        <w:t xml:space="preserve">low </w:t>
      </w:r>
      <w:r w:rsidRPr="006C3E97">
        <w:rPr>
          <w:lang w:eastAsia="en-AU"/>
        </w:rPr>
        <w:t>risk to infant health.</w:t>
      </w:r>
    </w:p>
    <w:p w14:paraId="609FFA26" w14:textId="77777777" w:rsidR="00776154" w:rsidRDefault="00776154" w:rsidP="00776154">
      <w:pPr>
        <w:pStyle w:val="Heading4"/>
      </w:pPr>
      <w:r w:rsidRPr="00BA1FD9">
        <w:t>Options and discussion</w:t>
      </w:r>
    </w:p>
    <w:p w14:paraId="744C722C" w14:textId="6B908407" w:rsidR="00776154" w:rsidRPr="00093F15" w:rsidRDefault="00776154" w:rsidP="00776154">
      <w:pPr>
        <w:rPr>
          <w:bCs/>
          <w:iCs/>
          <w:lang w:bidi="ar-SA"/>
        </w:rPr>
      </w:pPr>
      <w:r>
        <w:rPr>
          <w:lang w:val="en-AU" w:bidi="ar-SA"/>
        </w:rPr>
        <w:t xml:space="preserve">FSANZ notes that </w:t>
      </w:r>
      <w:r w:rsidR="004841A6">
        <w:rPr>
          <w:lang w:val="en-AU" w:bidi="ar-SA"/>
        </w:rPr>
        <w:t xml:space="preserve">EU </w:t>
      </w:r>
      <w:r>
        <w:rPr>
          <w:lang w:val="en-AU" w:bidi="ar-SA"/>
        </w:rPr>
        <w:t>2016</w:t>
      </w:r>
      <w:r w:rsidR="004841A6">
        <w:rPr>
          <w:lang w:val="en-AU" w:bidi="ar-SA"/>
        </w:rPr>
        <w:t>/127</w:t>
      </w:r>
      <w:r>
        <w:rPr>
          <w:lang w:val="en-AU" w:bidi="ar-SA"/>
        </w:rPr>
        <w:t xml:space="preserve"> was based on the 2014 EFSA Scientific Opinion which did not include a safety assessment of the maximum levels. The maximum level prescribed in EU </w:t>
      </w:r>
      <w:r w:rsidR="004841A6">
        <w:rPr>
          <w:lang w:val="en-AU" w:bidi="ar-SA"/>
        </w:rPr>
        <w:t xml:space="preserve">2016/127 </w:t>
      </w:r>
      <w:r>
        <w:rPr>
          <w:lang w:val="en-AU" w:bidi="ar-SA"/>
        </w:rPr>
        <w:t xml:space="preserve">is based on levels </w:t>
      </w:r>
      <w:r>
        <w:rPr>
          <w:bCs/>
          <w:iCs/>
          <w:lang w:bidi="ar-SA"/>
        </w:rPr>
        <w:t xml:space="preserve">contained in formulas </w:t>
      </w:r>
      <w:r w:rsidRPr="00C420EC">
        <w:rPr>
          <w:bCs/>
          <w:iCs/>
          <w:lang w:bidi="ar-SA"/>
        </w:rPr>
        <w:t>o</w:t>
      </w:r>
      <w:r>
        <w:rPr>
          <w:bCs/>
          <w:iCs/>
          <w:lang w:bidi="ar-SA"/>
        </w:rPr>
        <w:t xml:space="preserve">n the European market, not on safety considerations. </w:t>
      </w:r>
      <w:r>
        <w:rPr>
          <w:lang w:val="en-AU" w:bidi="ar-SA"/>
        </w:rPr>
        <w:t xml:space="preserve">FSANZ also reiterates the view of the 2016 </w:t>
      </w:r>
      <w:r w:rsidR="004841A6">
        <w:rPr>
          <w:lang w:val="en-AU" w:bidi="ar-SA"/>
        </w:rPr>
        <w:t xml:space="preserve">Consultation paper </w:t>
      </w:r>
      <w:r>
        <w:rPr>
          <w:lang w:val="en-AU" w:bidi="ar-SA"/>
        </w:rPr>
        <w:t xml:space="preserve">which found that the potential exceedance of the UL based on the Codex maximum at the midpoint of energy content was unlikely to pose a risk to infant health. </w:t>
      </w:r>
    </w:p>
    <w:p w14:paraId="33C4F12E" w14:textId="77777777" w:rsidR="00776154" w:rsidRDefault="00776154" w:rsidP="00776154">
      <w:pPr>
        <w:rPr>
          <w:lang w:val="en-AU" w:bidi="ar-SA"/>
        </w:rPr>
      </w:pPr>
    </w:p>
    <w:p w14:paraId="25653A78" w14:textId="0FC64FF3" w:rsidR="00776154" w:rsidRDefault="00776154" w:rsidP="00776154">
      <w:r w:rsidRPr="004C5642">
        <w:t>FSANZ</w:t>
      </w:r>
      <w:r>
        <w:t>’s 2021 label</w:t>
      </w:r>
      <w:r w:rsidRPr="004C5642">
        <w:t xml:space="preserve"> survey </w:t>
      </w:r>
      <w:r>
        <w:t xml:space="preserve">suggests </w:t>
      </w:r>
      <w:r w:rsidRPr="004C5642">
        <w:t>that zinc</w:t>
      </w:r>
      <w:r>
        <w:t xml:space="preserve"> content lies</w:t>
      </w:r>
      <w:r w:rsidRPr="004C5642">
        <w:t xml:space="preserve"> within the Codex </w:t>
      </w:r>
      <w:r w:rsidR="004841A6">
        <w:t>permitted</w:t>
      </w:r>
      <w:r w:rsidRPr="004C5642">
        <w:t xml:space="preserve"> range</w:t>
      </w:r>
      <w:r>
        <w:t>,</w:t>
      </w:r>
      <w:r w:rsidRPr="004C5642">
        <w:t xml:space="preserve"> a</w:t>
      </w:r>
      <w:r>
        <w:t>s</w:t>
      </w:r>
      <w:r w:rsidRPr="004C5642">
        <w:t xml:space="preserve"> </w:t>
      </w:r>
      <w:r>
        <w:t>all</w:t>
      </w:r>
      <w:r w:rsidRPr="004C5642">
        <w:t xml:space="preserve"> </w:t>
      </w:r>
      <w:r w:rsidR="004841A6">
        <w:t xml:space="preserve">products </w:t>
      </w:r>
      <w:r w:rsidRPr="004C5642">
        <w:t xml:space="preserve">were </w:t>
      </w:r>
      <w:r>
        <w:t xml:space="preserve">all </w:t>
      </w:r>
      <w:r w:rsidRPr="004C5642">
        <w:t>below the Codex GUL</w:t>
      </w:r>
      <w:r w:rsidR="00EF0450">
        <w:t xml:space="preserve"> </w:t>
      </w:r>
      <w:r w:rsidR="007F4A71">
        <w:t>(Figure 7.3.9)</w:t>
      </w:r>
      <w:r>
        <w:t>. Other l</w:t>
      </w:r>
      <w:r w:rsidRPr="002C3943">
        <w:t>abel information</w:t>
      </w:r>
      <w:r>
        <w:t xml:space="preserve"> indicates that</w:t>
      </w:r>
      <w:r w:rsidRPr="002C3943">
        <w:t xml:space="preserve"> soy</w:t>
      </w:r>
      <w:r>
        <w:t>-</w:t>
      </w:r>
      <w:r w:rsidRPr="002C3943">
        <w:t xml:space="preserve">based formula </w:t>
      </w:r>
      <w:r w:rsidR="004841A6">
        <w:t xml:space="preserve">products </w:t>
      </w:r>
      <w:r w:rsidRPr="002C3943">
        <w:t>contain higher amounts of zinc than standard formula</w:t>
      </w:r>
      <w:r>
        <w:t xml:space="preserve">. </w:t>
      </w:r>
    </w:p>
    <w:p w14:paraId="42D6209F" w14:textId="20B6B48D" w:rsidR="00EF0450" w:rsidRDefault="00EF0450" w:rsidP="00776154"/>
    <w:p w14:paraId="04F5B708" w14:textId="77777777" w:rsidR="00EF0450" w:rsidRPr="00752B9D" w:rsidRDefault="00EF0450" w:rsidP="00EF0450">
      <w:r>
        <w:rPr>
          <w:rFonts w:cs="Arial"/>
        </w:rPr>
        <w:lastRenderedPageBreak/>
        <w:t>EU 2016/127</w:t>
      </w:r>
      <w:r w:rsidRPr="00750A45">
        <w:rPr>
          <w:rFonts w:cs="Arial"/>
        </w:rPr>
        <w:t xml:space="preserve"> </w:t>
      </w:r>
      <w:r w:rsidRPr="00E76B70">
        <w:t>provide</w:t>
      </w:r>
      <w:r>
        <w:t>s separate zinc requirements</w:t>
      </w:r>
      <w:r w:rsidRPr="00E76B70">
        <w:t xml:space="preserve"> for </w:t>
      </w:r>
      <w:r>
        <w:t>cow’s milk- and soy-based formula, for which t</w:t>
      </w:r>
      <w:r w:rsidRPr="005F6152">
        <w:rPr>
          <w:rFonts w:cs="Arial"/>
        </w:rPr>
        <w:t xml:space="preserve">he </w:t>
      </w:r>
      <w:r w:rsidRPr="005F6152">
        <w:t xml:space="preserve">minimum amount </w:t>
      </w:r>
      <w:r>
        <w:t>is</w:t>
      </w:r>
      <w:r>
        <w:rPr>
          <w:rFonts w:cs="Arial"/>
        </w:rPr>
        <w:t xml:space="preserve"> 0.12</w:t>
      </w:r>
      <w:r w:rsidRPr="005F6152">
        <w:rPr>
          <w:rFonts w:cs="Arial"/>
        </w:rPr>
        <w:t xml:space="preserve"> mg/100 kJ </w:t>
      </w:r>
      <w:r>
        <w:rPr>
          <w:rFonts w:cs="Arial"/>
        </w:rPr>
        <w:t>and 0.18 mg/100 kJ, respectively</w:t>
      </w:r>
      <w:r w:rsidRPr="005F6152">
        <w:rPr>
          <w:rFonts w:cs="Arial"/>
        </w:rPr>
        <w:t xml:space="preserve">; </w:t>
      </w:r>
      <w:r>
        <w:rPr>
          <w:lang w:eastAsia="en-AU"/>
        </w:rPr>
        <w:t>These match the amounts recommended by</w:t>
      </w:r>
      <w:r w:rsidRPr="005F6152">
        <w:rPr>
          <w:lang w:eastAsia="en-AU"/>
        </w:rPr>
        <w:t xml:space="preserve"> EFSA (2014</w:t>
      </w:r>
      <w:r>
        <w:rPr>
          <w:lang w:eastAsia="en-AU"/>
        </w:rPr>
        <w:t>b</w:t>
      </w:r>
      <w:r w:rsidRPr="005F6152">
        <w:rPr>
          <w:lang w:eastAsia="en-AU"/>
        </w:rPr>
        <w:t>).</w:t>
      </w:r>
      <w:r w:rsidRPr="005F6152">
        <w:rPr>
          <w:rFonts w:cs="Arial"/>
        </w:rPr>
        <w:t xml:space="preserve"> </w:t>
      </w:r>
      <w:r w:rsidRPr="00E76B70">
        <w:t>The EFSA (2014</w:t>
      </w:r>
      <w:r>
        <w:t>b</w:t>
      </w:r>
      <w:r w:rsidRPr="00E76B70">
        <w:t>)</w:t>
      </w:r>
      <w:r>
        <w:t xml:space="preserve"> recommendation </w:t>
      </w:r>
      <w:r w:rsidRPr="00E76B70">
        <w:t xml:space="preserve">for </w:t>
      </w:r>
      <w:r>
        <w:t>soy</w:t>
      </w:r>
      <w:r w:rsidRPr="00E76B70">
        <w:t>-based formula (</w:t>
      </w:r>
      <w:r>
        <w:rPr>
          <w:rFonts w:cs="Arial"/>
        </w:rPr>
        <w:t>0.18</w:t>
      </w:r>
      <w:r w:rsidRPr="005F6152">
        <w:rPr>
          <w:rFonts w:cs="Arial"/>
        </w:rPr>
        <w:t xml:space="preserve"> mg/100 kJ</w:t>
      </w:r>
      <w:r w:rsidRPr="00E76B70">
        <w:t xml:space="preserve">) </w:t>
      </w:r>
      <w:r>
        <w:t xml:space="preserve">maps to </w:t>
      </w:r>
      <w:r w:rsidRPr="00E76B70">
        <w:t>the</w:t>
      </w:r>
      <w:r>
        <w:t xml:space="preserve"> level proposed by the EC SCF (2003). EFSA (2014b) cites evidence published between 1984 and 2004 that phytic acid reduces zinc absorption efficiency and states this as the reason for setting a higher minimum level for soy-based formula than cow’s milk-based formula.</w:t>
      </w:r>
    </w:p>
    <w:p w14:paraId="07A4989E" w14:textId="77777777" w:rsidR="007F4143" w:rsidRDefault="007F4143" w:rsidP="00776154"/>
    <w:p w14:paraId="3780CF62" w14:textId="77777777" w:rsidR="00776154" w:rsidRDefault="00776154" w:rsidP="00776154">
      <w:r>
        <w:rPr>
          <w:noProof/>
          <w:lang w:eastAsia="en-GB" w:bidi="ar-SA"/>
        </w:rPr>
        <w:drawing>
          <wp:inline distT="0" distB="0" distL="0" distR="0" wp14:anchorId="15048FCD" wp14:editId="6B0D70C7">
            <wp:extent cx="5603622" cy="1988127"/>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622940" cy="1994981"/>
                    </a:xfrm>
                    <a:prstGeom prst="rect">
                      <a:avLst/>
                    </a:prstGeom>
                    <a:noFill/>
                  </pic:spPr>
                </pic:pic>
              </a:graphicData>
            </a:graphic>
          </wp:inline>
        </w:drawing>
      </w:r>
    </w:p>
    <w:p w14:paraId="63A0A882" w14:textId="29752B68" w:rsidR="00776154" w:rsidRPr="0011607A" w:rsidRDefault="00C75C37" w:rsidP="0011607A">
      <w:pPr>
        <w:pStyle w:val="FSCaption"/>
      </w:pPr>
      <w:r w:rsidRPr="0011607A">
        <w:t>Figure 7</w:t>
      </w:r>
      <w:r w:rsidR="007F4A71">
        <w:t>.3.9</w:t>
      </w:r>
      <w:r w:rsidR="00776154" w:rsidRPr="0011607A">
        <w:tab/>
        <w:t>Comparison of the permitted ranges for zinc in Standard 2.9.1, Codex STAN 72-1981 and EU 2016</w:t>
      </w:r>
      <w:r w:rsidR="004841A6" w:rsidRPr="0011607A">
        <w:t>/127</w:t>
      </w:r>
      <w:r w:rsidR="00776154" w:rsidRPr="0011607A">
        <w:t>, human milk concentration, and the survey of the content in products on the ANZ market.</w:t>
      </w:r>
    </w:p>
    <w:p w14:paraId="0B60DBE0" w14:textId="77777777" w:rsidR="00776154" w:rsidRPr="00BA1FD9" w:rsidRDefault="00776154" w:rsidP="00776154">
      <w:pPr>
        <w:pStyle w:val="Heading4"/>
      </w:pPr>
      <w:r w:rsidRPr="00BA1FD9">
        <w:t>Prop</w:t>
      </w:r>
      <w:r>
        <w:t>o</w:t>
      </w:r>
      <w:r w:rsidRPr="00BA1FD9">
        <w:t xml:space="preserve">sed </w:t>
      </w:r>
      <w:r>
        <w:t>approach</w:t>
      </w:r>
    </w:p>
    <w:p w14:paraId="7A157488" w14:textId="599D842E" w:rsidR="00776154" w:rsidRDefault="00776154" w:rsidP="00776154">
      <w:r>
        <w:t>Based on the conclusions of the nutrition</w:t>
      </w:r>
      <w:r w:rsidR="00036EB5">
        <w:t xml:space="preserve"> risk</w:t>
      </w:r>
      <w:r>
        <w:t xml:space="preserve"> assessment</w:t>
      </w:r>
      <w:r w:rsidR="007F4143">
        <w:t>,</w:t>
      </w:r>
      <w:r>
        <w:t xml:space="preserve"> FSANZ proposes to align the permitted range with Codex STAN 1972-81 which includes a maximum that accommodates the higher concentration of zinc in soy-based formula.</w:t>
      </w:r>
      <w:r w:rsidR="00F1262C">
        <w:t xml:space="preserve"> </w:t>
      </w:r>
      <w:r>
        <w:t>FSANZ also proposes that the prescribe</w:t>
      </w:r>
      <w:r w:rsidR="00A90DBD">
        <w:t xml:space="preserve">d Zn:Cu ratio be removed. </w:t>
      </w:r>
    </w:p>
    <w:p w14:paraId="24248802" w14:textId="2DE1B530" w:rsidR="00776154" w:rsidRDefault="00C75C37" w:rsidP="00D63F6F">
      <w:pPr>
        <w:pStyle w:val="Heading3"/>
      </w:pPr>
      <w:bookmarkStart w:id="389" w:name="_Toc440462471"/>
      <w:bookmarkStart w:id="390" w:name="_Toc440470868"/>
      <w:r>
        <w:t>7</w:t>
      </w:r>
      <w:r w:rsidR="002D0686">
        <w:t>.3.10</w:t>
      </w:r>
      <w:r w:rsidR="00776154">
        <w:tab/>
      </w:r>
      <w:r w:rsidR="00776154" w:rsidRPr="00D54591">
        <w:t>Iron</w:t>
      </w:r>
      <w:bookmarkEnd w:id="389"/>
      <w:bookmarkEnd w:id="390"/>
      <w:r w:rsidR="00776154">
        <w:t xml:space="preserve"> (minimum, maximum)</w:t>
      </w:r>
    </w:p>
    <w:p w14:paraId="28827F48" w14:textId="77777777" w:rsidR="00776154" w:rsidRPr="00C75C37" w:rsidRDefault="00776154" w:rsidP="00C75C37">
      <w:pPr>
        <w:pStyle w:val="Heading4"/>
      </w:pPr>
      <w:r w:rsidRPr="00C75C37">
        <w:t>Current regulations</w:t>
      </w:r>
    </w:p>
    <w:p w14:paraId="7E2DDB3E" w14:textId="46E6506E" w:rsidR="00A90DBD" w:rsidRDefault="00776154" w:rsidP="00776154">
      <w:pPr>
        <w:rPr>
          <w:lang w:eastAsia="en-AU"/>
        </w:rPr>
      </w:pPr>
      <w:r>
        <w:rPr>
          <w:lang w:eastAsia="en-AU"/>
        </w:rPr>
        <w:t>The permitted range for iron varies across different standards and regulations</w:t>
      </w:r>
      <w:r w:rsidR="00F1262C">
        <w:rPr>
          <w:lang w:eastAsia="en-AU"/>
        </w:rPr>
        <w:t xml:space="preserve"> (Table 7.11)</w:t>
      </w:r>
      <w:r w:rsidR="00D06048">
        <w:rPr>
          <w:lang w:eastAsia="en-AU"/>
        </w:rPr>
        <w:t>.</w:t>
      </w:r>
      <w:r>
        <w:rPr>
          <w:lang w:eastAsia="en-AU"/>
        </w:rPr>
        <w:t xml:space="preserve"> Different ranges are set depending on infant age group and soy-based formulas. In more recently reviewed standards (EU 2016</w:t>
      </w:r>
      <w:r w:rsidR="004841A6">
        <w:rPr>
          <w:lang w:eastAsia="en-AU"/>
        </w:rPr>
        <w:t>/127</w:t>
      </w:r>
      <w:r>
        <w:rPr>
          <w:lang w:eastAsia="en-AU"/>
        </w:rPr>
        <w:t xml:space="preserve"> and the </w:t>
      </w:r>
      <w:r w:rsidR="00B96544">
        <w:t>Codex Draft Standard for FUF</w:t>
      </w:r>
      <w:r>
        <w:rPr>
          <w:lang w:eastAsia="en-AU"/>
        </w:rPr>
        <w:t xml:space="preserve">), minimum and maximum iron amounts are higher for formulas for older infants (6-12 months) and those based on soy protein. </w:t>
      </w:r>
    </w:p>
    <w:p w14:paraId="1D42E818" w14:textId="77777777" w:rsidR="00036EB5" w:rsidRPr="00AA446F" w:rsidRDefault="00036EB5" w:rsidP="00036EB5">
      <w:pPr>
        <w:pStyle w:val="Heading4"/>
        <w:rPr>
          <w:rFonts w:eastAsia="Arial Unicode MS"/>
          <w:lang w:val="en-AU"/>
        </w:rPr>
      </w:pPr>
      <w:r w:rsidRPr="00C75C37">
        <w:t>Previous consideration</w:t>
      </w:r>
    </w:p>
    <w:p w14:paraId="2ACE9E50" w14:textId="77777777" w:rsidR="00036EB5" w:rsidRDefault="00036EB5" w:rsidP="00036EB5">
      <w:r w:rsidRPr="00AA446F">
        <w:rPr>
          <w:lang w:val="en-AU"/>
        </w:rPr>
        <w:t>The 2016 nutri</w:t>
      </w:r>
      <w:r>
        <w:rPr>
          <w:lang w:val="en-AU"/>
        </w:rPr>
        <w:t>tion risk assessment concluded that formula</w:t>
      </w:r>
      <w:r w:rsidRPr="00AA446F">
        <w:t>-fed infants have a lower risk of iron deficiency or iron deficiency anaemia (IDA) than breastfed infants but there is evidence of inadequate iron status in some population groups of older infants.</w:t>
      </w:r>
      <w:r>
        <w:t xml:space="preserve"> The nutrition risk assessment </w:t>
      </w:r>
      <w:r w:rsidRPr="00AA446F">
        <w:t>concluded that lowering the minimum to the Codex STAN 72-1981 could pose a risk to infant health</w:t>
      </w:r>
      <w:r w:rsidRPr="00F225A6">
        <w:t xml:space="preserve"> </w:t>
      </w:r>
      <w:r>
        <w:t>as t</w:t>
      </w:r>
      <w:r w:rsidRPr="00AA446F">
        <w:t>he Codex STAN 72-1981 minimum is substan</w:t>
      </w:r>
      <w:r>
        <w:t>tially lower than Standard 2.9.1</w:t>
      </w:r>
      <w:r w:rsidRPr="00AA446F">
        <w:t>.</w:t>
      </w:r>
    </w:p>
    <w:p w14:paraId="539C2260" w14:textId="77777777" w:rsidR="00036EB5" w:rsidRPr="00AA446F" w:rsidRDefault="00036EB5" w:rsidP="00036EB5"/>
    <w:p w14:paraId="27DFA95F" w14:textId="77777777" w:rsidR="00036EB5" w:rsidRPr="00AA446F" w:rsidRDefault="00036EB5" w:rsidP="00036EB5">
      <w:r w:rsidRPr="00AA446F">
        <w:t xml:space="preserve">No maximum level for iron is specified in Codex STAN 72-1981 but </w:t>
      </w:r>
      <w:r>
        <w:t xml:space="preserve">it is </w:t>
      </w:r>
      <w:r w:rsidRPr="00AA446F">
        <w:t xml:space="preserve">restricted through individual </w:t>
      </w:r>
      <w:r>
        <w:t xml:space="preserve">national </w:t>
      </w:r>
      <w:r w:rsidRPr="00AA446F">
        <w:t>authorities setting their own maximum. The current maximum specified by Standard 2.9.1 was considered to be unlikely to pose a risk to infant health since estimated intakes were below the NHMRC UL for iron.</w:t>
      </w:r>
    </w:p>
    <w:p w14:paraId="4A717BF3" w14:textId="77777777" w:rsidR="00036EB5" w:rsidRPr="00AA446F" w:rsidRDefault="00036EB5" w:rsidP="00036EB5"/>
    <w:p w14:paraId="7EACFC54" w14:textId="77777777" w:rsidR="00036EB5" w:rsidRPr="00AA446F" w:rsidRDefault="00036EB5" w:rsidP="00036EB5">
      <w:r w:rsidRPr="00AA446F">
        <w:rPr>
          <w:bCs/>
          <w:iCs/>
          <w:lang w:eastAsia="en-AU"/>
        </w:rPr>
        <w:t xml:space="preserve">FSANZ’s </w:t>
      </w:r>
      <w:r>
        <w:rPr>
          <w:bCs/>
          <w:iCs/>
          <w:lang w:eastAsia="en-AU"/>
        </w:rPr>
        <w:t xml:space="preserve">2013–14 and 2021 </w:t>
      </w:r>
      <w:r w:rsidRPr="00AA446F">
        <w:rPr>
          <w:bCs/>
          <w:iCs/>
          <w:lang w:eastAsia="en-AU"/>
        </w:rPr>
        <w:t xml:space="preserve">label survey of infant formula found the iron content of all formula was within both the Codex and Standard 2.9.1 provisions. </w:t>
      </w:r>
    </w:p>
    <w:p w14:paraId="4D5927AA" w14:textId="77777777" w:rsidR="00036EB5" w:rsidRPr="00AA446F" w:rsidRDefault="00036EB5" w:rsidP="00036EB5"/>
    <w:p w14:paraId="7053760D" w14:textId="77777777" w:rsidR="00036EB5" w:rsidRPr="00AA446F" w:rsidRDefault="00036EB5" w:rsidP="00036EB5">
      <w:pPr>
        <w:rPr>
          <w:lang w:val="en-AU"/>
        </w:rPr>
      </w:pPr>
      <w:r>
        <w:t>The p</w:t>
      </w:r>
      <w:r w:rsidRPr="00AA446F">
        <w:t xml:space="preserve">reliminary view </w:t>
      </w:r>
      <w:r>
        <w:t>in 2016 was t</w:t>
      </w:r>
      <w:r w:rsidRPr="00AA446F">
        <w:t xml:space="preserve">o retain current permitted range for iron. Because of uncertainty around iron requirements for </w:t>
      </w:r>
      <w:r>
        <w:t>isolated soy protein (</w:t>
      </w:r>
      <w:r w:rsidRPr="00AA446F">
        <w:t>ISP</w:t>
      </w:r>
      <w:r>
        <w:t>)</w:t>
      </w:r>
      <w:r w:rsidRPr="00AA446F">
        <w:t xml:space="preserve">-based formula, further information was requested from submitters on whether the current permitted range of iron should be retained. </w:t>
      </w:r>
    </w:p>
    <w:p w14:paraId="62C0EA3D" w14:textId="77777777" w:rsidR="00036EB5" w:rsidRDefault="00036EB5" w:rsidP="00776154">
      <w:pPr>
        <w:rPr>
          <w:lang w:eastAsia="en-AU"/>
        </w:rPr>
      </w:pPr>
    </w:p>
    <w:p w14:paraId="5AAA2806" w14:textId="20564D27" w:rsidR="00776154" w:rsidRPr="00A90DBD" w:rsidRDefault="00C75C37" w:rsidP="00113BD1">
      <w:pPr>
        <w:pStyle w:val="FSTitle"/>
      </w:pPr>
      <w:bookmarkStart w:id="391" w:name="_Toc74061252"/>
      <w:r>
        <w:t>Table 7</w:t>
      </w:r>
      <w:r w:rsidR="00F1262C">
        <w:t>.1</w:t>
      </w:r>
      <w:r>
        <w:t>1</w:t>
      </w:r>
      <w:r w:rsidR="00776154" w:rsidRPr="00A90DBD">
        <w:tab/>
        <w:t xml:space="preserve">Permitted </w:t>
      </w:r>
      <w:r w:rsidR="00776154" w:rsidRPr="00113BD1">
        <w:t>range</w:t>
      </w:r>
      <w:r w:rsidR="00776154" w:rsidRPr="00A90DBD">
        <w:t xml:space="preserve"> for iron</w:t>
      </w:r>
      <w:bookmarkEnd w:id="391"/>
      <w:r w:rsidR="00776154" w:rsidRPr="00A90DBD">
        <w:t xml:space="preserve"> </w:t>
      </w:r>
    </w:p>
    <w:tbl>
      <w:tblPr>
        <w:tblStyle w:val="MediumShading1-Accent3"/>
        <w:tblW w:w="91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7.3.3.5.1 Permitted range for iron (mg/100 kJ) "/>
        <w:tblDescription w:val="This table summarises the permitted range for iron in Standard 2.9.1, Codex STAN 72-1981 and EU 2016/127."/>
      </w:tblPr>
      <w:tblGrid>
        <w:gridCol w:w="850"/>
        <w:gridCol w:w="992"/>
        <w:gridCol w:w="852"/>
        <w:gridCol w:w="850"/>
        <w:gridCol w:w="992"/>
        <w:gridCol w:w="992"/>
        <w:gridCol w:w="850"/>
        <w:gridCol w:w="852"/>
        <w:gridCol w:w="1969"/>
      </w:tblGrid>
      <w:tr w:rsidR="00776154" w:rsidRPr="00376955" w14:paraId="45D2A6DC" w14:textId="77777777" w:rsidTr="00F1262C">
        <w:trPr>
          <w:cnfStyle w:val="100000000000" w:firstRow="1" w:lastRow="0" w:firstColumn="0" w:lastColumn="0" w:oddVBand="0" w:evenVBand="0" w:oddHBand="0" w:evenHBand="0" w:firstRowFirstColumn="0" w:firstRowLastColumn="0" w:lastRowFirstColumn="0" w:lastRowLastColumn="0"/>
          <w:trHeight w:val="397"/>
          <w:tblHeader/>
        </w:trPr>
        <w:tc>
          <w:tcPr>
            <w:cnfStyle w:val="001000000000" w:firstRow="0" w:lastRow="0" w:firstColumn="1" w:lastColumn="0" w:oddVBand="0" w:evenVBand="0" w:oddHBand="0" w:evenHBand="0" w:firstRowFirstColumn="0" w:firstRowLastColumn="0" w:lastRowFirstColumn="0" w:lastRowLastColumn="0"/>
            <w:tcW w:w="1001" w:type="pct"/>
            <w:gridSpan w:val="2"/>
            <w:vMerge w:val="restart"/>
            <w:tcBorders>
              <w:top w:val="none" w:sz="0" w:space="0" w:color="auto"/>
              <w:left w:val="none" w:sz="0" w:space="0" w:color="auto"/>
              <w:bottom w:val="none" w:sz="0" w:space="0" w:color="auto"/>
              <w:right w:val="none" w:sz="0" w:space="0" w:color="auto"/>
            </w:tcBorders>
            <w:shd w:val="clear" w:color="auto" w:fill="E5DFEC" w:themeFill="accent4" w:themeFillTint="33"/>
            <w:vAlign w:val="center"/>
          </w:tcPr>
          <w:p w14:paraId="4CCE6311" w14:textId="77777777" w:rsidR="00776154" w:rsidRPr="00840CE5" w:rsidRDefault="00776154" w:rsidP="00F1262C">
            <w:pPr>
              <w:keepNext/>
              <w:jc w:val="center"/>
              <w:rPr>
                <w:color w:val="auto"/>
              </w:rPr>
            </w:pPr>
            <w:r w:rsidRPr="00840CE5">
              <w:rPr>
                <w:color w:val="auto"/>
              </w:rPr>
              <w:t>Type of formula</w:t>
            </w:r>
          </w:p>
        </w:tc>
        <w:tc>
          <w:tcPr>
            <w:tcW w:w="925" w:type="pct"/>
            <w:gridSpan w:val="2"/>
            <w:tcBorders>
              <w:top w:val="none" w:sz="0" w:space="0" w:color="auto"/>
              <w:left w:val="none" w:sz="0" w:space="0" w:color="auto"/>
              <w:bottom w:val="none" w:sz="0" w:space="0" w:color="auto"/>
              <w:right w:val="none" w:sz="0" w:space="0" w:color="auto"/>
            </w:tcBorders>
            <w:shd w:val="clear" w:color="auto" w:fill="DBE5F1" w:themeFill="accent1" w:themeFillTint="33"/>
            <w:vAlign w:val="center"/>
          </w:tcPr>
          <w:p w14:paraId="24BB6ACE" w14:textId="113114D4" w:rsidR="00776154" w:rsidRPr="00840CE5" w:rsidRDefault="00776154" w:rsidP="00F1262C">
            <w:pPr>
              <w:keepNext/>
              <w:jc w:val="center"/>
              <w:cnfStyle w:val="100000000000" w:firstRow="1" w:lastRow="0" w:firstColumn="0" w:lastColumn="0" w:oddVBand="0" w:evenVBand="0" w:oddHBand="0" w:evenHBand="0" w:firstRowFirstColumn="0" w:firstRowLastColumn="0" w:lastRowFirstColumn="0" w:lastRowLastColumn="0"/>
              <w:rPr>
                <w:color w:val="auto"/>
              </w:rPr>
            </w:pPr>
            <w:r w:rsidRPr="00840CE5">
              <w:rPr>
                <w:color w:val="auto"/>
              </w:rPr>
              <w:t>Standard 2.9.1</w:t>
            </w:r>
          </w:p>
        </w:tc>
        <w:tc>
          <w:tcPr>
            <w:tcW w:w="1078" w:type="pct"/>
            <w:gridSpan w:val="2"/>
            <w:tcBorders>
              <w:top w:val="none" w:sz="0" w:space="0" w:color="auto"/>
              <w:left w:val="none" w:sz="0" w:space="0" w:color="auto"/>
              <w:bottom w:val="none" w:sz="0" w:space="0" w:color="auto"/>
              <w:right w:val="none" w:sz="0" w:space="0" w:color="auto"/>
            </w:tcBorders>
            <w:shd w:val="clear" w:color="auto" w:fill="EAF1DD" w:themeFill="accent3" w:themeFillTint="33"/>
            <w:vAlign w:val="center"/>
          </w:tcPr>
          <w:p w14:paraId="44FD1C54" w14:textId="77777777" w:rsidR="00776154" w:rsidRPr="00840CE5" w:rsidRDefault="00776154" w:rsidP="00F1262C">
            <w:pPr>
              <w:keepNext/>
              <w:jc w:val="center"/>
              <w:cnfStyle w:val="100000000000" w:firstRow="1" w:lastRow="0" w:firstColumn="0" w:lastColumn="0" w:oddVBand="0" w:evenVBand="0" w:oddHBand="0" w:evenHBand="0" w:firstRowFirstColumn="0" w:firstRowLastColumn="0" w:lastRowFirstColumn="0" w:lastRowLastColumn="0"/>
              <w:rPr>
                <w:color w:val="auto"/>
              </w:rPr>
            </w:pPr>
            <w:r w:rsidRPr="00840CE5">
              <w:rPr>
                <w:color w:val="auto"/>
              </w:rPr>
              <w:t>Codex STAN 72-1981</w:t>
            </w:r>
          </w:p>
        </w:tc>
        <w:tc>
          <w:tcPr>
            <w:tcW w:w="925" w:type="pct"/>
            <w:gridSpan w:val="2"/>
            <w:tcBorders>
              <w:top w:val="none" w:sz="0" w:space="0" w:color="auto"/>
              <w:left w:val="none" w:sz="0" w:space="0" w:color="auto"/>
              <w:bottom w:val="none" w:sz="0" w:space="0" w:color="auto"/>
              <w:right w:val="none" w:sz="0" w:space="0" w:color="auto"/>
            </w:tcBorders>
            <w:shd w:val="clear" w:color="auto" w:fill="DAEEF3" w:themeFill="accent5" w:themeFillTint="33"/>
            <w:vAlign w:val="center"/>
          </w:tcPr>
          <w:p w14:paraId="3D34A4E6" w14:textId="05D46CBA" w:rsidR="00776154" w:rsidRPr="00840CE5" w:rsidRDefault="00776154" w:rsidP="00F1262C">
            <w:pPr>
              <w:keepNext/>
              <w:jc w:val="center"/>
              <w:cnfStyle w:val="100000000000" w:firstRow="1" w:lastRow="0" w:firstColumn="0" w:lastColumn="0" w:oddVBand="0" w:evenVBand="0" w:oddHBand="0" w:evenHBand="0" w:firstRowFirstColumn="0" w:firstRowLastColumn="0" w:lastRowFirstColumn="0" w:lastRowLastColumn="0"/>
              <w:rPr>
                <w:color w:val="auto"/>
              </w:rPr>
            </w:pPr>
            <w:r w:rsidRPr="00840CE5">
              <w:rPr>
                <w:color w:val="auto"/>
              </w:rPr>
              <w:t>EU 2016</w:t>
            </w:r>
            <w:r w:rsidR="00F225A6" w:rsidRPr="00840CE5">
              <w:rPr>
                <w:color w:val="auto"/>
              </w:rPr>
              <w:t>/127*</w:t>
            </w:r>
          </w:p>
        </w:tc>
        <w:tc>
          <w:tcPr>
            <w:tcW w:w="1070" w:type="pct"/>
            <w:vMerge w:val="restart"/>
            <w:tcBorders>
              <w:top w:val="none" w:sz="0" w:space="0" w:color="auto"/>
              <w:left w:val="none" w:sz="0" w:space="0" w:color="auto"/>
              <w:bottom w:val="none" w:sz="0" w:space="0" w:color="auto"/>
              <w:right w:val="none" w:sz="0" w:space="0" w:color="auto"/>
            </w:tcBorders>
            <w:shd w:val="clear" w:color="auto" w:fill="DDD9C3" w:themeFill="background2" w:themeFillShade="E6"/>
          </w:tcPr>
          <w:p w14:paraId="27A6D1FD" w14:textId="0C70D1C5" w:rsidR="00776154" w:rsidRPr="00840CE5" w:rsidRDefault="00776154">
            <w:pPr>
              <w:keepNext/>
              <w:jc w:val="center"/>
              <w:cnfStyle w:val="100000000000" w:firstRow="1" w:lastRow="0" w:firstColumn="0" w:lastColumn="0" w:oddVBand="0" w:evenVBand="0" w:oddHBand="0" w:evenHBand="0" w:firstRowFirstColumn="0" w:firstRowLastColumn="0" w:lastRowFirstColumn="0" w:lastRowLastColumn="0"/>
              <w:rPr>
                <w:color w:val="auto"/>
              </w:rPr>
            </w:pPr>
            <w:r w:rsidRPr="00840CE5">
              <w:rPr>
                <w:color w:val="auto"/>
              </w:rPr>
              <w:t>Range of average content in products on the market^</w:t>
            </w:r>
          </w:p>
        </w:tc>
      </w:tr>
      <w:tr w:rsidR="008915F4" w:rsidRPr="00376955" w14:paraId="069BD385" w14:textId="77777777" w:rsidTr="00F1262C">
        <w:trPr>
          <w:cnfStyle w:val="100000000000" w:firstRow="1" w:lastRow="0" w:firstColumn="0" w:lastColumn="0" w:oddVBand="0" w:evenVBand="0" w:oddHBand="0" w:evenHBand="0" w:firstRowFirstColumn="0" w:firstRowLastColumn="0" w:lastRowFirstColumn="0" w:lastRowLastColumn="0"/>
          <w:trHeight w:val="397"/>
          <w:tblHeader/>
        </w:trPr>
        <w:tc>
          <w:tcPr>
            <w:cnfStyle w:val="001000000000" w:firstRow="0" w:lastRow="0" w:firstColumn="1" w:lastColumn="0" w:oddVBand="0" w:evenVBand="0" w:oddHBand="0" w:evenHBand="0" w:firstRowFirstColumn="0" w:firstRowLastColumn="0" w:lastRowFirstColumn="0" w:lastRowLastColumn="0"/>
            <w:tcW w:w="1001" w:type="pct"/>
            <w:gridSpan w:val="2"/>
            <w:vMerge/>
            <w:tcBorders>
              <w:top w:val="none" w:sz="0" w:space="0" w:color="auto"/>
              <w:left w:val="none" w:sz="0" w:space="0" w:color="auto"/>
              <w:bottom w:val="none" w:sz="0" w:space="0" w:color="auto"/>
              <w:right w:val="none" w:sz="0" w:space="0" w:color="auto"/>
            </w:tcBorders>
            <w:shd w:val="clear" w:color="auto" w:fill="E5DFEC" w:themeFill="accent4" w:themeFillTint="33"/>
            <w:vAlign w:val="center"/>
          </w:tcPr>
          <w:p w14:paraId="3D58187E" w14:textId="77777777" w:rsidR="00776154" w:rsidRPr="000B7C92" w:rsidRDefault="00776154" w:rsidP="00F1262C">
            <w:pPr>
              <w:keepNext/>
              <w:keepLines/>
              <w:jc w:val="center"/>
            </w:pPr>
          </w:p>
        </w:tc>
        <w:tc>
          <w:tcPr>
            <w:tcW w:w="463" w:type="pct"/>
            <w:tcBorders>
              <w:top w:val="none" w:sz="0" w:space="0" w:color="auto"/>
              <w:left w:val="none" w:sz="0" w:space="0" w:color="auto"/>
              <w:bottom w:val="none" w:sz="0" w:space="0" w:color="auto"/>
              <w:right w:val="none" w:sz="0" w:space="0" w:color="auto"/>
            </w:tcBorders>
            <w:shd w:val="clear" w:color="auto" w:fill="DBE5F1" w:themeFill="accent1" w:themeFillTint="33"/>
            <w:vAlign w:val="center"/>
          </w:tcPr>
          <w:p w14:paraId="77B07A0E" w14:textId="77777777" w:rsidR="00776154" w:rsidRPr="00840CE5" w:rsidRDefault="00776154" w:rsidP="00F1262C">
            <w:pPr>
              <w:keepNext/>
              <w:keepLines/>
              <w:jc w:val="center"/>
              <w:cnfStyle w:val="100000000000" w:firstRow="1" w:lastRow="0" w:firstColumn="0" w:lastColumn="0" w:oddVBand="0" w:evenVBand="0" w:oddHBand="0" w:evenHBand="0" w:firstRowFirstColumn="0" w:firstRowLastColumn="0" w:lastRowFirstColumn="0" w:lastRowLastColumn="0"/>
              <w:rPr>
                <w:color w:val="auto"/>
              </w:rPr>
            </w:pPr>
            <w:r w:rsidRPr="00840CE5">
              <w:rPr>
                <w:color w:val="auto"/>
              </w:rPr>
              <w:t>Min</w:t>
            </w:r>
          </w:p>
        </w:tc>
        <w:tc>
          <w:tcPr>
            <w:tcW w:w="462" w:type="pct"/>
            <w:tcBorders>
              <w:top w:val="none" w:sz="0" w:space="0" w:color="auto"/>
              <w:left w:val="none" w:sz="0" w:space="0" w:color="auto"/>
              <w:bottom w:val="none" w:sz="0" w:space="0" w:color="auto"/>
              <w:right w:val="none" w:sz="0" w:space="0" w:color="auto"/>
            </w:tcBorders>
            <w:shd w:val="clear" w:color="auto" w:fill="DBE5F1" w:themeFill="accent1" w:themeFillTint="33"/>
            <w:vAlign w:val="center"/>
          </w:tcPr>
          <w:p w14:paraId="48475496" w14:textId="77777777" w:rsidR="00776154" w:rsidRPr="00840CE5" w:rsidRDefault="00776154" w:rsidP="00F1262C">
            <w:pPr>
              <w:keepNext/>
              <w:keepLines/>
              <w:jc w:val="center"/>
              <w:cnfStyle w:val="100000000000" w:firstRow="1" w:lastRow="0" w:firstColumn="0" w:lastColumn="0" w:oddVBand="0" w:evenVBand="0" w:oddHBand="0" w:evenHBand="0" w:firstRowFirstColumn="0" w:firstRowLastColumn="0" w:lastRowFirstColumn="0" w:lastRowLastColumn="0"/>
              <w:rPr>
                <w:color w:val="auto"/>
              </w:rPr>
            </w:pPr>
            <w:r w:rsidRPr="00840CE5">
              <w:rPr>
                <w:color w:val="auto"/>
              </w:rPr>
              <w:t>Max</w:t>
            </w:r>
          </w:p>
        </w:tc>
        <w:tc>
          <w:tcPr>
            <w:tcW w:w="539" w:type="pct"/>
            <w:tcBorders>
              <w:top w:val="none" w:sz="0" w:space="0" w:color="auto"/>
              <w:left w:val="none" w:sz="0" w:space="0" w:color="auto"/>
              <w:bottom w:val="none" w:sz="0" w:space="0" w:color="auto"/>
              <w:right w:val="none" w:sz="0" w:space="0" w:color="auto"/>
            </w:tcBorders>
            <w:shd w:val="clear" w:color="auto" w:fill="EAF1DD" w:themeFill="accent3" w:themeFillTint="33"/>
            <w:vAlign w:val="center"/>
          </w:tcPr>
          <w:p w14:paraId="7384CEBD" w14:textId="77777777" w:rsidR="00776154" w:rsidRPr="00840CE5" w:rsidRDefault="00776154" w:rsidP="00F1262C">
            <w:pPr>
              <w:keepNext/>
              <w:keepLines/>
              <w:jc w:val="center"/>
              <w:cnfStyle w:val="100000000000" w:firstRow="1" w:lastRow="0" w:firstColumn="0" w:lastColumn="0" w:oddVBand="0" w:evenVBand="0" w:oddHBand="0" w:evenHBand="0" w:firstRowFirstColumn="0" w:firstRowLastColumn="0" w:lastRowFirstColumn="0" w:lastRowLastColumn="0"/>
              <w:rPr>
                <w:color w:val="auto"/>
              </w:rPr>
            </w:pPr>
            <w:r w:rsidRPr="00840CE5">
              <w:rPr>
                <w:color w:val="auto"/>
              </w:rPr>
              <w:t>Min</w:t>
            </w:r>
          </w:p>
        </w:tc>
        <w:tc>
          <w:tcPr>
            <w:tcW w:w="539" w:type="pct"/>
            <w:tcBorders>
              <w:top w:val="none" w:sz="0" w:space="0" w:color="auto"/>
              <w:left w:val="none" w:sz="0" w:space="0" w:color="auto"/>
              <w:bottom w:val="none" w:sz="0" w:space="0" w:color="auto"/>
              <w:right w:val="none" w:sz="0" w:space="0" w:color="auto"/>
            </w:tcBorders>
            <w:shd w:val="clear" w:color="auto" w:fill="EAF1DD" w:themeFill="accent3" w:themeFillTint="33"/>
            <w:vAlign w:val="center"/>
          </w:tcPr>
          <w:p w14:paraId="48FC171B" w14:textId="77777777" w:rsidR="00776154" w:rsidRPr="00840CE5" w:rsidRDefault="00776154" w:rsidP="00F1262C">
            <w:pPr>
              <w:keepNext/>
              <w:keepLines/>
              <w:jc w:val="center"/>
              <w:cnfStyle w:val="100000000000" w:firstRow="1" w:lastRow="0" w:firstColumn="0" w:lastColumn="0" w:oddVBand="0" w:evenVBand="0" w:oddHBand="0" w:evenHBand="0" w:firstRowFirstColumn="0" w:firstRowLastColumn="0" w:lastRowFirstColumn="0" w:lastRowLastColumn="0"/>
              <w:rPr>
                <w:color w:val="auto"/>
              </w:rPr>
            </w:pPr>
            <w:r w:rsidRPr="00840CE5">
              <w:rPr>
                <w:color w:val="auto"/>
              </w:rPr>
              <w:t>Max</w:t>
            </w:r>
          </w:p>
        </w:tc>
        <w:tc>
          <w:tcPr>
            <w:tcW w:w="462" w:type="pct"/>
            <w:tcBorders>
              <w:top w:val="none" w:sz="0" w:space="0" w:color="auto"/>
              <w:left w:val="none" w:sz="0" w:space="0" w:color="auto"/>
              <w:bottom w:val="none" w:sz="0" w:space="0" w:color="auto"/>
              <w:right w:val="none" w:sz="0" w:space="0" w:color="auto"/>
            </w:tcBorders>
            <w:shd w:val="clear" w:color="auto" w:fill="DAEEF3" w:themeFill="accent5" w:themeFillTint="33"/>
            <w:vAlign w:val="center"/>
          </w:tcPr>
          <w:p w14:paraId="0A0F36C3" w14:textId="77777777" w:rsidR="00776154" w:rsidRPr="00840CE5" w:rsidRDefault="00776154" w:rsidP="00F1262C">
            <w:pPr>
              <w:keepNext/>
              <w:keepLines/>
              <w:jc w:val="center"/>
              <w:cnfStyle w:val="100000000000" w:firstRow="1" w:lastRow="0" w:firstColumn="0" w:lastColumn="0" w:oddVBand="0" w:evenVBand="0" w:oddHBand="0" w:evenHBand="0" w:firstRowFirstColumn="0" w:firstRowLastColumn="0" w:lastRowFirstColumn="0" w:lastRowLastColumn="0"/>
              <w:rPr>
                <w:color w:val="auto"/>
              </w:rPr>
            </w:pPr>
            <w:r w:rsidRPr="00840CE5">
              <w:rPr>
                <w:color w:val="auto"/>
              </w:rPr>
              <w:t>Min</w:t>
            </w:r>
          </w:p>
        </w:tc>
        <w:tc>
          <w:tcPr>
            <w:tcW w:w="463" w:type="pct"/>
            <w:tcBorders>
              <w:top w:val="none" w:sz="0" w:space="0" w:color="auto"/>
              <w:left w:val="none" w:sz="0" w:space="0" w:color="auto"/>
              <w:bottom w:val="none" w:sz="0" w:space="0" w:color="auto"/>
              <w:right w:val="none" w:sz="0" w:space="0" w:color="auto"/>
            </w:tcBorders>
            <w:shd w:val="clear" w:color="auto" w:fill="DAEEF3" w:themeFill="accent5" w:themeFillTint="33"/>
            <w:vAlign w:val="center"/>
          </w:tcPr>
          <w:p w14:paraId="04B4830D" w14:textId="77777777" w:rsidR="00776154" w:rsidRPr="00840CE5" w:rsidRDefault="00776154" w:rsidP="00F1262C">
            <w:pPr>
              <w:keepNext/>
              <w:keepLines/>
              <w:jc w:val="center"/>
              <w:cnfStyle w:val="100000000000" w:firstRow="1" w:lastRow="0" w:firstColumn="0" w:lastColumn="0" w:oddVBand="0" w:evenVBand="0" w:oddHBand="0" w:evenHBand="0" w:firstRowFirstColumn="0" w:firstRowLastColumn="0" w:lastRowFirstColumn="0" w:lastRowLastColumn="0"/>
              <w:rPr>
                <w:color w:val="auto"/>
              </w:rPr>
            </w:pPr>
            <w:r w:rsidRPr="00840CE5">
              <w:rPr>
                <w:color w:val="auto"/>
              </w:rPr>
              <w:t>Max</w:t>
            </w:r>
          </w:p>
        </w:tc>
        <w:tc>
          <w:tcPr>
            <w:tcW w:w="1070" w:type="pct"/>
            <w:vMerge/>
            <w:tcBorders>
              <w:top w:val="none" w:sz="0" w:space="0" w:color="auto"/>
              <w:left w:val="none" w:sz="0" w:space="0" w:color="auto"/>
              <w:bottom w:val="none" w:sz="0" w:space="0" w:color="auto"/>
              <w:right w:val="none" w:sz="0" w:space="0" w:color="auto"/>
            </w:tcBorders>
            <w:shd w:val="clear" w:color="auto" w:fill="DDD9C3" w:themeFill="background2" w:themeFillShade="E6"/>
            <w:vAlign w:val="center"/>
          </w:tcPr>
          <w:p w14:paraId="5073D414" w14:textId="2921DF00" w:rsidR="00776154" w:rsidRPr="000B7C92" w:rsidRDefault="00776154" w:rsidP="00776154">
            <w:pPr>
              <w:keepNext/>
              <w:keepLines/>
              <w:jc w:val="center"/>
              <w:cnfStyle w:val="100000000000" w:firstRow="1" w:lastRow="0" w:firstColumn="0" w:lastColumn="0" w:oddVBand="0" w:evenVBand="0" w:oddHBand="0" w:evenHBand="0" w:firstRowFirstColumn="0" w:firstRowLastColumn="0" w:lastRowFirstColumn="0" w:lastRowLastColumn="0"/>
              <w:rPr>
                <w:b w:val="0"/>
              </w:rPr>
            </w:pPr>
          </w:p>
        </w:tc>
      </w:tr>
      <w:tr w:rsidR="008915F4" w:rsidRPr="00376955" w14:paraId="579670A4" w14:textId="77777777" w:rsidTr="00F1262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2" w:type="pct"/>
            <w:vMerge w:val="restart"/>
            <w:tcBorders>
              <w:right w:val="none" w:sz="0" w:space="0" w:color="auto"/>
            </w:tcBorders>
            <w:shd w:val="clear" w:color="auto" w:fill="auto"/>
            <w:vAlign w:val="center"/>
          </w:tcPr>
          <w:p w14:paraId="230E3709" w14:textId="702B3DC5" w:rsidR="00CE3C26" w:rsidRPr="00A2066D" w:rsidRDefault="00CE3C26" w:rsidP="00F1262C">
            <w:pPr>
              <w:keepNext/>
              <w:keepLines/>
              <w:spacing w:before="40" w:after="40"/>
              <w:jc w:val="center"/>
              <w:rPr>
                <w:rFonts w:cs="Arial"/>
              </w:rPr>
            </w:pPr>
            <w:r w:rsidRPr="00A2066D">
              <w:rPr>
                <w:rFonts w:cs="Arial"/>
              </w:rPr>
              <w:t>Cow</w:t>
            </w:r>
            <w:r w:rsidR="00C73A77">
              <w:rPr>
                <w:rFonts w:cs="Arial"/>
              </w:rPr>
              <w:t>’</w:t>
            </w:r>
            <w:r w:rsidRPr="00A2066D">
              <w:rPr>
                <w:rFonts w:cs="Arial"/>
              </w:rPr>
              <w:t>s milk</w:t>
            </w:r>
          </w:p>
        </w:tc>
        <w:tc>
          <w:tcPr>
            <w:tcW w:w="539" w:type="pct"/>
            <w:tcBorders>
              <w:left w:val="none" w:sz="0" w:space="0" w:color="auto"/>
              <w:right w:val="none" w:sz="0" w:space="0" w:color="auto"/>
            </w:tcBorders>
            <w:shd w:val="clear" w:color="auto" w:fill="auto"/>
            <w:vAlign w:val="center"/>
          </w:tcPr>
          <w:p w14:paraId="73622411" w14:textId="6D17B681" w:rsidR="00CE3C26" w:rsidRPr="00A2066D" w:rsidRDefault="00713CAC" w:rsidP="00F1262C">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eastAsia="Arial Unicode MS" w:cs="Arial"/>
              </w:rPr>
            </w:pPr>
            <w:r w:rsidRPr="00713CAC">
              <w:rPr>
                <w:rFonts w:eastAsia="Arial Unicode MS" w:cs="Arial"/>
                <w:sz w:val="18"/>
              </w:rPr>
              <w:t>Infant formula</w:t>
            </w:r>
          </w:p>
        </w:tc>
        <w:tc>
          <w:tcPr>
            <w:tcW w:w="463" w:type="pct"/>
            <w:tcBorders>
              <w:left w:val="none" w:sz="0" w:space="0" w:color="auto"/>
              <w:right w:val="none" w:sz="0" w:space="0" w:color="auto"/>
            </w:tcBorders>
            <w:shd w:val="clear" w:color="auto" w:fill="auto"/>
            <w:vAlign w:val="center"/>
          </w:tcPr>
          <w:p w14:paraId="170E8B2D" w14:textId="77777777" w:rsidR="00CE3C26" w:rsidRPr="0087275B" w:rsidRDefault="00CE3C26" w:rsidP="00F1262C">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cs="Arial"/>
              </w:rPr>
            </w:pPr>
            <w:r w:rsidRPr="0087275B">
              <w:rPr>
                <w:rFonts w:eastAsia="Arial Unicode MS" w:cs="Arial"/>
              </w:rPr>
              <w:t>0.2</w:t>
            </w:r>
          </w:p>
        </w:tc>
        <w:tc>
          <w:tcPr>
            <w:tcW w:w="462" w:type="pct"/>
            <w:tcBorders>
              <w:left w:val="none" w:sz="0" w:space="0" w:color="auto"/>
              <w:right w:val="none" w:sz="0" w:space="0" w:color="auto"/>
            </w:tcBorders>
            <w:shd w:val="clear" w:color="auto" w:fill="auto"/>
            <w:vAlign w:val="center"/>
          </w:tcPr>
          <w:p w14:paraId="23FDFF83" w14:textId="77777777" w:rsidR="00CE3C26" w:rsidRPr="0087275B" w:rsidRDefault="00CE3C26" w:rsidP="00F1262C">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cs="Arial"/>
              </w:rPr>
            </w:pPr>
            <w:r w:rsidRPr="0087275B">
              <w:rPr>
                <w:rFonts w:eastAsia="Arial Unicode MS" w:cs="Arial"/>
              </w:rPr>
              <w:t>0.5</w:t>
            </w:r>
          </w:p>
        </w:tc>
        <w:tc>
          <w:tcPr>
            <w:tcW w:w="539" w:type="pct"/>
            <w:tcBorders>
              <w:left w:val="none" w:sz="0" w:space="0" w:color="auto"/>
              <w:right w:val="none" w:sz="0" w:space="0" w:color="auto"/>
            </w:tcBorders>
            <w:shd w:val="clear" w:color="auto" w:fill="auto"/>
            <w:vAlign w:val="center"/>
          </w:tcPr>
          <w:p w14:paraId="624006F9" w14:textId="77777777" w:rsidR="00CE3C26" w:rsidRPr="0087275B" w:rsidRDefault="00CE3C26" w:rsidP="00F1262C">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cs="Arial"/>
              </w:rPr>
            </w:pPr>
            <w:r w:rsidRPr="0087275B">
              <w:rPr>
                <w:rFonts w:eastAsia="Arial Unicode MS" w:cs="Arial"/>
              </w:rPr>
              <w:t>0.1</w:t>
            </w:r>
          </w:p>
        </w:tc>
        <w:tc>
          <w:tcPr>
            <w:tcW w:w="539" w:type="pct"/>
            <w:tcBorders>
              <w:left w:val="none" w:sz="0" w:space="0" w:color="auto"/>
              <w:right w:val="none" w:sz="0" w:space="0" w:color="auto"/>
            </w:tcBorders>
            <w:shd w:val="clear" w:color="auto" w:fill="auto"/>
            <w:vAlign w:val="center"/>
          </w:tcPr>
          <w:p w14:paraId="4D587C1C" w14:textId="712A5BF1" w:rsidR="00CE3C26" w:rsidRPr="0087275B" w:rsidRDefault="00CE3C26" w:rsidP="00F1262C">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cs="Arial"/>
              </w:rPr>
            </w:pPr>
            <w:r w:rsidRPr="0087275B">
              <w:rPr>
                <w:rFonts w:eastAsia="Arial Unicode MS" w:cs="Arial"/>
              </w:rPr>
              <w:t>N.S.</w:t>
            </w:r>
            <w:r w:rsidR="00F225A6">
              <w:rPr>
                <w:rFonts w:eastAsia="Arial Unicode MS" w:cs="Arial"/>
              </w:rPr>
              <w:t>**</w:t>
            </w:r>
          </w:p>
        </w:tc>
        <w:tc>
          <w:tcPr>
            <w:tcW w:w="462" w:type="pct"/>
            <w:tcBorders>
              <w:left w:val="none" w:sz="0" w:space="0" w:color="auto"/>
              <w:right w:val="none" w:sz="0" w:space="0" w:color="auto"/>
            </w:tcBorders>
            <w:shd w:val="clear" w:color="auto" w:fill="auto"/>
            <w:vAlign w:val="center"/>
          </w:tcPr>
          <w:p w14:paraId="569E2F76" w14:textId="77777777" w:rsidR="00CE3C26" w:rsidRPr="0087275B" w:rsidRDefault="00CE3C26" w:rsidP="00F1262C">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eastAsia="Arial Unicode MS" w:cs="Arial"/>
              </w:rPr>
            </w:pPr>
            <w:r w:rsidRPr="0087275B">
              <w:rPr>
                <w:rFonts w:eastAsia="Arial Unicode MS" w:cs="Arial"/>
              </w:rPr>
              <w:t>0.07</w:t>
            </w:r>
          </w:p>
        </w:tc>
        <w:tc>
          <w:tcPr>
            <w:tcW w:w="463" w:type="pct"/>
            <w:tcBorders>
              <w:left w:val="none" w:sz="0" w:space="0" w:color="auto"/>
              <w:right w:val="none" w:sz="0" w:space="0" w:color="auto"/>
            </w:tcBorders>
            <w:shd w:val="clear" w:color="auto" w:fill="auto"/>
            <w:vAlign w:val="center"/>
          </w:tcPr>
          <w:p w14:paraId="0D8FB449" w14:textId="77777777" w:rsidR="00CE3C26" w:rsidRPr="0087275B" w:rsidRDefault="00CE3C26" w:rsidP="00F1262C">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eastAsia="Arial Unicode MS" w:cs="Arial"/>
              </w:rPr>
            </w:pPr>
            <w:r w:rsidRPr="0087275B">
              <w:rPr>
                <w:rFonts w:eastAsia="Arial Unicode MS" w:cs="Arial"/>
              </w:rPr>
              <w:t>0.31</w:t>
            </w:r>
          </w:p>
        </w:tc>
        <w:tc>
          <w:tcPr>
            <w:tcW w:w="1070" w:type="pct"/>
            <w:vMerge w:val="restart"/>
            <w:tcBorders>
              <w:left w:val="none" w:sz="0" w:space="0" w:color="auto"/>
            </w:tcBorders>
            <w:shd w:val="clear" w:color="auto" w:fill="auto"/>
            <w:vAlign w:val="center"/>
          </w:tcPr>
          <w:p w14:paraId="00CD1B21" w14:textId="7D491C48" w:rsidR="00CE3C26" w:rsidRPr="0087275B" w:rsidRDefault="004841A6" w:rsidP="00A43FE1">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eastAsia="Arial Unicode MS" w:cs="Arial"/>
              </w:rPr>
            </w:pPr>
            <w:r w:rsidRPr="00833625">
              <w:rPr>
                <w:rFonts w:eastAsia="Arial Unicode MS" w:cs="Arial"/>
              </w:rPr>
              <w:t>0.20</w:t>
            </w:r>
            <w:r>
              <w:rPr>
                <w:rFonts w:eastAsia="Arial Unicode MS" w:cs="Arial"/>
              </w:rPr>
              <w:t>–</w:t>
            </w:r>
            <w:r w:rsidR="00CE3C26" w:rsidRPr="00833625">
              <w:rPr>
                <w:rFonts w:eastAsia="Arial Unicode MS" w:cs="Arial"/>
              </w:rPr>
              <w:t>0.44</w:t>
            </w:r>
          </w:p>
        </w:tc>
      </w:tr>
      <w:tr w:rsidR="008915F4" w:rsidRPr="00376955" w14:paraId="274FE53B" w14:textId="77777777" w:rsidTr="00F1262C">
        <w:trPr>
          <w:cnfStyle w:val="000000010000" w:firstRow="0" w:lastRow="0" w:firstColumn="0" w:lastColumn="0" w:oddVBand="0" w:evenVBand="0" w:oddHBand="0" w:evenHBand="1"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2" w:type="pct"/>
            <w:vMerge/>
            <w:tcBorders>
              <w:right w:val="none" w:sz="0" w:space="0" w:color="auto"/>
            </w:tcBorders>
            <w:shd w:val="clear" w:color="auto" w:fill="auto"/>
            <w:vAlign w:val="center"/>
          </w:tcPr>
          <w:p w14:paraId="416C3180" w14:textId="77777777" w:rsidR="00CE3C26" w:rsidRPr="00A2066D" w:rsidRDefault="00CE3C26" w:rsidP="00F1262C">
            <w:pPr>
              <w:keepNext/>
              <w:keepLines/>
              <w:spacing w:before="40" w:after="40"/>
              <w:jc w:val="center"/>
              <w:rPr>
                <w:rFonts w:cs="Arial"/>
              </w:rPr>
            </w:pPr>
          </w:p>
        </w:tc>
        <w:tc>
          <w:tcPr>
            <w:tcW w:w="539" w:type="pct"/>
            <w:tcBorders>
              <w:left w:val="none" w:sz="0" w:space="0" w:color="auto"/>
              <w:right w:val="none" w:sz="0" w:space="0" w:color="auto"/>
            </w:tcBorders>
            <w:shd w:val="clear" w:color="auto" w:fill="auto"/>
            <w:vAlign w:val="center"/>
          </w:tcPr>
          <w:p w14:paraId="6EB3CC58" w14:textId="0BC88FF0" w:rsidR="00CE3C26" w:rsidRPr="00A2066D" w:rsidRDefault="00CE3C26" w:rsidP="00F1262C">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eastAsia="Arial Unicode MS" w:cs="Arial"/>
              </w:rPr>
            </w:pPr>
            <w:r w:rsidRPr="00A2066D">
              <w:rPr>
                <w:rFonts w:eastAsia="Arial Unicode MS" w:cs="Arial"/>
              </w:rPr>
              <w:t>FOF</w:t>
            </w:r>
            <w:r w:rsidR="004841A6" w:rsidRPr="00A2066D">
              <w:rPr>
                <w:rFonts w:eastAsia="Arial Unicode MS" w:cs="Arial"/>
              </w:rPr>
              <w:t>**</w:t>
            </w:r>
            <w:r w:rsidR="00F225A6">
              <w:rPr>
                <w:rFonts w:eastAsia="Arial Unicode MS" w:cs="Arial"/>
              </w:rPr>
              <w:t>*</w:t>
            </w:r>
          </w:p>
        </w:tc>
        <w:tc>
          <w:tcPr>
            <w:tcW w:w="463" w:type="pct"/>
            <w:tcBorders>
              <w:left w:val="none" w:sz="0" w:space="0" w:color="auto"/>
              <w:right w:val="none" w:sz="0" w:space="0" w:color="auto"/>
            </w:tcBorders>
            <w:shd w:val="clear" w:color="auto" w:fill="auto"/>
            <w:vAlign w:val="center"/>
          </w:tcPr>
          <w:p w14:paraId="02B34BCD" w14:textId="77777777" w:rsidR="00CE3C26" w:rsidRPr="0087275B" w:rsidRDefault="00CE3C26" w:rsidP="00F1262C">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eastAsia="Arial Unicode MS" w:cs="Arial"/>
              </w:rPr>
            </w:pPr>
            <w:r w:rsidRPr="0087275B">
              <w:rPr>
                <w:rFonts w:eastAsia="Arial Unicode MS" w:cs="Arial"/>
              </w:rPr>
              <w:t>0.2</w:t>
            </w:r>
          </w:p>
        </w:tc>
        <w:tc>
          <w:tcPr>
            <w:tcW w:w="462" w:type="pct"/>
            <w:tcBorders>
              <w:left w:val="none" w:sz="0" w:space="0" w:color="auto"/>
              <w:right w:val="none" w:sz="0" w:space="0" w:color="auto"/>
            </w:tcBorders>
            <w:shd w:val="clear" w:color="auto" w:fill="auto"/>
            <w:vAlign w:val="center"/>
          </w:tcPr>
          <w:p w14:paraId="336FA674" w14:textId="77777777" w:rsidR="00CE3C26" w:rsidRPr="0087275B" w:rsidRDefault="00CE3C26" w:rsidP="00F1262C">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eastAsia="Arial Unicode MS" w:cs="Arial"/>
              </w:rPr>
            </w:pPr>
            <w:r w:rsidRPr="0087275B">
              <w:rPr>
                <w:rFonts w:eastAsia="Arial Unicode MS" w:cs="Arial"/>
              </w:rPr>
              <w:t>0.5</w:t>
            </w:r>
          </w:p>
        </w:tc>
        <w:tc>
          <w:tcPr>
            <w:tcW w:w="539" w:type="pct"/>
            <w:tcBorders>
              <w:left w:val="none" w:sz="0" w:space="0" w:color="auto"/>
              <w:right w:val="none" w:sz="0" w:space="0" w:color="auto"/>
            </w:tcBorders>
            <w:shd w:val="clear" w:color="auto" w:fill="auto"/>
            <w:vAlign w:val="center"/>
          </w:tcPr>
          <w:p w14:paraId="5D5185B6" w14:textId="77777777" w:rsidR="00CE3C26" w:rsidRPr="0087275B" w:rsidRDefault="00CE3C26" w:rsidP="00F1262C">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eastAsia="Arial Unicode MS" w:cs="Arial"/>
              </w:rPr>
            </w:pPr>
            <w:r w:rsidRPr="0087275B">
              <w:rPr>
                <w:rFonts w:eastAsia="Arial Unicode MS" w:cs="Arial"/>
              </w:rPr>
              <w:t>0.24</w:t>
            </w:r>
          </w:p>
        </w:tc>
        <w:tc>
          <w:tcPr>
            <w:tcW w:w="539" w:type="pct"/>
            <w:tcBorders>
              <w:left w:val="none" w:sz="0" w:space="0" w:color="auto"/>
              <w:right w:val="none" w:sz="0" w:space="0" w:color="auto"/>
            </w:tcBorders>
            <w:shd w:val="clear" w:color="auto" w:fill="auto"/>
            <w:vAlign w:val="center"/>
          </w:tcPr>
          <w:p w14:paraId="1B83723C" w14:textId="77777777" w:rsidR="00CE3C26" w:rsidRPr="0087275B" w:rsidRDefault="00CE3C26" w:rsidP="00F1262C">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eastAsia="Arial Unicode MS" w:cs="Arial"/>
              </w:rPr>
            </w:pPr>
            <w:r w:rsidRPr="0087275B">
              <w:rPr>
                <w:rFonts w:eastAsia="Arial Unicode MS" w:cs="Arial"/>
              </w:rPr>
              <w:t>0.48</w:t>
            </w:r>
          </w:p>
        </w:tc>
        <w:tc>
          <w:tcPr>
            <w:tcW w:w="462" w:type="pct"/>
            <w:tcBorders>
              <w:left w:val="none" w:sz="0" w:space="0" w:color="auto"/>
              <w:right w:val="none" w:sz="0" w:space="0" w:color="auto"/>
            </w:tcBorders>
            <w:shd w:val="clear" w:color="auto" w:fill="auto"/>
            <w:vAlign w:val="center"/>
          </w:tcPr>
          <w:p w14:paraId="1CC2167B" w14:textId="77777777" w:rsidR="00CE3C26" w:rsidRPr="0087275B" w:rsidRDefault="00CE3C26" w:rsidP="00F1262C">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eastAsia="Arial Unicode MS" w:cs="Arial"/>
              </w:rPr>
            </w:pPr>
            <w:r w:rsidRPr="0087275B">
              <w:rPr>
                <w:rFonts w:eastAsia="Arial Unicode MS" w:cs="Arial"/>
              </w:rPr>
              <w:t>0.14</w:t>
            </w:r>
          </w:p>
        </w:tc>
        <w:tc>
          <w:tcPr>
            <w:tcW w:w="463" w:type="pct"/>
            <w:tcBorders>
              <w:left w:val="none" w:sz="0" w:space="0" w:color="auto"/>
              <w:right w:val="none" w:sz="0" w:space="0" w:color="auto"/>
            </w:tcBorders>
            <w:shd w:val="clear" w:color="auto" w:fill="auto"/>
            <w:vAlign w:val="center"/>
          </w:tcPr>
          <w:p w14:paraId="5CE52660" w14:textId="77777777" w:rsidR="00CE3C26" w:rsidRPr="0087275B" w:rsidRDefault="00CE3C26" w:rsidP="00F1262C">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eastAsia="Arial Unicode MS" w:cs="Arial"/>
              </w:rPr>
            </w:pPr>
            <w:r w:rsidRPr="0087275B">
              <w:rPr>
                <w:rFonts w:eastAsia="Arial Unicode MS" w:cs="Arial"/>
              </w:rPr>
              <w:t>0.48</w:t>
            </w:r>
          </w:p>
        </w:tc>
        <w:tc>
          <w:tcPr>
            <w:tcW w:w="1070" w:type="pct"/>
            <w:vMerge/>
            <w:tcBorders>
              <w:left w:val="none" w:sz="0" w:space="0" w:color="auto"/>
            </w:tcBorders>
            <w:shd w:val="clear" w:color="auto" w:fill="auto"/>
            <w:vAlign w:val="center"/>
          </w:tcPr>
          <w:p w14:paraId="7AE466FD" w14:textId="429D4222" w:rsidR="00CE3C26" w:rsidRPr="0087275B" w:rsidRDefault="00CE3C26" w:rsidP="00A43FE1">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eastAsia="Arial Unicode MS" w:cs="Arial"/>
              </w:rPr>
            </w:pPr>
          </w:p>
        </w:tc>
      </w:tr>
      <w:tr w:rsidR="008915F4" w:rsidRPr="00376955" w14:paraId="5B7A50D4" w14:textId="77777777" w:rsidTr="00F1262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2" w:type="pct"/>
            <w:vMerge w:val="restart"/>
            <w:tcBorders>
              <w:right w:val="none" w:sz="0" w:space="0" w:color="auto"/>
            </w:tcBorders>
            <w:shd w:val="clear" w:color="auto" w:fill="auto"/>
            <w:vAlign w:val="center"/>
          </w:tcPr>
          <w:p w14:paraId="3F19E2DF" w14:textId="77777777" w:rsidR="00CE3C26" w:rsidRPr="00A2066D" w:rsidRDefault="00CE3C26" w:rsidP="00F1262C">
            <w:pPr>
              <w:keepNext/>
              <w:keepLines/>
              <w:spacing w:before="40" w:after="40"/>
              <w:jc w:val="center"/>
              <w:rPr>
                <w:rFonts w:cs="Arial"/>
              </w:rPr>
            </w:pPr>
            <w:r w:rsidRPr="00A2066D">
              <w:rPr>
                <w:rFonts w:cs="Arial"/>
              </w:rPr>
              <w:t>Soy-based</w:t>
            </w:r>
          </w:p>
        </w:tc>
        <w:tc>
          <w:tcPr>
            <w:tcW w:w="539" w:type="pct"/>
            <w:tcBorders>
              <w:left w:val="none" w:sz="0" w:space="0" w:color="auto"/>
              <w:right w:val="none" w:sz="0" w:space="0" w:color="auto"/>
            </w:tcBorders>
            <w:shd w:val="clear" w:color="auto" w:fill="auto"/>
            <w:vAlign w:val="center"/>
          </w:tcPr>
          <w:p w14:paraId="5F216811" w14:textId="7848587F" w:rsidR="00CE3C26" w:rsidRPr="00A2066D" w:rsidRDefault="00713CAC" w:rsidP="00F1262C">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eastAsia="Arial Unicode MS" w:cs="Arial"/>
              </w:rPr>
            </w:pPr>
            <w:r w:rsidRPr="00713CAC">
              <w:rPr>
                <w:rFonts w:eastAsia="Arial Unicode MS" w:cs="Arial"/>
                <w:sz w:val="18"/>
              </w:rPr>
              <w:t>Infant formula</w:t>
            </w:r>
          </w:p>
        </w:tc>
        <w:tc>
          <w:tcPr>
            <w:tcW w:w="925" w:type="pct"/>
            <w:gridSpan w:val="2"/>
            <w:tcBorders>
              <w:left w:val="none" w:sz="0" w:space="0" w:color="auto"/>
              <w:right w:val="none" w:sz="0" w:space="0" w:color="auto"/>
            </w:tcBorders>
            <w:shd w:val="clear" w:color="auto" w:fill="auto"/>
            <w:vAlign w:val="center"/>
          </w:tcPr>
          <w:p w14:paraId="1FA232F6" w14:textId="77777777" w:rsidR="00CE3C26" w:rsidRPr="0087275B" w:rsidRDefault="00CE3C26" w:rsidP="00F1262C">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eastAsia="Arial Unicode MS" w:cs="Arial"/>
              </w:rPr>
            </w:pPr>
            <w:r w:rsidRPr="0087275B">
              <w:rPr>
                <w:rFonts w:eastAsia="Arial Unicode MS" w:cs="Arial"/>
              </w:rPr>
              <w:t>No values set</w:t>
            </w:r>
          </w:p>
        </w:tc>
        <w:tc>
          <w:tcPr>
            <w:tcW w:w="1078" w:type="pct"/>
            <w:gridSpan w:val="2"/>
            <w:tcBorders>
              <w:left w:val="none" w:sz="0" w:space="0" w:color="auto"/>
              <w:right w:val="none" w:sz="0" w:space="0" w:color="auto"/>
            </w:tcBorders>
            <w:shd w:val="clear" w:color="auto" w:fill="auto"/>
            <w:vAlign w:val="center"/>
          </w:tcPr>
          <w:p w14:paraId="2C89D897" w14:textId="77777777" w:rsidR="00CE3C26" w:rsidRPr="0087275B" w:rsidRDefault="00CE3C26" w:rsidP="00F1262C">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eastAsia="Arial Unicode MS" w:cs="Arial"/>
              </w:rPr>
            </w:pPr>
            <w:r w:rsidRPr="0087275B">
              <w:rPr>
                <w:rFonts w:eastAsia="Arial Unicode MS" w:cs="Arial"/>
              </w:rPr>
              <w:t>No values set</w:t>
            </w:r>
          </w:p>
        </w:tc>
        <w:tc>
          <w:tcPr>
            <w:tcW w:w="462" w:type="pct"/>
            <w:tcBorders>
              <w:left w:val="none" w:sz="0" w:space="0" w:color="auto"/>
              <w:right w:val="none" w:sz="0" w:space="0" w:color="auto"/>
            </w:tcBorders>
            <w:shd w:val="clear" w:color="auto" w:fill="auto"/>
            <w:vAlign w:val="center"/>
          </w:tcPr>
          <w:p w14:paraId="3F46EECC" w14:textId="77777777" w:rsidR="00CE3C26" w:rsidRPr="0087275B" w:rsidRDefault="00CE3C26" w:rsidP="00F1262C">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eastAsia="Arial Unicode MS" w:cs="Arial"/>
              </w:rPr>
            </w:pPr>
            <w:r w:rsidRPr="0087275B">
              <w:rPr>
                <w:rFonts w:eastAsia="Arial Unicode MS" w:cs="Arial"/>
              </w:rPr>
              <w:t>0.11</w:t>
            </w:r>
          </w:p>
        </w:tc>
        <w:tc>
          <w:tcPr>
            <w:tcW w:w="463" w:type="pct"/>
            <w:tcBorders>
              <w:left w:val="none" w:sz="0" w:space="0" w:color="auto"/>
              <w:right w:val="none" w:sz="0" w:space="0" w:color="auto"/>
            </w:tcBorders>
            <w:shd w:val="clear" w:color="auto" w:fill="auto"/>
            <w:vAlign w:val="center"/>
          </w:tcPr>
          <w:p w14:paraId="1F43EF10" w14:textId="77777777" w:rsidR="00CE3C26" w:rsidRPr="0087275B" w:rsidRDefault="00CE3C26" w:rsidP="00F1262C">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eastAsia="Arial Unicode MS" w:cs="Arial"/>
              </w:rPr>
            </w:pPr>
            <w:r w:rsidRPr="0087275B">
              <w:rPr>
                <w:rFonts w:eastAsia="Arial Unicode MS" w:cs="Arial"/>
              </w:rPr>
              <w:t>0.48</w:t>
            </w:r>
          </w:p>
        </w:tc>
        <w:tc>
          <w:tcPr>
            <w:tcW w:w="1070" w:type="pct"/>
            <w:vMerge w:val="restart"/>
            <w:tcBorders>
              <w:left w:val="none" w:sz="0" w:space="0" w:color="auto"/>
            </w:tcBorders>
            <w:shd w:val="clear" w:color="auto" w:fill="auto"/>
            <w:vAlign w:val="center"/>
          </w:tcPr>
          <w:p w14:paraId="3560BE89" w14:textId="2C4341EA" w:rsidR="00CE3C26" w:rsidRPr="0087275B" w:rsidRDefault="004841A6" w:rsidP="00A43FE1">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eastAsia="Arial Unicode MS" w:cs="Arial"/>
              </w:rPr>
            </w:pPr>
            <w:r w:rsidRPr="00A43FE1">
              <w:rPr>
                <w:rFonts w:eastAsia="Arial Unicode MS" w:cs="Arial"/>
              </w:rPr>
              <w:t>0.29</w:t>
            </w:r>
            <w:r>
              <w:rPr>
                <w:rFonts w:eastAsia="Arial Unicode MS" w:cs="Arial"/>
              </w:rPr>
              <w:t>–</w:t>
            </w:r>
            <w:r w:rsidR="00A43FE1" w:rsidRPr="00A43FE1">
              <w:rPr>
                <w:rFonts w:eastAsia="Arial Unicode MS" w:cs="Arial"/>
              </w:rPr>
              <w:t>0.39</w:t>
            </w:r>
          </w:p>
        </w:tc>
      </w:tr>
      <w:tr w:rsidR="008915F4" w:rsidRPr="00376955" w14:paraId="458E5320" w14:textId="77777777" w:rsidTr="00F1262C">
        <w:trPr>
          <w:cnfStyle w:val="000000010000" w:firstRow="0" w:lastRow="0" w:firstColumn="0" w:lastColumn="0" w:oddVBand="0" w:evenVBand="0" w:oddHBand="0" w:evenHBand="1"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2" w:type="pct"/>
            <w:vMerge/>
            <w:tcBorders>
              <w:right w:val="none" w:sz="0" w:space="0" w:color="auto"/>
            </w:tcBorders>
            <w:shd w:val="clear" w:color="auto" w:fill="F2F2F2" w:themeFill="background1" w:themeFillShade="F2"/>
            <w:vAlign w:val="center"/>
          </w:tcPr>
          <w:p w14:paraId="7E7BC4A8" w14:textId="77777777" w:rsidR="00CE3C26" w:rsidRPr="00A2066D" w:rsidRDefault="00CE3C26" w:rsidP="00F1262C">
            <w:pPr>
              <w:keepNext/>
              <w:keepLines/>
              <w:spacing w:before="40" w:after="40"/>
              <w:jc w:val="center"/>
              <w:rPr>
                <w:rFonts w:cs="Arial"/>
              </w:rPr>
            </w:pPr>
          </w:p>
        </w:tc>
        <w:tc>
          <w:tcPr>
            <w:tcW w:w="539" w:type="pct"/>
            <w:tcBorders>
              <w:left w:val="none" w:sz="0" w:space="0" w:color="auto"/>
              <w:right w:val="none" w:sz="0" w:space="0" w:color="auto"/>
            </w:tcBorders>
            <w:vAlign w:val="center"/>
          </w:tcPr>
          <w:p w14:paraId="6D345398" w14:textId="779F4480" w:rsidR="00CE3C26" w:rsidRPr="00A2066D" w:rsidRDefault="00CE3C26" w:rsidP="00F1262C">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eastAsia="Arial Unicode MS" w:cs="Arial"/>
              </w:rPr>
            </w:pPr>
            <w:r w:rsidRPr="00A2066D">
              <w:rPr>
                <w:rFonts w:eastAsia="Arial Unicode MS" w:cs="Arial"/>
              </w:rPr>
              <w:t>FOF</w:t>
            </w:r>
            <w:r w:rsidR="004841A6" w:rsidRPr="00A2066D">
              <w:rPr>
                <w:rFonts w:eastAsia="Arial Unicode MS" w:cs="Arial"/>
              </w:rPr>
              <w:t>**</w:t>
            </w:r>
            <w:r w:rsidR="00F225A6">
              <w:rPr>
                <w:rFonts w:eastAsia="Arial Unicode MS" w:cs="Arial"/>
              </w:rPr>
              <w:t>*</w:t>
            </w:r>
          </w:p>
        </w:tc>
        <w:tc>
          <w:tcPr>
            <w:tcW w:w="925" w:type="pct"/>
            <w:gridSpan w:val="2"/>
            <w:tcBorders>
              <w:left w:val="none" w:sz="0" w:space="0" w:color="auto"/>
              <w:right w:val="none" w:sz="0" w:space="0" w:color="auto"/>
            </w:tcBorders>
            <w:vAlign w:val="center"/>
          </w:tcPr>
          <w:p w14:paraId="0B77E416" w14:textId="77777777" w:rsidR="00CE3C26" w:rsidRPr="0087275B" w:rsidRDefault="00CE3C26" w:rsidP="00F1262C">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eastAsia="Arial Unicode MS" w:cs="Arial"/>
              </w:rPr>
            </w:pPr>
            <w:r w:rsidRPr="0087275B">
              <w:rPr>
                <w:rFonts w:eastAsia="Arial Unicode MS" w:cs="Arial"/>
              </w:rPr>
              <w:t>No values set</w:t>
            </w:r>
          </w:p>
        </w:tc>
        <w:tc>
          <w:tcPr>
            <w:tcW w:w="539" w:type="pct"/>
            <w:tcBorders>
              <w:left w:val="none" w:sz="0" w:space="0" w:color="auto"/>
              <w:right w:val="none" w:sz="0" w:space="0" w:color="auto"/>
            </w:tcBorders>
            <w:vAlign w:val="center"/>
          </w:tcPr>
          <w:p w14:paraId="1175C8D5" w14:textId="77777777" w:rsidR="00CE3C26" w:rsidRPr="0087275B" w:rsidRDefault="00CE3C26" w:rsidP="00F1262C">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eastAsia="Arial Unicode MS" w:cs="Arial"/>
              </w:rPr>
            </w:pPr>
            <w:r w:rsidRPr="0087275B">
              <w:rPr>
                <w:rFonts w:eastAsia="Arial Unicode MS" w:cs="Arial"/>
              </w:rPr>
              <w:t>0.36</w:t>
            </w:r>
          </w:p>
        </w:tc>
        <w:tc>
          <w:tcPr>
            <w:tcW w:w="539" w:type="pct"/>
            <w:tcBorders>
              <w:left w:val="none" w:sz="0" w:space="0" w:color="auto"/>
              <w:right w:val="none" w:sz="0" w:space="0" w:color="auto"/>
            </w:tcBorders>
            <w:vAlign w:val="center"/>
          </w:tcPr>
          <w:p w14:paraId="6EA646A1" w14:textId="77777777" w:rsidR="00CE3C26" w:rsidRPr="0087275B" w:rsidRDefault="00CE3C26" w:rsidP="00F1262C">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eastAsia="Arial Unicode MS" w:cs="Arial"/>
              </w:rPr>
            </w:pPr>
            <w:r w:rsidRPr="0087275B">
              <w:rPr>
                <w:rFonts w:eastAsia="Arial Unicode MS" w:cs="Arial"/>
              </w:rPr>
              <w:t>0.6</w:t>
            </w:r>
          </w:p>
        </w:tc>
        <w:tc>
          <w:tcPr>
            <w:tcW w:w="462" w:type="pct"/>
            <w:tcBorders>
              <w:left w:val="none" w:sz="0" w:space="0" w:color="auto"/>
              <w:right w:val="none" w:sz="0" w:space="0" w:color="auto"/>
            </w:tcBorders>
            <w:vAlign w:val="center"/>
          </w:tcPr>
          <w:p w14:paraId="7BF0719D" w14:textId="77777777" w:rsidR="00CE3C26" w:rsidRPr="0087275B" w:rsidRDefault="00CE3C26" w:rsidP="00F1262C">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eastAsia="Arial Unicode MS" w:cs="Arial"/>
              </w:rPr>
            </w:pPr>
            <w:r w:rsidRPr="0087275B">
              <w:rPr>
                <w:rFonts w:eastAsia="Arial Unicode MS" w:cs="Arial"/>
              </w:rPr>
              <w:t>0.22</w:t>
            </w:r>
          </w:p>
        </w:tc>
        <w:tc>
          <w:tcPr>
            <w:tcW w:w="463" w:type="pct"/>
            <w:tcBorders>
              <w:left w:val="none" w:sz="0" w:space="0" w:color="auto"/>
              <w:right w:val="none" w:sz="0" w:space="0" w:color="auto"/>
            </w:tcBorders>
            <w:vAlign w:val="center"/>
          </w:tcPr>
          <w:p w14:paraId="5243A03A" w14:textId="77777777" w:rsidR="00CE3C26" w:rsidRPr="0087275B" w:rsidRDefault="00CE3C26" w:rsidP="00F1262C">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eastAsia="Arial Unicode MS" w:cs="Arial"/>
              </w:rPr>
            </w:pPr>
            <w:r w:rsidRPr="0087275B">
              <w:rPr>
                <w:rFonts w:eastAsia="Arial Unicode MS" w:cs="Arial"/>
              </w:rPr>
              <w:t>0.6</w:t>
            </w:r>
            <w:r>
              <w:rPr>
                <w:rFonts w:eastAsia="Arial Unicode MS" w:cs="Arial"/>
              </w:rPr>
              <w:t>0</w:t>
            </w:r>
          </w:p>
        </w:tc>
        <w:tc>
          <w:tcPr>
            <w:tcW w:w="1070" w:type="pct"/>
            <w:vMerge/>
            <w:tcBorders>
              <w:left w:val="none" w:sz="0" w:space="0" w:color="auto"/>
            </w:tcBorders>
            <w:shd w:val="clear" w:color="auto" w:fill="FFFFFF" w:themeFill="background1"/>
          </w:tcPr>
          <w:p w14:paraId="07DD0826" w14:textId="7A461259" w:rsidR="00CE3C26" w:rsidRDefault="00CE3C26" w:rsidP="00776154">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eastAsia="Arial Unicode MS" w:cs="Arial"/>
              </w:rPr>
            </w:pPr>
          </w:p>
        </w:tc>
      </w:tr>
    </w:tbl>
    <w:p w14:paraId="685B666C" w14:textId="00285A13" w:rsidR="00F225A6" w:rsidRPr="00840CE5" w:rsidRDefault="00F225A6" w:rsidP="00F225A6">
      <w:pPr>
        <w:ind w:left="284" w:hanging="284"/>
        <w:rPr>
          <w:i/>
          <w:sz w:val="18"/>
          <w:szCs w:val="18"/>
        </w:rPr>
      </w:pPr>
      <w:r w:rsidRPr="00840CE5">
        <w:rPr>
          <w:i/>
          <w:sz w:val="18"/>
          <w:szCs w:val="18"/>
        </w:rPr>
        <w:t>N.S.: Not stated</w:t>
      </w:r>
    </w:p>
    <w:p w14:paraId="6ED15E02" w14:textId="5EA483A6" w:rsidR="00F225A6" w:rsidRPr="00840CE5" w:rsidRDefault="00F225A6" w:rsidP="00F225A6">
      <w:pPr>
        <w:ind w:left="284" w:hanging="284"/>
        <w:rPr>
          <w:i/>
          <w:sz w:val="18"/>
          <w:szCs w:val="18"/>
        </w:rPr>
      </w:pPr>
      <w:r w:rsidRPr="00840CE5">
        <w:rPr>
          <w:i/>
          <w:sz w:val="18"/>
          <w:szCs w:val="18"/>
        </w:rPr>
        <w:t>* EU 2016/127 requirements for cow’s milk are the same for goat’s milk and protein hydrolysates</w:t>
      </w:r>
    </w:p>
    <w:p w14:paraId="0017CABF" w14:textId="46A22609" w:rsidR="00776154" w:rsidRPr="00840CE5" w:rsidRDefault="00F225A6" w:rsidP="00776154">
      <w:pPr>
        <w:ind w:left="284" w:hanging="284"/>
        <w:rPr>
          <w:i/>
          <w:sz w:val="18"/>
          <w:szCs w:val="18"/>
        </w:rPr>
      </w:pPr>
      <w:r w:rsidRPr="00840CE5">
        <w:rPr>
          <w:i/>
          <w:sz w:val="18"/>
          <w:szCs w:val="18"/>
        </w:rPr>
        <w:t>*</w:t>
      </w:r>
      <w:r w:rsidR="00776154" w:rsidRPr="00840CE5">
        <w:rPr>
          <w:i/>
          <w:sz w:val="18"/>
          <w:szCs w:val="18"/>
        </w:rPr>
        <w:t xml:space="preserve">* </w:t>
      </w:r>
      <w:r w:rsidR="00776154" w:rsidRPr="00840CE5">
        <w:rPr>
          <w:i/>
          <w:sz w:val="18"/>
          <w:szCs w:val="18"/>
        </w:rPr>
        <w:tab/>
        <w:t>Levels to be determined by national authorities</w:t>
      </w:r>
      <w:r w:rsidRPr="00840CE5">
        <w:rPr>
          <w:i/>
          <w:sz w:val="18"/>
          <w:szCs w:val="18"/>
        </w:rPr>
        <w:t>.</w:t>
      </w:r>
    </w:p>
    <w:p w14:paraId="2BC9A5E1" w14:textId="49C9ED43" w:rsidR="00776154" w:rsidRPr="00840CE5" w:rsidRDefault="00776154" w:rsidP="00776154">
      <w:pPr>
        <w:ind w:left="284" w:hanging="284"/>
        <w:rPr>
          <w:i/>
          <w:sz w:val="18"/>
          <w:szCs w:val="18"/>
        </w:rPr>
      </w:pPr>
      <w:r w:rsidRPr="00840CE5">
        <w:rPr>
          <w:i/>
          <w:sz w:val="18"/>
          <w:szCs w:val="18"/>
        </w:rPr>
        <w:t>**</w:t>
      </w:r>
      <w:r w:rsidR="00F225A6" w:rsidRPr="00840CE5">
        <w:rPr>
          <w:i/>
          <w:sz w:val="18"/>
          <w:szCs w:val="18"/>
        </w:rPr>
        <w:t>*</w:t>
      </w:r>
      <w:r w:rsidRPr="00840CE5">
        <w:rPr>
          <w:i/>
          <w:sz w:val="18"/>
          <w:szCs w:val="18"/>
        </w:rPr>
        <w:t xml:space="preserve"> </w:t>
      </w:r>
      <w:r w:rsidRPr="00840CE5">
        <w:rPr>
          <w:i/>
          <w:sz w:val="18"/>
          <w:szCs w:val="18"/>
        </w:rPr>
        <w:tab/>
        <w:t xml:space="preserve">Formula for older infants 6-12 months. The specifications for FOF under Standard 2.9.1 are not in the scope of P1028. </w:t>
      </w:r>
      <w:r w:rsidR="00F225A6" w:rsidRPr="00840CE5">
        <w:rPr>
          <w:i/>
          <w:sz w:val="18"/>
          <w:szCs w:val="18"/>
        </w:rPr>
        <w:t>T</w:t>
      </w:r>
      <w:r w:rsidRPr="00840CE5">
        <w:rPr>
          <w:i/>
          <w:sz w:val="18"/>
          <w:szCs w:val="18"/>
        </w:rPr>
        <w:t>hese</w:t>
      </w:r>
      <w:r w:rsidR="00F225A6" w:rsidRPr="00840CE5">
        <w:rPr>
          <w:i/>
          <w:sz w:val="18"/>
          <w:szCs w:val="18"/>
        </w:rPr>
        <w:t xml:space="preserve"> values</w:t>
      </w:r>
      <w:r w:rsidRPr="00840CE5">
        <w:rPr>
          <w:i/>
          <w:sz w:val="18"/>
          <w:szCs w:val="18"/>
        </w:rPr>
        <w:t xml:space="preserve"> are shown with the Codex standard for this age group (</w:t>
      </w:r>
      <w:r w:rsidR="00B96544" w:rsidRPr="00B96544">
        <w:rPr>
          <w:i/>
          <w:sz w:val="18"/>
          <w:szCs w:val="18"/>
        </w:rPr>
        <w:t>Codex Draft Standard for FUF</w:t>
      </w:r>
      <w:r w:rsidR="00B96544" w:rsidRPr="00840CE5">
        <w:rPr>
          <w:i/>
          <w:sz w:val="18"/>
          <w:szCs w:val="18"/>
        </w:rPr>
        <w:t xml:space="preserve"> </w:t>
      </w:r>
      <w:r w:rsidRPr="00840CE5">
        <w:rPr>
          <w:i/>
          <w:sz w:val="18"/>
          <w:szCs w:val="18"/>
        </w:rPr>
        <w:t xml:space="preserve">2020) for comparison only. </w:t>
      </w:r>
    </w:p>
    <w:p w14:paraId="3C9B0AE6" w14:textId="30A386BC" w:rsidR="00776154" w:rsidRPr="000B7C92" w:rsidRDefault="00776154" w:rsidP="00776154">
      <w:pPr>
        <w:ind w:left="284" w:hanging="284"/>
        <w:rPr>
          <w:i/>
          <w:sz w:val="16"/>
          <w:szCs w:val="20"/>
        </w:rPr>
      </w:pPr>
      <w:r w:rsidRPr="00840CE5">
        <w:rPr>
          <w:i/>
          <w:sz w:val="18"/>
          <w:szCs w:val="18"/>
        </w:rPr>
        <w:t>^</w:t>
      </w:r>
      <w:r w:rsidR="00F225A6" w:rsidRPr="00840CE5">
        <w:rPr>
          <w:i/>
          <w:sz w:val="18"/>
          <w:szCs w:val="18"/>
        </w:rPr>
        <w:t xml:space="preserve"> </w:t>
      </w:r>
      <w:r w:rsidRPr="00840CE5">
        <w:rPr>
          <w:i/>
          <w:sz w:val="18"/>
          <w:szCs w:val="18"/>
        </w:rPr>
        <w:t xml:space="preserve">The survey </w:t>
      </w:r>
      <w:r w:rsidR="00A43FE1" w:rsidRPr="00840CE5">
        <w:rPr>
          <w:i/>
          <w:sz w:val="18"/>
          <w:szCs w:val="18"/>
        </w:rPr>
        <w:t>only included</w:t>
      </w:r>
      <w:r w:rsidRPr="00840CE5">
        <w:rPr>
          <w:i/>
          <w:sz w:val="18"/>
          <w:szCs w:val="18"/>
        </w:rPr>
        <w:t xml:space="preserve"> infant formulas</w:t>
      </w:r>
      <w:r w:rsidR="00A43FE1" w:rsidRPr="00840CE5">
        <w:rPr>
          <w:i/>
          <w:sz w:val="18"/>
          <w:szCs w:val="18"/>
        </w:rPr>
        <w:t>, no FUF was included</w:t>
      </w:r>
      <w:r w:rsidR="00A43FE1">
        <w:rPr>
          <w:i/>
          <w:sz w:val="16"/>
          <w:szCs w:val="20"/>
        </w:rPr>
        <w:t xml:space="preserve">. </w:t>
      </w:r>
    </w:p>
    <w:p w14:paraId="036C31DA" w14:textId="77777777" w:rsidR="00776154" w:rsidRDefault="00776154" w:rsidP="00776154">
      <w:pPr>
        <w:pStyle w:val="Heading4"/>
        <w:ind w:left="0" w:firstLine="0"/>
      </w:pPr>
      <w:r w:rsidRPr="00BA1FD9">
        <w:t>S</w:t>
      </w:r>
      <w:r>
        <w:t>takeholder views</w:t>
      </w:r>
    </w:p>
    <w:p w14:paraId="68C13077" w14:textId="60D7554F" w:rsidR="00776154" w:rsidRDefault="00776154" w:rsidP="00776154">
      <w:pPr>
        <w:rPr>
          <w:lang w:val="en-AU"/>
        </w:rPr>
      </w:pPr>
      <w:r w:rsidRPr="00AA446F">
        <w:rPr>
          <w:lang w:val="en-AU"/>
        </w:rPr>
        <w:t>Eight submitters (</w:t>
      </w:r>
      <w:r w:rsidR="00F225A6">
        <w:rPr>
          <w:lang w:val="en-AU"/>
        </w:rPr>
        <w:t>three</w:t>
      </w:r>
      <w:r w:rsidRPr="00AA446F">
        <w:rPr>
          <w:lang w:val="en-AU"/>
        </w:rPr>
        <w:t xml:space="preserve"> government, </w:t>
      </w:r>
      <w:r w:rsidR="00F225A6">
        <w:rPr>
          <w:lang w:val="en-AU"/>
        </w:rPr>
        <w:t>five</w:t>
      </w:r>
      <w:r w:rsidR="00A43FE1">
        <w:rPr>
          <w:lang w:val="en-AU"/>
        </w:rPr>
        <w:t xml:space="preserve"> industry</w:t>
      </w:r>
      <w:r w:rsidRPr="00AA446F">
        <w:rPr>
          <w:lang w:val="en-AU"/>
        </w:rPr>
        <w:t>) provided comments on the permitted range for iron. There were mixed views on the permitted range which wer</w:t>
      </w:r>
      <w:r>
        <w:rPr>
          <w:lang w:val="en-AU"/>
        </w:rPr>
        <w:t xml:space="preserve">e not aligned by sector </w:t>
      </w:r>
      <w:r w:rsidR="0011607A">
        <w:rPr>
          <w:lang w:val="en-AU"/>
        </w:rPr>
        <w:t>(</w:t>
      </w:r>
      <w:r w:rsidR="00C75C37">
        <w:rPr>
          <w:lang w:val="en-AU"/>
        </w:rPr>
        <w:t>Table 7</w:t>
      </w:r>
      <w:r w:rsidRPr="00C75C37">
        <w:rPr>
          <w:lang w:val="en-AU"/>
        </w:rPr>
        <w:t>.</w:t>
      </w:r>
      <w:r w:rsidR="0011607A">
        <w:rPr>
          <w:lang w:val="en-AU"/>
        </w:rPr>
        <w:t>1</w:t>
      </w:r>
      <w:r w:rsidR="00D06048">
        <w:rPr>
          <w:lang w:val="en-AU"/>
        </w:rPr>
        <w:t>2</w:t>
      </w:r>
      <w:r w:rsidR="0011607A">
        <w:rPr>
          <w:lang w:val="en-AU"/>
        </w:rPr>
        <w:t>)</w:t>
      </w:r>
      <w:r w:rsidR="00D06048">
        <w:rPr>
          <w:lang w:val="en-AU"/>
        </w:rPr>
        <w:t>.</w:t>
      </w:r>
      <w:r>
        <w:rPr>
          <w:lang w:val="en-AU"/>
        </w:rPr>
        <w:t xml:space="preserve"> Four submitters (</w:t>
      </w:r>
      <w:r w:rsidR="00F225A6">
        <w:rPr>
          <w:lang w:val="en-AU"/>
        </w:rPr>
        <w:t>three</w:t>
      </w:r>
      <w:r>
        <w:rPr>
          <w:lang w:val="en-AU"/>
        </w:rPr>
        <w:t xml:space="preserve"> industry</w:t>
      </w:r>
      <w:r w:rsidR="00F225A6">
        <w:rPr>
          <w:lang w:val="en-AU"/>
        </w:rPr>
        <w:t>,</w:t>
      </w:r>
      <w:r>
        <w:rPr>
          <w:lang w:val="en-AU"/>
        </w:rPr>
        <w:t xml:space="preserve"> </w:t>
      </w:r>
      <w:r w:rsidR="00F225A6">
        <w:rPr>
          <w:lang w:val="en-AU"/>
        </w:rPr>
        <w:t>one</w:t>
      </w:r>
      <w:r>
        <w:rPr>
          <w:lang w:val="en-AU"/>
        </w:rPr>
        <w:t xml:space="preserve"> government) supported FSANZ’s 2016 view to retain the range currently specified in Standard 2.9.1. There was also support to adopt the Codex and EU 2016</w:t>
      </w:r>
      <w:r w:rsidR="00F225A6">
        <w:rPr>
          <w:lang w:val="en-AU"/>
        </w:rPr>
        <w:t>/127</w:t>
      </w:r>
      <w:r>
        <w:rPr>
          <w:lang w:val="en-AU"/>
        </w:rPr>
        <w:t>.</w:t>
      </w:r>
    </w:p>
    <w:p w14:paraId="3FF09A74" w14:textId="77777777" w:rsidR="00113BD1" w:rsidRPr="00AA446F" w:rsidRDefault="00113BD1" w:rsidP="00776154">
      <w:pPr>
        <w:rPr>
          <w:lang w:val="en-AU"/>
        </w:rPr>
      </w:pPr>
    </w:p>
    <w:p w14:paraId="35AC4BED" w14:textId="641DD516" w:rsidR="00776154" w:rsidRPr="00AA446F" w:rsidRDefault="00C75C37" w:rsidP="00113BD1">
      <w:pPr>
        <w:pStyle w:val="FSTitle"/>
        <w:rPr>
          <w:lang w:val="en-AU"/>
        </w:rPr>
      </w:pPr>
      <w:bookmarkStart w:id="392" w:name="_Toc74061253"/>
      <w:r>
        <w:rPr>
          <w:lang w:val="en-AU"/>
        </w:rPr>
        <w:t>Table 7</w:t>
      </w:r>
      <w:r w:rsidR="00776154">
        <w:rPr>
          <w:lang w:val="en-AU"/>
        </w:rPr>
        <w:t>.</w:t>
      </w:r>
      <w:r w:rsidR="0011607A">
        <w:rPr>
          <w:lang w:val="en-AU"/>
        </w:rPr>
        <w:t>12</w:t>
      </w:r>
      <w:r w:rsidR="00113BD1">
        <w:rPr>
          <w:lang w:val="en-AU"/>
        </w:rPr>
        <w:tab/>
        <w:t>S</w:t>
      </w:r>
      <w:r w:rsidR="007E47E2">
        <w:rPr>
          <w:lang w:val="en-AU"/>
        </w:rPr>
        <w:t xml:space="preserve">ubmitter comments on the </w:t>
      </w:r>
      <w:r w:rsidR="00776154" w:rsidRPr="00AA446F">
        <w:rPr>
          <w:lang w:val="en-AU"/>
        </w:rPr>
        <w:t>permitted range for iron</w:t>
      </w:r>
      <w:bookmarkEnd w:id="392"/>
    </w:p>
    <w:tbl>
      <w:tblPr>
        <w:tblStyle w:val="MediumShading1-Accent3"/>
        <w:tblW w:w="9219" w:type="dxa"/>
        <w:tblLayout w:type="fixed"/>
        <w:tblLook w:val="04A0" w:firstRow="1" w:lastRow="0" w:firstColumn="1" w:lastColumn="0" w:noHBand="0" w:noVBand="1"/>
        <w:tblCaption w:val="Table 7.3.3.5.2 Summary of issues - permitted range for iron"/>
        <w:tblDescription w:val="This table summarises submissions regarding iron to the previous Consultation papers for Proposal P1028."/>
      </w:tblPr>
      <w:tblGrid>
        <w:gridCol w:w="3397"/>
        <w:gridCol w:w="1418"/>
        <w:gridCol w:w="4404"/>
      </w:tblGrid>
      <w:tr w:rsidR="00776154" w:rsidRPr="005A60B2" w14:paraId="5FB81613" w14:textId="77777777" w:rsidTr="008915F4">
        <w:trPr>
          <w:cnfStyle w:val="100000000000" w:firstRow="1" w:lastRow="0" w:firstColumn="0" w:lastColumn="0" w:oddVBand="0" w:evenVBand="0" w:oddHBand="0"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397" w:type="dxa"/>
          </w:tcPr>
          <w:p w14:paraId="2DE982F0" w14:textId="181A1A17" w:rsidR="00776154" w:rsidRPr="00840CE5" w:rsidRDefault="00843305" w:rsidP="00840CE5">
            <w:pPr>
              <w:spacing w:after="120"/>
              <w:jc w:val="center"/>
              <w:rPr>
                <w:color w:val="auto"/>
                <w:szCs w:val="20"/>
              </w:rPr>
            </w:pPr>
            <w:r>
              <w:rPr>
                <w:color w:val="auto"/>
                <w:szCs w:val="20"/>
              </w:rPr>
              <w:t>Comment</w:t>
            </w:r>
          </w:p>
        </w:tc>
        <w:tc>
          <w:tcPr>
            <w:tcW w:w="1418" w:type="dxa"/>
          </w:tcPr>
          <w:p w14:paraId="725101BC" w14:textId="77777777" w:rsidR="00776154" w:rsidRPr="00840CE5" w:rsidRDefault="00776154" w:rsidP="00840CE5">
            <w:pPr>
              <w:spacing w:after="120"/>
              <w:ind w:left="28" w:hanging="28"/>
              <w:jc w:val="center"/>
              <w:cnfStyle w:val="100000000000" w:firstRow="1" w:lastRow="0" w:firstColumn="0" w:lastColumn="0" w:oddVBand="0" w:evenVBand="0" w:oddHBand="0" w:evenHBand="0" w:firstRowFirstColumn="0" w:firstRowLastColumn="0" w:lastRowFirstColumn="0" w:lastRowLastColumn="0"/>
              <w:rPr>
                <w:color w:val="auto"/>
                <w:szCs w:val="20"/>
              </w:rPr>
            </w:pPr>
            <w:r w:rsidRPr="00840CE5">
              <w:rPr>
                <w:color w:val="auto"/>
                <w:szCs w:val="20"/>
              </w:rPr>
              <w:t>Raised by</w:t>
            </w:r>
          </w:p>
        </w:tc>
        <w:tc>
          <w:tcPr>
            <w:tcW w:w="4404" w:type="dxa"/>
          </w:tcPr>
          <w:p w14:paraId="28BC6D41" w14:textId="77777777" w:rsidR="00776154" w:rsidRPr="00840CE5" w:rsidRDefault="00776154" w:rsidP="00840CE5">
            <w:pPr>
              <w:spacing w:after="120"/>
              <w:ind w:right="-538"/>
              <w:jc w:val="center"/>
              <w:cnfStyle w:val="100000000000" w:firstRow="1" w:lastRow="0" w:firstColumn="0" w:lastColumn="0" w:oddVBand="0" w:evenVBand="0" w:oddHBand="0" w:evenHBand="0" w:firstRowFirstColumn="0" w:firstRowLastColumn="0" w:lastRowFirstColumn="0" w:lastRowLastColumn="0"/>
              <w:rPr>
                <w:color w:val="auto"/>
                <w:szCs w:val="20"/>
              </w:rPr>
            </w:pPr>
            <w:r w:rsidRPr="00840CE5">
              <w:rPr>
                <w:color w:val="auto"/>
                <w:szCs w:val="20"/>
              </w:rPr>
              <w:t>FSANZ response</w:t>
            </w:r>
          </w:p>
        </w:tc>
      </w:tr>
      <w:tr w:rsidR="00776154" w:rsidRPr="005A60B2" w14:paraId="14B20168" w14:textId="77777777" w:rsidTr="008915F4">
        <w:trPr>
          <w:cnfStyle w:val="000000100000" w:firstRow="0" w:lastRow="0" w:firstColumn="0" w:lastColumn="0" w:oddVBand="0" w:evenVBand="0" w:oddHBand="1" w:evenHBand="0" w:firstRowFirstColumn="0" w:firstRowLastColumn="0" w:lastRowFirstColumn="0" w:lastRowLastColumn="0"/>
          <w:trHeight w:val="846"/>
        </w:trPr>
        <w:tc>
          <w:tcPr>
            <w:cnfStyle w:val="001000000000" w:firstRow="0" w:lastRow="0" w:firstColumn="1" w:lastColumn="0" w:oddVBand="0" w:evenVBand="0" w:oddHBand="0" w:evenHBand="0" w:firstRowFirstColumn="0" w:firstRowLastColumn="0" w:lastRowFirstColumn="0" w:lastRowLastColumn="0"/>
            <w:tcW w:w="3397" w:type="dxa"/>
          </w:tcPr>
          <w:p w14:paraId="3433D156" w14:textId="1FA70C95" w:rsidR="00776154" w:rsidRPr="00E01E62" w:rsidRDefault="00776154" w:rsidP="00776154">
            <w:pPr>
              <w:rPr>
                <w:b w:val="0"/>
                <w:bCs w:val="0"/>
                <w:szCs w:val="20"/>
                <w:lang w:eastAsia="en-AU"/>
              </w:rPr>
            </w:pPr>
            <w:r w:rsidRPr="00E01E62">
              <w:rPr>
                <w:b w:val="0"/>
                <w:bCs w:val="0"/>
                <w:szCs w:val="20"/>
                <w:lang w:eastAsia="en-AU"/>
              </w:rPr>
              <w:t>Adopt Codex minimum; increase bioavailability by choosing appropriate forms of iron, reducing phytate content and/or adding absorption enhancers such as ascorbic acid.</w:t>
            </w:r>
          </w:p>
        </w:tc>
        <w:tc>
          <w:tcPr>
            <w:tcW w:w="1418" w:type="dxa"/>
          </w:tcPr>
          <w:p w14:paraId="42F2A270" w14:textId="77777777" w:rsidR="00776154" w:rsidRDefault="00776154" w:rsidP="00776154">
            <w:pPr>
              <w:ind w:left="28" w:hanging="28"/>
              <w:cnfStyle w:val="000000100000" w:firstRow="0" w:lastRow="0" w:firstColumn="0" w:lastColumn="0" w:oddVBand="0" w:evenVBand="0" w:oddHBand="1" w:evenHBand="0" w:firstRowFirstColumn="0" w:firstRowLastColumn="0" w:lastRowFirstColumn="0" w:lastRowLastColumn="0"/>
              <w:rPr>
                <w:szCs w:val="20"/>
              </w:rPr>
            </w:pPr>
            <w:r w:rsidRPr="005A60B2">
              <w:rPr>
                <w:szCs w:val="20"/>
              </w:rPr>
              <w:t xml:space="preserve">Industry </w:t>
            </w:r>
          </w:p>
          <w:p w14:paraId="714E867D" w14:textId="77777777" w:rsidR="00776154" w:rsidRPr="005A60B2" w:rsidRDefault="00776154" w:rsidP="00776154">
            <w:pPr>
              <w:ind w:left="28" w:hanging="28"/>
              <w:cnfStyle w:val="000000100000" w:firstRow="0" w:lastRow="0" w:firstColumn="0" w:lastColumn="0" w:oddVBand="0" w:evenVBand="0" w:oddHBand="1" w:evenHBand="0" w:firstRowFirstColumn="0" w:firstRowLastColumn="0" w:lastRowFirstColumn="0" w:lastRowLastColumn="0"/>
              <w:rPr>
                <w:szCs w:val="20"/>
              </w:rPr>
            </w:pPr>
            <w:r>
              <w:rPr>
                <w:szCs w:val="20"/>
              </w:rPr>
              <w:t>(1)</w:t>
            </w:r>
          </w:p>
        </w:tc>
        <w:tc>
          <w:tcPr>
            <w:tcW w:w="4404" w:type="dxa"/>
          </w:tcPr>
          <w:p w14:paraId="6C8A6783" w14:textId="3A715562" w:rsidR="00776154" w:rsidRPr="005A60B2" w:rsidRDefault="00776154" w:rsidP="00776154">
            <w:pPr>
              <w:ind w:left="34"/>
              <w:cnfStyle w:val="000000100000" w:firstRow="0" w:lastRow="0" w:firstColumn="0" w:lastColumn="0" w:oddVBand="0" w:evenVBand="0" w:oddHBand="1" w:evenHBand="0" w:firstRowFirstColumn="0" w:firstRowLastColumn="0" w:lastRowFirstColumn="0" w:lastRowLastColumn="0"/>
              <w:rPr>
                <w:szCs w:val="20"/>
                <w:lang w:eastAsia="en-AU"/>
              </w:rPr>
            </w:pPr>
            <w:r w:rsidRPr="005A60B2">
              <w:rPr>
                <w:szCs w:val="20"/>
                <w:lang w:eastAsia="en-AU"/>
              </w:rPr>
              <w:t xml:space="preserve">Permitted forms are considered in Section </w:t>
            </w:r>
            <w:r w:rsidR="00D0635C">
              <w:rPr>
                <w:szCs w:val="20"/>
                <w:lang w:eastAsia="en-AU"/>
              </w:rPr>
              <w:t>7</w:t>
            </w:r>
            <w:r>
              <w:rPr>
                <w:szCs w:val="20"/>
                <w:lang w:eastAsia="en-AU"/>
              </w:rPr>
              <w:t>.5</w:t>
            </w:r>
            <w:r w:rsidRPr="005A60B2">
              <w:rPr>
                <w:szCs w:val="20"/>
                <w:lang w:eastAsia="en-AU"/>
              </w:rPr>
              <w:t>. FSANZ has not assessed methods to reduce phytate which would</w:t>
            </w:r>
            <w:r w:rsidR="002626B1">
              <w:rPr>
                <w:szCs w:val="20"/>
                <w:lang w:eastAsia="en-AU"/>
              </w:rPr>
              <w:t xml:space="preserve"> be out of scope for this </w:t>
            </w:r>
            <w:r w:rsidR="00F225A6">
              <w:rPr>
                <w:szCs w:val="20"/>
                <w:lang w:eastAsia="en-AU"/>
              </w:rPr>
              <w:t>consultation paper</w:t>
            </w:r>
            <w:r w:rsidRPr="005A60B2">
              <w:rPr>
                <w:szCs w:val="20"/>
                <w:lang w:eastAsia="en-AU"/>
              </w:rPr>
              <w:t xml:space="preserve">; any agents to reduce phytate content would require pre-market approval. FSANZ notes the proposed </w:t>
            </w:r>
            <w:r>
              <w:rPr>
                <w:szCs w:val="20"/>
                <w:lang w:eastAsia="en-AU"/>
              </w:rPr>
              <w:t>approach</w:t>
            </w:r>
            <w:r w:rsidRPr="005A60B2">
              <w:rPr>
                <w:szCs w:val="20"/>
                <w:lang w:eastAsia="en-AU"/>
              </w:rPr>
              <w:t xml:space="preserve"> for ascorbic acid is to adopt the higher maximum set in Cod</w:t>
            </w:r>
            <w:r w:rsidR="00D0635C">
              <w:rPr>
                <w:szCs w:val="20"/>
                <w:lang w:eastAsia="en-AU"/>
              </w:rPr>
              <w:t>ex STAN 72-1981 (see Section 7</w:t>
            </w:r>
            <w:r>
              <w:rPr>
                <w:szCs w:val="20"/>
                <w:lang w:eastAsia="en-AU"/>
              </w:rPr>
              <w:t>.4</w:t>
            </w:r>
            <w:r w:rsidRPr="005A60B2">
              <w:rPr>
                <w:szCs w:val="20"/>
                <w:lang w:eastAsia="en-AU"/>
              </w:rPr>
              <w:t xml:space="preserve">.) </w:t>
            </w:r>
          </w:p>
        </w:tc>
      </w:tr>
      <w:tr w:rsidR="00776154" w:rsidRPr="005A60B2" w14:paraId="7926637F" w14:textId="77777777" w:rsidTr="008915F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0BECAD27" w14:textId="09AEC819" w:rsidR="00776154" w:rsidRPr="00E01E62" w:rsidRDefault="00776154" w:rsidP="002626B1">
            <w:pPr>
              <w:rPr>
                <w:b w:val="0"/>
                <w:bCs w:val="0"/>
                <w:szCs w:val="20"/>
                <w:lang w:eastAsia="en-AU"/>
              </w:rPr>
            </w:pPr>
            <w:r w:rsidRPr="00E01E62">
              <w:rPr>
                <w:b w:val="0"/>
                <w:bCs w:val="0"/>
                <w:szCs w:val="20"/>
                <w:lang w:eastAsia="en-AU"/>
              </w:rPr>
              <w:t xml:space="preserve">Adopt Codex range for international consistency citing ESPGHAN (2005) which reported </w:t>
            </w:r>
            <w:r>
              <w:rPr>
                <w:b w:val="0"/>
                <w:bCs w:val="0"/>
                <w:szCs w:val="20"/>
                <w:lang w:eastAsia="en-AU"/>
              </w:rPr>
              <w:t xml:space="preserve">a </w:t>
            </w:r>
            <w:r w:rsidRPr="00E01E62">
              <w:rPr>
                <w:b w:val="0"/>
                <w:bCs w:val="0"/>
                <w:szCs w:val="20"/>
                <w:lang w:eastAsia="en-AU"/>
              </w:rPr>
              <w:t>study where iron status was the</w:t>
            </w:r>
            <w:r>
              <w:rPr>
                <w:b w:val="0"/>
                <w:bCs w:val="0"/>
                <w:szCs w:val="20"/>
                <w:lang w:eastAsia="en-AU"/>
              </w:rPr>
              <w:t xml:space="preserve"> same for infants fe</w:t>
            </w:r>
            <w:r w:rsidRPr="00E01E62">
              <w:rPr>
                <w:b w:val="0"/>
                <w:bCs w:val="0"/>
                <w:szCs w:val="20"/>
                <w:lang w:eastAsia="en-AU"/>
              </w:rPr>
              <w:t>d formulas containing 0.06</w:t>
            </w:r>
            <w:r w:rsidR="00B50805">
              <w:rPr>
                <w:b w:val="0"/>
                <w:bCs w:val="0"/>
                <w:szCs w:val="20"/>
                <w:lang w:eastAsia="en-AU"/>
              </w:rPr>
              <w:t>–</w:t>
            </w:r>
            <w:r w:rsidRPr="00E01E62">
              <w:rPr>
                <w:b w:val="0"/>
                <w:bCs w:val="0"/>
                <w:szCs w:val="20"/>
                <w:lang w:eastAsia="en-AU"/>
              </w:rPr>
              <w:t>0.24 mg/100</w:t>
            </w:r>
            <w:r w:rsidR="00B50805">
              <w:rPr>
                <w:b w:val="0"/>
                <w:bCs w:val="0"/>
                <w:szCs w:val="20"/>
                <w:lang w:eastAsia="en-AU"/>
              </w:rPr>
              <w:t> </w:t>
            </w:r>
            <w:r w:rsidRPr="00E01E62">
              <w:rPr>
                <w:b w:val="0"/>
                <w:bCs w:val="0"/>
                <w:szCs w:val="20"/>
                <w:lang w:eastAsia="en-AU"/>
              </w:rPr>
              <w:t>kJ</w:t>
            </w:r>
            <w:r w:rsidR="002626B1">
              <w:rPr>
                <w:b w:val="0"/>
                <w:bCs w:val="0"/>
                <w:szCs w:val="20"/>
                <w:lang w:eastAsia="en-AU"/>
              </w:rPr>
              <w:t>.</w:t>
            </w:r>
          </w:p>
        </w:tc>
        <w:tc>
          <w:tcPr>
            <w:tcW w:w="1418" w:type="dxa"/>
          </w:tcPr>
          <w:p w14:paraId="11BB77C1" w14:textId="77777777" w:rsidR="00776154" w:rsidRDefault="00776154" w:rsidP="00776154">
            <w:pPr>
              <w:ind w:left="28" w:hanging="28"/>
              <w:cnfStyle w:val="000000010000" w:firstRow="0" w:lastRow="0" w:firstColumn="0" w:lastColumn="0" w:oddVBand="0" w:evenVBand="0" w:oddHBand="0" w:evenHBand="1" w:firstRowFirstColumn="0" w:firstRowLastColumn="0" w:lastRowFirstColumn="0" w:lastRowLastColumn="0"/>
              <w:rPr>
                <w:szCs w:val="20"/>
              </w:rPr>
            </w:pPr>
            <w:r>
              <w:rPr>
                <w:szCs w:val="20"/>
              </w:rPr>
              <w:t>Industry</w:t>
            </w:r>
          </w:p>
          <w:p w14:paraId="5FEDDEA2" w14:textId="77777777" w:rsidR="00776154" w:rsidRPr="005A60B2" w:rsidRDefault="00776154" w:rsidP="00776154">
            <w:pPr>
              <w:ind w:left="28" w:hanging="28"/>
              <w:cnfStyle w:val="000000010000" w:firstRow="0" w:lastRow="0" w:firstColumn="0" w:lastColumn="0" w:oddVBand="0" w:evenVBand="0" w:oddHBand="0" w:evenHBand="1" w:firstRowFirstColumn="0" w:firstRowLastColumn="0" w:lastRowFirstColumn="0" w:lastRowLastColumn="0"/>
              <w:rPr>
                <w:szCs w:val="20"/>
              </w:rPr>
            </w:pPr>
            <w:r>
              <w:rPr>
                <w:szCs w:val="20"/>
              </w:rPr>
              <w:t>(1)</w:t>
            </w:r>
          </w:p>
        </w:tc>
        <w:tc>
          <w:tcPr>
            <w:tcW w:w="4404" w:type="dxa"/>
          </w:tcPr>
          <w:p w14:paraId="4382DD8B" w14:textId="00122696" w:rsidR="00776154" w:rsidRPr="005A60B2" w:rsidRDefault="00776154" w:rsidP="00776154">
            <w:pPr>
              <w:ind w:left="34"/>
              <w:cnfStyle w:val="000000010000" w:firstRow="0" w:lastRow="0" w:firstColumn="0" w:lastColumn="0" w:oddVBand="0" w:evenVBand="0" w:oddHBand="0" w:evenHBand="1" w:firstRowFirstColumn="0" w:firstRowLastColumn="0" w:lastRowFirstColumn="0" w:lastRowLastColumn="0"/>
              <w:rPr>
                <w:szCs w:val="20"/>
                <w:lang w:eastAsia="en-AU"/>
              </w:rPr>
            </w:pPr>
            <w:r w:rsidRPr="005A60B2">
              <w:rPr>
                <w:szCs w:val="20"/>
                <w:lang w:eastAsia="en-AU"/>
              </w:rPr>
              <w:t xml:space="preserve">Noted. We commented on ESPGHAN 2005 in </w:t>
            </w:r>
            <w:r w:rsidR="00B50805">
              <w:rPr>
                <w:szCs w:val="20"/>
                <w:lang w:eastAsia="en-AU"/>
              </w:rPr>
              <w:t xml:space="preserve">the </w:t>
            </w:r>
            <w:r w:rsidRPr="005A60B2">
              <w:rPr>
                <w:szCs w:val="20"/>
                <w:lang w:eastAsia="en-AU"/>
              </w:rPr>
              <w:t xml:space="preserve">2016 </w:t>
            </w:r>
            <w:r w:rsidR="00B50805">
              <w:rPr>
                <w:szCs w:val="20"/>
                <w:lang w:eastAsia="en-AU"/>
              </w:rPr>
              <w:t>Consultation paper</w:t>
            </w:r>
            <w:r w:rsidRPr="005A60B2">
              <w:rPr>
                <w:szCs w:val="20"/>
                <w:lang w:eastAsia="en-AU"/>
              </w:rPr>
              <w:t>:</w:t>
            </w:r>
          </w:p>
          <w:p w14:paraId="0E79FE88" w14:textId="5E8C8FC2" w:rsidR="00776154" w:rsidRPr="005A60B2" w:rsidRDefault="00776154" w:rsidP="00776154">
            <w:pPr>
              <w:ind w:left="34"/>
              <w:cnfStyle w:val="000000010000" w:firstRow="0" w:lastRow="0" w:firstColumn="0" w:lastColumn="0" w:oddVBand="0" w:evenVBand="0" w:oddHBand="0" w:evenHBand="1" w:firstRowFirstColumn="0" w:firstRowLastColumn="0" w:lastRowFirstColumn="0" w:lastRowLastColumn="0"/>
              <w:rPr>
                <w:szCs w:val="20"/>
                <w:lang w:eastAsia="en-AU"/>
              </w:rPr>
            </w:pPr>
            <w:r w:rsidRPr="005A60B2">
              <w:rPr>
                <w:i/>
                <w:szCs w:val="20"/>
              </w:rPr>
              <w:t xml:space="preserve">ESPGHAN (Koletzko et al. 2005) </w:t>
            </w:r>
            <w:r w:rsidR="00B50805">
              <w:rPr>
                <w:i/>
                <w:szCs w:val="20"/>
              </w:rPr>
              <w:t>…</w:t>
            </w:r>
            <w:r w:rsidRPr="005A60B2">
              <w:rPr>
                <w:i/>
                <w:szCs w:val="20"/>
              </w:rPr>
              <w:t xml:space="preserve"> also reported on relatively new evidence that iron absorption from formula is comparable to breast milk and potential risks linked to excess iron. Although the evidence showed that adverse effects (lower length gain, higher prevalence of diarrhoea and upper </w:t>
            </w:r>
            <w:r w:rsidRPr="005A60B2">
              <w:rPr>
                <w:i/>
                <w:szCs w:val="20"/>
              </w:rPr>
              <w:lastRenderedPageBreak/>
              <w:t>respiratory tract infection) were only associated with supplemental iron and not iron-fortified infant formula, ESPGHAN concluded that iron content should be kept as low as possible as long as iron deficiency is prevented</w:t>
            </w:r>
            <w:r w:rsidRPr="005A60B2">
              <w:rPr>
                <w:szCs w:val="20"/>
              </w:rPr>
              <w:t>.</w:t>
            </w:r>
          </w:p>
        </w:tc>
      </w:tr>
      <w:tr w:rsidR="00776154" w:rsidRPr="005A60B2" w14:paraId="4AC6B172" w14:textId="77777777" w:rsidTr="008915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50C3F2E6" w14:textId="72E03E08" w:rsidR="00776154" w:rsidRPr="00E01E62" w:rsidRDefault="00776154" w:rsidP="00776154">
            <w:pPr>
              <w:rPr>
                <w:b w:val="0"/>
                <w:bCs w:val="0"/>
                <w:szCs w:val="20"/>
                <w:lang w:eastAsia="en-AU"/>
              </w:rPr>
            </w:pPr>
            <w:r w:rsidRPr="00E01E62">
              <w:rPr>
                <w:b w:val="0"/>
                <w:bCs w:val="0"/>
                <w:szCs w:val="20"/>
                <w:lang w:eastAsia="en-AU"/>
              </w:rPr>
              <w:lastRenderedPageBreak/>
              <w:t>Adopt Codex range with supporting eviden</w:t>
            </w:r>
            <w:r>
              <w:rPr>
                <w:b w:val="0"/>
                <w:bCs w:val="0"/>
                <w:szCs w:val="20"/>
                <w:lang w:eastAsia="en-AU"/>
              </w:rPr>
              <w:t>ce cited, including advice that</w:t>
            </w:r>
            <w:r w:rsidRPr="00E01E62">
              <w:rPr>
                <w:b w:val="0"/>
                <w:bCs w:val="0"/>
                <w:szCs w:val="20"/>
                <w:lang w:eastAsia="en-AU"/>
              </w:rPr>
              <w:t xml:space="preserve"> breas</w:t>
            </w:r>
            <w:r>
              <w:rPr>
                <w:b w:val="0"/>
                <w:bCs w:val="0"/>
                <w:szCs w:val="20"/>
                <w:lang w:eastAsia="en-AU"/>
              </w:rPr>
              <w:t>t</w:t>
            </w:r>
            <w:r w:rsidR="004F3872">
              <w:rPr>
                <w:b w:val="0"/>
                <w:bCs w:val="0"/>
                <w:szCs w:val="20"/>
                <w:lang w:eastAsia="en-AU"/>
              </w:rPr>
              <w:t xml:space="preserve"> </w:t>
            </w:r>
            <w:r>
              <w:rPr>
                <w:b w:val="0"/>
                <w:bCs w:val="0"/>
                <w:szCs w:val="20"/>
                <w:lang w:eastAsia="en-AU"/>
              </w:rPr>
              <w:t xml:space="preserve">milk is the primary reference. </w:t>
            </w:r>
            <w:r w:rsidRPr="00E01E62">
              <w:rPr>
                <w:b w:val="0"/>
                <w:bCs w:val="0"/>
                <w:szCs w:val="20"/>
                <w:lang w:eastAsia="en-AU"/>
              </w:rPr>
              <w:t xml:space="preserve">There was a question of whether iron deficiency is a widespread issue for ANZ infants </w:t>
            </w:r>
            <w:r w:rsidR="00B50805">
              <w:rPr>
                <w:b w:val="0"/>
                <w:bCs w:val="0"/>
                <w:szCs w:val="20"/>
                <w:lang w:eastAsia="en-AU"/>
              </w:rPr>
              <w:t>and</w:t>
            </w:r>
            <w:r w:rsidRPr="00E01E62">
              <w:rPr>
                <w:b w:val="0"/>
                <w:bCs w:val="0"/>
                <w:szCs w:val="20"/>
                <w:lang w:eastAsia="en-AU"/>
              </w:rPr>
              <w:t xml:space="preserve"> if so, whether a full review was required. </w:t>
            </w:r>
          </w:p>
          <w:p w14:paraId="084A53D3" w14:textId="77777777" w:rsidR="00776154" w:rsidRPr="00E01E62" w:rsidRDefault="00776154" w:rsidP="00776154">
            <w:pPr>
              <w:rPr>
                <w:b w:val="0"/>
                <w:bCs w:val="0"/>
                <w:szCs w:val="20"/>
                <w:lang w:eastAsia="en-AU"/>
              </w:rPr>
            </w:pPr>
          </w:p>
          <w:p w14:paraId="267E7934" w14:textId="7AF07B1A" w:rsidR="00776154" w:rsidRPr="00E01E62" w:rsidRDefault="00776154" w:rsidP="00776154">
            <w:pPr>
              <w:rPr>
                <w:b w:val="0"/>
                <w:bCs w:val="0"/>
                <w:szCs w:val="20"/>
                <w:lang w:eastAsia="en-AU"/>
              </w:rPr>
            </w:pPr>
            <w:r w:rsidRPr="00E01E62">
              <w:rPr>
                <w:b w:val="0"/>
                <w:bCs w:val="0"/>
                <w:szCs w:val="20"/>
                <w:lang w:eastAsia="en-AU"/>
              </w:rPr>
              <w:t>Supports adopting EU 2016</w:t>
            </w:r>
            <w:r w:rsidR="00B50805">
              <w:rPr>
                <w:b w:val="0"/>
                <w:bCs w:val="0"/>
                <w:szCs w:val="20"/>
                <w:lang w:eastAsia="en-AU"/>
              </w:rPr>
              <w:t>/127</w:t>
            </w:r>
            <w:r w:rsidRPr="00E01E62">
              <w:rPr>
                <w:b w:val="0"/>
                <w:bCs w:val="0"/>
                <w:szCs w:val="20"/>
                <w:lang w:eastAsia="en-AU"/>
              </w:rPr>
              <w:t xml:space="preserve"> maximum based on personal communication with EFSA that the </w:t>
            </w:r>
            <w:r w:rsidR="00B50805">
              <w:rPr>
                <w:b w:val="0"/>
                <w:bCs w:val="0"/>
                <w:szCs w:val="20"/>
                <w:lang w:eastAsia="en-AU"/>
              </w:rPr>
              <w:t>value</w:t>
            </w:r>
            <w:r w:rsidR="00B50805" w:rsidRPr="00E01E62">
              <w:rPr>
                <w:b w:val="0"/>
                <w:bCs w:val="0"/>
                <w:szCs w:val="20"/>
                <w:lang w:eastAsia="en-AU"/>
              </w:rPr>
              <w:t xml:space="preserve"> </w:t>
            </w:r>
            <w:r w:rsidRPr="00E01E62">
              <w:rPr>
                <w:b w:val="0"/>
                <w:bCs w:val="0"/>
                <w:szCs w:val="20"/>
                <w:lang w:eastAsia="en-AU"/>
              </w:rPr>
              <w:t xml:space="preserve">is based on the upper range of iron found in European formulas. </w:t>
            </w:r>
          </w:p>
        </w:tc>
        <w:tc>
          <w:tcPr>
            <w:tcW w:w="1418" w:type="dxa"/>
          </w:tcPr>
          <w:p w14:paraId="5CFC9888" w14:textId="77777777" w:rsidR="00776154" w:rsidRPr="005A60B2" w:rsidRDefault="00776154" w:rsidP="00776154">
            <w:pPr>
              <w:ind w:left="28" w:hanging="28"/>
              <w:cnfStyle w:val="000000100000" w:firstRow="0" w:lastRow="0" w:firstColumn="0" w:lastColumn="0" w:oddVBand="0" w:evenVBand="0" w:oddHBand="1" w:evenHBand="0" w:firstRowFirstColumn="0" w:firstRowLastColumn="0" w:lastRowFirstColumn="0" w:lastRowLastColumn="0"/>
              <w:rPr>
                <w:szCs w:val="20"/>
              </w:rPr>
            </w:pPr>
            <w:r>
              <w:rPr>
                <w:szCs w:val="20"/>
              </w:rPr>
              <w:t>Government (2</w:t>
            </w:r>
            <w:r w:rsidRPr="005A60B2">
              <w:rPr>
                <w:szCs w:val="20"/>
              </w:rPr>
              <w:t>)</w:t>
            </w:r>
          </w:p>
        </w:tc>
        <w:tc>
          <w:tcPr>
            <w:tcW w:w="4404" w:type="dxa"/>
          </w:tcPr>
          <w:p w14:paraId="61746EAC" w14:textId="56CF60A2" w:rsidR="00776154" w:rsidRPr="00F6551F" w:rsidRDefault="00776154" w:rsidP="00E04C1B">
            <w:pPr>
              <w:ind w:left="34"/>
              <w:cnfStyle w:val="000000100000" w:firstRow="0" w:lastRow="0" w:firstColumn="0" w:lastColumn="0" w:oddVBand="0" w:evenVBand="0" w:oddHBand="1" w:evenHBand="0" w:firstRowFirstColumn="0" w:firstRowLastColumn="0" w:lastRowFirstColumn="0" w:lastRowLastColumn="0"/>
              <w:rPr>
                <w:szCs w:val="20"/>
                <w:lang w:eastAsia="en-AU"/>
              </w:rPr>
            </w:pPr>
            <w:r w:rsidRPr="005A60B2">
              <w:rPr>
                <w:szCs w:val="20"/>
                <w:lang w:eastAsia="en-AU"/>
              </w:rPr>
              <w:t xml:space="preserve">The 2016 nutrition </w:t>
            </w:r>
            <w:r w:rsidR="00B50805">
              <w:rPr>
                <w:szCs w:val="20"/>
                <w:lang w:eastAsia="en-AU"/>
              </w:rPr>
              <w:t xml:space="preserve">risk </w:t>
            </w:r>
            <w:r w:rsidRPr="005A60B2">
              <w:rPr>
                <w:szCs w:val="20"/>
                <w:lang w:eastAsia="en-AU"/>
              </w:rPr>
              <w:t>assessment considered evidence across several criteria including breast</w:t>
            </w:r>
            <w:r w:rsidR="00B50805">
              <w:rPr>
                <w:szCs w:val="20"/>
                <w:lang w:eastAsia="en-AU"/>
              </w:rPr>
              <w:t xml:space="preserve"> </w:t>
            </w:r>
            <w:r w:rsidRPr="005A60B2">
              <w:rPr>
                <w:szCs w:val="20"/>
                <w:lang w:eastAsia="en-AU"/>
              </w:rPr>
              <w:t xml:space="preserve">milk concentration and evidence of nutrient deficiency. We reported on three studies indicating ANZ infants could be at risk of </w:t>
            </w:r>
            <w:r w:rsidR="00B50805">
              <w:rPr>
                <w:szCs w:val="20"/>
                <w:lang w:eastAsia="en-AU"/>
              </w:rPr>
              <w:t>iron deficiency</w:t>
            </w:r>
            <w:r w:rsidR="00B50805" w:rsidRPr="005A60B2">
              <w:rPr>
                <w:szCs w:val="20"/>
                <w:lang w:eastAsia="en-AU"/>
              </w:rPr>
              <w:t xml:space="preserve"> </w:t>
            </w:r>
            <w:r w:rsidRPr="005A60B2">
              <w:rPr>
                <w:szCs w:val="20"/>
                <w:lang w:eastAsia="en-AU"/>
              </w:rPr>
              <w:t>or IDA but these were based on breastfed and f</w:t>
            </w:r>
            <w:r w:rsidR="00E04C1B">
              <w:rPr>
                <w:szCs w:val="20"/>
                <w:lang w:eastAsia="en-AU"/>
              </w:rPr>
              <w:t>ormula-fed infants collectively</w:t>
            </w:r>
            <w:r w:rsidRPr="005A60B2">
              <w:rPr>
                <w:szCs w:val="20"/>
                <w:lang w:eastAsia="en-AU"/>
              </w:rPr>
              <w:t>. In light of these studies, and the remaining questions on iron bioavailability from infant formulas, FSANZ</w:t>
            </w:r>
            <w:r w:rsidR="002626B1">
              <w:rPr>
                <w:szCs w:val="20"/>
                <w:lang w:eastAsia="en-AU"/>
              </w:rPr>
              <w:t xml:space="preserve"> notes</w:t>
            </w:r>
            <w:r w:rsidRPr="005A60B2">
              <w:rPr>
                <w:szCs w:val="20"/>
                <w:lang w:eastAsia="en-AU"/>
              </w:rPr>
              <w:t xml:space="preserve"> its conclusion from the </w:t>
            </w:r>
            <w:r w:rsidR="002626B1">
              <w:rPr>
                <w:szCs w:val="20"/>
                <w:lang w:eastAsia="en-AU"/>
              </w:rPr>
              <w:t xml:space="preserve">2021 </w:t>
            </w:r>
            <w:r w:rsidRPr="005A60B2">
              <w:rPr>
                <w:szCs w:val="20"/>
                <w:lang w:eastAsia="en-AU"/>
              </w:rPr>
              <w:t xml:space="preserve">nutrition </w:t>
            </w:r>
            <w:r w:rsidR="00B50805">
              <w:rPr>
                <w:szCs w:val="20"/>
                <w:lang w:eastAsia="en-AU"/>
              </w:rPr>
              <w:t xml:space="preserve">risk </w:t>
            </w:r>
            <w:r w:rsidRPr="005A60B2">
              <w:rPr>
                <w:szCs w:val="20"/>
                <w:lang w:eastAsia="en-AU"/>
              </w:rPr>
              <w:t>assessment that reducing the minimum iron level to the Codex level would increase th</w:t>
            </w:r>
            <w:r w:rsidR="002626B1">
              <w:rPr>
                <w:szCs w:val="20"/>
                <w:lang w:eastAsia="en-AU"/>
              </w:rPr>
              <w:t xml:space="preserve">e potential risk of </w:t>
            </w:r>
            <w:r w:rsidR="00B50805">
              <w:rPr>
                <w:szCs w:val="20"/>
                <w:lang w:eastAsia="en-AU"/>
              </w:rPr>
              <w:t xml:space="preserve">iron deficiency </w:t>
            </w:r>
            <w:r w:rsidR="002626B1">
              <w:rPr>
                <w:szCs w:val="20"/>
                <w:lang w:eastAsia="en-AU"/>
              </w:rPr>
              <w:t>or IDA for older</w:t>
            </w:r>
            <w:r w:rsidRPr="005A60B2">
              <w:rPr>
                <w:szCs w:val="20"/>
                <w:lang w:eastAsia="en-AU"/>
              </w:rPr>
              <w:t xml:space="preserve"> infants</w:t>
            </w:r>
            <w:r w:rsidR="00F6551F">
              <w:rPr>
                <w:szCs w:val="20"/>
                <w:lang w:eastAsia="en-AU"/>
              </w:rPr>
              <w:t>.</w:t>
            </w:r>
          </w:p>
        </w:tc>
      </w:tr>
      <w:tr w:rsidR="00776154" w:rsidRPr="005A60B2" w14:paraId="0D9EAFFB" w14:textId="77777777" w:rsidTr="008915F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43925102" w14:textId="4E62FFA3" w:rsidR="00776154" w:rsidRPr="00E01E62" w:rsidRDefault="00776154" w:rsidP="00776154">
            <w:pPr>
              <w:rPr>
                <w:b w:val="0"/>
                <w:bCs w:val="0"/>
                <w:szCs w:val="20"/>
                <w:lang w:eastAsia="en-AU"/>
              </w:rPr>
            </w:pPr>
            <w:r w:rsidRPr="00E01E62">
              <w:rPr>
                <w:b w:val="0"/>
                <w:bCs w:val="0"/>
                <w:szCs w:val="20"/>
                <w:lang w:eastAsia="en-AU"/>
              </w:rPr>
              <w:t xml:space="preserve">Retain current minimum and maximum to allow wider range for </w:t>
            </w:r>
            <w:r w:rsidR="00B50805">
              <w:rPr>
                <w:b w:val="0"/>
                <w:bCs w:val="0"/>
                <w:szCs w:val="20"/>
                <w:lang w:eastAsia="en-AU"/>
              </w:rPr>
              <w:t>IFPSDU.</w:t>
            </w:r>
          </w:p>
        </w:tc>
        <w:tc>
          <w:tcPr>
            <w:tcW w:w="1418" w:type="dxa"/>
          </w:tcPr>
          <w:p w14:paraId="65D16C9F" w14:textId="6E397BAA" w:rsidR="00776154" w:rsidRPr="005A60B2" w:rsidRDefault="00776154" w:rsidP="00776154">
            <w:pPr>
              <w:ind w:left="28" w:hanging="28"/>
              <w:cnfStyle w:val="000000010000" w:firstRow="0" w:lastRow="0" w:firstColumn="0" w:lastColumn="0" w:oddVBand="0" w:evenVBand="0" w:oddHBand="0" w:evenHBand="1" w:firstRowFirstColumn="0" w:firstRowLastColumn="0" w:lastRowFirstColumn="0" w:lastRowLastColumn="0"/>
              <w:rPr>
                <w:szCs w:val="20"/>
              </w:rPr>
            </w:pPr>
            <w:r w:rsidRPr="005A60B2">
              <w:rPr>
                <w:szCs w:val="20"/>
              </w:rPr>
              <w:t xml:space="preserve">Industry </w:t>
            </w:r>
            <w:r>
              <w:rPr>
                <w:szCs w:val="20"/>
              </w:rPr>
              <w:t>(2)</w:t>
            </w:r>
          </w:p>
        </w:tc>
        <w:tc>
          <w:tcPr>
            <w:tcW w:w="4404" w:type="dxa"/>
          </w:tcPr>
          <w:p w14:paraId="2E40F90A" w14:textId="4636871F" w:rsidR="00776154" w:rsidRPr="005A60B2" w:rsidRDefault="00776154" w:rsidP="00776154">
            <w:pPr>
              <w:ind w:left="34"/>
              <w:cnfStyle w:val="000000010000" w:firstRow="0" w:lastRow="0" w:firstColumn="0" w:lastColumn="0" w:oddVBand="0" w:evenVBand="0" w:oddHBand="0" w:evenHBand="1" w:firstRowFirstColumn="0" w:firstRowLastColumn="0" w:lastRowFirstColumn="0" w:lastRowLastColumn="0"/>
              <w:rPr>
                <w:szCs w:val="20"/>
                <w:lang w:eastAsia="en-AU"/>
              </w:rPr>
            </w:pPr>
            <w:r w:rsidRPr="005A60B2">
              <w:rPr>
                <w:szCs w:val="20"/>
                <w:lang w:eastAsia="en-AU"/>
              </w:rPr>
              <w:t>FSANZ assumes this refers to retaining current maximum which is higher tha</w:t>
            </w:r>
            <w:r w:rsidR="00B50805">
              <w:rPr>
                <w:szCs w:val="20"/>
                <w:lang w:eastAsia="en-AU"/>
              </w:rPr>
              <w:t>n</w:t>
            </w:r>
            <w:r w:rsidRPr="005A60B2">
              <w:rPr>
                <w:szCs w:val="20"/>
                <w:lang w:eastAsia="en-AU"/>
              </w:rPr>
              <w:t xml:space="preserve"> EU 2016</w:t>
            </w:r>
            <w:r w:rsidR="00B50805">
              <w:rPr>
                <w:szCs w:val="20"/>
                <w:lang w:eastAsia="en-AU"/>
              </w:rPr>
              <w:t>/127</w:t>
            </w:r>
            <w:r w:rsidRPr="005A60B2">
              <w:rPr>
                <w:szCs w:val="20"/>
                <w:lang w:eastAsia="en-AU"/>
              </w:rPr>
              <w:t>, noting that the Codex minimum would allow a broader range.</w:t>
            </w:r>
          </w:p>
        </w:tc>
      </w:tr>
      <w:tr w:rsidR="00776154" w:rsidRPr="005A60B2" w14:paraId="7DF7274C" w14:textId="77777777" w:rsidTr="008915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1BD1DE44" w14:textId="2DBD34EF" w:rsidR="00776154" w:rsidRPr="00E01E62" w:rsidRDefault="00776154" w:rsidP="00776154">
            <w:pPr>
              <w:rPr>
                <w:b w:val="0"/>
                <w:bCs w:val="0"/>
                <w:szCs w:val="20"/>
                <w:lang w:eastAsia="en-AU"/>
              </w:rPr>
            </w:pPr>
            <w:r w:rsidRPr="00E01E62">
              <w:rPr>
                <w:b w:val="0"/>
                <w:bCs w:val="0"/>
                <w:szCs w:val="20"/>
                <w:lang w:eastAsia="en-AU"/>
              </w:rPr>
              <w:t>Cautions about too much iron intake citing study showing poorer developmental outcomes in infants consuming high</w:t>
            </w:r>
            <w:r w:rsidR="00B50805">
              <w:rPr>
                <w:b w:val="0"/>
                <w:bCs w:val="0"/>
                <w:szCs w:val="20"/>
                <w:lang w:eastAsia="en-AU"/>
              </w:rPr>
              <w:t>-</w:t>
            </w:r>
            <w:r w:rsidRPr="00E01E62">
              <w:rPr>
                <w:b w:val="0"/>
                <w:bCs w:val="0"/>
                <w:szCs w:val="20"/>
                <w:lang w:eastAsia="en-AU"/>
              </w:rPr>
              <w:t xml:space="preserve">iron infant formula.  </w:t>
            </w:r>
          </w:p>
        </w:tc>
        <w:tc>
          <w:tcPr>
            <w:tcW w:w="1418" w:type="dxa"/>
          </w:tcPr>
          <w:p w14:paraId="5D48A560" w14:textId="752B65CF" w:rsidR="00776154" w:rsidRPr="005A60B2" w:rsidRDefault="00A43FE1" w:rsidP="00776154">
            <w:pPr>
              <w:ind w:left="28" w:hanging="28"/>
              <w:cnfStyle w:val="000000100000" w:firstRow="0" w:lastRow="0" w:firstColumn="0" w:lastColumn="0" w:oddVBand="0" w:evenVBand="0" w:oddHBand="1" w:evenHBand="0" w:firstRowFirstColumn="0" w:firstRowLastColumn="0" w:lastRowFirstColumn="0" w:lastRowLastColumn="0"/>
              <w:rPr>
                <w:szCs w:val="20"/>
              </w:rPr>
            </w:pPr>
            <w:r>
              <w:rPr>
                <w:szCs w:val="20"/>
              </w:rPr>
              <w:t>Industry</w:t>
            </w:r>
            <w:r w:rsidR="00776154">
              <w:rPr>
                <w:szCs w:val="20"/>
              </w:rPr>
              <w:t xml:space="preserve"> (1)</w:t>
            </w:r>
            <w:r w:rsidR="00776154" w:rsidRPr="005A60B2">
              <w:rPr>
                <w:szCs w:val="20"/>
              </w:rPr>
              <w:t>, Government (1)</w:t>
            </w:r>
          </w:p>
        </w:tc>
        <w:tc>
          <w:tcPr>
            <w:tcW w:w="4404" w:type="dxa"/>
          </w:tcPr>
          <w:p w14:paraId="46FD4970" w14:textId="529A357E" w:rsidR="00776154" w:rsidRPr="005A60B2" w:rsidRDefault="00776154" w:rsidP="00776154">
            <w:pPr>
              <w:ind w:left="34"/>
              <w:cnfStyle w:val="000000100000" w:firstRow="0" w:lastRow="0" w:firstColumn="0" w:lastColumn="0" w:oddVBand="0" w:evenVBand="0" w:oddHBand="1" w:evenHBand="0" w:firstRowFirstColumn="0" w:firstRowLastColumn="0" w:lastRowFirstColumn="0" w:lastRowLastColumn="0"/>
              <w:rPr>
                <w:szCs w:val="20"/>
                <w:lang w:eastAsia="en-AU"/>
              </w:rPr>
            </w:pPr>
            <w:r w:rsidRPr="005A60B2">
              <w:rPr>
                <w:szCs w:val="20"/>
                <w:lang w:eastAsia="en-AU"/>
              </w:rPr>
              <w:t xml:space="preserve">The 2016 nutrition </w:t>
            </w:r>
            <w:r w:rsidR="00B50805">
              <w:rPr>
                <w:szCs w:val="20"/>
                <w:lang w:eastAsia="en-AU"/>
              </w:rPr>
              <w:t xml:space="preserve">risk </w:t>
            </w:r>
            <w:r w:rsidRPr="005A60B2">
              <w:rPr>
                <w:szCs w:val="20"/>
                <w:lang w:eastAsia="en-AU"/>
              </w:rPr>
              <w:t xml:space="preserve">assessment determined that it was not appropriate to adopt a GUL for iron. Since that time, EU </w:t>
            </w:r>
            <w:r w:rsidR="00B50805">
              <w:rPr>
                <w:szCs w:val="20"/>
                <w:lang w:eastAsia="en-AU"/>
              </w:rPr>
              <w:t>2016/127</w:t>
            </w:r>
            <w:r w:rsidR="00B50805" w:rsidRPr="005A60B2">
              <w:rPr>
                <w:szCs w:val="20"/>
                <w:lang w:eastAsia="en-AU"/>
              </w:rPr>
              <w:t xml:space="preserve"> </w:t>
            </w:r>
            <w:r w:rsidRPr="005A60B2">
              <w:rPr>
                <w:szCs w:val="20"/>
                <w:lang w:eastAsia="en-AU"/>
              </w:rPr>
              <w:t xml:space="preserve">set a specified maximum of 0.3 mg/100 kJ which is consistent with that view. See Section </w:t>
            </w:r>
            <w:r w:rsidR="00D0635C">
              <w:rPr>
                <w:szCs w:val="20"/>
                <w:lang w:eastAsia="en-AU"/>
              </w:rPr>
              <w:t>7</w:t>
            </w:r>
            <w:r>
              <w:rPr>
                <w:szCs w:val="20"/>
                <w:lang w:eastAsia="en-AU"/>
              </w:rPr>
              <w:t xml:space="preserve">.1 </w:t>
            </w:r>
            <w:r w:rsidRPr="005A60B2">
              <w:rPr>
                <w:szCs w:val="20"/>
                <w:lang w:eastAsia="en-AU"/>
              </w:rPr>
              <w:t>for further discussion.</w:t>
            </w:r>
          </w:p>
        </w:tc>
      </w:tr>
      <w:tr w:rsidR="00776154" w:rsidRPr="005A60B2" w14:paraId="19FF54EC" w14:textId="77777777" w:rsidTr="008915F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0DAB981B" w14:textId="3D4F9A07" w:rsidR="00776154" w:rsidRPr="00E01E62" w:rsidRDefault="00776154" w:rsidP="00776154">
            <w:pPr>
              <w:rPr>
                <w:b w:val="0"/>
                <w:bCs w:val="0"/>
                <w:szCs w:val="20"/>
                <w:lang w:eastAsia="en-AU"/>
              </w:rPr>
            </w:pPr>
            <w:r w:rsidRPr="00E01E62">
              <w:rPr>
                <w:b w:val="0"/>
                <w:bCs w:val="0"/>
                <w:szCs w:val="20"/>
                <w:lang w:eastAsia="en-AU"/>
              </w:rPr>
              <w:t xml:space="preserve">Seeks clarification on statement from 2016 nutrition </w:t>
            </w:r>
            <w:r w:rsidR="00B50805">
              <w:rPr>
                <w:b w:val="0"/>
                <w:bCs w:val="0"/>
                <w:szCs w:val="20"/>
                <w:lang w:eastAsia="en-AU"/>
              </w:rPr>
              <w:t xml:space="preserve">risk </w:t>
            </w:r>
            <w:r w:rsidRPr="00E01E62">
              <w:rPr>
                <w:b w:val="0"/>
                <w:bCs w:val="0"/>
                <w:szCs w:val="20"/>
                <w:lang w:eastAsia="en-AU"/>
              </w:rPr>
              <w:t xml:space="preserve">assessment that there is no international consensus on the minimum amount of iron in infant formula. </w:t>
            </w:r>
          </w:p>
          <w:p w14:paraId="0AF70347" w14:textId="77777777" w:rsidR="00776154" w:rsidRPr="00E01E62" w:rsidRDefault="00776154" w:rsidP="00776154">
            <w:pPr>
              <w:rPr>
                <w:b w:val="0"/>
                <w:bCs w:val="0"/>
                <w:szCs w:val="20"/>
                <w:lang w:eastAsia="en-AU"/>
              </w:rPr>
            </w:pPr>
          </w:p>
          <w:p w14:paraId="41456880" w14:textId="51FB3A07" w:rsidR="00776154" w:rsidRPr="00E01E62" w:rsidRDefault="00776154" w:rsidP="00776154">
            <w:pPr>
              <w:rPr>
                <w:b w:val="0"/>
                <w:bCs w:val="0"/>
                <w:szCs w:val="20"/>
                <w:lang w:eastAsia="en-AU"/>
              </w:rPr>
            </w:pPr>
            <w:r w:rsidRPr="00E01E62">
              <w:rPr>
                <w:b w:val="0"/>
                <w:bCs w:val="0"/>
                <w:szCs w:val="20"/>
                <w:lang w:eastAsia="en-AU"/>
              </w:rPr>
              <w:t xml:space="preserve">Also cites minor error where the 2016 nutrition </w:t>
            </w:r>
            <w:r w:rsidR="00B50805">
              <w:rPr>
                <w:b w:val="0"/>
                <w:bCs w:val="0"/>
                <w:szCs w:val="20"/>
                <w:lang w:eastAsia="en-AU"/>
              </w:rPr>
              <w:t xml:space="preserve">risk </w:t>
            </w:r>
            <w:r w:rsidRPr="00E01E62">
              <w:rPr>
                <w:b w:val="0"/>
                <w:bCs w:val="0"/>
                <w:szCs w:val="20"/>
                <w:lang w:eastAsia="en-AU"/>
              </w:rPr>
              <w:t>assessment implied that EFSA had suggested that ¾ of iron requirements should be met by complementary foods.</w:t>
            </w:r>
          </w:p>
          <w:p w14:paraId="1EC6C8B3" w14:textId="77777777" w:rsidR="00776154" w:rsidRPr="00E01E62" w:rsidRDefault="00776154" w:rsidP="00776154">
            <w:pPr>
              <w:rPr>
                <w:b w:val="0"/>
                <w:bCs w:val="0"/>
                <w:szCs w:val="20"/>
                <w:lang w:eastAsia="en-AU"/>
              </w:rPr>
            </w:pPr>
            <w:r w:rsidRPr="00E01E62">
              <w:rPr>
                <w:b w:val="0"/>
                <w:bCs w:val="0"/>
                <w:szCs w:val="20"/>
                <w:lang w:eastAsia="en-AU"/>
              </w:rPr>
              <w:t xml:space="preserve">Considers separate minimum and maximum limits for formulas based on isolated soy protein not required. </w:t>
            </w:r>
          </w:p>
        </w:tc>
        <w:tc>
          <w:tcPr>
            <w:tcW w:w="1418" w:type="dxa"/>
          </w:tcPr>
          <w:p w14:paraId="4B0E3878" w14:textId="77777777" w:rsidR="00776154" w:rsidRPr="005A60B2" w:rsidRDefault="00776154" w:rsidP="00776154">
            <w:pPr>
              <w:ind w:left="28" w:hanging="28"/>
              <w:cnfStyle w:val="000000010000" w:firstRow="0" w:lastRow="0" w:firstColumn="0" w:lastColumn="0" w:oddVBand="0" w:evenVBand="0" w:oddHBand="0" w:evenHBand="1" w:firstRowFirstColumn="0" w:firstRowLastColumn="0" w:lastRowFirstColumn="0" w:lastRowLastColumn="0"/>
              <w:rPr>
                <w:szCs w:val="20"/>
              </w:rPr>
            </w:pPr>
            <w:r w:rsidRPr="005A60B2">
              <w:rPr>
                <w:szCs w:val="20"/>
              </w:rPr>
              <w:t>Gov</w:t>
            </w:r>
            <w:r>
              <w:rPr>
                <w:szCs w:val="20"/>
              </w:rPr>
              <w:t>ernment (2</w:t>
            </w:r>
            <w:r w:rsidRPr="005A60B2">
              <w:rPr>
                <w:szCs w:val="20"/>
              </w:rPr>
              <w:t xml:space="preserve">) </w:t>
            </w:r>
          </w:p>
        </w:tc>
        <w:tc>
          <w:tcPr>
            <w:tcW w:w="4404" w:type="dxa"/>
          </w:tcPr>
          <w:p w14:paraId="7B992B55" w14:textId="36DF6D47" w:rsidR="00776154" w:rsidRPr="005A60B2" w:rsidRDefault="00776154" w:rsidP="00776154">
            <w:pPr>
              <w:shd w:val="clear" w:color="auto" w:fill="FFFFFF" w:themeFill="background1"/>
              <w:cnfStyle w:val="000000010000" w:firstRow="0" w:lastRow="0" w:firstColumn="0" w:lastColumn="0" w:oddVBand="0" w:evenVBand="0" w:oddHBand="0" w:evenHBand="1" w:firstRowFirstColumn="0" w:firstRowLastColumn="0" w:lastRowFirstColumn="0" w:lastRowLastColumn="0"/>
              <w:rPr>
                <w:szCs w:val="20"/>
              </w:rPr>
            </w:pPr>
            <w:r w:rsidRPr="005A60B2">
              <w:rPr>
                <w:szCs w:val="20"/>
              </w:rPr>
              <w:t xml:space="preserve">There is no regulatory alignment internationally on the permitted range for iron (see above – </w:t>
            </w:r>
            <w:r w:rsidRPr="00884185">
              <w:rPr>
                <w:i/>
                <w:szCs w:val="20"/>
              </w:rPr>
              <w:t>“Current regulations”</w:t>
            </w:r>
            <w:r w:rsidRPr="00884185">
              <w:rPr>
                <w:szCs w:val="20"/>
              </w:rPr>
              <w:t>)</w:t>
            </w:r>
            <w:r w:rsidRPr="00884185">
              <w:rPr>
                <w:i/>
                <w:szCs w:val="20"/>
              </w:rPr>
              <w:t>.</w:t>
            </w:r>
            <w:r w:rsidRPr="005A60B2">
              <w:rPr>
                <w:szCs w:val="20"/>
              </w:rPr>
              <w:t xml:space="preserve"> International recommendations are consistent with EC SCF (2003), ESPGHAN (2005) and EFSA (20</w:t>
            </w:r>
            <w:r>
              <w:rPr>
                <w:szCs w:val="20"/>
              </w:rPr>
              <w:t>14</w:t>
            </w:r>
            <w:r w:rsidR="00056097">
              <w:rPr>
                <w:szCs w:val="20"/>
              </w:rPr>
              <w:t>b</w:t>
            </w:r>
            <w:r>
              <w:rPr>
                <w:szCs w:val="20"/>
              </w:rPr>
              <w:t xml:space="preserve">) </w:t>
            </w:r>
            <w:r w:rsidR="002170C5">
              <w:rPr>
                <w:szCs w:val="20"/>
              </w:rPr>
              <w:t xml:space="preserve">with </w:t>
            </w:r>
            <w:r>
              <w:rPr>
                <w:szCs w:val="20"/>
              </w:rPr>
              <w:t xml:space="preserve">all recommending a minimum </w:t>
            </w:r>
            <w:r w:rsidRPr="005A60B2">
              <w:rPr>
                <w:szCs w:val="20"/>
              </w:rPr>
              <w:t xml:space="preserve">content of 0.07 mg/100 kJ for cow’s milk formulas and 0.11 mg/100 kJ for soy-based formulas. </w:t>
            </w:r>
          </w:p>
          <w:p w14:paraId="3E20509E" w14:textId="77777777" w:rsidR="00776154" w:rsidRPr="005A60B2" w:rsidRDefault="00776154" w:rsidP="00776154">
            <w:pPr>
              <w:ind w:left="34"/>
              <w:cnfStyle w:val="000000010000" w:firstRow="0" w:lastRow="0" w:firstColumn="0" w:lastColumn="0" w:oddVBand="0" w:evenVBand="0" w:oddHBand="0" w:evenHBand="1" w:firstRowFirstColumn="0" w:firstRowLastColumn="0" w:lastRowFirstColumn="0" w:lastRowLastColumn="0"/>
              <w:rPr>
                <w:szCs w:val="20"/>
                <w:lang w:eastAsia="en-AU"/>
              </w:rPr>
            </w:pPr>
          </w:p>
          <w:p w14:paraId="78C1973C" w14:textId="77777777" w:rsidR="00776154" w:rsidRPr="005A60B2" w:rsidRDefault="00776154" w:rsidP="00776154">
            <w:pPr>
              <w:cnfStyle w:val="000000010000" w:firstRow="0" w:lastRow="0" w:firstColumn="0" w:lastColumn="0" w:oddVBand="0" w:evenVBand="0" w:oddHBand="0" w:evenHBand="1" w:firstRowFirstColumn="0" w:firstRowLastColumn="0" w:lastRowFirstColumn="0" w:lastRowLastColumn="0"/>
              <w:rPr>
                <w:i/>
                <w:szCs w:val="20"/>
              </w:rPr>
            </w:pPr>
            <w:r w:rsidRPr="005A60B2">
              <w:rPr>
                <w:szCs w:val="20"/>
              </w:rPr>
              <w:t>Regarding the amount of iron met by complementary foods in older infants, EFSA 2014 reported the following:</w:t>
            </w:r>
            <w:r w:rsidRPr="005A60B2">
              <w:rPr>
                <w:i/>
                <w:szCs w:val="20"/>
              </w:rPr>
              <w:br/>
              <w:t>Based on the consideration that around 70 % of daily iron (equivalent to 5.7 mg iron per day) could be supplied by complementary foods, a minimum content of iron in FOF of 0.6 mg/100 kcal is proposed*, in line with the SCF (2003b).</w:t>
            </w:r>
          </w:p>
          <w:p w14:paraId="35D3D0D5" w14:textId="0A91A874" w:rsidR="00776154" w:rsidRPr="005A60B2" w:rsidRDefault="00776154" w:rsidP="00776154">
            <w:pPr>
              <w:cnfStyle w:val="000000010000" w:firstRow="0" w:lastRow="0" w:firstColumn="0" w:lastColumn="0" w:oddVBand="0" w:evenVBand="0" w:oddHBand="0" w:evenHBand="1" w:firstRowFirstColumn="0" w:firstRowLastColumn="0" w:lastRowFirstColumn="0" w:lastRowLastColumn="0"/>
              <w:rPr>
                <w:szCs w:val="20"/>
              </w:rPr>
            </w:pPr>
            <w:r w:rsidRPr="005A60B2">
              <w:rPr>
                <w:szCs w:val="20"/>
              </w:rPr>
              <w:t>* 0.14 mg/100 kJ</w:t>
            </w:r>
            <w:r w:rsidR="00F6551F">
              <w:rPr>
                <w:szCs w:val="20"/>
              </w:rPr>
              <w:t>.</w:t>
            </w:r>
          </w:p>
        </w:tc>
      </w:tr>
    </w:tbl>
    <w:p w14:paraId="73699788" w14:textId="58338F47" w:rsidR="00776154" w:rsidRPr="00AA446F" w:rsidRDefault="00B50805" w:rsidP="00C75C37">
      <w:pPr>
        <w:pStyle w:val="Heading4"/>
        <w:ind w:left="0" w:firstLine="0"/>
        <w:rPr>
          <w:rFonts w:eastAsia="Arial Unicode MS"/>
          <w:lang w:val="en-AU"/>
        </w:rPr>
      </w:pPr>
      <w:r w:rsidRPr="00C75C37">
        <w:t>Nutrition r</w:t>
      </w:r>
      <w:r w:rsidR="00776154" w:rsidRPr="00C75C37">
        <w:t>isk assessment</w:t>
      </w:r>
    </w:p>
    <w:p w14:paraId="34E72648" w14:textId="73C558B5" w:rsidR="00776154" w:rsidRDefault="00B50805" w:rsidP="00776154">
      <w:r>
        <w:t>F</w:t>
      </w:r>
      <w:r w:rsidR="00776154">
        <w:t xml:space="preserve">urther </w:t>
      </w:r>
      <w:r>
        <w:t>nutrition</w:t>
      </w:r>
      <w:r w:rsidR="00776154">
        <w:t xml:space="preserve"> risk assessment </w:t>
      </w:r>
      <w:r w:rsidR="00B05DBA">
        <w:t>(</w:t>
      </w:r>
      <w:r w:rsidR="002170C5">
        <w:t xml:space="preserve">SD1) </w:t>
      </w:r>
      <w:r w:rsidR="00776154">
        <w:t>considered the iron concentrations in human milk, scientific b</w:t>
      </w:r>
      <w:r w:rsidR="00F6551F">
        <w:t>asis for EU 2016</w:t>
      </w:r>
      <w:r>
        <w:t>/127</w:t>
      </w:r>
      <w:r w:rsidR="00F6551F">
        <w:t xml:space="preserve">, </w:t>
      </w:r>
      <w:r w:rsidR="002170C5">
        <w:t xml:space="preserve">how these compare to </w:t>
      </w:r>
      <w:r w:rsidR="00776154" w:rsidRPr="002170C5">
        <w:t>EFSA 2014</w:t>
      </w:r>
      <w:r w:rsidR="00776154">
        <w:t xml:space="preserve"> recommendation</w:t>
      </w:r>
      <w:r w:rsidR="002170C5">
        <w:t>s (EFSA 2014b)</w:t>
      </w:r>
      <w:r w:rsidR="00776154">
        <w:t xml:space="preserve"> and the </w:t>
      </w:r>
      <w:r w:rsidR="00776154" w:rsidRPr="00F07FEC">
        <w:t>FSANZ 2016 proposed</w:t>
      </w:r>
      <w:r w:rsidR="00776154">
        <w:t xml:space="preserve"> range. </w:t>
      </w:r>
    </w:p>
    <w:p w14:paraId="0B0D26BC" w14:textId="7EE1E8FE" w:rsidR="00F6551F" w:rsidRDefault="00F6551F" w:rsidP="00776154"/>
    <w:p w14:paraId="5B7D1F3D" w14:textId="1EC0A22B" w:rsidR="00F6551F" w:rsidRPr="004D73BC" w:rsidRDefault="00F6551F" w:rsidP="00F6551F">
      <w:pPr>
        <w:rPr>
          <w:rFonts w:cs="Arial"/>
        </w:rPr>
      </w:pPr>
      <w:r>
        <w:t xml:space="preserve">The 2021 nutrition </w:t>
      </w:r>
      <w:r w:rsidR="00B50805">
        <w:t>risk</w:t>
      </w:r>
      <w:r>
        <w:t xml:space="preserve"> assessment concluded that i</w:t>
      </w:r>
      <w:r>
        <w:rPr>
          <w:rFonts w:cs="Arial"/>
        </w:rPr>
        <w:t xml:space="preserve">f infant formula for sale in ANZ is to meet the needs of both 0–&lt;6 month and 6–&lt;12 month infants, the minimum amount in Schedule 29–9 (0.2 mg/100 kJ) is preferred to the EU 2016/127 levels (0.07 mg/100 kJ for infant </w:t>
      </w:r>
      <w:r>
        <w:rPr>
          <w:rFonts w:cs="Arial"/>
        </w:rPr>
        <w:lastRenderedPageBreak/>
        <w:t>formula manufactured from cow</w:t>
      </w:r>
      <w:r w:rsidR="00C73A77">
        <w:rPr>
          <w:rFonts w:cs="Arial"/>
        </w:rPr>
        <w:t>’</w:t>
      </w:r>
      <w:r>
        <w:rPr>
          <w:rFonts w:cs="Arial"/>
        </w:rPr>
        <w:t>s milk or goat</w:t>
      </w:r>
      <w:r w:rsidR="00C73A77">
        <w:rPr>
          <w:rFonts w:cs="Arial"/>
        </w:rPr>
        <w:t>’</w:t>
      </w:r>
      <w:r>
        <w:rPr>
          <w:rFonts w:cs="Arial"/>
        </w:rPr>
        <w:t>s milk proteins or protein hydrolysates; 0.11 mg/100 kJ for i</w:t>
      </w:r>
      <w:r w:rsidRPr="00AC2002">
        <w:rPr>
          <w:rFonts w:cs="Arial"/>
        </w:rPr>
        <w:t>nfant formula manufactured from soy protein isolates, alone or in a mixture with cow</w:t>
      </w:r>
      <w:r w:rsidR="00C73A77">
        <w:rPr>
          <w:rFonts w:cs="Arial"/>
        </w:rPr>
        <w:t>’</w:t>
      </w:r>
      <w:r w:rsidRPr="00AC2002">
        <w:rPr>
          <w:rFonts w:cs="Arial"/>
        </w:rPr>
        <w:t>s milk or goat</w:t>
      </w:r>
      <w:r w:rsidR="00C73A77">
        <w:rPr>
          <w:rFonts w:cs="Arial"/>
        </w:rPr>
        <w:t>’</w:t>
      </w:r>
      <w:r w:rsidRPr="00AC2002">
        <w:rPr>
          <w:rFonts w:cs="Arial"/>
        </w:rPr>
        <w:t>s milk proteins</w:t>
      </w:r>
      <w:r>
        <w:rPr>
          <w:rFonts w:cs="Arial"/>
        </w:rPr>
        <w:t xml:space="preserve">). </w:t>
      </w:r>
    </w:p>
    <w:p w14:paraId="6A245AFF" w14:textId="77777777" w:rsidR="00F6551F" w:rsidRDefault="00F6551F" w:rsidP="00F6551F">
      <w:pPr>
        <w:contextualSpacing/>
      </w:pPr>
    </w:p>
    <w:p w14:paraId="7B43BB00" w14:textId="75CAF23E" w:rsidR="00776154" w:rsidRPr="00F45E20" w:rsidRDefault="00F6551F" w:rsidP="00776154">
      <w:pPr>
        <w:contextualSpacing/>
      </w:pPr>
      <w:r>
        <w:t xml:space="preserve">Use of </w:t>
      </w:r>
      <w:r w:rsidRPr="00F25C1E">
        <w:t>EU 2016/127</w:t>
      </w:r>
      <w:r>
        <w:t xml:space="preserve"> maximum amounts of 0.31 </w:t>
      </w:r>
      <w:r w:rsidRPr="00F25C1E">
        <w:t>mg/100 kJ</w:t>
      </w:r>
      <w:r>
        <w:t xml:space="preserve"> (for </w:t>
      </w:r>
      <w:r w:rsidDel="00C73A77">
        <w:t>i</w:t>
      </w:r>
      <w:r w:rsidRPr="00960F48" w:rsidDel="00C73A77">
        <w:t>nfant formula</w:t>
      </w:r>
      <w:r w:rsidRPr="00960F48">
        <w:t xml:space="preserve"> manufactured from cow</w:t>
      </w:r>
      <w:r w:rsidR="00C73A77">
        <w:t>’</w:t>
      </w:r>
      <w:r w:rsidRPr="00960F48">
        <w:t>s milk or goat</w:t>
      </w:r>
      <w:r w:rsidR="00C73A77">
        <w:t>’</w:t>
      </w:r>
      <w:r w:rsidRPr="00960F48">
        <w:t>s milk proteins or protein hydrolysates</w:t>
      </w:r>
      <w:r>
        <w:t xml:space="preserve">) and 0.48 mg/100 kJ (for </w:t>
      </w:r>
      <w:r w:rsidDel="00C73A77">
        <w:t>infant formula</w:t>
      </w:r>
      <w:r>
        <w:t xml:space="preserve"> </w:t>
      </w:r>
      <w:r w:rsidR="00182BD8">
        <w:t>manufactured from soy</w:t>
      </w:r>
      <w:r w:rsidRPr="00960F48">
        <w:t xml:space="preserve"> protein isolates, alone or in a mixture with cow</w:t>
      </w:r>
      <w:r w:rsidR="00C73A77">
        <w:t>’</w:t>
      </w:r>
      <w:r w:rsidRPr="00960F48">
        <w:t>s milk or goat</w:t>
      </w:r>
      <w:r w:rsidR="00C73A77">
        <w:t>’</w:t>
      </w:r>
      <w:r w:rsidRPr="00960F48">
        <w:t>s milk proteins</w:t>
      </w:r>
      <w:r>
        <w:t xml:space="preserve">) </w:t>
      </w:r>
      <w:r w:rsidR="00B05DBA">
        <w:t>poses</w:t>
      </w:r>
      <w:r w:rsidR="00182BD8">
        <w:t xml:space="preserve"> a low </w:t>
      </w:r>
      <w:r w:rsidRPr="00F25C1E">
        <w:t>risk to infant health.</w:t>
      </w:r>
    </w:p>
    <w:p w14:paraId="521152A0" w14:textId="77777777" w:rsidR="00776154" w:rsidRDefault="00776154" w:rsidP="00C75C37">
      <w:pPr>
        <w:pStyle w:val="Heading4"/>
        <w:ind w:left="0" w:firstLine="0"/>
        <w:rPr>
          <w:rFonts w:eastAsia="Arial Unicode MS"/>
          <w:lang w:val="en-AU"/>
        </w:rPr>
      </w:pPr>
      <w:r w:rsidRPr="00C75C37">
        <w:t>Options and discussion</w:t>
      </w:r>
    </w:p>
    <w:p w14:paraId="3F3C87FC" w14:textId="22E6A600" w:rsidR="0098309A" w:rsidRPr="0098309A" w:rsidRDefault="0098309A" w:rsidP="00776154">
      <w:pPr>
        <w:rPr>
          <w:bCs/>
          <w:i/>
          <w:iCs/>
          <w:lang w:eastAsia="en-AU"/>
        </w:rPr>
      </w:pPr>
      <w:r w:rsidRPr="0098309A">
        <w:rPr>
          <w:bCs/>
          <w:i/>
          <w:iCs/>
          <w:lang w:eastAsia="en-AU"/>
        </w:rPr>
        <w:t xml:space="preserve">ANZ product market </w:t>
      </w:r>
    </w:p>
    <w:p w14:paraId="2A536703" w14:textId="77777777" w:rsidR="0098309A" w:rsidRDefault="0098309A" w:rsidP="00776154">
      <w:pPr>
        <w:rPr>
          <w:bCs/>
          <w:iCs/>
          <w:lang w:eastAsia="en-AU"/>
        </w:rPr>
      </w:pPr>
    </w:p>
    <w:p w14:paraId="7D9B9AF7" w14:textId="3C7914F1" w:rsidR="00776154" w:rsidRDefault="00776154" w:rsidP="00776154">
      <w:r w:rsidRPr="00AA446F">
        <w:rPr>
          <w:bCs/>
          <w:iCs/>
          <w:lang w:eastAsia="en-AU"/>
        </w:rPr>
        <w:t xml:space="preserve">FSANZ’s </w:t>
      </w:r>
      <w:r w:rsidR="00E04C1B">
        <w:rPr>
          <w:bCs/>
          <w:iCs/>
          <w:lang w:eastAsia="en-AU"/>
        </w:rPr>
        <w:t>2021</w:t>
      </w:r>
      <w:r>
        <w:rPr>
          <w:bCs/>
          <w:iCs/>
          <w:lang w:eastAsia="en-AU"/>
        </w:rPr>
        <w:t xml:space="preserve"> </w:t>
      </w:r>
      <w:r w:rsidRPr="00AA446F">
        <w:rPr>
          <w:bCs/>
          <w:iCs/>
          <w:lang w:eastAsia="en-AU"/>
        </w:rPr>
        <w:t xml:space="preserve">label survey of infant formula </w:t>
      </w:r>
      <w:r>
        <w:rPr>
          <w:bCs/>
          <w:iCs/>
          <w:lang w:eastAsia="en-AU"/>
        </w:rPr>
        <w:t>concluded similar findings to that of the 2013</w:t>
      </w:r>
      <w:r w:rsidR="00B50805">
        <w:rPr>
          <w:bCs/>
          <w:iCs/>
          <w:lang w:eastAsia="en-AU"/>
        </w:rPr>
        <w:t>–</w:t>
      </w:r>
      <w:r>
        <w:rPr>
          <w:bCs/>
          <w:iCs/>
          <w:lang w:eastAsia="en-AU"/>
        </w:rPr>
        <w:t>2014 label survey. Iron</w:t>
      </w:r>
      <w:r w:rsidRPr="00AA446F">
        <w:rPr>
          <w:bCs/>
          <w:iCs/>
          <w:lang w:eastAsia="en-AU"/>
        </w:rPr>
        <w:t xml:space="preserve"> content of all </w:t>
      </w:r>
      <w:r w:rsidR="00415EBA">
        <w:rPr>
          <w:bCs/>
          <w:iCs/>
          <w:lang w:eastAsia="en-AU"/>
        </w:rPr>
        <w:t>infant</w:t>
      </w:r>
      <w:r w:rsidRPr="00AA446F">
        <w:rPr>
          <w:bCs/>
          <w:iCs/>
          <w:lang w:eastAsia="en-AU"/>
        </w:rPr>
        <w:t xml:space="preserve"> formula </w:t>
      </w:r>
      <w:r>
        <w:rPr>
          <w:bCs/>
          <w:iCs/>
          <w:lang w:eastAsia="en-AU"/>
        </w:rPr>
        <w:t xml:space="preserve">ranged between 0.20 </w:t>
      </w:r>
      <w:r w:rsidR="00B50805">
        <w:rPr>
          <w:bCs/>
          <w:iCs/>
          <w:lang w:eastAsia="en-AU"/>
        </w:rPr>
        <w:t>and</w:t>
      </w:r>
      <w:r>
        <w:rPr>
          <w:bCs/>
          <w:iCs/>
          <w:lang w:eastAsia="en-AU"/>
        </w:rPr>
        <w:t xml:space="preserve"> 0.44 mg/100</w:t>
      </w:r>
      <w:r w:rsidR="00B50805">
        <w:rPr>
          <w:bCs/>
          <w:iCs/>
          <w:lang w:eastAsia="en-AU"/>
        </w:rPr>
        <w:t> </w:t>
      </w:r>
      <w:r>
        <w:rPr>
          <w:bCs/>
          <w:iCs/>
          <w:lang w:eastAsia="en-AU"/>
        </w:rPr>
        <w:t xml:space="preserve">kJ, which </w:t>
      </w:r>
      <w:r w:rsidRPr="00AA446F">
        <w:rPr>
          <w:bCs/>
          <w:iCs/>
          <w:lang w:eastAsia="en-AU"/>
        </w:rPr>
        <w:t xml:space="preserve">was within both the Codex and Standard 2.9.1 provisions. </w:t>
      </w:r>
      <w:r>
        <w:rPr>
          <w:bCs/>
          <w:iCs/>
          <w:lang w:eastAsia="en-AU"/>
        </w:rPr>
        <w:t xml:space="preserve">The main difference was that products surveyed in 2021 had a higher maximum level of iron. This higher maximum </w:t>
      </w:r>
      <w:r w:rsidR="00FB194C">
        <w:rPr>
          <w:bCs/>
          <w:iCs/>
          <w:lang w:eastAsia="en-AU"/>
        </w:rPr>
        <w:t xml:space="preserve">is </w:t>
      </w:r>
      <w:r>
        <w:rPr>
          <w:bCs/>
          <w:iCs/>
          <w:lang w:eastAsia="en-AU"/>
        </w:rPr>
        <w:t xml:space="preserve">still </w:t>
      </w:r>
      <w:r w:rsidR="00FB194C">
        <w:rPr>
          <w:bCs/>
          <w:iCs/>
          <w:lang w:eastAsia="en-AU"/>
        </w:rPr>
        <w:t>lower than</w:t>
      </w:r>
      <w:r>
        <w:rPr>
          <w:bCs/>
          <w:iCs/>
          <w:lang w:eastAsia="en-AU"/>
        </w:rPr>
        <w:t xml:space="preserve"> the prescribed maximums of </w:t>
      </w:r>
      <w:r w:rsidRPr="00AA446F">
        <w:rPr>
          <w:bCs/>
          <w:iCs/>
          <w:lang w:eastAsia="en-AU"/>
        </w:rPr>
        <w:t>Standard 2.9.1</w:t>
      </w:r>
      <w:r>
        <w:rPr>
          <w:bCs/>
          <w:iCs/>
          <w:lang w:eastAsia="en-AU"/>
        </w:rPr>
        <w:t xml:space="preserve"> and </w:t>
      </w:r>
      <w:r w:rsidRPr="00AA446F">
        <w:t>Codex STAN 72-1981</w:t>
      </w:r>
      <w:r>
        <w:rPr>
          <w:bCs/>
          <w:iCs/>
          <w:lang w:eastAsia="en-AU"/>
        </w:rPr>
        <w:t xml:space="preserve">, however does not align with the EU </w:t>
      </w:r>
      <w:r w:rsidR="00B50805">
        <w:rPr>
          <w:bCs/>
          <w:iCs/>
          <w:lang w:eastAsia="en-AU"/>
        </w:rPr>
        <w:t xml:space="preserve">2016/127 </w:t>
      </w:r>
      <w:r>
        <w:rPr>
          <w:bCs/>
          <w:iCs/>
          <w:lang w:eastAsia="en-AU"/>
        </w:rPr>
        <w:t xml:space="preserve">maximum. </w:t>
      </w:r>
      <w:r w:rsidRPr="00C75C37">
        <w:rPr>
          <w:lang w:eastAsia="en-AU"/>
        </w:rPr>
        <w:t xml:space="preserve">Figure </w:t>
      </w:r>
      <w:r w:rsidR="00D0635C">
        <w:rPr>
          <w:bCs/>
          <w:iCs/>
          <w:lang w:eastAsia="en-AU"/>
        </w:rPr>
        <w:t>7</w:t>
      </w:r>
      <w:r w:rsidR="00413829">
        <w:rPr>
          <w:bCs/>
          <w:iCs/>
          <w:lang w:eastAsia="en-AU"/>
        </w:rPr>
        <w:t>.3.3.4</w:t>
      </w:r>
      <w:r>
        <w:rPr>
          <w:bCs/>
          <w:iCs/>
          <w:lang w:eastAsia="en-AU"/>
        </w:rPr>
        <w:t xml:space="preserve"> displays the misalignment </w:t>
      </w:r>
      <w:r w:rsidR="00413829">
        <w:rPr>
          <w:bCs/>
          <w:iCs/>
          <w:lang w:eastAsia="en-AU"/>
        </w:rPr>
        <w:t>of products in the 2021 label survey with EU 2016/127, which would have a</w:t>
      </w:r>
      <w:r>
        <w:rPr>
          <w:bCs/>
          <w:iCs/>
          <w:lang w:eastAsia="en-AU"/>
        </w:rPr>
        <w:t xml:space="preserve"> potential impact on the ANZ market. </w:t>
      </w:r>
      <w:r>
        <w:t xml:space="preserve">Of the products surveyed that were manufactured in Australia, iron was noted to have the least overlap with EU </w:t>
      </w:r>
      <w:r w:rsidR="00413829">
        <w:t>2016/127 compared with other micronutrients reviewed</w:t>
      </w:r>
      <w:r>
        <w:t>.</w:t>
      </w:r>
    </w:p>
    <w:p w14:paraId="5594E393" w14:textId="77777777" w:rsidR="00776154" w:rsidRDefault="00776154" w:rsidP="00776154"/>
    <w:p w14:paraId="4BEB6355" w14:textId="5510DFC0" w:rsidR="00776154" w:rsidRDefault="00776154" w:rsidP="00776154">
      <w:r>
        <w:t xml:space="preserve">Moreover, further alignment could be </w:t>
      </w:r>
      <w:r w:rsidR="00413829">
        <w:t xml:space="preserve">achieved </w:t>
      </w:r>
      <w:r>
        <w:t xml:space="preserve">between EU </w:t>
      </w:r>
      <w:r w:rsidR="00413829">
        <w:t xml:space="preserve">2016/127 </w:t>
      </w:r>
      <w:r>
        <w:t>and the ANZ market/Standard 2.9.1</w:t>
      </w:r>
      <w:r w:rsidR="00413829">
        <w:t xml:space="preserve"> by</w:t>
      </w:r>
      <w:r>
        <w:t xml:space="preserve"> adopting the EU or Codex minimum. However, as address</w:t>
      </w:r>
      <w:r w:rsidR="00413829">
        <w:t>ed</w:t>
      </w:r>
      <w:r>
        <w:t xml:space="preserve"> in the </w:t>
      </w:r>
      <w:r w:rsidR="00413829">
        <w:t>nutrition</w:t>
      </w:r>
      <w:r>
        <w:t xml:space="preserve"> risk assessment, the lower minimum level has the potential to pose risk to the health of older infants. This </w:t>
      </w:r>
      <w:r w:rsidR="007F4A71">
        <w:t xml:space="preserve">was </w:t>
      </w:r>
      <w:r>
        <w:t>conclu</w:t>
      </w:r>
      <w:r w:rsidR="007F4A71">
        <w:t>ded</w:t>
      </w:r>
      <w:r>
        <w:t xml:space="preserve"> </w:t>
      </w:r>
      <w:r w:rsidR="00413829">
        <w:t xml:space="preserve">in </w:t>
      </w:r>
      <w:r w:rsidR="007F4A71">
        <w:t xml:space="preserve">both </w:t>
      </w:r>
      <w:r>
        <w:t xml:space="preserve">2016 and 2021 nutrition assessments. </w:t>
      </w:r>
    </w:p>
    <w:p w14:paraId="1826C7F4" w14:textId="3C13E43F" w:rsidR="00F6551F" w:rsidRDefault="00F6551F" w:rsidP="00776154"/>
    <w:p w14:paraId="6228095F" w14:textId="4C2F2B60" w:rsidR="00F6551F" w:rsidRDefault="00F6551F" w:rsidP="00776154">
      <w:pPr>
        <w:rPr>
          <w:bCs/>
          <w:iCs/>
          <w:lang w:eastAsia="en-AU"/>
        </w:rPr>
      </w:pPr>
      <w:r>
        <w:t>FSANZ</w:t>
      </w:r>
      <w:r w:rsidR="00437FB3">
        <w:t>’s</w:t>
      </w:r>
      <w:r>
        <w:t xml:space="preserve"> 2021 label survey assessed 71 infant formula products, of which </w:t>
      </w:r>
      <w:r w:rsidR="00413829">
        <w:t>two</w:t>
      </w:r>
      <w:r>
        <w:t xml:space="preserve"> were soy</w:t>
      </w:r>
      <w:r w:rsidR="00413829">
        <w:t>-</w:t>
      </w:r>
      <w:r>
        <w:t xml:space="preserve">based. </w:t>
      </w:r>
      <w:r w:rsidR="00437FB3">
        <w:rPr>
          <w:bCs/>
          <w:iCs/>
          <w:lang w:eastAsia="en-AU"/>
        </w:rPr>
        <w:t>Iron</w:t>
      </w:r>
      <w:r w:rsidR="00437FB3" w:rsidRPr="00AA446F">
        <w:rPr>
          <w:bCs/>
          <w:iCs/>
          <w:lang w:eastAsia="en-AU"/>
        </w:rPr>
        <w:t xml:space="preserve"> content of </w:t>
      </w:r>
      <w:r w:rsidR="00437FB3">
        <w:rPr>
          <w:bCs/>
          <w:iCs/>
          <w:lang w:eastAsia="en-AU"/>
        </w:rPr>
        <w:t>the soy</w:t>
      </w:r>
      <w:r w:rsidR="00415EBA">
        <w:rPr>
          <w:bCs/>
          <w:iCs/>
          <w:lang w:eastAsia="en-AU"/>
        </w:rPr>
        <w:t>-</w:t>
      </w:r>
      <w:r w:rsidR="00437FB3">
        <w:rPr>
          <w:bCs/>
          <w:iCs/>
          <w:lang w:eastAsia="en-AU"/>
        </w:rPr>
        <w:t>based</w:t>
      </w:r>
      <w:r w:rsidR="00437FB3" w:rsidRPr="00AA446F">
        <w:rPr>
          <w:bCs/>
          <w:iCs/>
          <w:lang w:eastAsia="en-AU"/>
        </w:rPr>
        <w:t xml:space="preserve"> formula</w:t>
      </w:r>
      <w:r w:rsidR="00437FB3">
        <w:rPr>
          <w:bCs/>
          <w:iCs/>
          <w:lang w:eastAsia="en-AU"/>
        </w:rPr>
        <w:t>s</w:t>
      </w:r>
      <w:r w:rsidR="00437FB3" w:rsidRPr="00AA446F">
        <w:rPr>
          <w:bCs/>
          <w:iCs/>
          <w:lang w:eastAsia="en-AU"/>
        </w:rPr>
        <w:t xml:space="preserve"> </w:t>
      </w:r>
      <w:r w:rsidR="00413829">
        <w:rPr>
          <w:bCs/>
          <w:iCs/>
          <w:lang w:eastAsia="en-AU"/>
        </w:rPr>
        <w:t>was</w:t>
      </w:r>
      <w:r w:rsidR="00437FB3">
        <w:rPr>
          <w:bCs/>
          <w:iCs/>
          <w:lang w:eastAsia="en-AU"/>
        </w:rPr>
        <w:t xml:space="preserve"> 0.29 </w:t>
      </w:r>
      <w:r w:rsidR="00413829">
        <w:rPr>
          <w:bCs/>
          <w:iCs/>
          <w:lang w:eastAsia="en-AU"/>
        </w:rPr>
        <w:t xml:space="preserve">mg/100 kJ and </w:t>
      </w:r>
      <w:r w:rsidR="00437FB3">
        <w:rPr>
          <w:bCs/>
          <w:iCs/>
          <w:lang w:eastAsia="en-AU"/>
        </w:rPr>
        <w:t>0.39 mg/100</w:t>
      </w:r>
      <w:r w:rsidR="00413829">
        <w:rPr>
          <w:bCs/>
          <w:iCs/>
          <w:lang w:eastAsia="en-AU"/>
        </w:rPr>
        <w:t xml:space="preserve"> </w:t>
      </w:r>
      <w:r w:rsidR="007F4A71">
        <w:rPr>
          <w:bCs/>
          <w:iCs/>
          <w:lang w:eastAsia="en-AU"/>
        </w:rPr>
        <w:t>kJ (Figure 7.3.10).</w:t>
      </w:r>
    </w:p>
    <w:p w14:paraId="35E73F52" w14:textId="77777777" w:rsidR="007F4A71" w:rsidRPr="005E61D0" w:rsidRDefault="007F4A71" w:rsidP="007F4A71">
      <w:pPr>
        <w:keepNext/>
        <w:spacing w:before="240" w:after="240"/>
        <w:ind w:left="851" w:hanging="851"/>
        <w:outlineLvl w:val="3"/>
        <w:rPr>
          <w:rFonts w:eastAsia="Arial Unicode MS"/>
          <w:bCs/>
          <w:i/>
          <w:iCs/>
          <w:lang w:val="en-AU"/>
        </w:rPr>
      </w:pPr>
      <w:r w:rsidRPr="005E61D0">
        <w:rPr>
          <w:rFonts w:eastAsia="Arial Unicode MS"/>
          <w:bCs/>
          <w:i/>
          <w:iCs/>
          <w:lang w:val="en-AU"/>
        </w:rPr>
        <w:t xml:space="preserve">Breast </w:t>
      </w:r>
      <w:r>
        <w:rPr>
          <w:rFonts w:eastAsia="Arial Unicode MS"/>
          <w:bCs/>
          <w:i/>
          <w:iCs/>
          <w:lang w:val="en-AU"/>
        </w:rPr>
        <w:t>m</w:t>
      </w:r>
      <w:r w:rsidRPr="005E61D0">
        <w:rPr>
          <w:rFonts w:eastAsia="Arial Unicode MS"/>
          <w:bCs/>
          <w:i/>
          <w:iCs/>
          <w:lang w:val="en-AU"/>
        </w:rPr>
        <w:t>ilk</w:t>
      </w:r>
    </w:p>
    <w:p w14:paraId="0374FC11" w14:textId="77777777" w:rsidR="007F4A71" w:rsidRPr="005E61D0" w:rsidRDefault="007F4A71" w:rsidP="007F4A71">
      <w:pPr>
        <w:rPr>
          <w:rFonts w:eastAsia="Arial Unicode MS" w:cs="Arial"/>
          <w:lang w:val="en-AU"/>
        </w:rPr>
      </w:pPr>
      <w:r>
        <w:rPr>
          <w:rFonts w:eastAsia="Arial Unicode MS"/>
          <w:lang w:val="en-AU"/>
        </w:rPr>
        <w:t xml:space="preserve">Most research shows that iron is better absorbed from human milk than from infant formulas </w:t>
      </w:r>
      <w:r>
        <w:t>(Lönnerdal et al. 2015)</w:t>
      </w:r>
      <w:r>
        <w:rPr>
          <w:rFonts w:eastAsia="Arial Unicode MS"/>
          <w:lang w:val="en-AU"/>
        </w:rPr>
        <w:t xml:space="preserve">. The iron in infant formula is reported to be </w:t>
      </w:r>
      <w:r w:rsidRPr="00E76B70">
        <w:rPr>
          <w:rFonts w:cs="Arial"/>
        </w:rPr>
        <w:t xml:space="preserve">less </w:t>
      </w:r>
      <w:r>
        <w:rPr>
          <w:rFonts w:cs="Arial"/>
        </w:rPr>
        <w:t>bio</w:t>
      </w:r>
      <w:r w:rsidRPr="00E76B70">
        <w:rPr>
          <w:rFonts w:cs="Arial"/>
        </w:rPr>
        <w:t>available than that in huma</w:t>
      </w:r>
      <w:r>
        <w:rPr>
          <w:rFonts w:cs="Arial"/>
        </w:rPr>
        <w:t>n milk, in the order of 10–20% (</w:t>
      </w:r>
      <w:r w:rsidRPr="00E76B70">
        <w:rPr>
          <w:rFonts w:cs="Arial"/>
        </w:rPr>
        <w:fldChar w:fldCharType="begin"/>
      </w:r>
      <w:r w:rsidRPr="00E76B70">
        <w:rPr>
          <w:rFonts w:cs="Arial"/>
        </w:rPr>
        <w:instrText>ADDIN CITAVI.PLACEHOLDER b862ba66-dd2b-4529-b382-0d4dd4b5b0e2 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</w:instrText>
      </w:r>
      <w:r w:rsidRPr="00E76B70">
        <w:rPr>
          <w:rFonts w:cs="Arial"/>
        </w:rPr>
        <w:fldChar w:fldCharType="separate"/>
      </w:r>
      <w:r w:rsidRPr="00E76B70">
        <w:rPr>
          <w:rFonts w:cs="Arial"/>
        </w:rPr>
        <w:t>NHMRC and MoH 2006)</w:t>
      </w:r>
      <w:r w:rsidRPr="00E76B70">
        <w:rPr>
          <w:rFonts w:cs="Arial"/>
        </w:rPr>
        <w:fldChar w:fldCharType="end"/>
      </w:r>
      <w:r>
        <w:rPr>
          <w:rFonts w:cs="Arial"/>
        </w:rPr>
        <w:t xml:space="preserve"> or 7–14% (EFSA 2014b). The 2021 nutrition risk assessment compared the current minimum amount in Standard 2.9.1 to the levels in human milk. </w:t>
      </w:r>
      <w:r>
        <w:rPr>
          <w:lang w:eastAsia="en-AU"/>
        </w:rPr>
        <w:t>T</w:t>
      </w:r>
      <w:r w:rsidRPr="00EE34E2">
        <w:rPr>
          <w:lang w:eastAsia="en-AU"/>
        </w:rPr>
        <w:t xml:space="preserve">he </w:t>
      </w:r>
      <w:r>
        <w:t>Code’s</w:t>
      </w:r>
      <w:r w:rsidRPr="00EE34E2">
        <w:t xml:space="preserve"> </w:t>
      </w:r>
      <w:r>
        <w:rPr>
          <w:lang w:eastAsia="en-AU"/>
        </w:rPr>
        <w:t>minimum amount (0.2</w:t>
      </w:r>
      <w:r w:rsidRPr="00EE34E2">
        <w:rPr>
          <w:lang w:eastAsia="en-AU"/>
        </w:rPr>
        <w:t xml:space="preserve"> m</w:t>
      </w:r>
      <w:r w:rsidRPr="00EE34E2">
        <w:rPr>
          <w:rFonts w:cs="Arial"/>
          <w:lang w:eastAsia="en-AU"/>
        </w:rPr>
        <w:t>g/100 kJ)</w:t>
      </w:r>
      <w:r>
        <w:rPr>
          <w:lang w:eastAsia="en-AU"/>
        </w:rPr>
        <w:t xml:space="preserve"> would equate to an estimated absorbed iron of 0.02 mg/100 kJ from cow’s milk-based formula and 0.014 mg/100 kJ from soy-based formula. </w:t>
      </w:r>
      <w:r>
        <w:rPr>
          <w:rFonts w:cs="Arial"/>
          <w:lang w:eastAsia="en-AU"/>
        </w:rPr>
        <w:t>T</w:t>
      </w:r>
      <w:r>
        <w:rPr>
          <w:lang w:eastAsia="en-AU"/>
        </w:rPr>
        <w:t xml:space="preserve">he estimated iron absorbed from infant formula when using the </w:t>
      </w:r>
      <w:r>
        <w:t>Code’s</w:t>
      </w:r>
      <w:r w:rsidRPr="00EE34E2">
        <w:t xml:space="preserve"> </w:t>
      </w:r>
      <w:r>
        <w:rPr>
          <w:lang w:eastAsia="en-AU"/>
        </w:rPr>
        <w:t>minimum level would be almost double that from</w:t>
      </w:r>
      <w:r w:rsidRPr="00413829">
        <w:rPr>
          <w:rFonts w:cs="Arial"/>
          <w:lang w:eastAsia="en-AU"/>
        </w:rPr>
        <w:t xml:space="preserve"> </w:t>
      </w:r>
      <w:r w:rsidRPr="00DC1FB5">
        <w:rPr>
          <w:rFonts w:cs="Arial"/>
          <w:lang w:eastAsia="en-AU"/>
        </w:rPr>
        <w:t>human milk</w:t>
      </w:r>
      <w:r>
        <w:rPr>
          <w:rFonts w:cs="Arial"/>
          <w:lang w:eastAsia="en-AU"/>
        </w:rPr>
        <w:t xml:space="preserve"> (0.012–0.013 mg/100 kJ)</w:t>
      </w:r>
      <w:r>
        <w:rPr>
          <w:lang w:eastAsia="en-AU"/>
        </w:rPr>
        <w:t>.</w:t>
      </w:r>
    </w:p>
    <w:p w14:paraId="3AF8D557" w14:textId="77777777" w:rsidR="007F4A71" w:rsidRDefault="007F4A71">
      <w:r>
        <w:br w:type="page"/>
      </w:r>
    </w:p>
    <w:p w14:paraId="7EB9D35E" w14:textId="219F1DF6" w:rsidR="00776154" w:rsidRDefault="00E8472C" w:rsidP="00776154">
      <w:pPr>
        <w:rPr>
          <w:rFonts w:eastAsia="Arial Unicode MS"/>
          <w:lang w:val="en-AU"/>
        </w:rPr>
      </w:pPr>
      <w:r>
        <w:rPr>
          <w:noProof/>
          <w:lang w:eastAsia="en-GB" w:bidi="ar-SA"/>
        </w:rPr>
        <w:lastRenderedPageBreak/>
        <w:drawing>
          <wp:inline distT="0" distB="0" distL="0" distR="0" wp14:anchorId="57210057" wp14:editId="7075C2F8">
            <wp:extent cx="5671457" cy="2220685"/>
            <wp:effectExtent l="0" t="0" r="5715" b="825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r>
        <w:rPr>
          <w:noProof/>
          <w:lang w:eastAsia="en-GB" w:bidi="ar-SA"/>
        </w:rPr>
        <w:t xml:space="preserve"> </w:t>
      </w:r>
    </w:p>
    <w:p w14:paraId="39EEC2D2" w14:textId="77777777" w:rsidR="00776154" w:rsidRPr="00752B9D" w:rsidRDefault="00776154" w:rsidP="00776154">
      <w:pPr>
        <w:rPr>
          <w:rFonts w:eastAsia="Arial Unicode MS"/>
          <w:i/>
          <w:sz w:val="16"/>
          <w:lang w:val="en-AU"/>
        </w:rPr>
      </w:pPr>
      <w:r w:rsidRPr="00752B9D">
        <w:rPr>
          <w:rFonts w:eastAsia="Arial Unicode MS"/>
          <w:i/>
          <w:sz w:val="16"/>
          <w:lang w:val="en-AU"/>
        </w:rPr>
        <w:t>^ Codex specifies a minimum concentration of 0.1mg/100kJ for iron and does not specify a maximum permitted concentration</w:t>
      </w:r>
      <w:r>
        <w:rPr>
          <w:rFonts w:eastAsia="Arial Unicode MS"/>
          <w:i/>
          <w:sz w:val="16"/>
          <w:lang w:val="en-AU"/>
        </w:rPr>
        <w:t>.</w:t>
      </w:r>
    </w:p>
    <w:p w14:paraId="35B61D29" w14:textId="7A2AECB5" w:rsidR="00776154" w:rsidRDefault="00C75C37" w:rsidP="0011607A">
      <w:pPr>
        <w:pStyle w:val="FSCaption"/>
      </w:pPr>
      <w:r>
        <w:t>Figure 7.3.</w:t>
      </w:r>
      <w:r w:rsidR="007F4A71">
        <w:t>10</w:t>
      </w:r>
      <w:r w:rsidR="00776154" w:rsidRPr="00452F92">
        <w:tab/>
        <w:t xml:space="preserve">Comparison of the permitted ranges for </w:t>
      </w:r>
      <w:r w:rsidR="00776154">
        <w:t>iron</w:t>
      </w:r>
      <w:r w:rsidR="00776154" w:rsidRPr="00452F92">
        <w:t xml:space="preserve"> in Standard 2.9.1, Codex STAN 72-1981 and EU 2016</w:t>
      </w:r>
      <w:r w:rsidR="00413829">
        <w:t>/127</w:t>
      </w:r>
      <w:r w:rsidR="00776154" w:rsidRPr="00452F92">
        <w:t>, human milk concentration, and the survey of the content in products on the ANZ market.</w:t>
      </w:r>
    </w:p>
    <w:p w14:paraId="4CA6E6B7" w14:textId="6E83E794" w:rsidR="0098309A" w:rsidRPr="00253C46" w:rsidRDefault="00776154" w:rsidP="00253C46">
      <w:pPr>
        <w:keepNext/>
        <w:spacing w:before="240" w:after="240"/>
        <w:ind w:left="851" w:hanging="851"/>
        <w:outlineLvl w:val="3"/>
        <w:rPr>
          <w:rFonts w:eastAsia="Arial Unicode MS"/>
          <w:bCs/>
          <w:i/>
          <w:iCs/>
          <w:lang w:val="en-AU"/>
        </w:rPr>
      </w:pPr>
      <w:r w:rsidRPr="00253C46">
        <w:rPr>
          <w:rFonts w:eastAsia="Arial Unicode MS"/>
          <w:bCs/>
          <w:i/>
          <w:iCs/>
          <w:lang w:val="en-AU"/>
        </w:rPr>
        <w:t xml:space="preserve">Soy-based </w:t>
      </w:r>
      <w:r w:rsidR="00413829">
        <w:rPr>
          <w:rFonts w:eastAsia="Arial Unicode MS"/>
          <w:bCs/>
          <w:i/>
          <w:iCs/>
          <w:lang w:val="en-AU"/>
        </w:rPr>
        <w:t>infant formula</w:t>
      </w:r>
    </w:p>
    <w:p w14:paraId="3D21AB2A" w14:textId="5AF5FBEB" w:rsidR="00D168EB" w:rsidRPr="00A830F6" w:rsidRDefault="00253C46" w:rsidP="00253C46">
      <w:r>
        <w:rPr>
          <w:rFonts w:cs="Arial"/>
        </w:rPr>
        <w:t>I</w:t>
      </w:r>
      <w:r w:rsidRPr="00E76B70">
        <w:rPr>
          <w:rFonts w:cs="Arial"/>
        </w:rPr>
        <w:t xml:space="preserve">ron in soy-based formula </w:t>
      </w:r>
      <w:r>
        <w:rPr>
          <w:rFonts w:cs="Arial"/>
        </w:rPr>
        <w:t>is considered to have</w:t>
      </w:r>
      <w:r w:rsidRPr="00E76B70">
        <w:rPr>
          <w:rFonts w:cs="Arial"/>
        </w:rPr>
        <w:t xml:space="preserve"> low</w:t>
      </w:r>
      <w:r>
        <w:rPr>
          <w:rFonts w:cs="Arial"/>
        </w:rPr>
        <w:t>er</w:t>
      </w:r>
      <w:r w:rsidRPr="00E76B70">
        <w:rPr>
          <w:rFonts w:cs="Arial"/>
        </w:rPr>
        <w:t xml:space="preserve"> bioavailability</w:t>
      </w:r>
      <w:r>
        <w:rPr>
          <w:rFonts w:cs="Arial"/>
        </w:rPr>
        <w:t xml:space="preserve"> than human milk and cow</w:t>
      </w:r>
      <w:r w:rsidR="00D523C9">
        <w:rPr>
          <w:rFonts w:cs="Arial"/>
        </w:rPr>
        <w:t>’s</w:t>
      </w:r>
      <w:r>
        <w:rPr>
          <w:rFonts w:cs="Arial"/>
        </w:rPr>
        <w:t xml:space="preserve"> milk-based formula, due to s</w:t>
      </w:r>
      <w:r>
        <w:t>oy protein isolate containing 1–2% phytate which inhibits intestinal iron absorption (</w:t>
      </w:r>
      <w:r w:rsidR="00A536F5">
        <w:t>Agostoni et al. 2006</w:t>
      </w:r>
      <w:r>
        <w:t xml:space="preserve">). Independent of phytate, soy protein itself may also be an inhibitor, with phytate-free soy protein isolates </w:t>
      </w:r>
      <w:r w:rsidR="00D523C9">
        <w:t xml:space="preserve">also </w:t>
      </w:r>
      <w:r>
        <w:t>reported to inhibit non-haem iron ab</w:t>
      </w:r>
      <w:r w:rsidR="00A830F6">
        <w:t>sorption (Hurrell et al. 1992).</w:t>
      </w:r>
      <w:r w:rsidR="003E1F85">
        <w:t xml:space="preserve"> FSANZ understands that processing methods already reduce </w:t>
      </w:r>
      <w:r w:rsidR="00A830F6">
        <w:t xml:space="preserve">phytate content in soy-based formulas, which </w:t>
      </w:r>
      <w:r w:rsidR="00D62B4C">
        <w:t>diminishes</w:t>
      </w:r>
      <w:r w:rsidR="00A830F6">
        <w:t xml:space="preserve"> the need to prescribe phy</w:t>
      </w:r>
      <w:r w:rsidR="009F4C0B">
        <w:t>t</w:t>
      </w:r>
      <w:r w:rsidR="00A830F6">
        <w:t>ate restrictions or set separate iron levels for soy</w:t>
      </w:r>
      <w:r w:rsidR="00D523C9">
        <w:t>-</w:t>
      </w:r>
      <w:r w:rsidR="00A830F6">
        <w:t xml:space="preserve">based formulas. </w:t>
      </w:r>
    </w:p>
    <w:p w14:paraId="426BEAC4" w14:textId="0731230D" w:rsidR="00AF5E47" w:rsidRDefault="00D523C9" w:rsidP="00AF5E47">
      <w:pPr>
        <w:keepNext/>
        <w:spacing w:before="240" w:after="240"/>
        <w:ind w:left="851" w:hanging="851"/>
        <w:outlineLvl w:val="3"/>
        <w:rPr>
          <w:rFonts w:eastAsia="Arial Unicode MS"/>
          <w:bCs/>
          <w:i/>
          <w:iCs/>
          <w:lang w:val="en-AU"/>
        </w:rPr>
      </w:pPr>
      <w:r>
        <w:rPr>
          <w:rFonts w:eastAsia="Arial Unicode MS"/>
          <w:bCs/>
          <w:i/>
          <w:iCs/>
          <w:lang w:val="en-AU"/>
        </w:rPr>
        <w:t>Infant formula</w:t>
      </w:r>
      <w:r w:rsidRPr="00A232B8">
        <w:rPr>
          <w:rFonts w:eastAsia="Arial Unicode MS"/>
          <w:bCs/>
          <w:i/>
          <w:iCs/>
          <w:lang w:val="en-AU"/>
        </w:rPr>
        <w:t xml:space="preserve"> </w:t>
      </w:r>
      <w:r w:rsidR="00776154" w:rsidRPr="00A232B8">
        <w:rPr>
          <w:rFonts w:eastAsia="Arial Unicode MS"/>
          <w:bCs/>
          <w:i/>
          <w:iCs/>
          <w:lang w:val="en-AU"/>
        </w:rPr>
        <w:t>for older infants</w:t>
      </w:r>
    </w:p>
    <w:p w14:paraId="275DD769" w14:textId="7354B61C" w:rsidR="00F6551F" w:rsidRPr="00253C46" w:rsidRDefault="00AF5E47" w:rsidP="00253C46">
      <w:pPr>
        <w:rPr>
          <w:rFonts w:eastAsia="Arial Unicode MS"/>
          <w:lang w:val="en-AU"/>
        </w:rPr>
      </w:pPr>
      <w:r>
        <w:rPr>
          <w:rFonts w:eastAsia="Arial Unicode MS"/>
          <w:lang w:val="en-AU"/>
        </w:rPr>
        <w:t xml:space="preserve">Standard 2.9.1 applies to </w:t>
      </w:r>
      <w:r w:rsidR="00D523C9">
        <w:rPr>
          <w:rFonts w:eastAsia="Arial Unicode MS"/>
          <w:lang w:val="en-AU"/>
        </w:rPr>
        <w:t xml:space="preserve">formula for </w:t>
      </w:r>
      <w:r>
        <w:rPr>
          <w:rFonts w:eastAsia="Arial Unicode MS"/>
          <w:lang w:val="en-AU"/>
        </w:rPr>
        <w:t xml:space="preserve">infants </w:t>
      </w:r>
      <w:r w:rsidR="00D523C9">
        <w:rPr>
          <w:rFonts w:eastAsia="Arial Unicode MS"/>
          <w:lang w:val="en-AU"/>
        </w:rPr>
        <w:t xml:space="preserve">aged </w:t>
      </w:r>
      <w:r>
        <w:rPr>
          <w:rFonts w:eastAsia="Arial Unicode MS"/>
          <w:lang w:val="en-AU"/>
        </w:rPr>
        <w:t xml:space="preserve">0–12 months. </w:t>
      </w:r>
      <w:r w:rsidR="00D523C9">
        <w:rPr>
          <w:rFonts w:eastAsia="Arial Unicode MS"/>
          <w:lang w:val="en-AU"/>
        </w:rPr>
        <w:t>Formula for o</w:t>
      </w:r>
      <w:r>
        <w:rPr>
          <w:rFonts w:eastAsia="Arial Unicode MS"/>
          <w:lang w:val="en-AU"/>
        </w:rPr>
        <w:t xml:space="preserve">lder infants (6–12 months) </w:t>
      </w:r>
      <w:r w:rsidR="00D523C9">
        <w:rPr>
          <w:rFonts w:eastAsia="Arial Unicode MS"/>
          <w:lang w:val="en-AU"/>
        </w:rPr>
        <w:t>is included in</w:t>
      </w:r>
      <w:r>
        <w:rPr>
          <w:rFonts w:eastAsia="Arial Unicode MS"/>
          <w:lang w:val="en-AU"/>
        </w:rPr>
        <w:t xml:space="preserve"> 2.9.1. However, the </w:t>
      </w:r>
      <w:r w:rsidR="00B96544">
        <w:t>Codex Draft Standard for FUF</w:t>
      </w:r>
      <w:r w:rsidR="00B96544">
        <w:rPr>
          <w:rFonts w:eastAsia="Arial Unicode MS"/>
          <w:lang w:val="en-AU"/>
        </w:rPr>
        <w:t xml:space="preserve"> </w:t>
      </w:r>
      <w:r>
        <w:rPr>
          <w:rFonts w:eastAsia="Arial Unicode MS"/>
          <w:lang w:val="en-AU"/>
        </w:rPr>
        <w:t xml:space="preserve">specifically focuses on the older infants group, which is why the </w:t>
      </w:r>
      <w:r w:rsidR="00D523C9">
        <w:rPr>
          <w:rFonts w:eastAsia="Arial Unicode MS"/>
          <w:lang w:val="en-AU"/>
        </w:rPr>
        <w:t xml:space="preserve">iron </w:t>
      </w:r>
      <w:r w:rsidR="00253C46">
        <w:rPr>
          <w:rFonts w:eastAsia="Arial Unicode MS"/>
          <w:lang w:val="en-AU"/>
        </w:rPr>
        <w:t>requirements</w:t>
      </w:r>
      <w:r>
        <w:rPr>
          <w:rFonts w:eastAsia="Arial Unicode MS"/>
          <w:lang w:val="en-AU"/>
        </w:rPr>
        <w:t xml:space="preserve"> are higher (</w:t>
      </w:r>
      <w:r w:rsidR="00253C46">
        <w:rPr>
          <w:bCs/>
          <w:iCs/>
        </w:rPr>
        <w:t>0.24</w:t>
      </w:r>
      <w:r w:rsidR="00D523C9">
        <w:rPr>
          <w:bCs/>
          <w:iCs/>
        </w:rPr>
        <w:t>–</w:t>
      </w:r>
      <w:r w:rsidR="00253C46">
        <w:rPr>
          <w:bCs/>
          <w:iCs/>
        </w:rPr>
        <w:t>0.48 mg/100 kJ for cow’s milk</w:t>
      </w:r>
      <w:r w:rsidR="00D168EB" w:rsidRPr="00A232B8">
        <w:rPr>
          <w:bCs/>
          <w:iCs/>
        </w:rPr>
        <w:t xml:space="preserve"> </w:t>
      </w:r>
      <w:r w:rsidR="00253C46">
        <w:rPr>
          <w:bCs/>
          <w:iCs/>
        </w:rPr>
        <w:t>and 0.36–0.6 mg/100 kJ for soy</w:t>
      </w:r>
      <w:r w:rsidR="00D523C9">
        <w:rPr>
          <w:bCs/>
          <w:iCs/>
        </w:rPr>
        <w:t>-</w:t>
      </w:r>
      <w:r w:rsidR="00253C46">
        <w:rPr>
          <w:bCs/>
          <w:iCs/>
        </w:rPr>
        <w:t xml:space="preserve">based products). Due to the difference in target population group there is no need for alignment with </w:t>
      </w:r>
      <w:r w:rsidR="00B96544">
        <w:rPr>
          <w:bCs/>
          <w:iCs/>
        </w:rPr>
        <w:t xml:space="preserve">the </w:t>
      </w:r>
      <w:r w:rsidR="00B96544">
        <w:t>Codex Draft Standard for FUF</w:t>
      </w:r>
      <w:r w:rsidR="00253C46">
        <w:rPr>
          <w:bCs/>
          <w:iCs/>
        </w:rPr>
        <w:t xml:space="preserve">, however FSANZ does </w:t>
      </w:r>
      <w:r w:rsidR="00EC2B26">
        <w:rPr>
          <w:bCs/>
          <w:iCs/>
        </w:rPr>
        <w:t>acknowledge</w:t>
      </w:r>
      <w:r w:rsidR="00253C46">
        <w:rPr>
          <w:bCs/>
          <w:iCs/>
        </w:rPr>
        <w:t xml:space="preserve"> the increased iron needs of older infants. FSANZ also notes that there are </w:t>
      </w:r>
      <w:r w:rsidR="0098309A" w:rsidRPr="00A232B8">
        <w:rPr>
          <w:bCs/>
          <w:iCs/>
        </w:rPr>
        <w:t>additional recommendations to ensure adeq</w:t>
      </w:r>
      <w:r w:rsidR="00253C46">
        <w:rPr>
          <w:bCs/>
          <w:iCs/>
        </w:rPr>
        <w:t xml:space="preserve">uate iron intakes </w:t>
      </w:r>
      <w:r w:rsidR="0098309A" w:rsidRPr="00A232B8">
        <w:rPr>
          <w:bCs/>
          <w:iCs/>
        </w:rPr>
        <w:t>in older infants in</w:t>
      </w:r>
      <w:r w:rsidR="00253C46">
        <w:rPr>
          <w:bCs/>
          <w:iCs/>
        </w:rPr>
        <w:t xml:space="preserve"> the</w:t>
      </w:r>
      <w:r w:rsidR="0098309A" w:rsidRPr="00A232B8">
        <w:rPr>
          <w:bCs/>
          <w:iCs/>
        </w:rPr>
        <w:t xml:space="preserve"> Australian and New</w:t>
      </w:r>
      <w:r w:rsidR="00253C46">
        <w:rPr>
          <w:bCs/>
          <w:iCs/>
        </w:rPr>
        <w:t xml:space="preserve"> Zealand </w:t>
      </w:r>
      <w:r w:rsidR="00D523C9">
        <w:rPr>
          <w:bCs/>
          <w:iCs/>
        </w:rPr>
        <w:t>I</w:t>
      </w:r>
      <w:r w:rsidR="00253C46">
        <w:rPr>
          <w:bCs/>
          <w:iCs/>
        </w:rPr>
        <w:t>nfant feeding guidelines (</w:t>
      </w:r>
      <w:r w:rsidR="00B701F0">
        <w:t>NHMRC 2013</w:t>
      </w:r>
      <w:r w:rsidR="00422206">
        <w:t>;</w:t>
      </w:r>
      <w:r w:rsidR="00B701F0">
        <w:t xml:space="preserve"> MoH 2008</w:t>
      </w:r>
      <w:r w:rsidR="00253C46">
        <w:rPr>
          <w:bCs/>
          <w:iCs/>
        </w:rPr>
        <w:t>)</w:t>
      </w:r>
      <w:r w:rsidR="0098309A" w:rsidRPr="00A232B8">
        <w:rPr>
          <w:bCs/>
          <w:iCs/>
        </w:rPr>
        <w:t>.</w:t>
      </w:r>
    </w:p>
    <w:p w14:paraId="3C0C1C09" w14:textId="77777777" w:rsidR="00AF5E47" w:rsidRDefault="00AF5E47" w:rsidP="00AF5E47">
      <w:pPr>
        <w:rPr>
          <w:bCs/>
          <w:iCs/>
        </w:rPr>
      </w:pPr>
    </w:p>
    <w:p w14:paraId="1ED1923C" w14:textId="14AC8238" w:rsidR="00776154" w:rsidRPr="00AA446F" w:rsidRDefault="00AF5E47" w:rsidP="00776154">
      <w:pPr>
        <w:rPr>
          <w:bCs/>
          <w:iCs/>
        </w:rPr>
      </w:pPr>
      <w:r>
        <w:rPr>
          <w:bCs/>
          <w:iCs/>
        </w:rPr>
        <w:t>FSANZ is also proposing to increase the current vitamin C levels (ascorbic acid) within Standard 2.9.1</w:t>
      </w:r>
      <w:r w:rsidR="00D523C9">
        <w:rPr>
          <w:bCs/>
          <w:iCs/>
        </w:rPr>
        <w:t xml:space="preserve"> (see section </w:t>
      </w:r>
      <w:r w:rsidR="00B701F0">
        <w:rPr>
          <w:bCs/>
          <w:iCs/>
        </w:rPr>
        <w:t>7</w:t>
      </w:r>
      <w:r w:rsidR="00D523C9">
        <w:rPr>
          <w:bCs/>
          <w:iCs/>
        </w:rPr>
        <w:t>.3.3.1)</w:t>
      </w:r>
      <w:r>
        <w:rPr>
          <w:bCs/>
          <w:iCs/>
        </w:rPr>
        <w:t xml:space="preserve">. This aligns with industry recommendations to add absorption enhancers. </w:t>
      </w:r>
    </w:p>
    <w:p w14:paraId="68E3D50C" w14:textId="77777777" w:rsidR="00776154" w:rsidRPr="00D62B4C" w:rsidRDefault="00776154" w:rsidP="00B701F0">
      <w:pPr>
        <w:pStyle w:val="Heading4"/>
        <w:ind w:left="0" w:firstLine="0"/>
      </w:pPr>
      <w:r w:rsidRPr="00B701F0">
        <w:t xml:space="preserve">Proposed </w:t>
      </w:r>
      <w:r w:rsidRPr="00D62B4C">
        <w:t>approach</w:t>
      </w:r>
    </w:p>
    <w:p w14:paraId="0771119E" w14:textId="590EBECE" w:rsidR="00776154" w:rsidRPr="00AA446F" w:rsidRDefault="00776154" w:rsidP="00776154">
      <w:pPr>
        <w:rPr>
          <w:lang w:val="en-AU"/>
        </w:rPr>
      </w:pPr>
      <w:r w:rsidRPr="00AA446F">
        <w:rPr>
          <w:lang w:val="en-AU"/>
        </w:rPr>
        <w:t xml:space="preserve">The adequacy NRV for iron is </w:t>
      </w:r>
      <w:r w:rsidRPr="00AA446F">
        <w:rPr>
          <w:lang w:eastAsia="en-AU"/>
        </w:rPr>
        <w:t xml:space="preserve">an AI for younger infants (0–6 months) whereas an Estimated Average Requirement (EAR) is established for older infants (7–12 months). </w:t>
      </w:r>
      <w:r w:rsidRPr="00AA446F">
        <w:rPr>
          <w:lang w:val="en-AU"/>
        </w:rPr>
        <w:t>New Zealand infants</w:t>
      </w:r>
      <w:r w:rsidRPr="00AA446F">
        <w:rPr>
          <w:bCs/>
          <w:iCs/>
          <w:lang w:eastAsia="en-AU"/>
        </w:rPr>
        <w:t xml:space="preserve"> with intakes below the EAR </w:t>
      </w:r>
      <w:r w:rsidRPr="00AA446F">
        <w:rPr>
          <w:lang w:val="en-AU"/>
        </w:rPr>
        <w:t xml:space="preserve">had </w:t>
      </w:r>
      <w:r w:rsidRPr="00AA446F">
        <w:rPr>
          <w:bCs/>
          <w:iCs/>
          <w:lang w:eastAsia="en-AU"/>
        </w:rPr>
        <w:t xml:space="preserve">an </w:t>
      </w:r>
      <w:r w:rsidRPr="00AA446F">
        <w:rPr>
          <w:lang w:val="en-AU"/>
        </w:rPr>
        <w:t>increased risk of iron deficiency compared to those with intakes meeting or exceeding the EAR,</w:t>
      </w:r>
      <w:r w:rsidRPr="00AA446F">
        <w:rPr>
          <w:bCs/>
          <w:iCs/>
          <w:lang w:eastAsia="en-AU"/>
        </w:rPr>
        <w:t xml:space="preserve"> thus FSANZ considers that </w:t>
      </w:r>
      <w:r w:rsidRPr="00AA446F">
        <w:rPr>
          <w:lang w:val="en-AU"/>
        </w:rPr>
        <w:t>use of the lower Codex minimum could potentially pose a risk to infant health</w:t>
      </w:r>
      <w:r w:rsidRPr="00AA446F">
        <w:rPr>
          <w:bCs/>
          <w:iCs/>
          <w:lang w:eastAsia="en-AU"/>
        </w:rPr>
        <w:t xml:space="preserve"> although the extent of risk is uncertain</w:t>
      </w:r>
      <w:r w:rsidRPr="00AA446F">
        <w:rPr>
          <w:lang w:val="en-AU"/>
        </w:rPr>
        <w:t xml:space="preserve">. </w:t>
      </w:r>
    </w:p>
    <w:p w14:paraId="17BD8F3A" w14:textId="77777777" w:rsidR="00776154" w:rsidRPr="00AA446F" w:rsidRDefault="00776154" w:rsidP="00776154">
      <w:pPr>
        <w:rPr>
          <w:bCs/>
          <w:iCs/>
          <w:lang w:eastAsia="en-AU"/>
        </w:rPr>
      </w:pPr>
    </w:p>
    <w:p w14:paraId="3A489CBF" w14:textId="10A7EE53" w:rsidR="00D523C9" w:rsidRDefault="00776154" w:rsidP="00776154">
      <w:pPr>
        <w:rPr>
          <w:bCs/>
          <w:iCs/>
          <w:lang w:eastAsia="en-AU"/>
        </w:rPr>
      </w:pPr>
      <w:r>
        <w:rPr>
          <w:bCs/>
          <w:iCs/>
          <w:lang w:eastAsia="en-AU"/>
        </w:rPr>
        <w:lastRenderedPageBreak/>
        <w:t>Based on the above co</w:t>
      </w:r>
      <w:r w:rsidR="00CA051F">
        <w:rPr>
          <w:bCs/>
          <w:iCs/>
          <w:lang w:eastAsia="en-AU"/>
        </w:rPr>
        <w:t>nsiderations and conclusions fro</w:t>
      </w:r>
      <w:r>
        <w:rPr>
          <w:bCs/>
          <w:iCs/>
          <w:lang w:eastAsia="en-AU"/>
        </w:rPr>
        <w:t>m the 2016 and 2021 nutrition risk assessment</w:t>
      </w:r>
      <w:r w:rsidR="00D523C9">
        <w:rPr>
          <w:bCs/>
          <w:iCs/>
          <w:lang w:eastAsia="en-AU"/>
        </w:rPr>
        <w:t>s</w:t>
      </w:r>
      <w:r w:rsidR="00781476">
        <w:rPr>
          <w:bCs/>
          <w:iCs/>
          <w:lang w:eastAsia="en-AU"/>
        </w:rPr>
        <w:t>,</w:t>
      </w:r>
      <w:r>
        <w:rPr>
          <w:bCs/>
          <w:iCs/>
          <w:lang w:eastAsia="en-AU"/>
        </w:rPr>
        <w:t xml:space="preserve"> FSANZ pro</w:t>
      </w:r>
      <w:r w:rsidR="00437FB3">
        <w:rPr>
          <w:bCs/>
          <w:iCs/>
          <w:lang w:eastAsia="en-AU"/>
        </w:rPr>
        <w:t xml:space="preserve">poses to </w:t>
      </w:r>
      <w:r>
        <w:rPr>
          <w:bCs/>
          <w:iCs/>
          <w:lang w:eastAsia="en-AU"/>
        </w:rPr>
        <w:t xml:space="preserve">retain the current minimum and </w:t>
      </w:r>
      <w:r w:rsidRPr="00AA446F">
        <w:rPr>
          <w:bCs/>
          <w:iCs/>
          <w:lang w:eastAsia="en-AU"/>
        </w:rPr>
        <w:t>maximum</w:t>
      </w:r>
      <w:r>
        <w:rPr>
          <w:bCs/>
          <w:iCs/>
          <w:lang w:eastAsia="en-AU"/>
        </w:rPr>
        <w:t xml:space="preserve"> </w:t>
      </w:r>
      <w:r w:rsidR="00F508CE">
        <w:rPr>
          <w:bCs/>
          <w:iCs/>
          <w:lang w:eastAsia="en-AU"/>
        </w:rPr>
        <w:t>specified in section S29—9</w:t>
      </w:r>
      <w:r>
        <w:rPr>
          <w:bCs/>
          <w:iCs/>
          <w:lang w:eastAsia="en-AU"/>
        </w:rPr>
        <w:t xml:space="preserve">. Retaining the broader </w:t>
      </w:r>
      <w:r w:rsidR="00D523C9">
        <w:rPr>
          <w:bCs/>
          <w:iCs/>
          <w:lang w:eastAsia="en-AU"/>
        </w:rPr>
        <w:t xml:space="preserve">permitted range </w:t>
      </w:r>
      <w:r>
        <w:rPr>
          <w:bCs/>
          <w:iCs/>
          <w:lang w:eastAsia="en-AU"/>
        </w:rPr>
        <w:t xml:space="preserve">in </w:t>
      </w:r>
      <w:r w:rsidR="00F508CE">
        <w:rPr>
          <w:bCs/>
          <w:iCs/>
          <w:lang w:eastAsia="en-AU"/>
        </w:rPr>
        <w:t>standard S29—9</w:t>
      </w:r>
      <w:r>
        <w:rPr>
          <w:bCs/>
          <w:iCs/>
          <w:lang w:eastAsia="en-AU"/>
        </w:rPr>
        <w:t xml:space="preserve"> accounts for older infants and soy-based infant formula and aligns with the current ANZ market. Retaining the current standard also allows manufacture</w:t>
      </w:r>
      <w:r w:rsidR="00D523C9">
        <w:rPr>
          <w:bCs/>
          <w:iCs/>
          <w:lang w:eastAsia="en-AU"/>
        </w:rPr>
        <w:t>r</w:t>
      </w:r>
      <w:r>
        <w:rPr>
          <w:bCs/>
          <w:iCs/>
          <w:lang w:eastAsia="en-AU"/>
        </w:rPr>
        <w:t>s to meet the Codex and EU ranges for iron, while still posing the least risk to infant health.</w:t>
      </w:r>
    </w:p>
    <w:p w14:paraId="16E07B58" w14:textId="6E5693AA" w:rsidR="00450004" w:rsidRDefault="00450004" w:rsidP="00776154">
      <w:pPr>
        <w:rPr>
          <w:bCs/>
          <w:iCs/>
          <w:lang w:eastAsia="en-AU"/>
        </w:rPr>
      </w:pPr>
    </w:p>
    <w:p w14:paraId="5D7165E6" w14:textId="5064CD82" w:rsidR="00776154" w:rsidRPr="00437FB3" w:rsidRDefault="00450004" w:rsidP="00776154">
      <w:pPr>
        <w:rPr>
          <w:bCs/>
          <w:iCs/>
          <w:lang w:eastAsia="en-AU"/>
        </w:rPr>
      </w:pPr>
      <w:r>
        <w:rPr>
          <w:bCs/>
          <w:iCs/>
          <w:lang w:eastAsia="en-AU"/>
        </w:rPr>
        <w:t>FSANZ</w:t>
      </w:r>
      <w:r>
        <w:rPr>
          <w:lang w:val="en-AU"/>
        </w:rPr>
        <w:t xml:space="preserve"> is seeking further information from submitters on setting separate maximum iron levels for soy-based infa</w:t>
      </w:r>
      <w:r w:rsidR="001C24DD">
        <w:rPr>
          <w:lang w:val="en-AU"/>
        </w:rPr>
        <w:t>nt formula. Please see section 9</w:t>
      </w:r>
      <w:r>
        <w:rPr>
          <w:lang w:val="en-AU"/>
        </w:rPr>
        <w:t xml:space="preserve"> for further details. </w:t>
      </w:r>
    </w:p>
    <w:p w14:paraId="1E183A95" w14:textId="190CC4E1" w:rsidR="00776154" w:rsidRDefault="00B701F0" w:rsidP="00D63F6F">
      <w:pPr>
        <w:pStyle w:val="Heading3"/>
      </w:pPr>
      <w:r>
        <w:t>7</w:t>
      </w:r>
      <w:r w:rsidR="00776154" w:rsidRPr="00990C5A">
        <w:t>.3.</w:t>
      </w:r>
      <w:r w:rsidR="002D0686">
        <w:t>11</w:t>
      </w:r>
      <w:r w:rsidR="00776154">
        <w:tab/>
      </w:r>
      <w:r w:rsidR="00776154" w:rsidRPr="00990C5A">
        <w:t xml:space="preserve">Selenium </w:t>
      </w:r>
    </w:p>
    <w:p w14:paraId="228C3A93" w14:textId="77777777" w:rsidR="00776154" w:rsidRPr="00B701F0" w:rsidRDefault="00776154" w:rsidP="00B701F0">
      <w:pPr>
        <w:pStyle w:val="Heading4"/>
        <w:ind w:left="0" w:firstLine="0"/>
      </w:pPr>
      <w:r w:rsidRPr="00B701F0">
        <w:t>Current regulations</w:t>
      </w:r>
    </w:p>
    <w:p w14:paraId="78AFE813" w14:textId="0DB4C8FB" w:rsidR="00776154" w:rsidRDefault="00776154" w:rsidP="00776154">
      <w:pPr>
        <w:rPr>
          <w:lang w:eastAsia="en-AU" w:bidi="ar-SA"/>
        </w:rPr>
      </w:pPr>
      <w:r w:rsidRPr="00C90454">
        <w:rPr>
          <w:lang w:eastAsia="en-AU" w:bidi="ar-SA"/>
        </w:rPr>
        <w:t>The minimum level for selenium in Standard 2.9.1 and</w:t>
      </w:r>
      <w:r>
        <w:rPr>
          <w:lang w:eastAsia="en-AU" w:bidi="ar-SA"/>
        </w:rPr>
        <w:t xml:space="preserve"> Codex STAN 72-1981 are aligned, however </w:t>
      </w:r>
      <w:r w:rsidRPr="00C90454">
        <w:rPr>
          <w:lang w:eastAsia="en-AU" w:bidi="ar-SA"/>
        </w:rPr>
        <w:t>the maximums differ</w:t>
      </w:r>
      <w:r w:rsidR="0011607A">
        <w:rPr>
          <w:lang w:eastAsia="en-AU" w:bidi="ar-SA"/>
        </w:rPr>
        <w:t xml:space="preserve"> (T</w:t>
      </w:r>
      <w:r w:rsidR="00D0635C">
        <w:rPr>
          <w:lang w:eastAsia="en-AU" w:bidi="ar-SA"/>
        </w:rPr>
        <w:t>able 7</w:t>
      </w:r>
      <w:r w:rsidRPr="00B701F0">
        <w:rPr>
          <w:lang w:eastAsia="en-AU" w:bidi="ar-SA"/>
        </w:rPr>
        <w:t>.</w:t>
      </w:r>
      <w:r w:rsidR="0011607A">
        <w:rPr>
          <w:lang w:eastAsia="en-AU" w:bidi="ar-SA"/>
        </w:rPr>
        <w:t>13).</w:t>
      </w:r>
      <w:r w:rsidRPr="00C90454">
        <w:rPr>
          <w:lang w:eastAsia="en-AU" w:bidi="ar-SA"/>
        </w:rPr>
        <w:t xml:space="preserve"> </w:t>
      </w:r>
      <w:r w:rsidR="00D523C9">
        <w:rPr>
          <w:lang w:eastAsia="en-AU" w:bidi="ar-SA"/>
        </w:rPr>
        <w:t>EU</w:t>
      </w:r>
      <w:r w:rsidR="00D523C9" w:rsidRPr="00C90454">
        <w:rPr>
          <w:lang w:eastAsia="en-AU" w:bidi="ar-SA"/>
        </w:rPr>
        <w:t xml:space="preserve"> </w:t>
      </w:r>
      <w:r w:rsidRPr="00C90454">
        <w:rPr>
          <w:lang w:eastAsia="en-AU" w:bidi="ar-SA"/>
        </w:rPr>
        <w:t>2016</w:t>
      </w:r>
      <w:r w:rsidR="00D523C9">
        <w:rPr>
          <w:lang w:eastAsia="en-AU" w:bidi="ar-SA"/>
        </w:rPr>
        <w:t>/127</w:t>
      </w:r>
      <w:r w:rsidRPr="00C90454">
        <w:rPr>
          <w:lang w:eastAsia="en-AU" w:bidi="ar-SA"/>
        </w:rPr>
        <w:t xml:space="preserve"> set a </w:t>
      </w:r>
      <w:r w:rsidR="00D523C9">
        <w:rPr>
          <w:lang w:eastAsia="en-AU" w:bidi="ar-SA"/>
        </w:rPr>
        <w:t>permitted</w:t>
      </w:r>
      <w:r w:rsidRPr="00C90454">
        <w:rPr>
          <w:lang w:eastAsia="en-AU" w:bidi="ar-SA"/>
        </w:rPr>
        <w:t xml:space="preserve"> range for selenium of 0.72 </w:t>
      </w:r>
      <w:r w:rsidR="00D523C9">
        <w:rPr>
          <w:lang w:eastAsia="en-AU" w:bidi="ar-SA"/>
        </w:rPr>
        <w:t>to</w:t>
      </w:r>
      <w:r w:rsidRPr="00C90454">
        <w:rPr>
          <w:lang w:eastAsia="en-AU" w:bidi="ar-SA"/>
        </w:rPr>
        <w:t xml:space="preserve"> 2 </w:t>
      </w:r>
      <w:r w:rsidR="00D523C9" w:rsidRPr="00B701F0">
        <w:rPr>
          <w:lang w:eastAsia="en-AU" w:bidi="ar-SA"/>
        </w:rPr>
        <w:t>µ</w:t>
      </w:r>
      <w:r w:rsidRPr="00C90454">
        <w:rPr>
          <w:lang w:eastAsia="en-AU" w:bidi="ar-SA"/>
        </w:rPr>
        <w:t>g/100 kJ.</w:t>
      </w:r>
    </w:p>
    <w:p w14:paraId="0F671678" w14:textId="77777777" w:rsidR="00776154" w:rsidRPr="00C90454" w:rsidRDefault="00776154" w:rsidP="00776154">
      <w:pPr>
        <w:rPr>
          <w:lang w:eastAsia="en-AU" w:bidi="ar-SA"/>
        </w:rPr>
      </w:pPr>
    </w:p>
    <w:p w14:paraId="00D5ACEC" w14:textId="44531776" w:rsidR="00776154" w:rsidRDefault="00B701F0" w:rsidP="00FA28CD">
      <w:pPr>
        <w:pStyle w:val="FSTitle"/>
      </w:pPr>
      <w:bookmarkStart w:id="393" w:name="_Toc74061254"/>
      <w:r>
        <w:t>Table 7</w:t>
      </w:r>
      <w:r w:rsidR="00776154">
        <w:t>.</w:t>
      </w:r>
      <w:r w:rsidR="0011607A">
        <w:t>1</w:t>
      </w:r>
      <w:r w:rsidR="00776154">
        <w:t>3</w:t>
      </w:r>
      <w:r w:rsidR="008915F4">
        <w:tab/>
        <w:t>Permitted range for selenium</w:t>
      </w:r>
      <w:bookmarkEnd w:id="393"/>
      <w:r w:rsidR="008915F4">
        <w:t xml:space="preserve"> </w:t>
      </w:r>
      <w:r w:rsidR="00776154">
        <w:t xml:space="preserve"> </w:t>
      </w:r>
    </w:p>
    <w:tbl>
      <w:tblPr>
        <w:tblStyle w:val="MediumShading1-Accent3"/>
        <w:tblW w:w="921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7.3.3.6.1 Permitted range for selenium (µg/100 kJ) "/>
        <w:tblDescription w:val="This table summarises the permitted range for selenium in Standard 2.9.1, Codex STAN 72-1981, EU 2016/127, US FDA Final Rule and Draft Codex FUF. "/>
      </w:tblPr>
      <w:tblGrid>
        <w:gridCol w:w="1421"/>
        <w:gridCol w:w="1703"/>
        <w:gridCol w:w="1559"/>
        <w:gridCol w:w="1416"/>
        <w:gridCol w:w="1560"/>
        <w:gridCol w:w="1560"/>
      </w:tblGrid>
      <w:tr w:rsidR="00B8415E" w:rsidRPr="00052C45" w14:paraId="688B8F13" w14:textId="3795C3F1" w:rsidTr="00EF0450">
        <w:trPr>
          <w:cnfStyle w:val="100000000000" w:firstRow="1" w:lastRow="0" w:firstColumn="0" w:lastColumn="0" w:oddVBand="0" w:evenVBand="0" w:oddHBand="0"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1421" w:type="dxa"/>
            <w:tcBorders>
              <w:top w:val="none" w:sz="0" w:space="0" w:color="auto"/>
              <w:left w:val="none" w:sz="0" w:space="0" w:color="auto"/>
              <w:bottom w:val="none" w:sz="0" w:space="0" w:color="auto"/>
              <w:right w:val="none" w:sz="0" w:space="0" w:color="auto"/>
            </w:tcBorders>
            <w:shd w:val="clear" w:color="auto" w:fill="E5DFEC" w:themeFill="accent4" w:themeFillTint="33"/>
            <w:vAlign w:val="center"/>
          </w:tcPr>
          <w:p w14:paraId="20579D79" w14:textId="471786F7" w:rsidR="00B8415E" w:rsidRPr="00840CE5" w:rsidRDefault="00B8415E" w:rsidP="008915F4">
            <w:pPr>
              <w:jc w:val="center"/>
              <w:rPr>
                <w:rFonts w:cs="Arial"/>
                <w:color w:val="auto"/>
                <w:szCs w:val="20"/>
              </w:rPr>
            </w:pPr>
            <w:r>
              <w:rPr>
                <w:rFonts w:cs="Arial"/>
                <w:bCs w:val="0"/>
                <w:color w:val="auto"/>
                <w:szCs w:val="20"/>
              </w:rPr>
              <w:t>Micronutrient</w:t>
            </w:r>
          </w:p>
        </w:tc>
        <w:tc>
          <w:tcPr>
            <w:tcW w:w="1703" w:type="dxa"/>
            <w:tcBorders>
              <w:top w:val="none" w:sz="0" w:space="0" w:color="auto"/>
              <w:left w:val="none" w:sz="0" w:space="0" w:color="auto"/>
              <w:bottom w:val="none" w:sz="0" w:space="0" w:color="auto"/>
              <w:right w:val="none" w:sz="0" w:space="0" w:color="auto"/>
            </w:tcBorders>
            <w:shd w:val="clear" w:color="auto" w:fill="EAF1DD" w:themeFill="accent3" w:themeFillTint="33"/>
            <w:vAlign w:val="center"/>
          </w:tcPr>
          <w:p w14:paraId="4F32D4A9" w14:textId="77777777" w:rsidR="00EF0450" w:rsidRDefault="00B8415E" w:rsidP="00B8415E">
            <w:pPr>
              <w:jc w:val="center"/>
              <w:cnfStyle w:val="100000000000" w:firstRow="1" w:lastRow="0" w:firstColumn="0" w:lastColumn="0" w:oddVBand="0" w:evenVBand="0" w:oddHBand="0" w:evenHBand="0" w:firstRowFirstColumn="0" w:firstRowLastColumn="0" w:lastRowFirstColumn="0" w:lastRowLastColumn="0"/>
              <w:rPr>
                <w:color w:val="auto"/>
              </w:rPr>
            </w:pPr>
            <w:r w:rsidRPr="00840CE5">
              <w:rPr>
                <w:color w:val="auto"/>
              </w:rPr>
              <w:t>Standard 2.9.1</w:t>
            </w:r>
          </w:p>
          <w:p w14:paraId="40CD180C" w14:textId="26824293" w:rsidR="00B8415E" w:rsidRPr="00B8415E" w:rsidRDefault="00EF0450" w:rsidP="00B8415E">
            <w:pPr>
              <w:jc w:val="center"/>
              <w:cnfStyle w:val="100000000000" w:firstRow="1" w:lastRow="0" w:firstColumn="0" w:lastColumn="0" w:oddVBand="0" w:evenVBand="0" w:oddHBand="0" w:evenHBand="0" w:firstRowFirstColumn="0" w:firstRowLastColumn="0" w:lastRowFirstColumn="0" w:lastRowLastColumn="0"/>
              <w:rPr>
                <w:b w:val="0"/>
                <w:bCs w:val="0"/>
              </w:rPr>
            </w:pPr>
            <w:r>
              <w:rPr>
                <w:color w:val="auto"/>
              </w:rPr>
              <w:t>(</w:t>
            </w:r>
            <w:r w:rsidR="00F508CE">
              <w:rPr>
                <w:color w:val="auto"/>
              </w:rPr>
              <w:t>Section S29—9</w:t>
            </w:r>
            <w:r>
              <w:rPr>
                <w:color w:val="auto"/>
              </w:rPr>
              <w:t>)</w:t>
            </w:r>
          </w:p>
        </w:tc>
        <w:tc>
          <w:tcPr>
            <w:tcW w:w="1559" w:type="dxa"/>
            <w:tcBorders>
              <w:top w:val="none" w:sz="0" w:space="0" w:color="auto"/>
              <w:left w:val="none" w:sz="0" w:space="0" w:color="auto"/>
              <w:bottom w:val="none" w:sz="0" w:space="0" w:color="auto"/>
              <w:right w:val="none" w:sz="0" w:space="0" w:color="auto"/>
            </w:tcBorders>
            <w:shd w:val="clear" w:color="auto" w:fill="DAEEF3" w:themeFill="accent5" w:themeFillTint="33"/>
            <w:vAlign w:val="center"/>
          </w:tcPr>
          <w:p w14:paraId="172065C5" w14:textId="26E08BAD" w:rsidR="00B8415E" w:rsidRPr="00840CE5" w:rsidRDefault="00B8415E" w:rsidP="00B8415E">
            <w:pPr>
              <w:jc w:val="center"/>
              <w:cnfStyle w:val="100000000000" w:firstRow="1" w:lastRow="0" w:firstColumn="0" w:lastColumn="0" w:oddVBand="0" w:evenVBand="0" w:oddHBand="0" w:evenHBand="0" w:firstRowFirstColumn="0" w:firstRowLastColumn="0" w:lastRowFirstColumn="0" w:lastRowLastColumn="0"/>
              <w:rPr>
                <w:color w:val="auto"/>
              </w:rPr>
            </w:pPr>
            <w:r w:rsidRPr="00840CE5">
              <w:rPr>
                <w:color w:val="auto"/>
              </w:rPr>
              <w:t>Codex STAN 72-1981</w:t>
            </w:r>
          </w:p>
        </w:tc>
        <w:tc>
          <w:tcPr>
            <w:tcW w:w="1416" w:type="dxa"/>
            <w:tcBorders>
              <w:top w:val="none" w:sz="0" w:space="0" w:color="auto"/>
              <w:left w:val="none" w:sz="0" w:space="0" w:color="auto"/>
              <w:bottom w:val="none" w:sz="0" w:space="0" w:color="auto"/>
              <w:right w:val="none" w:sz="0" w:space="0" w:color="auto"/>
            </w:tcBorders>
            <w:shd w:val="clear" w:color="auto" w:fill="DDD9C3" w:themeFill="background2" w:themeFillShade="E6"/>
            <w:vAlign w:val="center"/>
          </w:tcPr>
          <w:p w14:paraId="50ECEF23" w14:textId="3DAC4F01" w:rsidR="00B8415E" w:rsidRPr="00840CE5" w:rsidRDefault="00B8415E" w:rsidP="00B8415E">
            <w:pPr>
              <w:jc w:val="center"/>
              <w:cnfStyle w:val="100000000000" w:firstRow="1" w:lastRow="0" w:firstColumn="0" w:lastColumn="0" w:oddVBand="0" w:evenVBand="0" w:oddHBand="0" w:evenHBand="0" w:firstRowFirstColumn="0" w:firstRowLastColumn="0" w:lastRowFirstColumn="0" w:lastRowLastColumn="0"/>
              <w:rPr>
                <w:color w:val="auto"/>
              </w:rPr>
            </w:pPr>
            <w:r w:rsidRPr="00840CE5">
              <w:rPr>
                <w:color w:val="auto"/>
              </w:rPr>
              <w:t>EU 2016/127</w:t>
            </w:r>
          </w:p>
        </w:tc>
        <w:tc>
          <w:tcPr>
            <w:tcW w:w="1560" w:type="dxa"/>
            <w:tcBorders>
              <w:top w:val="none" w:sz="0" w:space="0" w:color="auto"/>
              <w:left w:val="none" w:sz="0" w:space="0" w:color="auto"/>
              <w:bottom w:val="none" w:sz="0" w:space="0" w:color="auto"/>
              <w:right w:val="none" w:sz="0" w:space="0" w:color="auto"/>
            </w:tcBorders>
            <w:shd w:val="clear" w:color="auto" w:fill="C6D9F1" w:themeFill="text2" w:themeFillTint="33"/>
            <w:vAlign w:val="center"/>
          </w:tcPr>
          <w:p w14:paraId="767501A7" w14:textId="20E2CEA6" w:rsidR="00B8415E" w:rsidRPr="00840CE5" w:rsidRDefault="00B8415E" w:rsidP="00B8415E">
            <w:pPr>
              <w:jc w:val="center"/>
              <w:cnfStyle w:val="100000000000" w:firstRow="1" w:lastRow="0" w:firstColumn="0" w:lastColumn="0" w:oddVBand="0" w:evenVBand="0" w:oddHBand="0" w:evenHBand="0" w:firstRowFirstColumn="0" w:firstRowLastColumn="0" w:lastRowFirstColumn="0" w:lastRowLastColumn="0"/>
              <w:rPr>
                <w:color w:val="auto"/>
              </w:rPr>
            </w:pPr>
            <w:r w:rsidRPr="00840CE5">
              <w:rPr>
                <w:color w:val="auto"/>
              </w:rPr>
              <w:t>US FDA Final Rule (2015)</w:t>
            </w:r>
          </w:p>
        </w:tc>
        <w:tc>
          <w:tcPr>
            <w:tcW w:w="1560" w:type="dxa"/>
            <w:tcBorders>
              <w:top w:val="none" w:sz="0" w:space="0" w:color="auto"/>
              <w:left w:val="none" w:sz="0" w:space="0" w:color="auto"/>
              <w:bottom w:val="none" w:sz="0" w:space="0" w:color="auto"/>
              <w:right w:val="none" w:sz="0" w:space="0" w:color="auto"/>
            </w:tcBorders>
            <w:shd w:val="clear" w:color="auto" w:fill="F2DBDB" w:themeFill="accent2" w:themeFillTint="33"/>
            <w:vAlign w:val="center"/>
          </w:tcPr>
          <w:p w14:paraId="2C9EF0E0" w14:textId="19DD9DCB" w:rsidR="00B8415E" w:rsidRPr="00B8415E" w:rsidRDefault="00B8415E" w:rsidP="00B8415E">
            <w:pPr>
              <w:jc w:val="center"/>
              <w:cnfStyle w:val="100000000000" w:firstRow="1" w:lastRow="0" w:firstColumn="0" w:lastColumn="0" w:oddVBand="0" w:evenVBand="0" w:oddHBand="0" w:evenHBand="0" w:firstRowFirstColumn="0" w:firstRowLastColumn="0" w:lastRowFirstColumn="0" w:lastRowLastColumn="0"/>
              <w:rPr>
                <w:rFonts w:cs="Arial"/>
                <w:b w:val="0"/>
                <w:bCs w:val="0"/>
                <w:szCs w:val="20"/>
              </w:rPr>
            </w:pPr>
            <w:r>
              <w:rPr>
                <w:rFonts w:cs="Arial"/>
                <w:color w:val="auto"/>
                <w:szCs w:val="20"/>
              </w:rPr>
              <w:t>Draft Codex FUF (2020</w:t>
            </w:r>
            <w:r w:rsidRPr="00840CE5">
              <w:rPr>
                <w:rFonts w:cs="Arial"/>
                <w:color w:val="auto"/>
                <w:szCs w:val="20"/>
              </w:rPr>
              <w:t>)</w:t>
            </w:r>
          </w:p>
        </w:tc>
      </w:tr>
      <w:tr w:rsidR="00B8415E" w:rsidRPr="00052C45" w14:paraId="601C263D" w14:textId="6AB2C96A" w:rsidTr="00EF0450">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421" w:type="dxa"/>
            <w:tcBorders>
              <w:right w:val="none" w:sz="0" w:space="0" w:color="auto"/>
            </w:tcBorders>
            <w:shd w:val="clear" w:color="auto" w:fill="auto"/>
            <w:vAlign w:val="center"/>
          </w:tcPr>
          <w:p w14:paraId="2F90218C" w14:textId="77777777" w:rsidR="00B8415E" w:rsidRPr="008915F4" w:rsidRDefault="00B8415E" w:rsidP="00B8415E">
            <w:pPr>
              <w:jc w:val="center"/>
              <w:rPr>
                <w:rFonts w:cs="Arial"/>
                <w:bCs w:val="0"/>
                <w:szCs w:val="20"/>
              </w:rPr>
            </w:pPr>
            <w:r w:rsidRPr="008915F4">
              <w:rPr>
                <w:rFonts w:cs="Arial"/>
                <w:bCs w:val="0"/>
                <w:szCs w:val="20"/>
              </w:rPr>
              <w:t>Selenium</w:t>
            </w:r>
          </w:p>
          <w:p w14:paraId="3EC85BCB" w14:textId="73736607" w:rsidR="00B8415E" w:rsidRPr="00CA051F" w:rsidRDefault="00B8415E" w:rsidP="00B8415E">
            <w:pPr>
              <w:jc w:val="center"/>
              <w:rPr>
                <w:rFonts w:cs="Arial"/>
                <w:b w:val="0"/>
                <w:bCs w:val="0"/>
                <w:szCs w:val="20"/>
              </w:rPr>
            </w:pPr>
            <w:r w:rsidRPr="008915F4">
              <w:rPr>
                <w:rFonts w:cs="Arial"/>
                <w:bCs w:val="0"/>
                <w:szCs w:val="20"/>
              </w:rPr>
              <w:t>(</w:t>
            </w:r>
            <w:r w:rsidRPr="008915F4">
              <w:rPr>
                <w:rFonts w:cs="Arial"/>
                <w:sz w:val="18"/>
                <w:szCs w:val="20"/>
              </w:rPr>
              <w:t>µg/100 kJ)</w:t>
            </w:r>
          </w:p>
        </w:tc>
        <w:tc>
          <w:tcPr>
            <w:tcW w:w="1703" w:type="dxa"/>
            <w:tcBorders>
              <w:left w:val="none" w:sz="0" w:space="0" w:color="auto"/>
              <w:right w:val="none" w:sz="0" w:space="0" w:color="auto"/>
            </w:tcBorders>
            <w:shd w:val="clear" w:color="auto" w:fill="auto"/>
            <w:vAlign w:val="center"/>
          </w:tcPr>
          <w:p w14:paraId="1C8052E6" w14:textId="13CBFC49" w:rsidR="00B8415E" w:rsidRPr="00052C45" w:rsidRDefault="00B8415E" w:rsidP="00FA2BFB">
            <w:pPr>
              <w:jc w:val="center"/>
              <w:cnfStyle w:val="000000100000" w:firstRow="0" w:lastRow="0" w:firstColumn="0" w:lastColumn="0" w:oddVBand="0" w:evenVBand="0" w:oddHBand="1" w:evenHBand="0" w:firstRowFirstColumn="0" w:firstRowLastColumn="0" w:lastRowFirstColumn="0" w:lastRowLastColumn="0"/>
              <w:rPr>
                <w:rFonts w:cs="Arial"/>
                <w:szCs w:val="20"/>
              </w:rPr>
            </w:pPr>
            <w:r w:rsidRPr="00C90454">
              <w:rPr>
                <w:rFonts w:eastAsia="Arial Unicode MS" w:cs="Arial"/>
              </w:rPr>
              <w:t>0.25</w:t>
            </w:r>
            <w:r>
              <w:rPr>
                <w:rFonts w:eastAsia="Arial Unicode MS" w:cs="Arial"/>
              </w:rPr>
              <w:t xml:space="preserve"> – 1.19</w:t>
            </w:r>
          </w:p>
        </w:tc>
        <w:tc>
          <w:tcPr>
            <w:tcW w:w="1559" w:type="dxa"/>
            <w:tcBorders>
              <w:left w:val="none" w:sz="0" w:space="0" w:color="auto"/>
              <w:right w:val="none" w:sz="0" w:space="0" w:color="auto"/>
            </w:tcBorders>
            <w:shd w:val="clear" w:color="auto" w:fill="auto"/>
            <w:vAlign w:val="center"/>
          </w:tcPr>
          <w:p w14:paraId="4BC54411" w14:textId="15AB7D7F" w:rsidR="00B8415E" w:rsidRPr="00052C45" w:rsidRDefault="00B8415E" w:rsidP="00FA2BFB">
            <w:pPr>
              <w:jc w:val="center"/>
              <w:cnfStyle w:val="000000100000" w:firstRow="0" w:lastRow="0" w:firstColumn="0" w:lastColumn="0" w:oddVBand="0" w:evenVBand="0" w:oddHBand="1" w:evenHBand="0" w:firstRowFirstColumn="0" w:firstRowLastColumn="0" w:lastRowFirstColumn="0" w:lastRowLastColumn="0"/>
              <w:rPr>
                <w:rFonts w:cs="Arial"/>
                <w:szCs w:val="20"/>
              </w:rPr>
            </w:pPr>
            <w:r w:rsidRPr="00C90454">
              <w:rPr>
                <w:rFonts w:eastAsia="Arial Unicode MS" w:cs="Arial"/>
              </w:rPr>
              <w:t>0.24</w:t>
            </w:r>
            <w:r>
              <w:rPr>
                <w:rFonts w:eastAsia="Arial Unicode MS" w:cs="Arial"/>
              </w:rPr>
              <w:t xml:space="preserve"> – 2.2 (GUL)</w:t>
            </w:r>
          </w:p>
        </w:tc>
        <w:tc>
          <w:tcPr>
            <w:tcW w:w="1416" w:type="dxa"/>
            <w:tcBorders>
              <w:left w:val="none" w:sz="0" w:space="0" w:color="auto"/>
              <w:right w:val="none" w:sz="0" w:space="0" w:color="auto"/>
            </w:tcBorders>
            <w:shd w:val="clear" w:color="auto" w:fill="auto"/>
            <w:vAlign w:val="center"/>
          </w:tcPr>
          <w:p w14:paraId="14C640CE" w14:textId="2704335B" w:rsidR="00B8415E" w:rsidRDefault="00B8415E" w:rsidP="00FA2BFB">
            <w:pPr>
              <w:jc w:val="center"/>
              <w:cnfStyle w:val="000000100000" w:firstRow="0" w:lastRow="0" w:firstColumn="0" w:lastColumn="0" w:oddVBand="0" w:evenVBand="0" w:oddHBand="1" w:evenHBand="0" w:firstRowFirstColumn="0" w:firstRowLastColumn="0" w:lastRowFirstColumn="0" w:lastRowLastColumn="0"/>
              <w:rPr>
                <w:rFonts w:cs="Arial"/>
                <w:szCs w:val="20"/>
              </w:rPr>
            </w:pPr>
            <w:r>
              <w:rPr>
                <w:rFonts w:cs="Arial"/>
                <w:szCs w:val="20"/>
              </w:rPr>
              <w:t xml:space="preserve">0.72 – 2.0 </w:t>
            </w:r>
          </w:p>
        </w:tc>
        <w:tc>
          <w:tcPr>
            <w:tcW w:w="1560" w:type="dxa"/>
            <w:tcBorders>
              <w:left w:val="none" w:sz="0" w:space="0" w:color="auto"/>
              <w:right w:val="none" w:sz="0" w:space="0" w:color="auto"/>
            </w:tcBorders>
            <w:shd w:val="clear" w:color="auto" w:fill="auto"/>
            <w:vAlign w:val="center"/>
          </w:tcPr>
          <w:p w14:paraId="485AE75C" w14:textId="38D8589E" w:rsidR="00B8415E" w:rsidRPr="00DA2147" w:rsidRDefault="00B8415E" w:rsidP="00FA2BFB">
            <w:pPr>
              <w:jc w:val="center"/>
              <w:cnfStyle w:val="000000100000" w:firstRow="0" w:lastRow="0" w:firstColumn="0" w:lastColumn="0" w:oddVBand="0" w:evenVBand="0" w:oddHBand="1" w:evenHBand="0" w:firstRowFirstColumn="0" w:firstRowLastColumn="0" w:lastRowFirstColumn="0" w:lastRowLastColumn="0"/>
              <w:rPr>
                <w:rFonts w:eastAsia="Arial Unicode MS" w:cs="Arial"/>
              </w:rPr>
            </w:pPr>
            <w:r w:rsidRPr="00DA2147">
              <w:rPr>
                <w:rFonts w:eastAsia="Arial Unicode MS" w:cs="Arial"/>
              </w:rPr>
              <w:t>0.48</w:t>
            </w:r>
            <w:r>
              <w:rPr>
                <w:rFonts w:eastAsia="Arial Unicode MS" w:cs="Arial"/>
              </w:rPr>
              <w:t xml:space="preserve"> – 1.70</w:t>
            </w:r>
          </w:p>
        </w:tc>
        <w:tc>
          <w:tcPr>
            <w:tcW w:w="1560" w:type="dxa"/>
            <w:tcBorders>
              <w:left w:val="none" w:sz="0" w:space="0" w:color="auto"/>
            </w:tcBorders>
            <w:shd w:val="clear" w:color="auto" w:fill="auto"/>
            <w:vAlign w:val="center"/>
          </w:tcPr>
          <w:p w14:paraId="14B0DD08" w14:textId="527D8050" w:rsidR="00B8415E" w:rsidRPr="00DA2147" w:rsidRDefault="00B8415E" w:rsidP="00FA2BFB">
            <w:pPr>
              <w:jc w:val="center"/>
              <w:cnfStyle w:val="000000100000" w:firstRow="0" w:lastRow="0" w:firstColumn="0" w:lastColumn="0" w:oddVBand="0" w:evenVBand="0" w:oddHBand="1" w:evenHBand="0" w:firstRowFirstColumn="0" w:firstRowLastColumn="0" w:lastRowFirstColumn="0" w:lastRowLastColumn="0"/>
              <w:rPr>
                <w:rFonts w:eastAsia="Arial Unicode MS" w:cs="Arial"/>
              </w:rPr>
            </w:pPr>
            <w:r w:rsidRPr="00DA2147">
              <w:rPr>
                <w:rFonts w:eastAsia="Arial Unicode MS" w:cs="Arial"/>
              </w:rPr>
              <w:t>0.48</w:t>
            </w:r>
            <w:r>
              <w:rPr>
                <w:rFonts w:eastAsia="Arial Unicode MS" w:cs="Arial"/>
              </w:rPr>
              <w:t xml:space="preserve"> – 2.2 (GUL)</w:t>
            </w:r>
          </w:p>
        </w:tc>
      </w:tr>
    </w:tbl>
    <w:p w14:paraId="5180A428" w14:textId="274036D5" w:rsidR="00776154" w:rsidRPr="00B701F0" w:rsidRDefault="00776154" w:rsidP="00B701F0">
      <w:pPr>
        <w:pStyle w:val="Heading4"/>
        <w:ind w:left="0" w:firstLine="0"/>
      </w:pPr>
      <w:r w:rsidRPr="00B701F0">
        <w:t>Previous consideration</w:t>
      </w:r>
    </w:p>
    <w:p w14:paraId="4F267FC7" w14:textId="6AB67554" w:rsidR="00776154" w:rsidRPr="00C90454" w:rsidRDefault="00BD1854" w:rsidP="00776154">
      <w:pPr>
        <w:spacing w:before="240" w:after="240"/>
        <w:rPr>
          <w:rFonts w:eastAsia="Calibri"/>
          <w:lang w:bidi="ar-SA"/>
        </w:rPr>
      </w:pPr>
      <w:r>
        <w:rPr>
          <w:bCs/>
          <w:iCs/>
          <w:szCs w:val="22"/>
          <w:lang w:eastAsia="en-AU" w:bidi="ar-SA"/>
        </w:rPr>
        <w:t xml:space="preserve">In 2016 FSANZ considered </w:t>
      </w:r>
      <w:r w:rsidR="00776154" w:rsidRPr="00C90454">
        <w:rPr>
          <w:bCs/>
          <w:iCs/>
          <w:szCs w:val="22"/>
          <w:lang w:eastAsia="en-AU" w:bidi="ar-SA"/>
        </w:rPr>
        <w:t>that i</w:t>
      </w:r>
      <w:r w:rsidR="00776154" w:rsidRPr="00C90454">
        <w:rPr>
          <w:rFonts w:eastAsia="Calibri"/>
          <w:bCs/>
          <w:iCs/>
          <w:szCs w:val="22"/>
          <w:lang w:bidi="ar-SA"/>
        </w:rPr>
        <w:t>ncreasing the minimum requirement for selenium in Standard 2.9.1 may be appropriate for the Australian and New Zealand context</w:t>
      </w:r>
      <w:r>
        <w:rPr>
          <w:rFonts w:eastAsia="Calibri"/>
          <w:bCs/>
          <w:iCs/>
          <w:szCs w:val="22"/>
          <w:lang w:bidi="ar-SA"/>
        </w:rPr>
        <w:t xml:space="preserve"> based on</w:t>
      </w:r>
      <w:r w:rsidR="00D523C9">
        <w:rPr>
          <w:rFonts w:eastAsia="Calibri"/>
          <w:bCs/>
          <w:iCs/>
          <w:szCs w:val="22"/>
          <w:lang w:bidi="ar-SA"/>
        </w:rPr>
        <w:t xml:space="preserve"> the following </w:t>
      </w:r>
      <w:r w:rsidR="00870B32">
        <w:rPr>
          <w:rFonts w:eastAsia="Calibri"/>
          <w:bCs/>
          <w:iCs/>
          <w:szCs w:val="22"/>
          <w:lang w:bidi="ar-SA"/>
        </w:rPr>
        <w:t>factors</w:t>
      </w:r>
      <w:r w:rsidR="00776154" w:rsidRPr="00C90454">
        <w:rPr>
          <w:rFonts w:eastAsia="Calibri"/>
          <w:lang w:bidi="ar-SA"/>
        </w:rPr>
        <w:t xml:space="preserve">: </w:t>
      </w:r>
    </w:p>
    <w:p w14:paraId="1300C8B1" w14:textId="705A795B" w:rsidR="00776154" w:rsidRPr="00C90454" w:rsidRDefault="00776154" w:rsidP="00CA051F">
      <w:pPr>
        <w:pStyle w:val="FSBullet"/>
        <w:ind w:left="567" w:hanging="567"/>
        <w:rPr>
          <w:lang w:bidi="ar-SA"/>
        </w:rPr>
      </w:pPr>
      <w:r w:rsidRPr="00C90454">
        <w:rPr>
          <w:lang w:bidi="ar-SA"/>
        </w:rPr>
        <w:t xml:space="preserve">The selenium content of soil varies between geographical locations including </w:t>
      </w:r>
      <w:r w:rsidR="00F46AB9">
        <w:rPr>
          <w:lang w:bidi="ar-SA"/>
        </w:rPr>
        <w:t>ANZ</w:t>
      </w:r>
      <w:r w:rsidRPr="00C90454">
        <w:rPr>
          <w:lang w:bidi="ar-SA"/>
        </w:rPr>
        <w:t xml:space="preserve"> and this influences selenium content in food and crops (FSANZ, 2008). </w:t>
      </w:r>
    </w:p>
    <w:p w14:paraId="201FE826" w14:textId="64BD6D60" w:rsidR="00776154" w:rsidRPr="00C90454" w:rsidRDefault="00776154" w:rsidP="00CA051F">
      <w:pPr>
        <w:pStyle w:val="FSBullet"/>
        <w:ind w:left="567" w:hanging="567"/>
        <w:rPr>
          <w:bCs/>
          <w:iCs/>
          <w:lang w:eastAsia="en-AU" w:bidi="ar-SA"/>
        </w:rPr>
      </w:pPr>
      <w:r w:rsidRPr="00C90454">
        <w:rPr>
          <w:bCs/>
          <w:iCs/>
          <w:lang w:eastAsia="en-AU" w:bidi="ar-SA"/>
        </w:rPr>
        <w:t>The</w:t>
      </w:r>
      <w:r w:rsidR="00BD1854">
        <w:rPr>
          <w:bCs/>
          <w:iCs/>
          <w:lang w:eastAsia="en-AU" w:bidi="ar-SA"/>
        </w:rPr>
        <w:t xml:space="preserve"> 2016 nutrition </w:t>
      </w:r>
      <w:r w:rsidR="00870B32">
        <w:rPr>
          <w:bCs/>
          <w:iCs/>
          <w:lang w:eastAsia="en-AU" w:bidi="ar-SA"/>
        </w:rPr>
        <w:t xml:space="preserve">risk </w:t>
      </w:r>
      <w:r w:rsidR="00BD1854">
        <w:rPr>
          <w:bCs/>
          <w:iCs/>
          <w:lang w:eastAsia="en-AU" w:bidi="ar-SA"/>
        </w:rPr>
        <w:t>assessment</w:t>
      </w:r>
      <w:r w:rsidRPr="00C90454">
        <w:rPr>
          <w:bCs/>
          <w:iCs/>
          <w:lang w:eastAsia="en-AU" w:bidi="ar-SA"/>
        </w:rPr>
        <w:t xml:space="preserve"> noted </w:t>
      </w:r>
      <w:r w:rsidRPr="00C90454">
        <w:rPr>
          <w:rFonts w:eastAsia="Calibri"/>
          <w:lang w:bidi="ar-SA"/>
        </w:rPr>
        <w:t xml:space="preserve">studies indicating lower breast milk selenium concentrations in </w:t>
      </w:r>
      <w:r w:rsidRPr="00C90454">
        <w:rPr>
          <w:rFonts w:eastAsia="Calibri"/>
          <w:bCs/>
          <w:iCs/>
          <w:lang w:bidi="ar-SA"/>
        </w:rPr>
        <w:t>Australian and New Zealand mothers</w:t>
      </w:r>
      <w:r w:rsidR="001A44B7">
        <w:rPr>
          <w:rFonts w:eastAsia="Calibri"/>
          <w:bCs/>
          <w:iCs/>
          <w:lang w:bidi="ar-SA"/>
        </w:rPr>
        <w:t>, compared to other populations</w:t>
      </w:r>
      <w:r w:rsidRPr="00C90454">
        <w:rPr>
          <w:rFonts w:eastAsia="Calibri"/>
          <w:bCs/>
          <w:iCs/>
          <w:lang w:bidi="ar-SA"/>
        </w:rPr>
        <w:t xml:space="preserve">. Research has </w:t>
      </w:r>
      <w:r w:rsidRPr="00C90454">
        <w:rPr>
          <w:rFonts w:eastAsia="Calibri"/>
          <w:lang w:bidi="ar-SA"/>
        </w:rPr>
        <w:t>also reported a lower selenium status of Australian infants relative to other international studies, although this has not been associated with any clinical or adverse health outcomes</w:t>
      </w:r>
      <w:r w:rsidRPr="00C90454">
        <w:rPr>
          <w:bCs/>
          <w:iCs/>
          <w:lang w:eastAsia="en-AU" w:bidi="ar-SA"/>
        </w:rPr>
        <w:t xml:space="preserve">. </w:t>
      </w:r>
    </w:p>
    <w:p w14:paraId="0319B5FA" w14:textId="4D6D4166" w:rsidR="00776154" w:rsidRPr="00C90454" w:rsidRDefault="00776154" w:rsidP="00CA051F">
      <w:pPr>
        <w:pStyle w:val="FSBullet"/>
        <w:ind w:left="567" w:hanging="567"/>
        <w:rPr>
          <w:bCs/>
          <w:iCs/>
          <w:lang w:eastAsia="en-AU" w:bidi="ar-SA"/>
        </w:rPr>
      </w:pPr>
      <w:r w:rsidRPr="00C90454">
        <w:rPr>
          <w:bCs/>
          <w:iCs/>
          <w:lang w:eastAsia="en-AU" w:bidi="ar-SA"/>
        </w:rPr>
        <w:t xml:space="preserve">Estimated selenium intakes based on the current minimum </w:t>
      </w:r>
      <w:r w:rsidR="00870B32">
        <w:rPr>
          <w:bCs/>
          <w:iCs/>
          <w:lang w:eastAsia="en-AU" w:bidi="ar-SA"/>
        </w:rPr>
        <w:t xml:space="preserve">infant formula requirements </w:t>
      </w:r>
      <w:r w:rsidRPr="00C90454">
        <w:rPr>
          <w:bCs/>
          <w:iCs/>
          <w:lang w:eastAsia="en-AU" w:bidi="ar-SA"/>
        </w:rPr>
        <w:t xml:space="preserve">do not meet the Australian and New Zealand AI, thus could pose a risk to infant health. The assessment </w:t>
      </w:r>
      <w:r w:rsidR="003D6712">
        <w:rPr>
          <w:bCs/>
          <w:iCs/>
          <w:lang w:eastAsia="en-AU" w:bidi="ar-SA"/>
        </w:rPr>
        <w:t xml:space="preserve">noted </w:t>
      </w:r>
      <w:r w:rsidRPr="00C90454">
        <w:rPr>
          <w:lang w:val="en-AU" w:bidi="ar-SA"/>
        </w:rPr>
        <w:t>recent studies indicat</w:t>
      </w:r>
      <w:r w:rsidR="003D6712">
        <w:rPr>
          <w:lang w:val="en-AU" w:bidi="ar-SA"/>
        </w:rPr>
        <w:t>ing</w:t>
      </w:r>
      <w:r w:rsidRPr="00C90454">
        <w:rPr>
          <w:lang w:val="en-AU" w:bidi="ar-SA"/>
        </w:rPr>
        <w:t xml:space="preserve"> the minimum should be increased.</w:t>
      </w:r>
      <w:r w:rsidRPr="00C90454">
        <w:rPr>
          <w:bCs/>
          <w:iCs/>
          <w:lang w:eastAsia="en-AU" w:bidi="ar-SA"/>
        </w:rPr>
        <w:t xml:space="preserve"> </w:t>
      </w:r>
    </w:p>
    <w:p w14:paraId="0C66E5D4" w14:textId="1D7556B7" w:rsidR="00776154" w:rsidRPr="00C90454" w:rsidRDefault="00776154" w:rsidP="00CA051F">
      <w:pPr>
        <w:pStyle w:val="FSBullet"/>
        <w:ind w:left="567" w:hanging="567"/>
        <w:rPr>
          <w:bCs/>
          <w:iCs/>
          <w:lang w:eastAsia="en-AU" w:bidi="ar-SA"/>
        </w:rPr>
      </w:pPr>
      <w:r w:rsidRPr="00C90454">
        <w:rPr>
          <w:bCs/>
          <w:iCs/>
          <w:lang w:eastAsia="en-AU" w:bidi="ar-SA"/>
        </w:rPr>
        <w:t xml:space="preserve">The nutrition </w:t>
      </w:r>
      <w:r w:rsidR="00870B32">
        <w:rPr>
          <w:bCs/>
          <w:iCs/>
          <w:lang w:eastAsia="en-AU" w:bidi="ar-SA"/>
        </w:rPr>
        <w:t xml:space="preserve">risk </w:t>
      </w:r>
      <w:r w:rsidRPr="00C90454">
        <w:rPr>
          <w:bCs/>
          <w:iCs/>
          <w:lang w:eastAsia="en-AU" w:bidi="ar-SA"/>
        </w:rPr>
        <w:t xml:space="preserve">assessment further noted that Codex STAN 72-1981 </w:t>
      </w:r>
      <w:r w:rsidR="00870B32">
        <w:rPr>
          <w:bCs/>
          <w:iCs/>
          <w:lang w:eastAsia="en-AU" w:bidi="ar-SA"/>
        </w:rPr>
        <w:t xml:space="preserve">requires </w:t>
      </w:r>
      <w:r w:rsidRPr="00C90454">
        <w:rPr>
          <w:bCs/>
          <w:iCs/>
          <w:lang w:eastAsia="en-AU" w:bidi="ar-SA"/>
        </w:rPr>
        <w:t xml:space="preserve">nearly double the maximum amount of Standard 2.9.1 and also sets it </w:t>
      </w:r>
      <w:r w:rsidR="00D0635C">
        <w:rPr>
          <w:bCs/>
          <w:iCs/>
          <w:lang w:eastAsia="en-AU" w:bidi="ar-SA"/>
        </w:rPr>
        <w:t>as a GUL (discussed in Section 7</w:t>
      </w:r>
      <w:r w:rsidRPr="00C90454">
        <w:rPr>
          <w:bCs/>
          <w:iCs/>
          <w:lang w:eastAsia="en-AU" w:bidi="ar-SA"/>
        </w:rPr>
        <w:t>.</w:t>
      </w:r>
      <w:r>
        <w:rPr>
          <w:bCs/>
          <w:iCs/>
          <w:lang w:eastAsia="en-AU" w:bidi="ar-SA"/>
        </w:rPr>
        <w:t>1</w:t>
      </w:r>
      <w:r w:rsidRPr="00C90454">
        <w:rPr>
          <w:bCs/>
          <w:iCs/>
          <w:lang w:eastAsia="en-AU" w:bidi="ar-SA"/>
        </w:rPr>
        <w:t>).</w:t>
      </w:r>
    </w:p>
    <w:p w14:paraId="3FBB3E63" w14:textId="0E3BFF18" w:rsidR="00C31FBF" w:rsidRPr="00C31FBF" w:rsidRDefault="00776154" w:rsidP="00CA051F">
      <w:pPr>
        <w:pStyle w:val="FSBullet"/>
        <w:ind w:left="567" w:hanging="567"/>
        <w:rPr>
          <w:bCs/>
          <w:iCs/>
          <w:lang w:eastAsia="en-AU" w:bidi="ar-SA"/>
        </w:rPr>
      </w:pPr>
      <w:r w:rsidRPr="00C90454">
        <w:rPr>
          <w:bCs/>
          <w:iCs/>
          <w:lang w:eastAsia="en-AU" w:bidi="ar-SA"/>
        </w:rPr>
        <w:t xml:space="preserve">FSANZ’s </w:t>
      </w:r>
      <w:r>
        <w:rPr>
          <w:bCs/>
          <w:iCs/>
          <w:lang w:eastAsia="en-AU" w:bidi="ar-SA"/>
        </w:rPr>
        <w:t>2013</w:t>
      </w:r>
      <w:r w:rsidR="00870B32">
        <w:rPr>
          <w:bCs/>
          <w:iCs/>
          <w:lang w:eastAsia="en-AU" w:bidi="ar-SA"/>
        </w:rPr>
        <w:t>–</w:t>
      </w:r>
      <w:r>
        <w:rPr>
          <w:bCs/>
          <w:iCs/>
          <w:lang w:eastAsia="en-AU" w:bidi="ar-SA"/>
        </w:rPr>
        <w:t xml:space="preserve">2014 </w:t>
      </w:r>
      <w:r w:rsidRPr="00C90454">
        <w:rPr>
          <w:bCs/>
          <w:iCs/>
          <w:lang w:eastAsia="en-AU" w:bidi="ar-SA"/>
        </w:rPr>
        <w:t xml:space="preserve">label survey indicated the </w:t>
      </w:r>
      <w:r w:rsidR="00870B32">
        <w:rPr>
          <w:bCs/>
          <w:iCs/>
          <w:lang w:eastAsia="en-AU" w:bidi="ar-SA"/>
        </w:rPr>
        <w:t xml:space="preserve">product with the </w:t>
      </w:r>
      <w:r w:rsidRPr="00C90454">
        <w:rPr>
          <w:bCs/>
          <w:iCs/>
          <w:lang w:eastAsia="en-AU" w:bidi="ar-SA"/>
        </w:rPr>
        <w:t xml:space="preserve">lowest selenium content </w:t>
      </w:r>
      <w:r w:rsidR="00870B32">
        <w:rPr>
          <w:bCs/>
          <w:iCs/>
          <w:lang w:eastAsia="en-AU" w:bidi="ar-SA"/>
        </w:rPr>
        <w:t>contained</w:t>
      </w:r>
      <w:r w:rsidRPr="00C90454">
        <w:rPr>
          <w:bCs/>
          <w:iCs/>
          <w:lang w:eastAsia="en-AU" w:bidi="ar-SA"/>
        </w:rPr>
        <w:t xml:space="preserve"> 0.43 μg/100 kJ and 0.29 μg/100 kJ in </w:t>
      </w:r>
      <w:r w:rsidR="00870B32">
        <w:rPr>
          <w:bCs/>
          <w:iCs/>
          <w:lang w:eastAsia="en-AU" w:bidi="ar-SA"/>
        </w:rPr>
        <w:t xml:space="preserve">the New Zealand and </w:t>
      </w:r>
      <w:r w:rsidRPr="00C90454">
        <w:rPr>
          <w:bCs/>
          <w:iCs/>
          <w:lang w:eastAsia="en-AU" w:bidi="ar-SA"/>
        </w:rPr>
        <w:t xml:space="preserve">Australian </w:t>
      </w:r>
      <w:r w:rsidR="00870B32">
        <w:rPr>
          <w:bCs/>
          <w:iCs/>
          <w:lang w:eastAsia="en-AU" w:bidi="ar-SA"/>
        </w:rPr>
        <w:t>samples respectively</w:t>
      </w:r>
      <w:r w:rsidRPr="00C90454">
        <w:rPr>
          <w:bCs/>
          <w:iCs/>
          <w:lang w:eastAsia="en-AU" w:bidi="ar-SA"/>
        </w:rPr>
        <w:t xml:space="preserve">. </w:t>
      </w:r>
    </w:p>
    <w:p w14:paraId="547FAD54" w14:textId="77777777" w:rsidR="00C31FBF" w:rsidRDefault="00C31FBF" w:rsidP="00C31FBF">
      <w:pPr>
        <w:rPr>
          <w:lang w:val="en-AU" w:bidi="ar-SA"/>
        </w:rPr>
      </w:pPr>
    </w:p>
    <w:p w14:paraId="25FA4C86" w14:textId="05ECE57F" w:rsidR="00776154" w:rsidRPr="00C90454" w:rsidRDefault="00C31FBF" w:rsidP="00C31FBF">
      <w:r>
        <w:t>The FSANZ</w:t>
      </w:r>
      <w:r w:rsidRPr="001121FB">
        <w:t xml:space="preserve"> 2016 assessment concluded that adopting the Codex STAN 72-1981 minimum</w:t>
      </w:r>
      <w:r>
        <w:t xml:space="preserve"> and maximum</w:t>
      </w:r>
      <w:r w:rsidRPr="001121FB">
        <w:t xml:space="preserve"> could pose a risk to infant health.</w:t>
      </w:r>
      <w:r>
        <w:t xml:space="preserve"> </w:t>
      </w:r>
      <w:r w:rsidR="00776154" w:rsidRPr="00C90454">
        <w:rPr>
          <w:lang w:val="en-AU" w:bidi="ar-SA"/>
        </w:rPr>
        <w:t>Further</w:t>
      </w:r>
      <w:r w:rsidR="00BD1854">
        <w:rPr>
          <w:lang w:val="en-AU" w:bidi="ar-SA"/>
        </w:rPr>
        <w:t xml:space="preserve"> information was sought from submitters to help inform </w:t>
      </w:r>
      <w:r>
        <w:rPr>
          <w:lang w:val="en-AU" w:bidi="ar-SA"/>
        </w:rPr>
        <w:t xml:space="preserve">the </w:t>
      </w:r>
      <w:r w:rsidR="00BD1854">
        <w:rPr>
          <w:lang w:val="en-AU" w:bidi="ar-SA"/>
        </w:rPr>
        <w:t xml:space="preserve">future proposal. </w:t>
      </w:r>
    </w:p>
    <w:p w14:paraId="0E567192" w14:textId="641908F7" w:rsidR="00776154" w:rsidRDefault="00776154" w:rsidP="00B701F0">
      <w:pPr>
        <w:pStyle w:val="Heading4"/>
        <w:ind w:left="0" w:firstLine="0"/>
      </w:pPr>
      <w:r w:rsidRPr="00BA1FD9" w:rsidDel="0048005E">
        <w:lastRenderedPageBreak/>
        <w:t>S</w:t>
      </w:r>
      <w:r w:rsidDel="0048005E">
        <w:t>takeholder views</w:t>
      </w:r>
    </w:p>
    <w:p w14:paraId="254FAD0E" w14:textId="06C49AE6" w:rsidR="00776154" w:rsidRPr="00C90454" w:rsidRDefault="00776154" w:rsidP="00776154">
      <w:pPr>
        <w:rPr>
          <w:lang w:val="en-AU" w:bidi="ar-SA"/>
        </w:rPr>
      </w:pPr>
      <w:r w:rsidRPr="00C90454">
        <w:rPr>
          <w:lang w:val="en-AU" w:bidi="ar-SA"/>
        </w:rPr>
        <w:t xml:space="preserve">FSANZ asked whether submitters supported raising the minimum and maximum level of selenium and to provide a rationale for their response. </w:t>
      </w:r>
      <w:r w:rsidR="00BD1854">
        <w:rPr>
          <w:lang w:val="en-AU" w:bidi="ar-SA"/>
        </w:rPr>
        <w:t>Eight submitters (</w:t>
      </w:r>
      <w:r w:rsidR="0048005E">
        <w:rPr>
          <w:lang w:val="en-AU" w:bidi="ar-SA"/>
        </w:rPr>
        <w:t>three</w:t>
      </w:r>
      <w:r w:rsidR="00BD1854">
        <w:rPr>
          <w:lang w:val="en-AU" w:bidi="ar-SA"/>
        </w:rPr>
        <w:t xml:space="preserve"> government, </w:t>
      </w:r>
      <w:r w:rsidR="0048005E">
        <w:rPr>
          <w:lang w:val="en-AU" w:bidi="ar-SA"/>
        </w:rPr>
        <w:t>five</w:t>
      </w:r>
      <w:r w:rsidR="00BD1854">
        <w:rPr>
          <w:lang w:val="en-AU" w:bidi="ar-SA"/>
        </w:rPr>
        <w:t xml:space="preserve"> industry)</w:t>
      </w:r>
      <w:r w:rsidRPr="00C90454">
        <w:rPr>
          <w:lang w:val="en-AU" w:bidi="ar-SA"/>
        </w:rPr>
        <w:t xml:space="preserve"> commented on the permi</w:t>
      </w:r>
      <w:r>
        <w:rPr>
          <w:lang w:val="en-AU" w:bidi="ar-SA"/>
        </w:rPr>
        <w:t xml:space="preserve">tted range for selenium </w:t>
      </w:r>
      <w:r w:rsidR="0011607A">
        <w:rPr>
          <w:lang w:val="en-AU" w:bidi="ar-SA"/>
        </w:rPr>
        <w:t>(</w:t>
      </w:r>
      <w:r>
        <w:rPr>
          <w:lang w:val="en-AU" w:bidi="ar-SA"/>
        </w:rPr>
        <w:t xml:space="preserve">Table </w:t>
      </w:r>
      <w:r w:rsidR="00B701F0">
        <w:rPr>
          <w:lang w:val="en-AU" w:bidi="ar-SA"/>
        </w:rPr>
        <w:t>7</w:t>
      </w:r>
      <w:r w:rsidRPr="00B701F0">
        <w:rPr>
          <w:lang w:val="en-AU" w:bidi="ar-SA"/>
        </w:rPr>
        <w:t>.</w:t>
      </w:r>
      <w:r w:rsidR="0011607A">
        <w:rPr>
          <w:lang w:val="en-AU" w:bidi="ar-SA"/>
        </w:rPr>
        <w:t>14)</w:t>
      </w:r>
      <w:r w:rsidRPr="00C90454">
        <w:rPr>
          <w:lang w:val="en-AU" w:bidi="ar-SA"/>
        </w:rPr>
        <w:t xml:space="preserve">. </w:t>
      </w:r>
    </w:p>
    <w:p w14:paraId="7CAEC2B5" w14:textId="77777777" w:rsidR="00776154" w:rsidRPr="00C90454" w:rsidRDefault="00776154" w:rsidP="00776154">
      <w:pPr>
        <w:rPr>
          <w:lang w:val="en-AU" w:bidi="ar-SA"/>
        </w:rPr>
      </w:pPr>
    </w:p>
    <w:p w14:paraId="577084AD" w14:textId="75A578AB" w:rsidR="00776154" w:rsidRPr="00C90454" w:rsidRDefault="001A44B7" w:rsidP="00FA28CD">
      <w:pPr>
        <w:pStyle w:val="FSTitle"/>
        <w:rPr>
          <w:lang w:val="en-AU" w:bidi="ar-SA"/>
        </w:rPr>
      </w:pPr>
      <w:bookmarkStart w:id="394" w:name="_Toc74061255"/>
      <w:r>
        <w:rPr>
          <w:lang w:val="en-AU" w:bidi="ar-SA"/>
        </w:rPr>
        <w:t>Table 7</w:t>
      </w:r>
      <w:r w:rsidR="00B701F0">
        <w:rPr>
          <w:lang w:val="en-AU" w:bidi="ar-SA"/>
        </w:rPr>
        <w:t>.</w:t>
      </w:r>
      <w:r w:rsidR="0011607A">
        <w:rPr>
          <w:lang w:val="en-AU" w:bidi="ar-SA"/>
        </w:rPr>
        <w:t>14</w:t>
      </w:r>
      <w:r w:rsidR="0011607A">
        <w:rPr>
          <w:lang w:val="en-AU" w:bidi="ar-SA"/>
        </w:rPr>
        <w:tab/>
      </w:r>
      <w:r w:rsidR="00776154" w:rsidRPr="00C90454">
        <w:rPr>
          <w:lang w:val="en-AU" w:bidi="ar-SA"/>
        </w:rPr>
        <w:t>Su</w:t>
      </w:r>
      <w:r w:rsidR="0011607A">
        <w:rPr>
          <w:lang w:val="en-AU" w:bidi="ar-SA"/>
        </w:rPr>
        <w:t xml:space="preserve">bmitter comments on the </w:t>
      </w:r>
      <w:r w:rsidR="00776154" w:rsidRPr="00C90454">
        <w:rPr>
          <w:lang w:val="en-AU" w:bidi="ar-SA"/>
        </w:rPr>
        <w:t>permitted range for selenium</w:t>
      </w:r>
      <w:bookmarkEnd w:id="394"/>
    </w:p>
    <w:tbl>
      <w:tblPr>
        <w:tblStyle w:val="MediumShading1-Accent3"/>
        <w:tblW w:w="9214" w:type="dxa"/>
        <w:tblLook w:val="04A0" w:firstRow="1" w:lastRow="0" w:firstColumn="1" w:lastColumn="0" w:noHBand="0" w:noVBand="1"/>
        <w:tblCaption w:val="Table 7.3.3.6.2  Summary of issues—permitted range for selenium"/>
        <w:tblDescription w:val="This table summarises submissions regarding selenium to the previous Consultation papers for Proposal P1028."/>
      </w:tblPr>
      <w:tblGrid>
        <w:gridCol w:w="3667"/>
        <w:gridCol w:w="1317"/>
        <w:gridCol w:w="4230"/>
      </w:tblGrid>
      <w:tr w:rsidR="00776154" w:rsidRPr="00C90454" w14:paraId="2B30F634" w14:textId="77777777" w:rsidTr="00CF28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67" w:type="dxa"/>
          </w:tcPr>
          <w:p w14:paraId="129EC27B" w14:textId="28061D57" w:rsidR="00776154" w:rsidRPr="00840CE5" w:rsidRDefault="00843305" w:rsidP="00840CE5">
            <w:pPr>
              <w:spacing w:after="120"/>
              <w:jc w:val="center"/>
              <w:rPr>
                <w:rFonts w:cs="Arial"/>
                <w:color w:val="auto"/>
                <w:szCs w:val="20"/>
              </w:rPr>
            </w:pPr>
            <w:r>
              <w:rPr>
                <w:rFonts w:cs="Arial"/>
                <w:color w:val="auto"/>
                <w:szCs w:val="20"/>
              </w:rPr>
              <w:t>Comment</w:t>
            </w:r>
          </w:p>
        </w:tc>
        <w:tc>
          <w:tcPr>
            <w:tcW w:w="1317" w:type="dxa"/>
          </w:tcPr>
          <w:p w14:paraId="6F97B628" w14:textId="77777777" w:rsidR="00776154" w:rsidRPr="00840CE5" w:rsidRDefault="00776154" w:rsidP="00840CE5">
            <w:pPr>
              <w:spacing w:after="120"/>
              <w:ind w:left="28" w:hanging="28"/>
              <w:jc w:val="center"/>
              <w:cnfStyle w:val="100000000000" w:firstRow="1" w:lastRow="0" w:firstColumn="0" w:lastColumn="0" w:oddVBand="0" w:evenVBand="0" w:oddHBand="0" w:evenHBand="0" w:firstRowFirstColumn="0" w:firstRowLastColumn="0" w:lastRowFirstColumn="0" w:lastRowLastColumn="0"/>
              <w:rPr>
                <w:rFonts w:cs="Arial"/>
                <w:color w:val="auto"/>
                <w:szCs w:val="20"/>
              </w:rPr>
            </w:pPr>
            <w:r w:rsidRPr="00840CE5">
              <w:rPr>
                <w:rFonts w:cs="Arial"/>
                <w:color w:val="auto"/>
                <w:szCs w:val="20"/>
              </w:rPr>
              <w:t>Raised by</w:t>
            </w:r>
          </w:p>
        </w:tc>
        <w:tc>
          <w:tcPr>
            <w:tcW w:w="4230" w:type="dxa"/>
          </w:tcPr>
          <w:p w14:paraId="2A3415B1" w14:textId="77777777" w:rsidR="00776154" w:rsidRPr="00840CE5" w:rsidRDefault="00776154" w:rsidP="00840CE5">
            <w:pPr>
              <w:spacing w:after="120"/>
              <w:ind w:right="-538"/>
              <w:jc w:val="center"/>
              <w:cnfStyle w:val="100000000000" w:firstRow="1" w:lastRow="0" w:firstColumn="0" w:lastColumn="0" w:oddVBand="0" w:evenVBand="0" w:oddHBand="0" w:evenHBand="0" w:firstRowFirstColumn="0" w:firstRowLastColumn="0" w:lastRowFirstColumn="0" w:lastRowLastColumn="0"/>
              <w:rPr>
                <w:rFonts w:cs="Arial"/>
                <w:color w:val="auto"/>
                <w:szCs w:val="20"/>
              </w:rPr>
            </w:pPr>
            <w:r w:rsidRPr="00840CE5">
              <w:rPr>
                <w:rFonts w:cs="Arial"/>
                <w:color w:val="auto"/>
                <w:szCs w:val="20"/>
              </w:rPr>
              <w:t>FSANZ response</w:t>
            </w:r>
          </w:p>
        </w:tc>
      </w:tr>
      <w:tr w:rsidR="00776154" w:rsidRPr="00C90454" w14:paraId="6990E536" w14:textId="77777777" w:rsidTr="00CF2812">
        <w:trPr>
          <w:cnfStyle w:val="000000100000" w:firstRow="0" w:lastRow="0" w:firstColumn="0" w:lastColumn="0" w:oddVBand="0" w:evenVBand="0" w:oddHBand="1" w:evenHBand="0" w:firstRowFirstColumn="0" w:firstRowLastColumn="0" w:lastRowFirstColumn="0" w:lastRowLastColumn="0"/>
          <w:trHeight w:val="846"/>
        </w:trPr>
        <w:tc>
          <w:tcPr>
            <w:cnfStyle w:val="001000000000" w:firstRow="0" w:lastRow="0" w:firstColumn="1" w:lastColumn="0" w:oddVBand="0" w:evenVBand="0" w:oddHBand="0" w:evenHBand="0" w:firstRowFirstColumn="0" w:firstRowLastColumn="0" w:lastRowFirstColumn="0" w:lastRowLastColumn="0"/>
            <w:tcW w:w="3667" w:type="dxa"/>
          </w:tcPr>
          <w:p w14:paraId="1061E6A3" w14:textId="54061D8E" w:rsidR="00776154" w:rsidRPr="00E01E62" w:rsidRDefault="00776154" w:rsidP="00776154">
            <w:pPr>
              <w:rPr>
                <w:rFonts w:cs="Arial"/>
                <w:b w:val="0"/>
                <w:szCs w:val="20"/>
                <w:lang w:val="en-AU" w:eastAsia="en-AU" w:bidi="ar-SA"/>
              </w:rPr>
            </w:pPr>
            <w:r w:rsidRPr="00E01E62">
              <w:rPr>
                <w:rFonts w:cs="Arial"/>
                <w:b w:val="0"/>
                <w:szCs w:val="20"/>
                <w:lang w:val="en-AU" w:eastAsia="en-AU" w:bidi="ar-SA"/>
              </w:rPr>
              <w:t>Support retaining Standard 2.9.1 minimum mainly based on argument that manufacturers alr</w:t>
            </w:r>
            <w:r>
              <w:rPr>
                <w:rFonts w:cs="Arial"/>
                <w:b w:val="0"/>
                <w:szCs w:val="20"/>
                <w:lang w:val="en-AU" w:eastAsia="en-AU" w:bidi="ar-SA"/>
              </w:rPr>
              <w:t>eady target a higher amount than</w:t>
            </w:r>
            <w:r w:rsidRPr="00E01E62">
              <w:rPr>
                <w:rFonts w:cs="Arial"/>
                <w:b w:val="0"/>
                <w:szCs w:val="20"/>
                <w:lang w:val="en-AU" w:eastAsia="en-AU" w:bidi="ar-SA"/>
              </w:rPr>
              <w:t xml:space="preserve"> the existing minimum (as c</w:t>
            </w:r>
            <w:r>
              <w:rPr>
                <w:rFonts w:cs="Arial"/>
                <w:b w:val="0"/>
                <w:szCs w:val="20"/>
                <w:lang w:val="en-AU" w:eastAsia="en-AU" w:bidi="ar-SA"/>
              </w:rPr>
              <w:t xml:space="preserve">onfirmed by FSANZ </w:t>
            </w:r>
            <w:r w:rsidR="00870B32">
              <w:rPr>
                <w:rFonts w:cs="Arial"/>
                <w:b w:val="0"/>
                <w:szCs w:val="20"/>
                <w:lang w:val="en-AU" w:eastAsia="en-AU" w:bidi="ar-SA"/>
              </w:rPr>
              <w:t xml:space="preserve">2013–2014 </w:t>
            </w:r>
            <w:r>
              <w:rPr>
                <w:rFonts w:cs="Arial"/>
                <w:b w:val="0"/>
                <w:szCs w:val="20"/>
                <w:lang w:val="en-AU" w:eastAsia="en-AU" w:bidi="ar-SA"/>
              </w:rPr>
              <w:t>label survey).</w:t>
            </w:r>
          </w:p>
        </w:tc>
        <w:tc>
          <w:tcPr>
            <w:tcW w:w="1317" w:type="dxa"/>
          </w:tcPr>
          <w:p w14:paraId="16D9A21B" w14:textId="77777777" w:rsidR="00776154" w:rsidRPr="00C90454" w:rsidRDefault="00776154" w:rsidP="00776154">
            <w:pPr>
              <w:ind w:left="28" w:hanging="28"/>
              <w:cnfStyle w:val="000000100000" w:firstRow="0" w:lastRow="0" w:firstColumn="0" w:lastColumn="0" w:oddVBand="0" w:evenVBand="0" w:oddHBand="1" w:evenHBand="0" w:firstRowFirstColumn="0" w:firstRowLastColumn="0" w:lastRowFirstColumn="0" w:lastRowLastColumn="0"/>
              <w:rPr>
                <w:rFonts w:cs="Arial"/>
                <w:szCs w:val="20"/>
              </w:rPr>
            </w:pPr>
            <w:r w:rsidRPr="00C90454">
              <w:rPr>
                <w:rFonts w:cs="Arial"/>
                <w:szCs w:val="20"/>
              </w:rPr>
              <w:t>Industry (5)</w:t>
            </w:r>
          </w:p>
        </w:tc>
        <w:tc>
          <w:tcPr>
            <w:tcW w:w="4230" w:type="dxa"/>
          </w:tcPr>
          <w:p w14:paraId="362CA3B3" w14:textId="1D775320" w:rsidR="00776154" w:rsidRPr="00C90454" w:rsidRDefault="00E5540E" w:rsidP="00E5540E">
            <w:pPr>
              <w:ind w:left="34"/>
              <w:cnfStyle w:val="000000100000" w:firstRow="0" w:lastRow="0" w:firstColumn="0" w:lastColumn="0" w:oddVBand="0" w:evenVBand="0" w:oddHBand="1" w:evenHBand="0" w:firstRowFirstColumn="0" w:firstRowLastColumn="0" w:lastRowFirstColumn="0" w:lastRowLastColumn="0"/>
              <w:rPr>
                <w:rFonts w:cs="Arial"/>
                <w:szCs w:val="20"/>
                <w:lang w:eastAsia="en-AU"/>
              </w:rPr>
            </w:pPr>
            <w:r>
              <w:rPr>
                <w:rFonts w:cs="Arial"/>
                <w:szCs w:val="20"/>
                <w:lang w:eastAsia="en-AU"/>
              </w:rPr>
              <w:t>To be more consistent with human milk concentrations in the ANZ population, the minimum level should be increased.</w:t>
            </w:r>
            <w:r w:rsidR="00776154" w:rsidRPr="00E5540E">
              <w:rPr>
                <w:rFonts w:cs="Arial"/>
                <w:szCs w:val="20"/>
                <w:lang w:eastAsia="en-AU"/>
              </w:rPr>
              <w:t xml:space="preserve"> FSANZ also notes that the existing minimum is inconsistent with all recently revised regulations (see Table</w:t>
            </w:r>
            <w:r w:rsidR="001A44B7" w:rsidRPr="00E5540E">
              <w:rPr>
                <w:rFonts w:cs="Arial"/>
                <w:szCs w:val="20"/>
                <w:lang w:eastAsia="en-AU"/>
              </w:rPr>
              <w:t xml:space="preserve"> 7.3.3.6.1</w:t>
            </w:r>
            <w:r w:rsidR="00776154" w:rsidRPr="00E5540E">
              <w:rPr>
                <w:rFonts w:cs="Arial"/>
                <w:szCs w:val="20"/>
                <w:lang w:eastAsia="en-AU"/>
              </w:rPr>
              <w:t>). FSANZ 2021 label survey support</w:t>
            </w:r>
            <w:r>
              <w:rPr>
                <w:rFonts w:cs="Arial"/>
                <w:szCs w:val="20"/>
                <w:lang w:eastAsia="en-AU"/>
              </w:rPr>
              <w:t xml:space="preserve">ed the industry position with the range determined to be 0.43 – 1.14 </w:t>
            </w:r>
            <w:r w:rsidRPr="00D66F38">
              <w:rPr>
                <w:lang w:eastAsia="en-AU"/>
              </w:rPr>
              <w:t>µg/100 kJ</w:t>
            </w:r>
            <w:r w:rsidR="00776154">
              <w:rPr>
                <w:rFonts w:cs="Arial"/>
                <w:szCs w:val="20"/>
                <w:lang w:eastAsia="en-AU"/>
              </w:rPr>
              <w:t>.</w:t>
            </w:r>
          </w:p>
        </w:tc>
      </w:tr>
      <w:tr w:rsidR="00776154" w:rsidRPr="00C90454" w14:paraId="44310FBC" w14:textId="77777777" w:rsidTr="00CF281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67" w:type="dxa"/>
          </w:tcPr>
          <w:p w14:paraId="76B64AFD" w14:textId="3FB5AF61" w:rsidR="00776154" w:rsidRPr="00E01E62" w:rsidRDefault="00776154" w:rsidP="00776154">
            <w:pPr>
              <w:rPr>
                <w:rFonts w:cs="Arial"/>
                <w:b w:val="0"/>
                <w:szCs w:val="20"/>
                <w:lang w:val="en-AU"/>
              </w:rPr>
            </w:pPr>
            <w:r w:rsidRPr="00E01E62">
              <w:rPr>
                <w:rFonts w:cs="Arial"/>
                <w:b w:val="0"/>
                <w:szCs w:val="20"/>
                <w:lang w:val="en-AU"/>
              </w:rPr>
              <w:t>Support increase in minimum and maximum based on breast milk concentrations from selenium</w:t>
            </w:r>
            <w:r w:rsidR="00D24865">
              <w:rPr>
                <w:rFonts w:cs="Arial"/>
                <w:b w:val="0"/>
                <w:szCs w:val="20"/>
                <w:lang w:val="en-AU"/>
              </w:rPr>
              <w:t>-</w:t>
            </w:r>
            <w:r w:rsidRPr="00E01E62">
              <w:rPr>
                <w:rFonts w:cs="Arial"/>
                <w:b w:val="0"/>
                <w:szCs w:val="20"/>
                <w:lang w:val="en-AU"/>
              </w:rPr>
              <w:t xml:space="preserve">replete population and on arguments presented in the 2016 nutrition </w:t>
            </w:r>
            <w:r w:rsidR="00D24865">
              <w:rPr>
                <w:rFonts w:cs="Arial"/>
                <w:b w:val="0"/>
                <w:szCs w:val="20"/>
                <w:lang w:val="en-AU"/>
              </w:rPr>
              <w:t xml:space="preserve">risk </w:t>
            </w:r>
            <w:r w:rsidRPr="00E01E62">
              <w:rPr>
                <w:rFonts w:cs="Arial"/>
                <w:b w:val="0"/>
                <w:szCs w:val="20"/>
                <w:lang w:val="en-AU"/>
              </w:rPr>
              <w:t xml:space="preserve">assessment. </w:t>
            </w:r>
          </w:p>
        </w:tc>
        <w:tc>
          <w:tcPr>
            <w:tcW w:w="1317" w:type="dxa"/>
          </w:tcPr>
          <w:p w14:paraId="4A67CE36" w14:textId="77777777" w:rsidR="00776154" w:rsidRPr="00C90454" w:rsidRDefault="00776154" w:rsidP="00776154">
            <w:pPr>
              <w:ind w:left="28" w:right="-102" w:hanging="28"/>
              <w:cnfStyle w:val="000000010000" w:firstRow="0" w:lastRow="0" w:firstColumn="0" w:lastColumn="0" w:oddVBand="0" w:evenVBand="0" w:oddHBand="0" w:evenHBand="1" w:firstRowFirstColumn="0" w:firstRowLastColumn="0" w:lastRowFirstColumn="0" w:lastRowLastColumn="0"/>
              <w:rPr>
                <w:rFonts w:cs="Arial"/>
                <w:szCs w:val="20"/>
              </w:rPr>
            </w:pPr>
            <w:r w:rsidRPr="00C90454">
              <w:rPr>
                <w:rFonts w:cs="Arial"/>
                <w:szCs w:val="20"/>
              </w:rPr>
              <w:t xml:space="preserve">Government (3) </w:t>
            </w:r>
          </w:p>
          <w:p w14:paraId="0B5EC2AA" w14:textId="77777777" w:rsidR="00776154" w:rsidRPr="00C90454" w:rsidRDefault="00776154" w:rsidP="00776154">
            <w:pPr>
              <w:ind w:left="28" w:right="-102" w:hanging="28"/>
              <w:cnfStyle w:val="000000010000" w:firstRow="0" w:lastRow="0" w:firstColumn="0" w:lastColumn="0" w:oddVBand="0" w:evenVBand="0" w:oddHBand="0" w:evenHBand="1" w:firstRowFirstColumn="0" w:firstRowLastColumn="0" w:lastRowFirstColumn="0" w:lastRowLastColumn="0"/>
              <w:rPr>
                <w:rFonts w:cs="Arial"/>
                <w:szCs w:val="20"/>
              </w:rPr>
            </w:pPr>
          </w:p>
        </w:tc>
        <w:tc>
          <w:tcPr>
            <w:tcW w:w="4230" w:type="dxa"/>
          </w:tcPr>
          <w:p w14:paraId="4D5EAD74" w14:textId="64351BF0" w:rsidR="00776154" w:rsidRPr="00C90454" w:rsidRDefault="00776154" w:rsidP="00F21432">
            <w:pPr>
              <w:ind w:left="34"/>
              <w:cnfStyle w:val="000000010000" w:firstRow="0" w:lastRow="0" w:firstColumn="0" w:lastColumn="0" w:oddVBand="0" w:evenVBand="0" w:oddHBand="0" w:evenHBand="1" w:firstRowFirstColumn="0" w:firstRowLastColumn="0" w:lastRowFirstColumn="0" w:lastRowLastColumn="0"/>
              <w:rPr>
                <w:rFonts w:cs="Arial"/>
                <w:szCs w:val="20"/>
                <w:lang w:eastAsia="en-AU"/>
              </w:rPr>
            </w:pPr>
            <w:r w:rsidRPr="00C90454">
              <w:rPr>
                <w:rFonts w:cs="Arial"/>
                <w:szCs w:val="20"/>
                <w:lang w:eastAsia="en-AU"/>
              </w:rPr>
              <w:t xml:space="preserve">Noted. FSANZ reiterates that the selenium status of </w:t>
            </w:r>
            <w:r w:rsidR="00F46AB9">
              <w:rPr>
                <w:rFonts w:cs="Arial"/>
                <w:szCs w:val="20"/>
                <w:lang w:eastAsia="en-AU"/>
              </w:rPr>
              <w:t>ANZ</w:t>
            </w:r>
            <w:r w:rsidRPr="00C90454">
              <w:rPr>
                <w:rFonts w:cs="Arial"/>
                <w:szCs w:val="20"/>
                <w:lang w:eastAsia="en-AU"/>
              </w:rPr>
              <w:t xml:space="preserve"> is lower than other selenium sufficient countries. Selenium content of human milk is dependent on maternal diet and not necessarily reflective of infant requirements (</w:t>
            </w:r>
            <w:hyperlink r:id="rId46" w:history="1">
              <w:r w:rsidRPr="00C90454">
                <w:rPr>
                  <w:rFonts w:cs="Arial"/>
                  <w:color w:val="3333FF"/>
                  <w:szCs w:val="20"/>
                  <w:u w:val="single"/>
                  <w:lang w:eastAsia="en-AU"/>
                </w:rPr>
                <w:t xml:space="preserve">see CCNFSDU </w:t>
              </w:r>
              <w:r w:rsidR="00F21432">
                <w:rPr>
                  <w:rFonts w:cs="Arial"/>
                  <w:color w:val="3333FF"/>
                  <w:szCs w:val="20"/>
                  <w:u w:val="single"/>
                  <w:lang w:eastAsia="en-AU"/>
                </w:rPr>
                <w:t>2</w:t>
              </w:r>
              <w:r w:rsidR="00F21432" w:rsidRPr="00F21432">
                <w:rPr>
                  <w:rFonts w:cs="Arial"/>
                  <w:color w:val="3333FF"/>
                  <w:szCs w:val="20"/>
                  <w:u w:val="single"/>
                  <w:vertAlign w:val="superscript"/>
                  <w:lang w:eastAsia="en-AU"/>
                </w:rPr>
                <w:t>nd</w:t>
              </w:r>
              <w:r w:rsidR="00F21432">
                <w:rPr>
                  <w:rFonts w:cs="Arial"/>
                  <w:color w:val="3333FF"/>
                  <w:szCs w:val="20"/>
                  <w:u w:val="single"/>
                  <w:lang w:eastAsia="en-AU"/>
                </w:rPr>
                <w:t xml:space="preserve"> Consultation Paper </w:t>
              </w:r>
              <w:r w:rsidRPr="00C90454">
                <w:rPr>
                  <w:rFonts w:cs="Arial"/>
                  <w:color w:val="3333FF"/>
                  <w:szCs w:val="20"/>
                  <w:u w:val="single"/>
                  <w:lang w:eastAsia="en-AU"/>
                </w:rPr>
                <w:t>2015</w:t>
              </w:r>
            </w:hyperlink>
            <w:r w:rsidRPr="00C90454">
              <w:rPr>
                <w:rFonts w:cs="Arial"/>
                <w:szCs w:val="20"/>
                <w:lang w:eastAsia="en-AU"/>
              </w:rPr>
              <w:t xml:space="preserve"> pg 60</w:t>
            </w:r>
            <w:r w:rsidR="00DA2147">
              <w:rPr>
                <w:rFonts w:cs="Arial"/>
                <w:szCs w:val="20"/>
                <w:lang w:eastAsia="en-AU"/>
              </w:rPr>
              <w:t>).</w:t>
            </w:r>
          </w:p>
        </w:tc>
      </w:tr>
      <w:tr w:rsidR="00776154" w:rsidRPr="00C90454" w14:paraId="60BC88C9" w14:textId="77777777" w:rsidTr="00CF28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67" w:type="dxa"/>
          </w:tcPr>
          <w:p w14:paraId="29357BE9" w14:textId="48B4B805" w:rsidR="00776154" w:rsidRPr="00E01E62" w:rsidRDefault="00776154" w:rsidP="00D24865">
            <w:pPr>
              <w:rPr>
                <w:rFonts w:cs="Arial"/>
                <w:b w:val="0"/>
                <w:szCs w:val="20"/>
                <w:lang w:val="en-AU"/>
              </w:rPr>
            </w:pPr>
            <w:r w:rsidRPr="00E01E62">
              <w:rPr>
                <w:rFonts w:cs="Arial"/>
                <w:b w:val="0"/>
                <w:szCs w:val="20"/>
                <w:lang w:val="en-AU"/>
              </w:rPr>
              <w:t xml:space="preserve">Support other public health initiatives to address </w:t>
            </w:r>
            <w:r w:rsidR="00D24865" w:rsidRPr="00E01E62">
              <w:rPr>
                <w:rFonts w:cs="Arial"/>
                <w:b w:val="0"/>
                <w:szCs w:val="20"/>
                <w:lang w:val="en-AU"/>
              </w:rPr>
              <w:t xml:space="preserve">selenium </w:t>
            </w:r>
            <w:r w:rsidRPr="00E01E62">
              <w:rPr>
                <w:rFonts w:cs="Arial"/>
                <w:b w:val="0"/>
                <w:szCs w:val="20"/>
                <w:lang w:val="en-AU"/>
              </w:rPr>
              <w:t>deficiency in Australian and New Zealand populations</w:t>
            </w:r>
            <w:r w:rsidR="00D24865">
              <w:rPr>
                <w:rFonts w:cs="Arial"/>
                <w:b w:val="0"/>
                <w:szCs w:val="20"/>
                <w:lang w:val="en-AU"/>
              </w:rPr>
              <w:t>.</w:t>
            </w:r>
            <w:r w:rsidRPr="00E01E62">
              <w:rPr>
                <w:rFonts w:cs="Arial"/>
                <w:b w:val="0"/>
                <w:szCs w:val="20"/>
                <w:lang w:val="en-AU"/>
              </w:rPr>
              <w:t xml:space="preserve"> </w:t>
            </w:r>
          </w:p>
        </w:tc>
        <w:tc>
          <w:tcPr>
            <w:tcW w:w="1317" w:type="dxa"/>
          </w:tcPr>
          <w:p w14:paraId="03DF609B" w14:textId="77777777" w:rsidR="00776154" w:rsidRPr="00C90454" w:rsidRDefault="00776154" w:rsidP="00776154">
            <w:pPr>
              <w:ind w:left="28" w:hanging="28"/>
              <w:cnfStyle w:val="000000100000" w:firstRow="0" w:lastRow="0" w:firstColumn="0" w:lastColumn="0" w:oddVBand="0" w:evenVBand="0" w:oddHBand="1" w:evenHBand="0" w:firstRowFirstColumn="0" w:firstRowLastColumn="0" w:lastRowFirstColumn="0" w:lastRowLastColumn="0"/>
              <w:rPr>
                <w:rFonts w:cs="Arial"/>
                <w:szCs w:val="20"/>
              </w:rPr>
            </w:pPr>
            <w:r w:rsidRPr="00C90454">
              <w:rPr>
                <w:rFonts w:cs="Arial"/>
                <w:szCs w:val="20"/>
              </w:rPr>
              <w:t xml:space="preserve">Government (2) </w:t>
            </w:r>
          </w:p>
        </w:tc>
        <w:tc>
          <w:tcPr>
            <w:tcW w:w="4230" w:type="dxa"/>
          </w:tcPr>
          <w:p w14:paraId="2B89CE4F" w14:textId="77777777" w:rsidR="00776154" w:rsidRPr="00C90454" w:rsidRDefault="00776154" w:rsidP="00776154">
            <w:pPr>
              <w:ind w:left="34"/>
              <w:cnfStyle w:val="000000100000" w:firstRow="0" w:lastRow="0" w:firstColumn="0" w:lastColumn="0" w:oddVBand="0" w:evenVBand="0" w:oddHBand="1" w:evenHBand="0" w:firstRowFirstColumn="0" w:firstRowLastColumn="0" w:lastRowFirstColumn="0" w:lastRowLastColumn="0"/>
              <w:rPr>
                <w:rFonts w:cs="Arial"/>
                <w:szCs w:val="20"/>
                <w:highlight w:val="yellow"/>
                <w:lang w:eastAsia="en-AU"/>
              </w:rPr>
            </w:pPr>
            <w:r w:rsidRPr="00C90454">
              <w:rPr>
                <w:rFonts w:cs="Arial"/>
                <w:szCs w:val="20"/>
                <w:lang w:eastAsia="en-AU"/>
              </w:rPr>
              <w:t xml:space="preserve">This is outside FSANZ’s remit and out of scope for this proposal. </w:t>
            </w:r>
          </w:p>
        </w:tc>
      </w:tr>
      <w:tr w:rsidR="00776154" w:rsidRPr="00C90454" w14:paraId="4178E895" w14:textId="77777777" w:rsidTr="00CF281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67" w:type="dxa"/>
          </w:tcPr>
          <w:p w14:paraId="3BD869ED" w14:textId="77777777" w:rsidR="00776154" w:rsidRPr="00E01E62" w:rsidRDefault="00776154" w:rsidP="00776154">
            <w:pPr>
              <w:rPr>
                <w:rFonts w:cs="Arial"/>
                <w:b w:val="0"/>
                <w:szCs w:val="20"/>
                <w:lang w:val="en-AU"/>
              </w:rPr>
            </w:pPr>
            <w:r w:rsidRPr="00E01E62">
              <w:rPr>
                <w:rFonts w:cs="Arial"/>
                <w:b w:val="0"/>
                <w:szCs w:val="20"/>
                <w:lang w:val="en-AU"/>
              </w:rPr>
              <w:t>Supports maximum level that will not achieve intakes that are greater than the UL.</w:t>
            </w:r>
          </w:p>
        </w:tc>
        <w:tc>
          <w:tcPr>
            <w:tcW w:w="1317" w:type="dxa"/>
          </w:tcPr>
          <w:p w14:paraId="786479F1" w14:textId="77777777" w:rsidR="00776154" w:rsidRPr="00C90454" w:rsidRDefault="00776154" w:rsidP="00776154">
            <w:pPr>
              <w:ind w:left="28" w:hanging="28"/>
              <w:cnfStyle w:val="000000010000" w:firstRow="0" w:lastRow="0" w:firstColumn="0" w:lastColumn="0" w:oddVBand="0" w:evenVBand="0" w:oddHBand="0" w:evenHBand="1" w:firstRowFirstColumn="0" w:firstRowLastColumn="0" w:lastRowFirstColumn="0" w:lastRowLastColumn="0"/>
              <w:rPr>
                <w:rFonts w:cs="Arial"/>
                <w:szCs w:val="20"/>
              </w:rPr>
            </w:pPr>
            <w:r w:rsidRPr="00C90454">
              <w:rPr>
                <w:rFonts w:cs="Arial"/>
                <w:szCs w:val="20"/>
              </w:rPr>
              <w:t xml:space="preserve">Government (2) </w:t>
            </w:r>
          </w:p>
        </w:tc>
        <w:tc>
          <w:tcPr>
            <w:tcW w:w="4230" w:type="dxa"/>
          </w:tcPr>
          <w:p w14:paraId="41A71261" w14:textId="685341B5" w:rsidR="00776154" w:rsidRPr="00C90454" w:rsidRDefault="00776154" w:rsidP="00776154">
            <w:pPr>
              <w:cnfStyle w:val="000000010000" w:firstRow="0" w:lastRow="0" w:firstColumn="0" w:lastColumn="0" w:oddVBand="0" w:evenVBand="0" w:oddHBand="0" w:evenHBand="1" w:firstRowFirstColumn="0" w:firstRowLastColumn="0" w:lastRowFirstColumn="0" w:lastRowLastColumn="0"/>
              <w:rPr>
                <w:rFonts w:cs="Arial"/>
                <w:szCs w:val="20"/>
                <w:lang w:val="en-AU" w:eastAsia="en-AU"/>
              </w:rPr>
            </w:pPr>
            <w:r w:rsidRPr="00C90454">
              <w:rPr>
                <w:rFonts w:cs="Arial"/>
                <w:szCs w:val="20"/>
                <w:lang w:eastAsia="en-AU"/>
              </w:rPr>
              <w:t xml:space="preserve">FSANZ noted in the 2016 nutrition </w:t>
            </w:r>
            <w:r w:rsidR="00D24865">
              <w:rPr>
                <w:rFonts w:cs="Arial"/>
                <w:szCs w:val="20"/>
                <w:lang w:eastAsia="en-AU"/>
              </w:rPr>
              <w:t xml:space="preserve">risk </w:t>
            </w:r>
            <w:r w:rsidRPr="00C90454">
              <w:rPr>
                <w:rFonts w:cs="Arial"/>
                <w:szCs w:val="20"/>
                <w:lang w:eastAsia="en-AU"/>
              </w:rPr>
              <w:t>assess</w:t>
            </w:r>
            <w:r>
              <w:rPr>
                <w:rFonts w:cs="Arial"/>
                <w:szCs w:val="20"/>
                <w:lang w:eastAsia="en-AU"/>
              </w:rPr>
              <w:t>ment</w:t>
            </w:r>
            <w:r w:rsidRPr="00C90454">
              <w:rPr>
                <w:rFonts w:cs="Arial"/>
                <w:szCs w:val="20"/>
                <w:lang w:eastAsia="en-AU"/>
              </w:rPr>
              <w:t xml:space="preserve"> that </w:t>
            </w:r>
            <w:r w:rsidRPr="00C90454">
              <w:rPr>
                <w:rFonts w:cs="Arial"/>
                <w:szCs w:val="20"/>
                <w:lang w:val="en-AU" w:eastAsia="en-AU"/>
              </w:rPr>
              <w:t>estimated intake</w:t>
            </w:r>
            <w:r>
              <w:rPr>
                <w:rFonts w:cs="Arial"/>
                <w:szCs w:val="20"/>
                <w:lang w:val="en-AU" w:eastAsia="en-AU"/>
              </w:rPr>
              <w:t>s</w:t>
            </w:r>
            <w:r w:rsidRPr="00C90454">
              <w:rPr>
                <w:rFonts w:cs="Arial"/>
                <w:szCs w:val="20"/>
                <w:lang w:val="en-AU" w:eastAsia="en-AU"/>
              </w:rPr>
              <w:t xml:space="preserve"> based on the Codex STAN 72-1981 maximum </w:t>
            </w:r>
            <w:r>
              <w:rPr>
                <w:rFonts w:cs="Arial"/>
                <w:szCs w:val="20"/>
                <w:lang w:val="en-AU" w:eastAsia="en-AU"/>
              </w:rPr>
              <w:t>(GUL) c</w:t>
            </w:r>
            <w:r w:rsidRPr="00C90454">
              <w:rPr>
                <w:rFonts w:cs="Arial"/>
                <w:szCs w:val="20"/>
                <w:lang w:val="en-AU" w:eastAsia="en-AU"/>
              </w:rPr>
              <w:t xml:space="preserve">ould exceed the ANZ </w:t>
            </w:r>
            <w:r>
              <w:rPr>
                <w:rFonts w:cs="Arial"/>
                <w:szCs w:val="20"/>
                <w:lang w:val="en-AU" w:eastAsia="en-AU"/>
              </w:rPr>
              <w:t>UL</w:t>
            </w:r>
            <w:r w:rsidRPr="00C90454">
              <w:rPr>
                <w:rFonts w:cs="Arial"/>
                <w:szCs w:val="20"/>
                <w:lang w:val="en-AU" w:eastAsia="en-AU"/>
              </w:rPr>
              <w:t xml:space="preserve"> but </w:t>
            </w:r>
            <w:r>
              <w:rPr>
                <w:rFonts w:cs="Arial"/>
                <w:szCs w:val="20"/>
                <w:lang w:val="en-AU" w:eastAsia="en-AU"/>
              </w:rPr>
              <w:t xml:space="preserve">there was </w:t>
            </w:r>
            <w:r w:rsidRPr="00C90454">
              <w:rPr>
                <w:rFonts w:cs="Arial"/>
                <w:szCs w:val="20"/>
                <w:lang w:val="en-AU" w:eastAsia="en-AU"/>
              </w:rPr>
              <w:t>no evidence of excess intakes or associated adverse health effects. If</w:t>
            </w:r>
            <w:r>
              <w:rPr>
                <w:rFonts w:cs="Arial"/>
                <w:szCs w:val="20"/>
                <w:lang w:val="en-AU" w:eastAsia="en-AU"/>
              </w:rPr>
              <w:t xml:space="preserve"> the</w:t>
            </w:r>
            <w:r w:rsidRPr="00C90454">
              <w:rPr>
                <w:rFonts w:cs="Arial"/>
                <w:szCs w:val="20"/>
                <w:lang w:val="en-AU" w:eastAsia="en-AU"/>
              </w:rPr>
              <w:t xml:space="preserve"> minimum is raised to meet infant requirements, adopting the Codex GUL means the new range would be comparable to the current </w:t>
            </w:r>
            <w:r w:rsidR="00DA2147">
              <w:rPr>
                <w:rFonts w:cs="Arial"/>
                <w:szCs w:val="20"/>
                <w:lang w:val="en-AU" w:eastAsia="en-AU"/>
              </w:rPr>
              <w:t>range in Standard 2.9.1.</w:t>
            </w:r>
          </w:p>
        </w:tc>
      </w:tr>
    </w:tbl>
    <w:p w14:paraId="7239A422" w14:textId="0C0175A3" w:rsidR="00776154" w:rsidRPr="00C90454" w:rsidRDefault="00D24865" w:rsidP="001A44B7">
      <w:pPr>
        <w:pStyle w:val="Heading4"/>
        <w:ind w:left="0" w:firstLine="0"/>
        <w:rPr>
          <w:rFonts w:eastAsia="Arial Unicode MS"/>
          <w:szCs w:val="22"/>
          <w:lang w:val="en-AU" w:bidi="ar-SA"/>
        </w:rPr>
      </w:pPr>
      <w:r>
        <w:t>Nutrition r</w:t>
      </w:r>
      <w:r w:rsidR="00776154" w:rsidRPr="001A44B7">
        <w:t>isk assessment</w:t>
      </w:r>
    </w:p>
    <w:p w14:paraId="336E084D" w14:textId="25F3DDE2" w:rsidR="00FF5671" w:rsidRDefault="00C31FBF" w:rsidP="00FF5671">
      <w:r>
        <w:rPr>
          <w:rFonts w:eastAsia="Calibri"/>
          <w:szCs w:val="22"/>
          <w:lang w:bidi="ar-SA"/>
        </w:rPr>
        <w:t xml:space="preserve">The 2021 nutrition </w:t>
      </w:r>
      <w:r w:rsidR="00D24865">
        <w:rPr>
          <w:rFonts w:eastAsia="Calibri"/>
          <w:szCs w:val="22"/>
          <w:lang w:bidi="ar-SA"/>
        </w:rPr>
        <w:t xml:space="preserve">risk </w:t>
      </w:r>
      <w:r>
        <w:rPr>
          <w:rFonts w:eastAsia="Calibri"/>
          <w:szCs w:val="22"/>
          <w:lang w:bidi="ar-SA"/>
        </w:rPr>
        <w:t xml:space="preserve">assessment </w:t>
      </w:r>
      <w:r w:rsidR="00182BD8">
        <w:rPr>
          <w:rFonts w:eastAsia="Calibri"/>
          <w:szCs w:val="22"/>
          <w:lang w:bidi="ar-SA"/>
        </w:rPr>
        <w:t xml:space="preserve">(SD1) </w:t>
      </w:r>
      <w:r w:rsidR="00776154" w:rsidRPr="00C90454">
        <w:rPr>
          <w:rFonts w:eastAsia="Calibri"/>
          <w:szCs w:val="22"/>
          <w:lang w:bidi="ar-SA"/>
        </w:rPr>
        <w:t xml:space="preserve">considered </w:t>
      </w:r>
      <w:r w:rsidR="005A0287">
        <w:rPr>
          <w:rFonts w:eastAsia="Calibri"/>
          <w:szCs w:val="22"/>
          <w:lang w:bidi="ar-SA"/>
        </w:rPr>
        <w:t>that use</w:t>
      </w:r>
      <w:r w:rsidR="00F45E20" w:rsidRPr="00D66F38">
        <w:rPr>
          <w:lang w:eastAsia="en-AU"/>
        </w:rPr>
        <w:t xml:space="preserve"> of the EU 2016/127 minimum amount</w:t>
      </w:r>
      <w:r w:rsidR="00F45E20">
        <w:rPr>
          <w:lang w:eastAsia="en-AU"/>
        </w:rPr>
        <w:t xml:space="preserve"> (0.72</w:t>
      </w:r>
      <w:r w:rsidR="00F45E20" w:rsidRPr="00D66F38">
        <w:rPr>
          <w:lang w:eastAsia="en-AU"/>
        </w:rPr>
        <w:t xml:space="preserve"> µg/100 kJ</w:t>
      </w:r>
      <w:r w:rsidR="00F45E20">
        <w:rPr>
          <w:lang w:eastAsia="en-AU"/>
        </w:rPr>
        <w:t>) and maximum amount (2.0 </w:t>
      </w:r>
      <w:r w:rsidR="00F45E20" w:rsidRPr="00D66F38">
        <w:rPr>
          <w:lang w:eastAsia="en-AU"/>
        </w:rPr>
        <w:t>µg/100 kJ</w:t>
      </w:r>
      <w:r w:rsidR="00F45E20">
        <w:rPr>
          <w:lang w:eastAsia="en-AU"/>
        </w:rPr>
        <w:t>)</w:t>
      </w:r>
      <w:r w:rsidR="00182BD8">
        <w:rPr>
          <w:lang w:eastAsia="en-AU"/>
        </w:rPr>
        <w:t xml:space="preserve"> pose</w:t>
      </w:r>
      <w:r w:rsidR="008B529B">
        <w:rPr>
          <w:lang w:eastAsia="en-AU"/>
        </w:rPr>
        <w:t>s</w:t>
      </w:r>
      <w:r w:rsidR="00182BD8">
        <w:rPr>
          <w:lang w:eastAsia="en-AU"/>
        </w:rPr>
        <w:t xml:space="preserve"> a low risk </w:t>
      </w:r>
      <w:r w:rsidR="00F45E20" w:rsidRPr="00D66F38">
        <w:rPr>
          <w:lang w:eastAsia="en-AU"/>
        </w:rPr>
        <w:t>infant health.</w:t>
      </w:r>
    </w:p>
    <w:p w14:paraId="4B40AD1D" w14:textId="77777777" w:rsidR="00FF5671" w:rsidRDefault="00FF5671" w:rsidP="00FF5671">
      <w:pPr>
        <w:contextualSpacing/>
        <w:rPr>
          <w:rFonts w:eastAsia="Calibri"/>
          <w:bCs/>
          <w:iCs/>
          <w:lang w:eastAsia="en-AU"/>
        </w:rPr>
      </w:pPr>
      <w:r w:rsidRPr="00A36E47">
        <w:rPr>
          <w:rFonts w:eastAsia="Calibri"/>
          <w:bCs/>
          <w:iCs/>
          <w:lang w:eastAsia="en-AU"/>
        </w:rPr>
        <w:t xml:space="preserve"> </w:t>
      </w:r>
    </w:p>
    <w:p w14:paraId="416E6D9D" w14:textId="43B04830" w:rsidR="00E51B84" w:rsidRDefault="00FF5671" w:rsidP="00FF5671">
      <w:pPr>
        <w:contextualSpacing/>
        <w:rPr>
          <w:rFonts w:eastAsia="Calibri"/>
          <w:bCs/>
          <w:iCs/>
          <w:lang w:eastAsia="en-AU"/>
        </w:rPr>
      </w:pPr>
      <w:r w:rsidRPr="00A36E47">
        <w:rPr>
          <w:rFonts w:eastAsia="Calibri"/>
          <w:bCs/>
          <w:iCs/>
          <w:lang w:eastAsia="en-AU"/>
        </w:rPr>
        <w:t xml:space="preserve">The 2021 assessment </w:t>
      </w:r>
      <w:r>
        <w:rPr>
          <w:rFonts w:eastAsia="Calibri"/>
          <w:bCs/>
          <w:iCs/>
          <w:lang w:eastAsia="en-AU"/>
        </w:rPr>
        <w:t xml:space="preserve">also reviewed </w:t>
      </w:r>
      <w:r w:rsidRPr="00A36E47">
        <w:rPr>
          <w:rFonts w:eastAsia="Calibri"/>
          <w:bCs/>
          <w:iCs/>
          <w:lang w:eastAsia="en-AU"/>
        </w:rPr>
        <w:t xml:space="preserve">recent evidence on </w:t>
      </w:r>
      <w:r w:rsidR="008B529B">
        <w:rPr>
          <w:rFonts w:eastAsia="Calibri"/>
          <w:bCs/>
          <w:iCs/>
          <w:lang w:eastAsia="en-AU"/>
        </w:rPr>
        <w:t xml:space="preserve">human milk </w:t>
      </w:r>
      <w:r w:rsidRPr="00A36E47">
        <w:rPr>
          <w:rFonts w:eastAsia="Calibri"/>
          <w:bCs/>
          <w:iCs/>
          <w:lang w:eastAsia="en-AU"/>
        </w:rPr>
        <w:t xml:space="preserve">selenium concentrations </w:t>
      </w:r>
      <w:r w:rsidR="00F5707F">
        <w:rPr>
          <w:rFonts w:eastAsia="Calibri"/>
          <w:bCs/>
          <w:iCs/>
          <w:lang w:eastAsia="en-AU"/>
        </w:rPr>
        <w:t xml:space="preserve">in the </w:t>
      </w:r>
      <w:r>
        <w:rPr>
          <w:rFonts w:eastAsia="Calibri"/>
          <w:bCs/>
          <w:iCs/>
          <w:lang w:eastAsia="en-AU"/>
        </w:rPr>
        <w:t xml:space="preserve"> ANZ population. The studies </w:t>
      </w:r>
      <w:r w:rsidR="00F5707F">
        <w:rPr>
          <w:rFonts w:eastAsia="Calibri"/>
          <w:bCs/>
          <w:iCs/>
          <w:lang w:eastAsia="en-AU"/>
        </w:rPr>
        <w:t xml:space="preserve">indicated </w:t>
      </w:r>
      <w:r>
        <w:rPr>
          <w:rFonts w:eastAsia="Calibri"/>
          <w:bCs/>
          <w:iCs/>
          <w:lang w:eastAsia="en-AU"/>
        </w:rPr>
        <w:t>that</w:t>
      </w:r>
      <w:r w:rsidRPr="00A36E47">
        <w:rPr>
          <w:rFonts w:eastAsia="Calibri"/>
          <w:bCs/>
          <w:iCs/>
          <w:lang w:eastAsia="en-AU"/>
        </w:rPr>
        <w:t xml:space="preserve"> </w:t>
      </w:r>
      <w:r>
        <w:rPr>
          <w:rFonts w:eastAsia="Calibri"/>
          <w:bCs/>
          <w:iCs/>
          <w:lang w:eastAsia="en-AU"/>
        </w:rPr>
        <w:t>(1) infant formula should</w:t>
      </w:r>
      <w:r w:rsidRPr="00554820">
        <w:rPr>
          <w:rFonts w:eastAsia="Calibri"/>
          <w:bCs/>
          <w:iCs/>
          <w:lang w:eastAsia="en-AU"/>
        </w:rPr>
        <w:t xml:space="preserve"> contain at least the same amount of selenium as human m</w:t>
      </w:r>
      <w:r>
        <w:rPr>
          <w:rFonts w:eastAsia="Calibri"/>
          <w:bCs/>
          <w:iCs/>
          <w:lang w:eastAsia="en-AU"/>
        </w:rPr>
        <w:t xml:space="preserve">ilk from that geographical area (Daniels 2008) and that (2) human milk selenium concentrations </w:t>
      </w:r>
      <w:r w:rsidR="00F5707F">
        <w:rPr>
          <w:rFonts w:eastAsia="Calibri"/>
          <w:bCs/>
          <w:iCs/>
          <w:lang w:eastAsia="en-AU"/>
        </w:rPr>
        <w:t xml:space="preserve">in </w:t>
      </w:r>
      <w:r w:rsidR="008B529B">
        <w:rPr>
          <w:rFonts w:eastAsia="Calibri"/>
          <w:bCs/>
          <w:iCs/>
          <w:lang w:eastAsia="en-AU"/>
        </w:rPr>
        <w:t xml:space="preserve">ANZ ranged between 0.4 and 0.5 </w:t>
      </w:r>
      <w:r w:rsidRPr="00A36E47">
        <w:rPr>
          <w:rFonts w:eastAsia="Calibri"/>
          <w:bCs/>
          <w:iCs/>
          <w:lang w:eastAsia="en-AU"/>
        </w:rPr>
        <w:t>µ</w:t>
      </w:r>
      <w:r w:rsidRPr="00007F7C">
        <w:rPr>
          <w:rFonts w:eastAsia="Calibri"/>
          <w:bCs/>
          <w:iCs/>
          <w:lang w:eastAsia="en-AU"/>
        </w:rPr>
        <w:t>g/100 kJ</w:t>
      </w:r>
      <w:r>
        <w:rPr>
          <w:rFonts w:eastAsia="Calibri"/>
          <w:bCs/>
          <w:iCs/>
          <w:lang w:eastAsia="en-AU"/>
        </w:rPr>
        <w:t xml:space="preserve">. The ANZ concentrations are lower than concentrations measured in North America and Europe which had a range of 0.55–0.66 </w:t>
      </w:r>
      <w:r>
        <w:rPr>
          <w:rFonts w:eastAsia="Calibri" w:cs="Arial"/>
          <w:bCs/>
          <w:iCs/>
          <w:lang w:eastAsia="en-AU"/>
        </w:rPr>
        <w:t>µ</w:t>
      </w:r>
      <w:r>
        <w:rPr>
          <w:rFonts w:eastAsia="Calibri"/>
          <w:bCs/>
          <w:iCs/>
          <w:lang w:eastAsia="en-AU"/>
        </w:rPr>
        <w:t>g/100 kJ.</w:t>
      </w:r>
      <w:r>
        <w:rPr>
          <w:lang w:eastAsia="en-AU"/>
        </w:rPr>
        <w:t xml:space="preserve"> </w:t>
      </w:r>
      <w:r w:rsidR="00E51B84">
        <w:rPr>
          <w:lang w:eastAsia="en-AU"/>
        </w:rPr>
        <w:t xml:space="preserve">The assessment </w:t>
      </w:r>
      <w:r>
        <w:rPr>
          <w:lang w:eastAsia="en-AU"/>
        </w:rPr>
        <w:t xml:space="preserve">also </w:t>
      </w:r>
      <w:r w:rsidR="00E51B84">
        <w:rPr>
          <w:lang w:eastAsia="en-AU"/>
        </w:rPr>
        <w:t>found that s</w:t>
      </w:r>
      <w:r w:rsidR="00E51B84" w:rsidRPr="00750A45">
        <w:rPr>
          <w:rFonts w:eastAsia="Calibri"/>
          <w:bCs/>
          <w:iCs/>
          <w:lang w:eastAsia="en-AU"/>
        </w:rPr>
        <w:t xml:space="preserve">elenium concentrations in </w:t>
      </w:r>
      <w:r w:rsidR="00E51B84">
        <w:rPr>
          <w:rFonts w:eastAsia="Calibri"/>
          <w:bCs/>
          <w:iCs/>
          <w:lang w:eastAsia="en-AU"/>
        </w:rPr>
        <w:t>human</w:t>
      </w:r>
      <w:r w:rsidR="00E51B84" w:rsidRPr="00750A45">
        <w:rPr>
          <w:rFonts w:eastAsia="Calibri"/>
          <w:bCs/>
          <w:iCs/>
          <w:lang w:eastAsia="en-AU"/>
        </w:rPr>
        <w:t xml:space="preserve"> milk</w:t>
      </w:r>
      <w:r w:rsidR="00E51B84">
        <w:rPr>
          <w:rFonts w:eastAsia="Calibri"/>
          <w:bCs/>
          <w:iCs/>
          <w:lang w:eastAsia="en-AU"/>
        </w:rPr>
        <w:t xml:space="preserve"> are influenced by maternal dietary intake and can differ based on the soil selenium levels of that region. </w:t>
      </w:r>
    </w:p>
    <w:p w14:paraId="080A7223" w14:textId="77777777" w:rsidR="00776154" w:rsidRPr="00C90454" w:rsidRDefault="00776154" w:rsidP="001A44B7">
      <w:pPr>
        <w:pStyle w:val="Heading4"/>
        <w:ind w:left="0" w:firstLine="0"/>
        <w:rPr>
          <w:rFonts w:eastAsia="Arial Unicode MS"/>
          <w:szCs w:val="22"/>
          <w:lang w:val="en-AU" w:bidi="ar-SA"/>
        </w:rPr>
      </w:pPr>
      <w:r w:rsidRPr="001A44B7">
        <w:t>Options and discussion</w:t>
      </w:r>
    </w:p>
    <w:p w14:paraId="0768B061" w14:textId="7C40DD36" w:rsidR="003D6712" w:rsidRDefault="002E75A1" w:rsidP="003D6712">
      <w:pPr>
        <w:contextualSpacing/>
      </w:pPr>
      <w:r>
        <w:rPr>
          <w:rFonts w:eastAsia="Calibri"/>
          <w:bCs/>
          <w:iCs/>
          <w:lang w:eastAsia="en-AU"/>
        </w:rPr>
        <w:t>The 2016 New Zealand Total Diet Study</w:t>
      </w:r>
      <w:r w:rsidR="003D6712">
        <w:rPr>
          <w:rFonts w:eastAsia="Calibri"/>
          <w:bCs/>
          <w:iCs/>
          <w:lang w:eastAsia="en-AU"/>
        </w:rPr>
        <w:t xml:space="preserve"> (NZTDS) was published in 2018 which is after FSANZ’s 2016 consideration of the permitted range for selenium. The NZTDS</w:t>
      </w:r>
      <w:r>
        <w:rPr>
          <w:rFonts w:eastAsia="Calibri"/>
          <w:bCs/>
          <w:iCs/>
          <w:lang w:eastAsia="en-AU"/>
        </w:rPr>
        <w:t xml:space="preserve"> reported that </w:t>
      </w:r>
      <w:r>
        <w:rPr>
          <w:rFonts w:eastAsia="Calibri"/>
          <w:bCs/>
          <w:iCs/>
          <w:lang w:eastAsia="en-AU"/>
        </w:rPr>
        <w:lastRenderedPageBreak/>
        <w:t>selenium intakes were meeting the nutritional requirements</w:t>
      </w:r>
      <w:r w:rsidR="00F5707F">
        <w:rPr>
          <w:rFonts w:eastAsia="Calibri"/>
          <w:bCs/>
          <w:iCs/>
          <w:lang w:eastAsia="en-AU"/>
        </w:rPr>
        <w:t xml:space="preserve"> for</w:t>
      </w:r>
      <w:r>
        <w:rPr>
          <w:rFonts w:eastAsia="Calibri"/>
          <w:bCs/>
          <w:iCs/>
          <w:lang w:eastAsia="en-AU"/>
        </w:rPr>
        <w:t xml:space="preserve"> selenium in the NZ population. T</w:t>
      </w:r>
      <w:r w:rsidR="00FF5671" w:rsidRPr="00FF5671">
        <w:rPr>
          <w:rFonts w:eastAsia="Calibri"/>
          <w:bCs/>
          <w:iCs/>
          <w:lang w:eastAsia="en-AU"/>
        </w:rPr>
        <w:t>he NZTDS noted that for infants the key dietary source of selenium was infant formula products</w:t>
      </w:r>
      <w:r>
        <w:rPr>
          <w:rFonts w:eastAsia="Calibri"/>
          <w:bCs/>
          <w:iCs/>
          <w:lang w:eastAsia="en-AU"/>
        </w:rPr>
        <w:t xml:space="preserve"> (Ministry </w:t>
      </w:r>
      <w:r w:rsidR="005C1684">
        <w:rPr>
          <w:rFonts w:eastAsia="Calibri"/>
          <w:bCs/>
          <w:iCs/>
          <w:lang w:eastAsia="en-AU"/>
        </w:rPr>
        <w:t>for Primary Industries</w:t>
      </w:r>
      <w:r>
        <w:rPr>
          <w:rFonts w:eastAsia="Calibri"/>
          <w:bCs/>
          <w:iCs/>
          <w:lang w:eastAsia="en-AU"/>
        </w:rPr>
        <w:t xml:space="preserve"> 2016)</w:t>
      </w:r>
      <w:r w:rsidR="00FF5671" w:rsidRPr="00FF5671">
        <w:rPr>
          <w:rFonts w:eastAsia="Calibri"/>
          <w:bCs/>
          <w:iCs/>
          <w:lang w:eastAsia="en-AU"/>
        </w:rPr>
        <w:t>.</w:t>
      </w:r>
      <w:r w:rsidR="005C1684">
        <w:rPr>
          <w:rFonts w:eastAsia="Calibri"/>
          <w:bCs/>
          <w:iCs/>
          <w:lang w:eastAsia="en-AU"/>
        </w:rPr>
        <w:t xml:space="preserve"> </w:t>
      </w:r>
      <w:r>
        <w:rPr>
          <w:lang w:bidi="ar-SA"/>
        </w:rPr>
        <w:t xml:space="preserve">The NZTDS showed that </w:t>
      </w:r>
      <w:r w:rsidR="003D6712">
        <w:rPr>
          <w:lang w:bidi="ar-SA"/>
        </w:rPr>
        <w:t>infants did not have estimated</w:t>
      </w:r>
      <w:r>
        <w:t xml:space="preserve"> mean dietary intakes close to the UL for selenium, indicating that the risk of selenium toxicity is highly unlikely.</w:t>
      </w:r>
      <w:r w:rsidR="005C1684">
        <w:t xml:space="preserve"> </w:t>
      </w:r>
    </w:p>
    <w:p w14:paraId="5FEBE2FA" w14:textId="77777777" w:rsidR="003D6712" w:rsidRDefault="003D6712" w:rsidP="003D6712">
      <w:pPr>
        <w:contextualSpacing/>
      </w:pPr>
    </w:p>
    <w:p w14:paraId="37D388C6" w14:textId="2733C4C4" w:rsidR="00900383" w:rsidRDefault="00A36E47" w:rsidP="004341B2">
      <w:pPr>
        <w:contextualSpacing/>
      </w:pPr>
      <w:r>
        <w:rPr>
          <w:rFonts w:eastAsia="Calibri"/>
          <w:bCs/>
          <w:iCs/>
          <w:lang w:eastAsia="en-AU"/>
        </w:rPr>
        <w:t>The lower selenium con</w:t>
      </w:r>
      <w:r w:rsidR="00F21432">
        <w:rPr>
          <w:rFonts w:eastAsia="Calibri"/>
          <w:bCs/>
          <w:iCs/>
          <w:lang w:eastAsia="en-AU"/>
        </w:rPr>
        <w:t xml:space="preserve">tent </w:t>
      </w:r>
      <w:r>
        <w:rPr>
          <w:rFonts w:eastAsia="Calibri"/>
          <w:bCs/>
          <w:iCs/>
          <w:lang w:eastAsia="en-AU"/>
        </w:rPr>
        <w:t xml:space="preserve">in ANZ human milk are </w:t>
      </w:r>
      <w:r w:rsidR="00F21432">
        <w:rPr>
          <w:rFonts w:eastAsia="Calibri"/>
          <w:bCs/>
          <w:iCs/>
          <w:lang w:eastAsia="en-AU"/>
        </w:rPr>
        <w:t>consistent with that reported</w:t>
      </w:r>
      <w:r w:rsidR="00E51B84">
        <w:rPr>
          <w:rFonts w:eastAsia="Calibri"/>
          <w:bCs/>
          <w:iCs/>
          <w:lang w:eastAsia="en-AU"/>
        </w:rPr>
        <w:t xml:space="preserve"> in the</w:t>
      </w:r>
      <w:r w:rsidR="00F21432">
        <w:rPr>
          <w:rFonts w:eastAsia="Calibri"/>
          <w:bCs/>
          <w:iCs/>
          <w:lang w:eastAsia="en-AU"/>
        </w:rPr>
        <w:t xml:space="preserve"> </w:t>
      </w:r>
      <w:r>
        <w:t xml:space="preserve">US FDA </w:t>
      </w:r>
      <w:r w:rsidR="00E51B84">
        <w:t xml:space="preserve">2015 </w:t>
      </w:r>
      <w:r>
        <w:t>Fin</w:t>
      </w:r>
      <w:r w:rsidR="00F21432">
        <w:t>al Rule, which prescribed</w:t>
      </w:r>
      <w:r>
        <w:t xml:space="preserve"> a minimum </w:t>
      </w:r>
      <w:r w:rsidR="00F21432">
        <w:t xml:space="preserve">selenium </w:t>
      </w:r>
      <w:r>
        <w:t xml:space="preserve">of 0.48 </w:t>
      </w:r>
      <w:r w:rsidRPr="00A36E47">
        <w:rPr>
          <w:rFonts w:eastAsia="Calibri"/>
          <w:bCs/>
          <w:iCs/>
          <w:lang w:eastAsia="en-AU"/>
        </w:rPr>
        <w:t>µ</w:t>
      </w:r>
      <w:r w:rsidRPr="00007F7C">
        <w:rPr>
          <w:rFonts w:eastAsia="Calibri"/>
          <w:bCs/>
          <w:iCs/>
          <w:lang w:eastAsia="en-AU"/>
        </w:rPr>
        <w:t>g/100 kJ</w:t>
      </w:r>
      <w:r>
        <w:rPr>
          <w:rFonts w:eastAsia="Calibri"/>
          <w:bCs/>
          <w:iCs/>
          <w:lang w:eastAsia="en-AU"/>
        </w:rPr>
        <w:t>. This minimum is also more consistent with the minimum amounts seen in FSANZ</w:t>
      </w:r>
      <w:r w:rsidR="00D24865">
        <w:rPr>
          <w:rFonts w:eastAsia="Calibri"/>
          <w:bCs/>
          <w:iCs/>
          <w:lang w:eastAsia="en-AU"/>
        </w:rPr>
        <w:t>’</w:t>
      </w:r>
      <w:r>
        <w:rPr>
          <w:rFonts w:eastAsia="Calibri"/>
          <w:bCs/>
          <w:iCs/>
          <w:lang w:eastAsia="en-AU"/>
        </w:rPr>
        <w:t>s 2021 label survey</w:t>
      </w:r>
      <w:r w:rsidR="004341B2">
        <w:rPr>
          <w:rFonts w:eastAsia="Calibri"/>
          <w:bCs/>
          <w:iCs/>
          <w:lang w:eastAsia="en-AU"/>
        </w:rPr>
        <w:t xml:space="preserve"> (0.43–1.14 </w:t>
      </w:r>
      <w:r w:rsidR="004341B2" w:rsidRPr="00A36E47">
        <w:rPr>
          <w:rFonts w:eastAsia="Calibri"/>
          <w:bCs/>
          <w:iCs/>
          <w:lang w:eastAsia="en-AU"/>
        </w:rPr>
        <w:t>µ</w:t>
      </w:r>
      <w:r w:rsidR="004341B2" w:rsidRPr="00007F7C">
        <w:rPr>
          <w:rFonts w:eastAsia="Calibri"/>
          <w:bCs/>
          <w:iCs/>
          <w:lang w:eastAsia="en-AU"/>
        </w:rPr>
        <w:t>g/100 kJ</w:t>
      </w:r>
      <w:r w:rsidR="004341B2">
        <w:rPr>
          <w:rFonts w:eastAsia="Calibri"/>
          <w:bCs/>
          <w:iCs/>
          <w:lang w:eastAsia="en-AU"/>
        </w:rPr>
        <w:t>)</w:t>
      </w:r>
      <w:r>
        <w:rPr>
          <w:rFonts w:eastAsia="Calibri"/>
          <w:bCs/>
          <w:iCs/>
          <w:lang w:eastAsia="en-AU"/>
        </w:rPr>
        <w:t xml:space="preserve">. Adopting the minimum amount specified in </w:t>
      </w:r>
      <w:r>
        <w:t xml:space="preserve">US FDA </w:t>
      </w:r>
      <w:r w:rsidR="00E51B84">
        <w:t xml:space="preserve">2015 </w:t>
      </w:r>
      <w:r>
        <w:t xml:space="preserve">Final Rule </w:t>
      </w:r>
      <w:r w:rsidR="00E5540E">
        <w:t xml:space="preserve">is likely to </w:t>
      </w:r>
      <w:r w:rsidR="004341B2">
        <w:t xml:space="preserve">require a small percentage of products to be reformulated. </w:t>
      </w:r>
    </w:p>
    <w:p w14:paraId="081060C2" w14:textId="4676C9CD" w:rsidR="00900383" w:rsidRDefault="00900383" w:rsidP="004341B2">
      <w:pPr>
        <w:contextualSpacing/>
      </w:pPr>
    </w:p>
    <w:p w14:paraId="562885DA" w14:textId="6A42831A" w:rsidR="00900383" w:rsidRPr="00900383" w:rsidRDefault="00377F3A" w:rsidP="004341B2">
      <w:pPr>
        <w:contextualSpacing/>
      </w:pPr>
      <w:r>
        <w:rPr>
          <w:lang w:val="en-AU" w:bidi="ar-SA"/>
        </w:rPr>
        <w:t>In th</w:t>
      </w:r>
      <w:r w:rsidR="00900383">
        <w:rPr>
          <w:lang w:val="en-AU" w:bidi="ar-SA"/>
        </w:rPr>
        <w:t xml:space="preserve">e </w:t>
      </w:r>
      <w:r w:rsidR="00900383">
        <w:t>Codex Draft Standard for FUF</w:t>
      </w:r>
      <w:r>
        <w:rPr>
          <w:lang w:bidi="ar-SA"/>
        </w:rPr>
        <w:t>, the CCNFSDU has proposed the</w:t>
      </w:r>
      <w:r w:rsidR="00900383">
        <w:rPr>
          <w:lang w:bidi="ar-SA"/>
        </w:rPr>
        <w:t xml:space="preserve"> minimum amount for selenium to be 0.48 </w:t>
      </w:r>
      <w:r w:rsidR="00900383" w:rsidRPr="00A45884">
        <w:rPr>
          <w:rFonts w:cs="Arial"/>
          <w:lang w:bidi="ar-SA"/>
        </w:rPr>
        <w:t>µ</w:t>
      </w:r>
      <w:r w:rsidR="00900383" w:rsidRPr="005804D8">
        <w:rPr>
          <w:rFonts w:cs="Arial"/>
          <w:lang w:bidi="ar-SA"/>
        </w:rPr>
        <w:t>g</w:t>
      </w:r>
      <w:r w:rsidR="00900383">
        <w:rPr>
          <w:lang w:bidi="ar-SA"/>
        </w:rPr>
        <w:t xml:space="preserve">/100 kJ </w:t>
      </w:r>
      <w:r>
        <w:rPr>
          <w:lang w:bidi="ar-SA"/>
        </w:rPr>
        <w:t>(FAO/WHO 2018).</w:t>
      </w:r>
    </w:p>
    <w:p w14:paraId="061A2F8B" w14:textId="77777777" w:rsidR="00776154" w:rsidRDefault="00776154" w:rsidP="00776154">
      <w:pPr>
        <w:rPr>
          <w:sz w:val="18"/>
          <w:szCs w:val="18"/>
          <w:lang w:val="en-AU" w:bidi="ar-SA"/>
        </w:rPr>
      </w:pPr>
    </w:p>
    <w:p w14:paraId="359E992D" w14:textId="60AEA7DB" w:rsidR="00776154" w:rsidRDefault="00776154" w:rsidP="0011607A">
      <w:pPr>
        <w:pStyle w:val="FSCaption"/>
      </w:pPr>
      <w:r>
        <w:rPr>
          <w:noProof/>
          <w:lang w:eastAsia="en-GB"/>
        </w:rPr>
        <w:drawing>
          <wp:inline distT="0" distB="0" distL="0" distR="0" wp14:anchorId="43F9ED98" wp14:editId="661CB2F0">
            <wp:extent cx="5656580" cy="2038985"/>
            <wp:effectExtent l="0" t="0" r="1270" b="1841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r w:rsidR="00BD1854" w:rsidRPr="00BD1854">
        <w:t xml:space="preserve"> </w:t>
      </w:r>
      <w:r w:rsidR="00D0635C">
        <w:t>Figure 7</w:t>
      </w:r>
      <w:r w:rsidR="007F4A71">
        <w:t xml:space="preserve">.3.11 </w:t>
      </w:r>
      <w:r w:rsidR="00BD1854" w:rsidRPr="00452F92">
        <w:t xml:space="preserve">Comparison of the permitted ranges for </w:t>
      </w:r>
      <w:r w:rsidR="00BD1854">
        <w:t>selenium</w:t>
      </w:r>
      <w:r w:rsidR="00BD1854" w:rsidRPr="00452F92">
        <w:t xml:space="preserve"> in Standard 2.9.1, Codex STAN 72-1981 and EU 2016</w:t>
      </w:r>
      <w:r w:rsidR="00D24865">
        <w:t>/127</w:t>
      </w:r>
      <w:r w:rsidR="00BD1854" w:rsidRPr="00452F92">
        <w:t>, human milk concentration, and the survey of the content in products on the ANZ market.</w:t>
      </w:r>
    </w:p>
    <w:p w14:paraId="2067173C" w14:textId="77777777" w:rsidR="00776154" w:rsidRPr="001A44B7" w:rsidRDefault="00776154" w:rsidP="001A44B7">
      <w:pPr>
        <w:pStyle w:val="Heading4"/>
        <w:ind w:left="0" w:firstLine="0"/>
      </w:pPr>
      <w:r w:rsidRPr="001A44B7">
        <w:t>Proposed approach</w:t>
      </w:r>
    </w:p>
    <w:p w14:paraId="2DF32201" w14:textId="77777777" w:rsidR="00776154" w:rsidRPr="00C90454" w:rsidRDefault="00776154" w:rsidP="00776154">
      <w:pPr>
        <w:keepNext/>
      </w:pPr>
      <w:r w:rsidRPr="00C90454">
        <w:t xml:space="preserve">Based on the most recent information on selenium status of ANZ infants, FSANZ proposes to increase the minimum to 0.48 </w:t>
      </w:r>
      <w:r w:rsidR="00D24865" w:rsidRPr="001A44B7">
        <w:t>µ</w:t>
      </w:r>
      <w:r w:rsidRPr="00C90454">
        <w:t xml:space="preserve">g/100 kJ. This level is consistent with recent international regulations, would meet the ANZ AI, and is slightly higher than breast milk concentrations of ANZ mothers, a population that may not be selenium sufficient. </w:t>
      </w:r>
    </w:p>
    <w:p w14:paraId="636C4598" w14:textId="77777777" w:rsidR="00776154" w:rsidRPr="00C90454" w:rsidRDefault="00776154" w:rsidP="00776154">
      <w:pPr>
        <w:keepNext/>
      </w:pPr>
    </w:p>
    <w:p w14:paraId="3FA803C5" w14:textId="6C1AA6B7" w:rsidR="00776154" w:rsidRPr="00C90454" w:rsidRDefault="00776154" w:rsidP="00731710">
      <w:pPr>
        <w:widowControl w:val="0"/>
      </w:pPr>
      <w:r w:rsidRPr="00C90454">
        <w:t>FSANZ proposes to also i</w:t>
      </w:r>
      <w:r w:rsidR="000B25EA">
        <w:t>ncrease the maximum level to 2.0</w:t>
      </w:r>
      <w:r w:rsidRPr="00C90454">
        <w:t xml:space="preserve"> </w:t>
      </w:r>
      <w:r w:rsidR="00D24865" w:rsidRPr="001A44B7">
        <w:t>µ</w:t>
      </w:r>
      <w:r w:rsidRPr="00C90454">
        <w:t xml:space="preserve">g/100 kJ which would align with </w:t>
      </w:r>
      <w:r w:rsidR="00900383">
        <w:t xml:space="preserve">EU 2016/127 </w:t>
      </w:r>
      <w:r w:rsidR="00D65E89">
        <w:t xml:space="preserve">and is comparable to the </w:t>
      </w:r>
      <w:r w:rsidR="00900383" w:rsidRPr="00C90454">
        <w:t>Codex STAN 72-1981</w:t>
      </w:r>
      <w:r w:rsidR="00900383">
        <w:t xml:space="preserve"> </w:t>
      </w:r>
      <w:r w:rsidR="00D65E89">
        <w:t>maximum</w:t>
      </w:r>
      <w:r w:rsidRPr="00C90454">
        <w:t xml:space="preserve">. This amount would result in estimated intakes that </w:t>
      </w:r>
      <w:r w:rsidR="00900383">
        <w:t xml:space="preserve">do not exceed </w:t>
      </w:r>
      <w:r w:rsidRPr="00900383">
        <w:t>UL</w:t>
      </w:r>
      <w:r w:rsidR="00900383">
        <w:t>. The proposed permitted range (0.48</w:t>
      </w:r>
      <w:r w:rsidR="0032361A">
        <w:t xml:space="preserve"> – 2</w:t>
      </w:r>
      <w:r w:rsidR="00900383">
        <w:t xml:space="preserve">.0 </w:t>
      </w:r>
      <w:r w:rsidR="00900383" w:rsidRPr="001A44B7">
        <w:t>µ</w:t>
      </w:r>
      <w:r w:rsidR="00900383" w:rsidRPr="00C90454">
        <w:t>g/100 kJ</w:t>
      </w:r>
      <w:r w:rsidR="00900383">
        <w:t xml:space="preserve">) is broader than the current range in the Code and is more aligned with international regulations which should </w:t>
      </w:r>
      <w:r w:rsidRPr="00C90454">
        <w:t>minimise the amount of reformulation that would be</w:t>
      </w:r>
      <w:r w:rsidR="004A0044">
        <w:t xml:space="preserve"> </w:t>
      </w:r>
      <w:r w:rsidRPr="00C90454">
        <w:t>required by</w:t>
      </w:r>
      <w:r w:rsidR="00234635">
        <w:t xml:space="preserve"> </w:t>
      </w:r>
      <w:r w:rsidRPr="00C90454">
        <w:t>manufacturers.</w:t>
      </w:r>
      <w:r w:rsidR="00D65E89">
        <w:t xml:space="preserve"> </w:t>
      </w:r>
      <w:r w:rsidR="000B25EA">
        <w:t>Consideration</w:t>
      </w:r>
      <w:r w:rsidR="00D65E89">
        <w:t xml:space="preserve"> on the</w:t>
      </w:r>
      <w:r w:rsidRPr="00C90454">
        <w:t xml:space="preserve"> proposed </w:t>
      </w:r>
      <w:r>
        <w:t>approach</w:t>
      </w:r>
      <w:r w:rsidRPr="00C90454">
        <w:t xml:space="preserve"> regarding the GUL status of the selenium ma</w:t>
      </w:r>
      <w:r w:rsidR="001A44B7">
        <w:t xml:space="preserve">ximum is discussed in section 7.1. </w:t>
      </w:r>
    </w:p>
    <w:p w14:paraId="2BA576DB" w14:textId="19807618" w:rsidR="00776154" w:rsidRDefault="001A44B7" w:rsidP="00776154">
      <w:pPr>
        <w:pStyle w:val="Heading2"/>
      </w:pPr>
      <w:bookmarkStart w:id="395" w:name="_Toc70415485"/>
      <w:bookmarkStart w:id="396" w:name="_Toc73455648"/>
      <w:bookmarkStart w:id="397" w:name="_Toc73624921"/>
      <w:bookmarkStart w:id="398" w:name="_Toc76138294"/>
      <w:bookmarkStart w:id="399" w:name="_Toc431488486"/>
      <w:bookmarkStart w:id="400" w:name="_Toc432434664"/>
      <w:r>
        <w:lastRenderedPageBreak/>
        <w:t>7</w:t>
      </w:r>
      <w:r w:rsidR="0036013E">
        <w:t>.4</w:t>
      </w:r>
      <w:r w:rsidR="0036013E">
        <w:tab/>
        <w:t xml:space="preserve">Other ratios, </w:t>
      </w:r>
      <w:r w:rsidR="00776154">
        <w:t>equivalents</w:t>
      </w:r>
      <w:bookmarkEnd w:id="395"/>
      <w:r w:rsidR="00776154">
        <w:t xml:space="preserve"> </w:t>
      </w:r>
      <w:r w:rsidR="0036013E">
        <w:t>and nutrient interactions</w:t>
      </w:r>
      <w:bookmarkEnd w:id="396"/>
      <w:bookmarkEnd w:id="397"/>
      <w:bookmarkEnd w:id="398"/>
      <w:r w:rsidR="0036013E">
        <w:t xml:space="preserve"> </w:t>
      </w:r>
    </w:p>
    <w:p w14:paraId="05CD84AE" w14:textId="40FE8A79" w:rsidR="00776154" w:rsidRDefault="001A44B7" w:rsidP="00C73A77">
      <w:pPr>
        <w:pStyle w:val="Heading3"/>
      </w:pPr>
      <w:bookmarkStart w:id="401" w:name="_Toc70415486"/>
      <w:bookmarkStart w:id="402" w:name="_Toc73455649"/>
      <w:bookmarkStart w:id="403" w:name="_Toc73624922"/>
      <w:r>
        <w:t>7</w:t>
      </w:r>
      <w:r w:rsidR="00776154">
        <w:t>.4.1</w:t>
      </w:r>
      <w:r w:rsidR="00776154">
        <w:tab/>
        <w:t>P</w:t>
      </w:r>
      <w:r w:rsidR="00776154" w:rsidRPr="00103A50">
        <w:t>hosphorus</w:t>
      </w:r>
      <w:r w:rsidR="00776154">
        <w:t xml:space="preserve"> and the c</w:t>
      </w:r>
      <w:r w:rsidR="00776154" w:rsidRPr="00103A50">
        <w:t>alcium:</w:t>
      </w:r>
      <w:r w:rsidR="00182BD8">
        <w:t xml:space="preserve"> </w:t>
      </w:r>
      <w:r w:rsidR="00776154" w:rsidRPr="00103A50">
        <w:t xml:space="preserve">phosphorus </w:t>
      </w:r>
      <w:r w:rsidR="00A05ECC">
        <w:t>(C</w:t>
      </w:r>
      <w:r w:rsidR="00517DF4">
        <w:t>a</w:t>
      </w:r>
      <w:r w:rsidR="00A05ECC">
        <w:t xml:space="preserve">:P) </w:t>
      </w:r>
      <w:r w:rsidR="00776154" w:rsidRPr="00103A50">
        <w:t>ratio</w:t>
      </w:r>
      <w:bookmarkEnd w:id="401"/>
      <w:bookmarkEnd w:id="402"/>
      <w:bookmarkEnd w:id="403"/>
    </w:p>
    <w:p w14:paraId="3867C7E0" w14:textId="08924DF3" w:rsidR="00776154" w:rsidRPr="000B6DDF" w:rsidRDefault="001A44B7" w:rsidP="00FA28CD">
      <w:pPr>
        <w:pStyle w:val="FSTitle"/>
        <w:rPr>
          <w:lang w:val="en-AU"/>
        </w:rPr>
      </w:pPr>
      <w:bookmarkStart w:id="404" w:name="_Toc74061256"/>
      <w:r>
        <w:rPr>
          <w:lang w:val="en-AU"/>
        </w:rPr>
        <w:t>Table 7</w:t>
      </w:r>
      <w:r w:rsidR="0011607A">
        <w:rPr>
          <w:lang w:val="en-AU"/>
        </w:rPr>
        <w:t>.15</w:t>
      </w:r>
      <w:r w:rsidR="0011607A">
        <w:rPr>
          <w:lang w:val="en-AU"/>
        </w:rPr>
        <w:tab/>
      </w:r>
      <w:r w:rsidR="00CF2812">
        <w:rPr>
          <w:lang w:val="en-AU"/>
        </w:rPr>
        <w:t xml:space="preserve">Regulatory </w:t>
      </w:r>
      <w:r w:rsidR="00776154" w:rsidRPr="00A370EA">
        <w:rPr>
          <w:lang w:val="en-AU"/>
        </w:rPr>
        <w:t>requirements for</w:t>
      </w:r>
      <w:r w:rsidR="00776154">
        <w:rPr>
          <w:lang w:val="en-AU"/>
        </w:rPr>
        <w:t xml:space="preserve"> </w:t>
      </w:r>
      <w:r w:rsidR="001C2AA7">
        <w:rPr>
          <w:lang w:val="en-AU"/>
        </w:rPr>
        <w:t>c</w:t>
      </w:r>
      <w:r w:rsidR="00776154">
        <w:rPr>
          <w:lang w:val="en-AU"/>
        </w:rPr>
        <w:t xml:space="preserve">alcium, </w:t>
      </w:r>
      <w:r w:rsidR="001C2AA7">
        <w:rPr>
          <w:lang w:val="en-AU"/>
        </w:rPr>
        <w:t>p</w:t>
      </w:r>
      <w:r w:rsidR="00776154">
        <w:rPr>
          <w:lang w:val="en-AU"/>
        </w:rPr>
        <w:t>hosphorus and the Ca:P ratio</w:t>
      </w:r>
      <w:bookmarkEnd w:id="404"/>
    </w:p>
    <w:tbl>
      <w:tblPr>
        <w:tblStyle w:val="MediumShading1-Accent3"/>
        <w:tblW w:w="90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7.4.1.1 Summary of requirements for calcium, phosphorus and the Ca:P ratio"/>
        <w:tblDescription w:val="This table summarises the permitted range for calcium, phosphorus and the Ca:P ratio in Standard 2.9.1, Codex STAN 72-1981 and EU 2016/127."/>
      </w:tblPr>
      <w:tblGrid>
        <w:gridCol w:w="1493"/>
        <w:gridCol w:w="1188"/>
        <w:gridCol w:w="1188"/>
        <w:gridCol w:w="1122"/>
        <w:gridCol w:w="1126"/>
        <w:gridCol w:w="903"/>
        <w:gridCol w:w="2047"/>
      </w:tblGrid>
      <w:tr w:rsidR="00CF2812" w:rsidRPr="00C90454" w14:paraId="396CA7E4" w14:textId="77777777" w:rsidTr="00CF2812">
        <w:trPr>
          <w:cnfStyle w:val="100000000000" w:firstRow="1" w:lastRow="0" w:firstColumn="0" w:lastColumn="0" w:oddVBand="0" w:evenVBand="0" w:oddHBand="0"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823" w:type="pct"/>
            <w:vMerge w:val="restart"/>
            <w:tcBorders>
              <w:top w:val="none" w:sz="0" w:space="0" w:color="auto"/>
              <w:left w:val="none" w:sz="0" w:space="0" w:color="auto"/>
              <w:bottom w:val="none" w:sz="0" w:space="0" w:color="auto"/>
              <w:right w:val="none" w:sz="0" w:space="0" w:color="auto"/>
            </w:tcBorders>
            <w:shd w:val="clear" w:color="auto" w:fill="E5DFEC" w:themeFill="accent4" w:themeFillTint="33"/>
            <w:vAlign w:val="center"/>
          </w:tcPr>
          <w:p w14:paraId="7C0E5570" w14:textId="77777777" w:rsidR="00CF2812" w:rsidRDefault="00CF2812" w:rsidP="00776154">
            <w:pPr>
              <w:keepNext/>
              <w:jc w:val="center"/>
              <w:rPr>
                <w:rFonts w:cs="Arial"/>
                <w:color w:val="auto"/>
              </w:rPr>
            </w:pPr>
            <w:r w:rsidRPr="00A05ECC">
              <w:rPr>
                <w:rFonts w:cs="Arial"/>
                <w:color w:val="auto"/>
              </w:rPr>
              <w:t>Micronutrient</w:t>
            </w:r>
          </w:p>
          <w:p w14:paraId="006BACDA" w14:textId="589A79A3" w:rsidR="00CF2812" w:rsidRPr="00A05ECC" w:rsidRDefault="00CF2812" w:rsidP="00776154">
            <w:pPr>
              <w:keepNext/>
              <w:jc w:val="center"/>
              <w:rPr>
                <w:rFonts w:cs="Arial"/>
                <w:color w:val="auto"/>
              </w:rPr>
            </w:pPr>
            <w:r>
              <w:rPr>
                <w:rFonts w:cs="Arial"/>
                <w:color w:val="auto"/>
              </w:rPr>
              <w:t>(unit)</w:t>
            </w:r>
          </w:p>
        </w:tc>
        <w:tc>
          <w:tcPr>
            <w:tcW w:w="1310" w:type="pct"/>
            <w:gridSpan w:val="2"/>
            <w:tcBorders>
              <w:top w:val="none" w:sz="0" w:space="0" w:color="auto"/>
              <w:left w:val="none" w:sz="0" w:space="0" w:color="auto"/>
              <w:bottom w:val="none" w:sz="0" w:space="0" w:color="auto"/>
              <w:right w:val="none" w:sz="0" w:space="0" w:color="auto"/>
            </w:tcBorders>
            <w:shd w:val="clear" w:color="auto" w:fill="EAF1DD" w:themeFill="accent3" w:themeFillTint="33"/>
            <w:vAlign w:val="center"/>
          </w:tcPr>
          <w:p w14:paraId="4020752D" w14:textId="052500C9" w:rsidR="00EF0450" w:rsidRDefault="00EF0450" w:rsidP="00776154">
            <w:pPr>
              <w:keepNext/>
              <w:jc w:val="center"/>
              <w:cnfStyle w:val="100000000000" w:firstRow="1" w:lastRow="0" w:firstColumn="0" w:lastColumn="0" w:oddVBand="0" w:evenVBand="0" w:oddHBand="0" w:evenHBand="0" w:firstRowFirstColumn="0" w:firstRowLastColumn="0" w:lastRowFirstColumn="0" w:lastRowLastColumn="0"/>
              <w:rPr>
                <w:rFonts w:cs="Arial"/>
                <w:color w:val="auto"/>
              </w:rPr>
            </w:pPr>
            <w:r>
              <w:rPr>
                <w:rFonts w:cs="Arial"/>
                <w:color w:val="auto"/>
              </w:rPr>
              <w:t xml:space="preserve">Standard 2.9.1 </w:t>
            </w:r>
          </w:p>
          <w:p w14:paraId="5D9484B9" w14:textId="58FC0CEC" w:rsidR="00CF2812" w:rsidRPr="00A05ECC" w:rsidRDefault="00EF0450" w:rsidP="00EF0450">
            <w:pPr>
              <w:keepNext/>
              <w:jc w:val="center"/>
              <w:cnfStyle w:val="100000000000" w:firstRow="1" w:lastRow="0" w:firstColumn="0" w:lastColumn="0" w:oddVBand="0" w:evenVBand="0" w:oddHBand="0" w:evenHBand="0" w:firstRowFirstColumn="0" w:firstRowLastColumn="0" w:lastRowFirstColumn="0" w:lastRowLastColumn="0"/>
              <w:rPr>
                <w:rFonts w:cs="Arial"/>
                <w:color w:val="auto"/>
              </w:rPr>
            </w:pPr>
            <w:r>
              <w:rPr>
                <w:rFonts w:cs="Arial"/>
                <w:color w:val="auto"/>
              </w:rPr>
              <w:t>(Schedule 29)</w:t>
            </w:r>
            <w:r w:rsidR="007D7D08">
              <w:rPr>
                <w:rFonts w:cs="Arial"/>
                <w:color w:val="auto"/>
              </w:rPr>
              <w:t xml:space="preserve"> </w:t>
            </w:r>
          </w:p>
        </w:tc>
        <w:tc>
          <w:tcPr>
            <w:tcW w:w="1240" w:type="pct"/>
            <w:gridSpan w:val="2"/>
            <w:tcBorders>
              <w:top w:val="none" w:sz="0" w:space="0" w:color="auto"/>
              <w:left w:val="none" w:sz="0" w:space="0" w:color="auto"/>
              <w:bottom w:val="none" w:sz="0" w:space="0" w:color="auto"/>
              <w:right w:val="none" w:sz="0" w:space="0" w:color="auto"/>
            </w:tcBorders>
            <w:shd w:val="clear" w:color="auto" w:fill="DAEEF3" w:themeFill="accent5" w:themeFillTint="33"/>
            <w:vAlign w:val="center"/>
          </w:tcPr>
          <w:p w14:paraId="25B4A4CB" w14:textId="77777777" w:rsidR="00CF2812" w:rsidRPr="00A05ECC" w:rsidRDefault="00CF2812" w:rsidP="00776154">
            <w:pPr>
              <w:keepNext/>
              <w:jc w:val="center"/>
              <w:cnfStyle w:val="100000000000" w:firstRow="1" w:lastRow="0" w:firstColumn="0" w:lastColumn="0" w:oddVBand="0" w:evenVBand="0" w:oddHBand="0" w:evenHBand="0" w:firstRowFirstColumn="0" w:firstRowLastColumn="0" w:lastRowFirstColumn="0" w:lastRowLastColumn="0"/>
              <w:rPr>
                <w:rFonts w:cs="Arial"/>
                <w:color w:val="auto"/>
              </w:rPr>
            </w:pPr>
            <w:r w:rsidRPr="00A05ECC">
              <w:rPr>
                <w:rFonts w:cs="Arial"/>
                <w:color w:val="auto"/>
              </w:rPr>
              <w:t>Codex STAN 72-1981</w:t>
            </w:r>
          </w:p>
        </w:tc>
        <w:tc>
          <w:tcPr>
            <w:tcW w:w="1628" w:type="pct"/>
            <w:gridSpan w:val="2"/>
            <w:tcBorders>
              <w:top w:val="none" w:sz="0" w:space="0" w:color="auto"/>
              <w:left w:val="none" w:sz="0" w:space="0" w:color="auto"/>
              <w:bottom w:val="none" w:sz="0" w:space="0" w:color="auto"/>
              <w:right w:val="none" w:sz="0" w:space="0" w:color="auto"/>
            </w:tcBorders>
            <w:shd w:val="clear" w:color="auto" w:fill="DDD9C3" w:themeFill="background2" w:themeFillShade="E6"/>
            <w:vAlign w:val="center"/>
          </w:tcPr>
          <w:p w14:paraId="1E22D5B1" w14:textId="7ED7125D" w:rsidR="00CF2812" w:rsidRPr="00A05ECC" w:rsidRDefault="00CF2812" w:rsidP="001C2AA7">
            <w:pPr>
              <w:keepNext/>
              <w:jc w:val="center"/>
              <w:cnfStyle w:val="100000000000" w:firstRow="1" w:lastRow="0" w:firstColumn="0" w:lastColumn="0" w:oddVBand="0" w:evenVBand="0" w:oddHBand="0" w:evenHBand="0" w:firstRowFirstColumn="0" w:firstRowLastColumn="0" w:lastRowFirstColumn="0" w:lastRowLastColumn="0"/>
              <w:rPr>
                <w:rFonts w:cs="Arial"/>
                <w:color w:val="auto"/>
              </w:rPr>
            </w:pPr>
            <w:r w:rsidRPr="00A05ECC">
              <w:rPr>
                <w:rFonts w:cs="Arial"/>
                <w:color w:val="auto"/>
              </w:rPr>
              <w:t>EU 2016/127</w:t>
            </w:r>
          </w:p>
        </w:tc>
      </w:tr>
      <w:tr w:rsidR="00CF2812" w:rsidRPr="00C90454" w14:paraId="5114C1EE" w14:textId="77777777" w:rsidTr="00CF2812">
        <w:tblPrEx>
          <w:tblCellMar>
            <w:left w:w="89" w:type="dxa"/>
            <w:right w:w="89" w:type="dxa"/>
          </w:tblCellMar>
        </w:tblPrEx>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23" w:type="pct"/>
            <w:vMerge/>
            <w:tcBorders>
              <w:right w:val="none" w:sz="0" w:space="0" w:color="auto"/>
            </w:tcBorders>
            <w:shd w:val="clear" w:color="auto" w:fill="E5DFEC" w:themeFill="accent4" w:themeFillTint="33"/>
            <w:vAlign w:val="center"/>
          </w:tcPr>
          <w:p w14:paraId="18719F56" w14:textId="77777777" w:rsidR="00CF2812" w:rsidRPr="00A05ECC" w:rsidRDefault="00CF2812" w:rsidP="00776154">
            <w:pPr>
              <w:keepNext/>
              <w:keepLines/>
              <w:jc w:val="center"/>
              <w:rPr>
                <w:rFonts w:cs="Arial"/>
                <w:szCs w:val="20"/>
              </w:rPr>
            </w:pPr>
          </w:p>
        </w:tc>
        <w:tc>
          <w:tcPr>
            <w:tcW w:w="655" w:type="pct"/>
            <w:tcBorders>
              <w:left w:val="none" w:sz="0" w:space="0" w:color="auto"/>
              <w:right w:val="none" w:sz="0" w:space="0" w:color="auto"/>
            </w:tcBorders>
            <w:shd w:val="clear" w:color="auto" w:fill="EAF1DD" w:themeFill="accent3" w:themeFillTint="33"/>
            <w:vAlign w:val="center"/>
          </w:tcPr>
          <w:p w14:paraId="75678CF8" w14:textId="77777777" w:rsidR="00CF2812" w:rsidRPr="00A05ECC" w:rsidRDefault="00CF2812" w:rsidP="00776154">
            <w:pPr>
              <w:keepNext/>
              <w:keepLines/>
              <w:jc w:val="center"/>
              <w:cnfStyle w:val="000000100000" w:firstRow="0" w:lastRow="0" w:firstColumn="0" w:lastColumn="0" w:oddVBand="0" w:evenVBand="0" w:oddHBand="1" w:evenHBand="0" w:firstRowFirstColumn="0" w:firstRowLastColumn="0" w:lastRowFirstColumn="0" w:lastRowLastColumn="0"/>
              <w:rPr>
                <w:rFonts w:cs="Arial"/>
                <w:b/>
                <w:szCs w:val="20"/>
              </w:rPr>
            </w:pPr>
            <w:r w:rsidRPr="00A05ECC">
              <w:rPr>
                <w:rFonts w:cs="Arial"/>
                <w:b/>
                <w:szCs w:val="20"/>
              </w:rPr>
              <w:t>Min</w:t>
            </w:r>
          </w:p>
        </w:tc>
        <w:tc>
          <w:tcPr>
            <w:tcW w:w="655" w:type="pct"/>
            <w:tcBorders>
              <w:left w:val="none" w:sz="0" w:space="0" w:color="auto"/>
              <w:right w:val="none" w:sz="0" w:space="0" w:color="auto"/>
            </w:tcBorders>
            <w:shd w:val="clear" w:color="auto" w:fill="EAF1DD" w:themeFill="accent3" w:themeFillTint="33"/>
            <w:vAlign w:val="center"/>
          </w:tcPr>
          <w:p w14:paraId="2097F5BD" w14:textId="77777777" w:rsidR="00CF2812" w:rsidRPr="00A05ECC" w:rsidRDefault="00CF2812" w:rsidP="00776154">
            <w:pPr>
              <w:keepNext/>
              <w:keepLines/>
              <w:jc w:val="center"/>
              <w:cnfStyle w:val="000000100000" w:firstRow="0" w:lastRow="0" w:firstColumn="0" w:lastColumn="0" w:oddVBand="0" w:evenVBand="0" w:oddHBand="1" w:evenHBand="0" w:firstRowFirstColumn="0" w:firstRowLastColumn="0" w:lastRowFirstColumn="0" w:lastRowLastColumn="0"/>
              <w:rPr>
                <w:rFonts w:cs="Arial"/>
                <w:b/>
                <w:szCs w:val="20"/>
              </w:rPr>
            </w:pPr>
            <w:r w:rsidRPr="00A05ECC">
              <w:rPr>
                <w:rFonts w:cs="Arial"/>
                <w:b/>
                <w:szCs w:val="20"/>
              </w:rPr>
              <w:t>Max</w:t>
            </w:r>
          </w:p>
        </w:tc>
        <w:tc>
          <w:tcPr>
            <w:tcW w:w="619" w:type="pct"/>
            <w:tcBorders>
              <w:left w:val="none" w:sz="0" w:space="0" w:color="auto"/>
              <w:right w:val="none" w:sz="0" w:space="0" w:color="auto"/>
            </w:tcBorders>
            <w:shd w:val="clear" w:color="auto" w:fill="DAEEF3" w:themeFill="accent5" w:themeFillTint="33"/>
            <w:vAlign w:val="center"/>
          </w:tcPr>
          <w:p w14:paraId="00BB2004" w14:textId="77777777" w:rsidR="00CF2812" w:rsidRPr="00A05ECC" w:rsidRDefault="00CF2812" w:rsidP="00776154">
            <w:pPr>
              <w:keepNext/>
              <w:keepLines/>
              <w:jc w:val="center"/>
              <w:cnfStyle w:val="000000100000" w:firstRow="0" w:lastRow="0" w:firstColumn="0" w:lastColumn="0" w:oddVBand="0" w:evenVBand="0" w:oddHBand="1" w:evenHBand="0" w:firstRowFirstColumn="0" w:firstRowLastColumn="0" w:lastRowFirstColumn="0" w:lastRowLastColumn="0"/>
              <w:rPr>
                <w:rFonts w:cs="Arial"/>
                <w:b/>
                <w:szCs w:val="20"/>
              </w:rPr>
            </w:pPr>
            <w:r w:rsidRPr="00A05ECC">
              <w:rPr>
                <w:rFonts w:cs="Arial"/>
                <w:b/>
                <w:szCs w:val="20"/>
              </w:rPr>
              <w:t>Min</w:t>
            </w:r>
          </w:p>
        </w:tc>
        <w:tc>
          <w:tcPr>
            <w:tcW w:w="620" w:type="pct"/>
            <w:tcBorders>
              <w:left w:val="none" w:sz="0" w:space="0" w:color="auto"/>
              <w:right w:val="none" w:sz="0" w:space="0" w:color="auto"/>
            </w:tcBorders>
            <w:shd w:val="clear" w:color="auto" w:fill="DAEEF3" w:themeFill="accent5" w:themeFillTint="33"/>
            <w:vAlign w:val="center"/>
          </w:tcPr>
          <w:p w14:paraId="25C7F074" w14:textId="77777777" w:rsidR="00CF2812" w:rsidRPr="00A05ECC" w:rsidRDefault="00CF2812" w:rsidP="00776154">
            <w:pPr>
              <w:keepNext/>
              <w:keepLines/>
              <w:jc w:val="center"/>
              <w:cnfStyle w:val="000000100000" w:firstRow="0" w:lastRow="0" w:firstColumn="0" w:lastColumn="0" w:oddVBand="0" w:evenVBand="0" w:oddHBand="1" w:evenHBand="0" w:firstRowFirstColumn="0" w:firstRowLastColumn="0" w:lastRowFirstColumn="0" w:lastRowLastColumn="0"/>
              <w:rPr>
                <w:rFonts w:cs="Arial"/>
                <w:b/>
                <w:szCs w:val="20"/>
              </w:rPr>
            </w:pPr>
            <w:r w:rsidRPr="00A05ECC">
              <w:rPr>
                <w:rFonts w:cs="Arial"/>
                <w:b/>
                <w:szCs w:val="20"/>
              </w:rPr>
              <w:t>Max</w:t>
            </w:r>
          </w:p>
        </w:tc>
        <w:tc>
          <w:tcPr>
            <w:tcW w:w="498" w:type="pct"/>
            <w:tcBorders>
              <w:left w:val="none" w:sz="0" w:space="0" w:color="auto"/>
              <w:right w:val="none" w:sz="0" w:space="0" w:color="auto"/>
            </w:tcBorders>
            <w:shd w:val="clear" w:color="auto" w:fill="DDD9C3" w:themeFill="background2" w:themeFillShade="E6"/>
            <w:vAlign w:val="center"/>
          </w:tcPr>
          <w:p w14:paraId="0260520F" w14:textId="77777777" w:rsidR="00CF2812" w:rsidRPr="00A05ECC" w:rsidRDefault="00CF2812" w:rsidP="00776154">
            <w:pPr>
              <w:keepNext/>
              <w:keepLines/>
              <w:jc w:val="center"/>
              <w:cnfStyle w:val="000000100000" w:firstRow="0" w:lastRow="0" w:firstColumn="0" w:lastColumn="0" w:oddVBand="0" w:evenVBand="0" w:oddHBand="1" w:evenHBand="0" w:firstRowFirstColumn="0" w:firstRowLastColumn="0" w:lastRowFirstColumn="0" w:lastRowLastColumn="0"/>
              <w:rPr>
                <w:rFonts w:cs="Arial"/>
                <w:b/>
                <w:szCs w:val="20"/>
              </w:rPr>
            </w:pPr>
            <w:r w:rsidRPr="00A05ECC">
              <w:rPr>
                <w:rFonts w:cs="Arial"/>
                <w:b/>
                <w:szCs w:val="20"/>
              </w:rPr>
              <w:t>Min</w:t>
            </w:r>
          </w:p>
        </w:tc>
        <w:tc>
          <w:tcPr>
            <w:tcW w:w="1130" w:type="pct"/>
            <w:tcBorders>
              <w:left w:val="none" w:sz="0" w:space="0" w:color="auto"/>
            </w:tcBorders>
            <w:shd w:val="clear" w:color="auto" w:fill="DDD9C3" w:themeFill="background2" w:themeFillShade="E6"/>
            <w:vAlign w:val="center"/>
          </w:tcPr>
          <w:p w14:paraId="4438C61B" w14:textId="77777777" w:rsidR="00CF2812" w:rsidRPr="00A05ECC" w:rsidRDefault="00CF2812" w:rsidP="00776154">
            <w:pPr>
              <w:keepNext/>
              <w:keepLines/>
              <w:jc w:val="center"/>
              <w:cnfStyle w:val="000000100000" w:firstRow="0" w:lastRow="0" w:firstColumn="0" w:lastColumn="0" w:oddVBand="0" w:evenVBand="0" w:oddHBand="1" w:evenHBand="0" w:firstRowFirstColumn="0" w:firstRowLastColumn="0" w:lastRowFirstColumn="0" w:lastRowLastColumn="0"/>
              <w:rPr>
                <w:rFonts w:cs="Arial"/>
                <w:b/>
                <w:szCs w:val="20"/>
              </w:rPr>
            </w:pPr>
            <w:r w:rsidRPr="00A05ECC">
              <w:rPr>
                <w:rFonts w:cs="Arial"/>
                <w:b/>
                <w:szCs w:val="20"/>
              </w:rPr>
              <w:t>Max</w:t>
            </w:r>
          </w:p>
        </w:tc>
      </w:tr>
      <w:tr w:rsidR="00CF2812" w:rsidRPr="00C90454" w14:paraId="2F5D41AF" w14:textId="77777777" w:rsidTr="00CF2812">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23" w:type="pct"/>
            <w:tcBorders>
              <w:right w:val="none" w:sz="0" w:space="0" w:color="auto"/>
            </w:tcBorders>
            <w:shd w:val="clear" w:color="auto" w:fill="FFFFFF" w:themeFill="background1"/>
            <w:vAlign w:val="center"/>
          </w:tcPr>
          <w:p w14:paraId="4DDB10FD" w14:textId="77777777" w:rsidR="00CF2812" w:rsidRDefault="00CF2812" w:rsidP="00CF2812">
            <w:pPr>
              <w:keepNext/>
              <w:keepLines/>
              <w:jc w:val="center"/>
              <w:rPr>
                <w:rFonts w:cs="Arial"/>
                <w:szCs w:val="20"/>
              </w:rPr>
            </w:pPr>
            <w:r>
              <w:rPr>
                <w:rFonts w:cs="Arial"/>
                <w:szCs w:val="20"/>
              </w:rPr>
              <w:t>Calcium</w:t>
            </w:r>
          </w:p>
          <w:p w14:paraId="24609E88" w14:textId="048AD095" w:rsidR="00CF2812" w:rsidRPr="00C90454" w:rsidRDefault="00CF2812" w:rsidP="00CF2812">
            <w:pPr>
              <w:keepNext/>
              <w:keepLines/>
              <w:jc w:val="center"/>
              <w:rPr>
                <w:rFonts w:cs="Arial"/>
                <w:szCs w:val="20"/>
              </w:rPr>
            </w:pPr>
            <w:r>
              <w:rPr>
                <w:rFonts w:cs="Arial"/>
                <w:szCs w:val="20"/>
              </w:rPr>
              <w:t>(mg/100 kJ)</w:t>
            </w:r>
          </w:p>
        </w:tc>
        <w:tc>
          <w:tcPr>
            <w:tcW w:w="655" w:type="pct"/>
            <w:tcBorders>
              <w:left w:val="none" w:sz="0" w:space="0" w:color="auto"/>
              <w:right w:val="none" w:sz="0" w:space="0" w:color="auto"/>
            </w:tcBorders>
            <w:shd w:val="clear" w:color="auto" w:fill="FFFFFF" w:themeFill="background1"/>
            <w:vAlign w:val="center"/>
          </w:tcPr>
          <w:p w14:paraId="260EBD61" w14:textId="77777777" w:rsidR="00CF2812" w:rsidRPr="00C90454" w:rsidRDefault="00CF2812" w:rsidP="00CF2812">
            <w:pPr>
              <w:keepNext/>
              <w:keepLines/>
              <w:jc w:val="center"/>
              <w:cnfStyle w:val="000000010000" w:firstRow="0" w:lastRow="0" w:firstColumn="0" w:lastColumn="0" w:oddVBand="0" w:evenVBand="0" w:oddHBand="0" w:evenHBand="1" w:firstRowFirstColumn="0" w:firstRowLastColumn="0" w:lastRowFirstColumn="0" w:lastRowLastColumn="0"/>
              <w:rPr>
                <w:rFonts w:cs="Arial"/>
                <w:szCs w:val="20"/>
              </w:rPr>
            </w:pPr>
            <w:r>
              <w:rPr>
                <w:rFonts w:cs="Arial"/>
                <w:szCs w:val="20"/>
              </w:rPr>
              <w:t>12</w:t>
            </w:r>
          </w:p>
        </w:tc>
        <w:tc>
          <w:tcPr>
            <w:tcW w:w="655" w:type="pct"/>
            <w:tcBorders>
              <w:left w:val="none" w:sz="0" w:space="0" w:color="auto"/>
              <w:right w:val="none" w:sz="0" w:space="0" w:color="auto"/>
            </w:tcBorders>
            <w:shd w:val="clear" w:color="auto" w:fill="FFFFFF" w:themeFill="background1"/>
            <w:vAlign w:val="center"/>
          </w:tcPr>
          <w:p w14:paraId="287ACC87" w14:textId="77777777" w:rsidR="00CF2812" w:rsidRDefault="00CF2812" w:rsidP="00CF2812">
            <w:pPr>
              <w:keepNext/>
              <w:keepLines/>
              <w:jc w:val="center"/>
              <w:cnfStyle w:val="000000010000" w:firstRow="0" w:lastRow="0" w:firstColumn="0" w:lastColumn="0" w:oddVBand="0" w:evenVBand="0" w:oddHBand="0" w:evenHBand="1" w:firstRowFirstColumn="0" w:firstRowLastColumn="0" w:lastRowFirstColumn="0" w:lastRowLastColumn="0"/>
              <w:rPr>
                <w:rFonts w:cs="Arial"/>
                <w:szCs w:val="20"/>
              </w:rPr>
            </w:pPr>
            <w:r>
              <w:rPr>
                <w:rFonts w:cs="Arial"/>
                <w:szCs w:val="20"/>
              </w:rPr>
              <w:t>33</w:t>
            </w:r>
          </w:p>
          <w:p w14:paraId="1E83F29B" w14:textId="00ACE90E" w:rsidR="00EF0450" w:rsidRPr="00C90454" w:rsidRDefault="00EF0450" w:rsidP="00CF2812">
            <w:pPr>
              <w:keepNext/>
              <w:keepLines/>
              <w:jc w:val="center"/>
              <w:cnfStyle w:val="000000010000" w:firstRow="0" w:lastRow="0" w:firstColumn="0" w:lastColumn="0" w:oddVBand="0" w:evenVBand="0" w:oddHBand="0" w:evenHBand="1" w:firstRowFirstColumn="0" w:firstRowLastColumn="0" w:lastRowFirstColumn="0" w:lastRowLastColumn="0"/>
              <w:rPr>
                <w:rFonts w:cs="Arial"/>
                <w:szCs w:val="20"/>
              </w:rPr>
            </w:pPr>
            <w:r>
              <w:rPr>
                <w:rFonts w:cs="Arial"/>
                <w:szCs w:val="20"/>
              </w:rPr>
              <w:t>(GUL)</w:t>
            </w:r>
          </w:p>
        </w:tc>
        <w:tc>
          <w:tcPr>
            <w:tcW w:w="619" w:type="pct"/>
            <w:tcBorders>
              <w:left w:val="none" w:sz="0" w:space="0" w:color="auto"/>
              <w:right w:val="none" w:sz="0" w:space="0" w:color="auto"/>
            </w:tcBorders>
            <w:shd w:val="clear" w:color="auto" w:fill="FFFFFF" w:themeFill="background1"/>
            <w:vAlign w:val="center"/>
          </w:tcPr>
          <w:p w14:paraId="46FED8E8" w14:textId="77777777" w:rsidR="00CF2812" w:rsidRPr="00C90454" w:rsidRDefault="00CF2812" w:rsidP="00CF2812">
            <w:pPr>
              <w:keepNext/>
              <w:keepLines/>
              <w:jc w:val="center"/>
              <w:cnfStyle w:val="000000010000" w:firstRow="0" w:lastRow="0" w:firstColumn="0" w:lastColumn="0" w:oddVBand="0" w:evenVBand="0" w:oddHBand="0" w:evenHBand="1" w:firstRowFirstColumn="0" w:firstRowLastColumn="0" w:lastRowFirstColumn="0" w:lastRowLastColumn="0"/>
              <w:rPr>
                <w:rFonts w:cs="Arial"/>
                <w:szCs w:val="20"/>
              </w:rPr>
            </w:pPr>
            <w:r>
              <w:rPr>
                <w:rFonts w:cs="Arial"/>
                <w:szCs w:val="20"/>
              </w:rPr>
              <w:t>12</w:t>
            </w:r>
          </w:p>
        </w:tc>
        <w:tc>
          <w:tcPr>
            <w:tcW w:w="620" w:type="pct"/>
            <w:tcBorders>
              <w:left w:val="none" w:sz="0" w:space="0" w:color="auto"/>
              <w:right w:val="none" w:sz="0" w:space="0" w:color="auto"/>
            </w:tcBorders>
            <w:shd w:val="clear" w:color="auto" w:fill="FFFFFF" w:themeFill="background1"/>
            <w:vAlign w:val="center"/>
          </w:tcPr>
          <w:p w14:paraId="39D429C1" w14:textId="77777777" w:rsidR="00CF2812" w:rsidRDefault="00CF2812" w:rsidP="00CF2812">
            <w:pPr>
              <w:keepNext/>
              <w:keepLines/>
              <w:jc w:val="center"/>
              <w:cnfStyle w:val="000000010000" w:firstRow="0" w:lastRow="0" w:firstColumn="0" w:lastColumn="0" w:oddVBand="0" w:evenVBand="0" w:oddHBand="0" w:evenHBand="1" w:firstRowFirstColumn="0" w:firstRowLastColumn="0" w:lastRowFirstColumn="0" w:lastRowLastColumn="0"/>
              <w:rPr>
                <w:rFonts w:cs="Arial"/>
                <w:szCs w:val="20"/>
              </w:rPr>
            </w:pPr>
            <w:r>
              <w:rPr>
                <w:rFonts w:cs="Arial"/>
                <w:szCs w:val="20"/>
              </w:rPr>
              <w:t>35</w:t>
            </w:r>
          </w:p>
          <w:p w14:paraId="1B52930E" w14:textId="77777777" w:rsidR="00CF2812" w:rsidRPr="00C90454" w:rsidRDefault="00CF2812" w:rsidP="00CF2812">
            <w:pPr>
              <w:keepNext/>
              <w:keepLines/>
              <w:jc w:val="center"/>
              <w:cnfStyle w:val="000000010000" w:firstRow="0" w:lastRow="0" w:firstColumn="0" w:lastColumn="0" w:oddVBand="0" w:evenVBand="0" w:oddHBand="0" w:evenHBand="1" w:firstRowFirstColumn="0" w:firstRowLastColumn="0" w:lastRowFirstColumn="0" w:lastRowLastColumn="0"/>
              <w:rPr>
                <w:rFonts w:cs="Arial"/>
                <w:szCs w:val="20"/>
              </w:rPr>
            </w:pPr>
            <w:r>
              <w:rPr>
                <w:rFonts w:cs="Arial"/>
                <w:szCs w:val="20"/>
              </w:rPr>
              <w:t>(GUL)</w:t>
            </w:r>
          </w:p>
        </w:tc>
        <w:tc>
          <w:tcPr>
            <w:tcW w:w="498" w:type="pct"/>
            <w:tcBorders>
              <w:left w:val="none" w:sz="0" w:space="0" w:color="auto"/>
              <w:right w:val="none" w:sz="0" w:space="0" w:color="auto"/>
            </w:tcBorders>
            <w:shd w:val="clear" w:color="auto" w:fill="FFFFFF" w:themeFill="background1"/>
            <w:vAlign w:val="center"/>
          </w:tcPr>
          <w:p w14:paraId="49E02D91" w14:textId="77777777" w:rsidR="00CF2812" w:rsidRPr="00C90454" w:rsidRDefault="00CF2812" w:rsidP="00CF2812">
            <w:pPr>
              <w:keepNext/>
              <w:keepLines/>
              <w:jc w:val="center"/>
              <w:cnfStyle w:val="000000010000" w:firstRow="0" w:lastRow="0" w:firstColumn="0" w:lastColumn="0" w:oddVBand="0" w:evenVBand="0" w:oddHBand="0" w:evenHBand="1" w:firstRowFirstColumn="0" w:firstRowLastColumn="0" w:lastRowFirstColumn="0" w:lastRowLastColumn="0"/>
              <w:rPr>
                <w:rFonts w:eastAsia="Arial Unicode MS" w:cs="Arial"/>
                <w:szCs w:val="20"/>
              </w:rPr>
            </w:pPr>
            <w:r>
              <w:rPr>
                <w:rFonts w:eastAsia="Arial Unicode MS" w:cs="Arial"/>
                <w:szCs w:val="20"/>
              </w:rPr>
              <w:t>12</w:t>
            </w:r>
          </w:p>
        </w:tc>
        <w:tc>
          <w:tcPr>
            <w:tcW w:w="1130" w:type="pct"/>
            <w:tcBorders>
              <w:left w:val="none" w:sz="0" w:space="0" w:color="auto"/>
            </w:tcBorders>
            <w:shd w:val="clear" w:color="auto" w:fill="FFFFFF" w:themeFill="background1"/>
            <w:vAlign w:val="center"/>
          </w:tcPr>
          <w:p w14:paraId="3840F755" w14:textId="77777777" w:rsidR="00CF2812" w:rsidRPr="00C90454" w:rsidRDefault="00CF2812" w:rsidP="00CF2812">
            <w:pPr>
              <w:keepNext/>
              <w:keepLines/>
              <w:jc w:val="center"/>
              <w:cnfStyle w:val="000000010000" w:firstRow="0" w:lastRow="0" w:firstColumn="0" w:lastColumn="0" w:oddVBand="0" w:evenVBand="0" w:oddHBand="0" w:evenHBand="1" w:firstRowFirstColumn="0" w:firstRowLastColumn="0" w:lastRowFirstColumn="0" w:lastRowLastColumn="0"/>
              <w:rPr>
                <w:rFonts w:eastAsia="Arial Unicode MS" w:cs="Arial"/>
                <w:szCs w:val="20"/>
              </w:rPr>
            </w:pPr>
            <w:r>
              <w:rPr>
                <w:rFonts w:eastAsia="Arial Unicode MS" w:cs="Arial"/>
                <w:szCs w:val="20"/>
              </w:rPr>
              <w:t>33.5</w:t>
            </w:r>
          </w:p>
        </w:tc>
      </w:tr>
      <w:tr w:rsidR="00CF2812" w:rsidRPr="00C90454" w14:paraId="2A1B6032" w14:textId="77777777" w:rsidTr="00CF281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23" w:type="pct"/>
            <w:vMerge w:val="restart"/>
            <w:tcBorders>
              <w:right w:val="none" w:sz="0" w:space="0" w:color="auto"/>
            </w:tcBorders>
            <w:shd w:val="clear" w:color="auto" w:fill="FFFFFF" w:themeFill="background1"/>
            <w:vAlign w:val="center"/>
          </w:tcPr>
          <w:p w14:paraId="565876E5" w14:textId="77777777" w:rsidR="00CF2812" w:rsidRDefault="00CF2812" w:rsidP="00CF2812">
            <w:pPr>
              <w:keepNext/>
              <w:keepLines/>
              <w:jc w:val="center"/>
              <w:rPr>
                <w:rFonts w:cs="Arial"/>
                <w:szCs w:val="20"/>
              </w:rPr>
            </w:pPr>
            <w:r>
              <w:rPr>
                <w:rFonts w:cs="Arial"/>
                <w:szCs w:val="20"/>
              </w:rPr>
              <w:t>Phosphorus</w:t>
            </w:r>
          </w:p>
          <w:p w14:paraId="27ADAD31" w14:textId="4008A0EF" w:rsidR="00CF2812" w:rsidRPr="003A1816" w:rsidRDefault="00CF2812" w:rsidP="00CF2812">
            <w:pPr>
              <w:keepNext/>
              <w:keepLines/>
              <w:jc w:val="center"/>
              <w:rPr>
                <w:rFonts w:cs="Arial"/>
                <w:b w:val="0"/>
                <w:bCs w:val="0"/>
                <w:szCs w:val="20"/>
              </w:rPr>
            </w:pPr>
            <w:r>
              <w:rPr>
                <w:rFonts w:cs="Arial"/>
                <w:szCs w:val="20"/>
              </w:rPr>
              <w:t>(mg/100 kJ)</w:t>
            </w:r>
          </w:p>
        </w:tc>
        <w:tc>
          <w:tcPr>
            <w:tcW w:w="655" w:type="pct"/>
            <w:vMerge w:val="restart"/>
            <w:tcBorders>
              <w:left w:val="none" w:sz="0" w:space="0" w:color="auto"/>
              <w:right w:val="none" w:sz="0" w:space="0" w:color="auto"/>
            </w:tcBorders>
            <w:shd w:val="clear" w:color="auto" w:fill="FFFFFF" w:themeFill="background1"/>
            <w:vAlign w:val="center"/>
          </w:tcPr>
          <w:p w14:paraId="63B488CD" w14:textId="77777777" w:rsidR="00CF2812" w:rsidRDefault="00CF2812" w:rsidP="00CF2812">
            <w:pPr>
              <w:keepNext/>
              <w:keepLines/>
              <w:jc w:val="center"/>
              <w:cnfStyle w:val="000000100000" w:firstRow="0" w:lastRow="0" w:firstColumn="0" w:lastColumn="0" w:oddVBand="0" w:evenVBand="0" w:oddHBand="1" w:evenHBand="0" w:firstRowFirstColumn="0" w:firstRowLastColumn="0" w:lastRowFirstColumn="0" w:lastRowLastColumn="0"/>
              <w:rPr>
                <w:rFonts w:cs="Arial"/>
                <w:szCs w:val="20"/>
              </w:rPr>
            </w:pPr>
            <w:r>
              <w:rPr>
                <w:rFonts w:cs="Arial"/>
                <w:szCs w:val="20"/>
              </w:rPr>
              <w:t>6</w:t>
            </w:r>
          </w:p>
        </w:tc>
        <w:tc>
          <w:tcPr>
            <w:tcW w:w="655" w:type="pct"/>
            <w:vMerge w:val="restart"/>
            <w:tcBorders>
              <w:left w:val="none" w:sz="0" w:space="0" w:color="auto"/>
              <w:right w:val="none" w:sz="0" w:space="0" w:color="auto"/>
            </w:tcBorders>
            <w:shd w:val="clear" w:color="auto" w:fill="FFFFFF" w:themeFill="background1"/>
            <w:vAlign w:val="center"/>
          </w:tcPr>
          <w:p w14:paraId="1FF104F4" w14:textId="77777777" w:rsidR="00CF2812" w:rsidRDefault="00CF2812" w:rsidP="00CF2812">
            <w:pPr>
              <w:keepNext/>
              <w:keepLines/>
              <w:jc w:val="center"/>
              <w:cnfStyle w:val="000000100000" w:firstRow="0" w:lastRow="0" w:firstColumn="0" w:lastColumn="0" w:oddVBand="0" w:evenVBand="0" w:oddHBand="1" w:evenHBand="0" w:firstRowFirstColumn="0" w:firstRowLastColumn="0" w:lastRowFirstColumn="0" w:lastRowLastColumn="0"/>
              <w:rPr>
                <w:rFonts w:cs="Arial"/>
                <w:szCs w:val="20"/>
              </w:rPr>
            </w:pPr>
            <w:r>
              <w:rPr>
                <w:rFonts w:cs="Arial"/>
                <w:szCs w:val="20"/>
              </w:rPr>
              <w:t>25</w:t>
            </w:r>
          </w:p>
        </w:tc>
        <w:tc>
          <w:tcPr>
            <w:tcW w:w="619" w:type="pct"/>
            <w:vMerge w:val="restart"/>
            <w:tcBorders>
              <w:left w:val="none" w:sz="0" w:space="0" w:color="auto"/>
              <w:right w:val="none" w:sz="0" w:space="0" w:color="auto"/>
            </w:tcBorders>
            <w:shd w:val="clear" w:color="auto" w:fill="FFFFFF" w:themeFill="background1"/>
            <w:vAlign w:val="center"/>
          </w:tcPr>
          <w:p w14:paraId="7C57CE5E" w14:textId="77777777" w:rsidR="00CF2812" w:rsidRPr="00C90454" w:rsidRDefault="00CF2812" w:rsidP="00CF2812">
            <w:pPr>
              <w:keepNext/>
              <w:keepLines/>
              <w:jc w:val="center"/>
              <w:cnfStyle w:val="000000100000" w:firstRow="0" w:lastRow="0" w:firstColumn="0" w:lastColumn="0" w:oddVBand="0" w:evenVBand="0" w:oddHBand="1" w:evenHBand="0" w:firstRowFirstColumn="0" w:firstRowLastColumn="0" w:lastRowFirstColumn="0" w:lastRowLastColumn="0"/>
              <w:rPr>
                <w:rFonts w:cs="Arial"/>
                <w:szCs w:val="20"/>
              </w:rPr>
            </w:pPr>
            <w:r>
              <w:rPr>
                <w:rFonts w:cs="Arial"/>
                <w:szCs w:val="20"/>
              </w:rPr>
              <w:t>6</w:t>
            </w:r>
          </w:p>
        </w:tc>
        <w:tc>
          <w:tcPr>
            <w:tcW w:w="620" w:type="pct"/>
            <w:vMerge w:val="restart"/>
            <w:tcBorders>
              <w:left w:val="none" w:sz="0" w:space="0" w:color="auto"/>
              <w:right w:val="none" w:sz="0" w:space="0" w:color="auto"/>
            </w:tcBorders>
            <w:shd w:val="clear" w:color="auto" w:fill="FFFFFF" w:themeFill="background1"/>
            <w:vAlign w:val="center"/>
          </w:tcPr>
          <w:p w14:paraId="4F94E229" w14:textId="77777777" w:rsidR="00CF2812" w:rsidRDefault="00CF2812" w:rsidP="00CF2812">
            <w:pPr>
              <w:keepNext/>
              <w:keepLines/>
              <w:jc w:val="center"/>
              <w:cnfStyle w:val="000000100000" w:firstRow="0" w:lastRow="0" w:firstColumn="0" w:lastColumn="0" w:oddVBand="0" w:evenVBand="0" w:oddHBand="1" w:evenHBand="0" w:firstRowFirstColumn="0" w:firstRowLastColumn="0" w:lastRowFirstColumn="0" w:lastRowLastColumn="0"/>
              <w:rPr>
                <w:rFonts w:cs="Arial"/>
                <w:szCs w:val="20"/>
              </w:rPr>
            </w:pPr>
            <w:r>
              <w:rPr>
                <w:rFonts w:cs="Arial"/>
                <w:szCs w:val="20"/>
              </w:rPr>
              <w:t>24</w:t>
            </w:r>
          </w:p>
          <w:p w14:paraId="1DB51C08" w14:textId="77777777" w:rsidR="00CF2812" w:rsidRPr="00C90454" w:rsidRDefault="00CF2812" w:rsidP="00CF2812">
            <w:pPr>
              <w:keepNext/>
              <w:keepLines/>
              <w:jc w:val="center"/>
              <w:cnfStyle w:val="000000100000" w:firstRow="0" w:lastRow="0" w:firstColumn="0" w:lastColumn="0" w:oddVBand="0" w:evenVBand="0" w:oddHBand="1" w:evenHBand="0" w:firstRowFirstColumn="0" w:firstRowLastColumn="0" w:lastRowFirstColumn="0" w:lastRowLastColumn="0"/>
              <w:rPr>
                <w:rFonts w:cs="Arial"/>
                <w:szCs w:val="20"/>
              </w:rPr>
            </w:pPr>
            <w:r>
              <w:rPr>
                <w:rFonts w:cs="Arial"/>
                <w:szCs w:val="20"/>
              </w:rPr>
              <w:t>(GUL)</w:t>
            </w:r>
          </w:p>
        </w:tc>
        <w:tc>
          <w:tcPr>
            <w:tcW w:w="498" w:type="pct"/>
            <w:tcBorders>
              <w:left w:val="none" w:sz="0" w:space="0" w:color="auto"/>
              <w:right w:val="none" w:sz="0" w:space="0" w:color="auto"/>
            </w:tcBorders>
            <w:shd w:val="clear" w:color="auto" w:fill="FFFFFF" w:themeFill="background1"/>
            <w:vAlign w:val="center"/>
          </w:tcPr>
          <w:p w14:paraId="48013047" w14:textId="77777777" w:rsidR="00CF2812" w:rsidRPr="00C90454" w:rsidRDefault="00CF2812" w:rsidP="00CF2812">
            <w:pPr>
              <w:keepNext/>
              <w:keepLines/>
              <w:jc w:val="center"/>
              <w:cnfStyle w:val="000000100000" w:firstRow="0" w:lastRow="0" w:firstColumn="0" w:lastColumn="0" w:oddVBand="0" w:evenVBand="0" w:oddHBand="1" w:evenHBand="0" w:firstRowFirstColumn="0" w:firstRowLastColumn="0" w:lastRowFirstColumn="0" w:lastRowLastColumn="0"/>
              <w:rPr>
                <w:rFonts w:eastAsia="Arial Unicode MS" w:cs="Arial"/>
                <w:szCs w:val="20"/>
              </w:rPr>
            </w:pPr>
            <w:r>
              <w:rPr>
                <w:rFonts w:eastAsia="Arial Unicode MS" w:cs="Arial"/>
                <w:szCs w:val="20"/>
              </w:rPr>
              <w:t>6*</w:t>
            </w:r>
          </w:p>
        </w:tc>
        <w:tc>
          <w:tcPr>
            <w:tcW w:w="1130" w:type="pct"/>
            <w:tcBorders>
              <w:left w:val="none" w:sz="0" w:space="0" w:color="auto"/>
            </w:tcBorders>
            <w:shd w:val="clear" w:color="auto" w:fill="FFFFFF" w:themeFill="background1"/>
            <w:vAlign w:val="center"/>
          </w:tcPr>
          <w:p w14:paraId="70A5F7AB" w14:textId="77777777" w:rsidR="00CF2812" w:rsidRPr="00C90454" w:rsidRDefault="00CF2812" w:rsidP="00CF2812">
            <w:pPr>
              <w:keepNext/>
              <w:keepLines/>
              <w:jc w:val="center"/>
              <w:cnfStyle w:val="000000100000" w:firstRow="0" w:lastRow="0" w:firstColumn="0" w:lastColumn="0" w:oddVBand="0" w:evenVBand="0" w:oddHBand="1" w:evenHBand="0" w:firstRowFirstColumn="0" w:firstRowLastColumn="0" w:lastRowFirstColumn="0" w:lastRowLastColumn="0"/>
              <w:rPr>
                <w:rFonts w:eastAsia="Arial Unicode MS" w:cs="Arial"/>
                <w:szCs w:val="20"/>
              </w:rPr>
            </w:pPr>
            <w:r>
              <w:rPr>
                <w:rFonts w:eastAsia="Arial Unicode MS" w:cs="Arial"/>
                <w:szCs w:val="20"/>
              </w:rPr>
              <w:t>21.5*</w:t>
            </w:r>
          </w:p>
        </w:tc>
      </w:tr>
      <w:tr w:rsidR="00CF2812" w:rsidRPr="00C90454" w14:paraId="727C9F69" w14:textId="77777777" w:rsidTr="00CF2812">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23" w:type="pct"/>
            <w:vMerge/>
            <w:tcBorders>
              <w:right w:val="none" w:sz="0" w:space="0" w:color="auto"/>
            </w:tcBorders>
            <w:shd w:val="clear" w:color="auto" w:fill="FFFFFF" w:themeFill="background1"/>
            <w:vAlign w:val="center"/>
          </w:tcPr>
          <w:p w14:paraId="7746286A" w14:textId="77777777" w:rsidR="00CF2812" w:rsidRDefault="00CF2812" w:rsidP="00CF2812">
            <w:pPr>
              <w:keepNext/>
              <w:keepLines/>
              <w:jc w:val="center"/>
              <w:rPr>
                <w:rFonts w:cs="Arial"/>
                <w:szCs w:val="20"/>
              </w:rPr>
            </w:pPr>
          </w:p>
        </w:tc>
        <w:tc>
          <w:tcPr>
            <w:tcW w:w="655" w:type="pct"/>
            <w:vMerge/>
            <w:tcBorders>
              <w:left w:val="none" w:sz="0" w:space="0" w:color="auto"/>
              <w:right w:val="none" w:sz="0" w:space="0" w:color="auto"/>
            </w:tcBorders>
            <w:shd w:val="clear" w:color="auto" w:fill="FFFFFF" w:themeFill="background1"/>
            <w:vAlign w:val="center"/>
          </w:tcPr>
          <w:p w14:paraId="07D8398E" w14:textId="77777777" w:rsidR="00CF2812" w:rsidRDefault="00CF2812" w:rsidP="00CF2812">
            <w:pPr>
              <w:keepNext/>
              <w:keepLines/>
              <w:jc w:val="center"/>
              <w:cnfStyle w:val="000000010000" w:firstRow="0" w:lastRow="0" w:firstColumn="0" w:lastColumn="0" w:oddVBand="0" w:evenVBand="0" w:oddHBand="0" w:evenHBand="1" w:firstRowFirstColumn="0" w:firstRowLastColumn="0" w:lastRowFirstColumn="0" w:lastRowLastColumn="0"/>
              <w:rPr>
                <w:rFonts w:cs="Arial"/>
                <w:szCs w:val="20"/>
              </w:rPr>
            </w:pPr>
          </w:p>
        </w:tc>
        <w:tc>
          <w:tcPr>
            <w:tcW w:w="655" w:type="pct"/>
            <w:vMerge/>
            <w:tcBorders>
              <w:left w:val="none" w:sz="0" w:space="0" w:color="auto"/>
              <w:right w:val="none" w:sz="0" w:space="0" w:color="auto"/>
            </w:tcBorders>
            <w:shd w:val="clear" w:color="auto" w:fill="FFFFFF" w:themeFill="background1"/>
            <w:vAlign w:val="center"/>
          </w:tcPr>
          <w:p w14:paraId="0D24B130" w14:textId="77777777" w:rsidR="00CF2812" w:rsidRDefault="00CF2812" w:rsidP="00CF2812">
            <w:pPr>
              <w:keepNext/>
              <w:keepLines/>
              <w:jc w:val="center"/>
              <w:cnfStyle w:val="000000010000" w:firstRow="0" w:lastRow="0" w:firstColumn="0" w:lastColumn="0" w:oddVBand="0" w:evenVBand="0" w:oddHBand="0" w:evenHBand="1" w:firstRowFirstColumn="0" w:firstRowLastColumn="0" w:lastRowFirstColumn="0" w:lastRowLastColumn="0"/>
              <w:rPr>
                <w:rFonts w:cs="Arial"/>
                <w:szCs w:val="20"/>
              </w:rPr>
            </w:pPr>
          </w:p>
        </w:tc>
        <w:tc>
          <w:tcPr>
            <w:tcW w:w="619" w:type="pct"/>
            <w:vMerge/>
            <w:tcBorders>
              <w:left w:val="none" w:sz="0" w:space="0" w:color="auto"/>
              <w:right w:val="none" w:sz="0" w:space="0" w:color="auto"/>
            </w:tcBorders>
            <w:shd w:val="clear" w:color="auto" w:fill="FFFFFF" w:themeFill="background1"/>
            <w:vAlign w:val="center"/>
          </w:tcPr>
          <w:p w14:paraId="53AE458B" w14:textId="77777777" w:rsidR="00CF2812" w:rsidRDefault="00CF2812" w:rsidP="00CF2812">
            <w:pPr>
              <w:keepNext/>
              <w:keepLines/>
              <w:jc w:val="center"/>
              <w:cnfStyle w:val="000000010000" w:firstRow="0" w:lastRow="0" w:firstColumn="0" w:lastColumn="0" w:oddVBand="0" w:evenVBand="0" w:oddHBand="0" w:evenHBand="1" w:firstRowFirstColumn="0" w:firstRowLastColumn="0" w:lastRowFirstColumn="0" w:lastRowLastColumn="0"/>
              <w:rPr>
                <w:rFonts w:cs="Arial"/>
                <w:szCs w:val="20"/>
              </w:rPr>
            </w:pPr>
          </w:p>
        </w:tc>
        <w:tc>
          <w:tcPr>
            <w:tcW w:w="620" w:type="pct"/>
            <w:vMerge/>
            <w:tcBorders>
              <w:left w:val="none" w:sz="0" w:space="0" w:color="auto"/>
              <w:right w:val="none" w:sz="0" w:space="0" w:color="auto"/>
            </w:tcBorders>
            <w:shd w:val="clear" w:color="auto" w:fill="FFFFFF" w:themeFill="background1"/>
            <w:vAlign w:val="center"/>
          </w:tcPr>
          <w:p w14:paraId="5FAECDCB" w14:textId="77777777" w:rsidR="00CF2812" w:rsidRDefault="00CF2812" w:rsidP="00CF2812">
            <w:pPr>
              <w:keepNext/>
              <w:keepLines/>
              <w:jc w:val="center"/>
              <w:cnfStyle w:val="000000010000" w:firstRow="0" w:lastRow="0" w:firstColumn="0" w:lastColumn="0" w:oddVBand="0" w:evenVBand="0" w:oddHBand="0" w:evenHBand="1" w:firstRowFirstColumn="0" w:firstRowLastColumn="0" w:lastRowFirstColumn="0" w:lastRowLastColumn="0"/>
              <w:rPr>
                <w:rFonts w:cs="Arial"/>
                <w:szCs w:val="20"/>
              </w:rPr>
            </w:pPr>
          </w:p>
        </w:tc>
        <w:tc>
          <w:tcPr>
            <w:tcW w:w="498" w:type="pct"/>
            <w:tcBorders>
              <w:left w:val="none" w:sz="0" w:space="0" w:color="auto"/>
              <w:right w:val="none" w:sz="0" w:space="0" w:color="auto"/>
            </w:tcBorders>
            <w:shd w:val="clear" w:color="auto" w:fill="FFFFFF" w:themeFill="background1"/>
            <w:vAlign w:val="center"/>
          </w:tcPr>
          <w:p w14:paraId="5019DEF4" w14:textId="77777777" w:rsidR="00CF2812" w:rsidRDefault="00CF2812" w:rsidP="00CF2812">
            <w:pPr>
              <w:keepNext/>
              <w:keepLines/>
              <w:jc w:val="center"/>
              <w:cnfStyle w:val="000000010000" w:firstRow="0" w:lastRow="0" w:firstColumn="0" w:lastColumn="0" w:oddVBand="0" w:evenVBand="0" w:oddHBand="0" w:evenHBand="1" w:firstRowFirstColumn="0" w:firstRowLastColumn="0" w:lastRowFirstColumn="0" w:lastRowLastColumn="0"/>
              <w:rPr>
                <w:rFonts w:eastAsia="Arial Unicode MS" w:cs="Arial"/>
                <w:szCs w:val="20"/>
              </w:rPr>
            </w:pPr>
            <w:r>
              <w:rPr>
                <w:rFonts w:eastAsia="Arial Unicode MS" w:cs="Arial"/>
                <w:szCs w:val="20"/>
              </w:rPr>
              <w:t>7.2</w:t>
            </w:r>
            <w:r w:rsidRPr="005D6DCF">
              <w:rPr>
                <w:i/>
              </w:rPr>
              <w:t>^</w:t>
            </w:r>
          </w:p>
        </w:tc>
        <w:tc>
          <w:tcPr>
            <w:tcW w:w="1130" w:type="pct"/>
            <w:tcBorders>
              <w:left w:val="none" w:sz="0" w:space="0" w:color="auto"/>
            </w:tcBorders>
            <w:shd w:val="clear" w:color="auto" w:fill="FFFFFF" w:themeFill="background1"/>
            <w:vAlign w:val="center"/>
          </w:tcPr>
          <w:p w14:paraId="0B8B1A4C" w14:textId="77777777" w:rsidR="00CF2812" w:rsidRDefault="00CF2812" w:rsidP="00CF2812">
            <w:pPr>
              <w:keepNext/>
              <w:keepLines/>
              <w:jc w:val="center"/>
              <w:cnfStyle w:val="000000010000" w:firstRow="0" w:lastRow="0" w:firstColumn="0" w:lastColumn="0" w:oddVBand="0" w:evenVBand="0" w:oddHBand="0" w:evenHBand="1" w:firstRowFirstColumn="0" w:firstRowLastColumn="0" w:lastRowFirstColumn="0" w:lastRowLastColumn="0"/>
              <w:rPr>
                <w:rFonts w:eastAsia="Arial Unicode MS" w:cs="Arial"/>
                <w:szCs w:val="20"/>
              </w:rPr>
            </w:pPr>
            <w:r>
              <w:rPr>
                <w:rFonts w:eastAsia="Arial Unicode MS" w:cs="Arial"/>
                <w:szCs w:val="20"/>
              </w:rPr>
              <w:t>24</w:t>
            </w:r>
            <w:r w:rsidRPr="005D6DCF">
              <w:rPr>
                <w:i/>
              </w:rPr>
              <w:t>^</w:t>
            </w:r>
          </w:p>
        </w:tc>
      </w:tr>
      <w:tr w:rsidR="00CF2812" w:rsidRPr="00C90454" w14:paraId="5EA05A17" w14:textId="77777777" w:rsidTr="00CF281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23" w:type="pct"/>
            <w:tcBorders>
              <w:right w:val="none" w:sz="0" w:space="0" w:color="auto"/>
            </w:tcBorders>
            <w:shd w:val="clear" w:color="auto" w:fill="FFFFFF" w:themeFill="background1"/>
            <w:vAlign w:val="center"/>
          </w:tcPr>
          <w:p w14:paraId="31FC7C20" w14:textId="290C7EFC" w:rsidR="00CF2812" w:rsidRDefault="00CF2812" w:rsidP="00CF2812">
            <w:pPr>
              <w:keepNext/>
              <w:keepLines/>
              <w:jc w:val="center"/>
              <w:rPr>
                <w:rFonts w:cs="Arial"/>
                <w:szCs w:val="20"/>
              </w:rPr>
            </w:pPr>
            <w:r>
              <w:rPr>
                <w:rFonts w:cs="Arial"/>
                <w:szCs w:val="20"/>
              </w:rPr>
              <w:t>Ca:P ratio</w:t>
            </w:r>
          </w:p>
        </w:tc>
        <w:tc>
          <w:tcPr>
            <w:tcW w:w="655" w:type="pct"/>
            <w:tcBorders>
              <w:left w:val="none" w:sz="0" w:space="0" w:color="auto"/>
              <w:right w:val="none" w:sz="0" w:space="0" w:color="auto"/>
            </w:tcBorders>
            <w:shd w:val="clear" w:color="auto" w:fill="FFFFFF" w:themeFill="background1"/>
            <w:vAlign w:val="center"/>
          </w:tcPr>
          <w:p w14:paraId="39AC7574" w14:textId="77777777" w:rsidR="00CF2812" w:rsidRDefault="00CF2812" w:rsidP="00CF2812">
            <w:pPr>
              <w:keepNext/>
              <w:keepLines/>
              <w:jc w:val="center"/>
              <w:cnfStyle w:val="000000100000" w:firstRow="0" w:lastRow="0" w:firstColumn="0" w:lastColumn="0" w:oddVBand="0" w:evenVBand="0" w:oddHBand="1" w:evenHBand="0" w:firstRowFirstColumn="0" w:firstRowLastColumn="0" w:lastRowFirstColumn="0" w:lastRowLastColumn="0"/>
              <w:rPr>
                <w:rFonts w:cs="Arial"/>
                <w:szCs w:val="20"/>
              </w:rPr>
            </w:pPr>
            <w:r>
              <w:rPr>
                <w:rFonts w:cs="Arial"/>
                <w:szCs w:val="20"/>
              </w:rPr>
              <w:t>1.2 : 1</w:t>
            </w:r>
          </w:p>
        </w:tc>
        <w:tc>
          <w:tcPr>
            <w:tcW w:w="655" w:type="pct"/>
            <w:tcBorders>
              <w:left w:val="none" w:sz="0" w:space="0" w:color="auto"/>
              <w:right w:val="none" w:sz="0" w:space="0" w:color="auto"/>
            </w:tcBorders>
            <w:shd w:val="clear" w:color="auto" w:fill="FFFFFF" w:themeFill="background1"/>
            <w:vAlign w:val="center"/>
          </w:tcPr>
          <w:p w14:paraId="2822C79F" w14:textId="77777777" w:rsidR="00CF2812" w:rsidRDefault="00CF2812" w:rsidP="00CF2812">
            <w:pPr>
              <w:keepNext/>
              <w:keepLines/>
              <w:jc w:val="center"/>
              <w:cnfStyle w:val="000000100000" w:firstRow="0" w:lastRow="0" w:firstColumn="0" w:lastColumn="0" w:oddVBand="0" w:evenVBand="0" w:oddHBand="1" w:evenHBand="0" w:firstRowFirstColumn="0" w:firstRowLastColumn="0" w:lastRowFirstColumn="0" w:lastRowLastColumn="0"/>
              <w:rPr>
                <w:rFonts w:eastAsia="Arial Unicode MS" w:cs="Arial"/>
              </w:rPr>
            </w:pPr>
            <w:r>
              <w:rPr>
                <w:rFonts w:eastAsia="Arial Unicode MS" w:cs="Arial"/>
              </w:rPr>
              <w:t>2 : 1</w:t>
            </w:r>
          </w:p>
        </w:tc>
        <w:tc>
          <w:tcPr>
            <w:tcW w:w="619" w:type="pct"/>
            <w:tcBorders>
              <w:left w:val="none" w:sz="0" w:space="0" w:color="auto"/>
              <w:right w:val="none" w:sz="0" w:space="0" w:color="auto"/>
            </w:tcBorders>
            <w:shd w:val="clear" w:color="auto" w:fill="FFFFFF" w:themeFill="background1"/>
            <w:vAlign w:val="center"/>
          </w:tcPr>
          <w:p w14:paraId="5950E87D" w14:textId="77777777" w:rsidR="00CF2812" w:rsidRDefault="00CF2812" w:rsidP="00CF2812">
            <w:pPr>
              <w:keepNext/>
              <w:keepLines/>
              <w:jc w:val="center"/>
              <w:cnfStyle w:val="000000100000" w:firstRow="0" w:lastRow="0" w:firstColumn="0" w:lastColumn="0" w:oddVBand="0" w:evenVBand="0" w:oddHBand="1" w:evenHBand="0" w:firstRowFirstColumn="0" w:firstRowLastColumn="0" w:lastRowFirstColumn="0" w:lastRowLastColumn="0"/>
              <w:rPr>
                <w:rFonts w:cs="Arial"/>
                <w:szCs w:val="20"/>
              </w:rPr>
            </w:pPr>
            <w:r>
              <w:rPr>
                <w:rFonts w:cs="Arial"/>
                <w:szCs w:val="20"/>
              </w:rPr>
              <w:t>1 : 1</w:t>
            </w:r>
          </w:p>
        </w:tc>
        <w:tc>
          <w:tcPr>
            <w:tcW w:w="620" w:type="pct"/>
            <w:tcBorders>
              <w:left w:val="none" w:sz="0" w:space="0" w:color="auto"/>
              <w:right w:val="none" w:sz="0" w:space="0" w:color="auto"/>
            </w:tcBorders>
            <w:shd w:val="clear" w:color="auto" w:fill="FFFFFF" w:themeFill="background1"/>
            <w:vAlign w:val="center"/>
          </w:tcPr>
          <w:p w14:paraId="0FF3F96D" w14:textId="77777777" w:rsidR="00CF2812" w:rsidRDefault="00CF2812" w:rsidP="00CF2812">
            <w:pPr>
              <w:keepNext/>
              <w:keepLines/>
              <w:jc w:val="center"/>
              <w:cnfStyle w:val="000000100000" w:firstRow="0" w:lastRow="0" w:firstColumn="0" w:lastColumn="0" w:oddVBand="0" w:evenVBand="0" w:oddHBand="1" w:evenHBand="0" w:firstRowFirstColumn="0" w:firstRowLastColumn="0" w:lastRowFirstColumn="0" w:lastRowLastColumn="0"/>
              <w:rPr>
                <w:rFonts w:cs="Arial"/>
                <w:szCs w:val="20"/>
              </w:rPr>
            </w:pPr>
            <w:r>
              <w:rPr>
                <w:rFonts w:cs="Arial"/>
                <w:szCs w:val="20"/>
              </w:rPr>
              <w:t>2 : 1</w:t>
            </w:r>
          </w:p>
        </w:tc>
        <w:tc>
          <w:tcPr>
            <w:tcW w:w="498" w:type="pct"/>
            <w:tcBorders>
              <w:left w:val="none" w:sz="0" w:space="0" w:color="auto"/>
              <w:right w:val="none" w:sz="0" w:space="0" w:color="auto"/>
            </w:tcBorders>
            <w:shd w:val="clear" w:color="auto" w:fill="FFFFFF" w:themeFill="background1"/>
            <w:vAlign w:val="center"/>
          </w:tcPr>
          <w:p w14:paraId="1DB4814C" w14:textId="77777777" w:rsidR="00CF2812" w:rsidRDefault="00CF2812" w:rsidP="00CF2812">
            <w:pPr>
              <w:keepNext/>
              <w:keepLines/>
              <w:jc w:val="center"/>
              <w:cnfStyle w:val="000000100000" w:firstRow="0" w:lastRow="0" w:firstColumn="0" w:lastColumn="0" w:oddVBand="0" w:evenVBand="0" w:oddHBand="1" w:evenHBand="0" w:firstRowFirstColumn="0" w:firstRowLastColumn="0" w:lastRowFirstColumn="0" w:lastRowLastColumn="0"/>
              <w:rPr>
                <w:rFonts w:eastAsia="Arial Unicode MS" w:cs="Arial"/>
                <w:szCs w:val="20"/>
              </w:rPr>
            </w:pPr>
            <w:r>
              <w:rPr>
                <w:rFonts w:eastAsia="Arial Unicode MS" w:cs="Arial"/>
                <w:szCs w:val="20"/>
              </w:rPr>
              <w:t>&gt;1</w:t>
            </w:r>
          </w:p>
        </w:tc>
        <w:tc>
          <w:tcPr>
            <w:tcW w:w="1130" w:type="pct"/>
            <w:tcBorders>
              <w:left w:val="none" w:sz="0" w:space="0" w:color="auto"/>
            </w:tcBorders>
            <w:shd w:val="clear" w:color="auto" w:fill="FFFFFF" w:themeFill="background1"/>
            <w:vAlign w:val="center"/>
          </w:tcPr>
          <w:p w14:paraId="30D10B04" w14:textId="77777777" w:rsidR="00CF2812" w:rsidRDefault="00CF2812" w:rsidP="00CF2812">
            <w:pPr>
              <w:keepNext/>
              <w:keepLines/>
              <w:jc w:val="center"/>
              <w:cnfStyle w:val="000000100000" w:firstRow="0" w:lastRow="0" w:firstColumn="0" w:lastColumn="0" w:oddVBand="0" w:evenVBand="0" w:oddHBand="1" w:evenHBand="0" w:firstRowFirstColumn="0" w:firstRowLastColumn="0" w:lastRowFirstColumn="0" w:lastRowLastColumn="0"/>
              <w:rPr>
                <w:rFonts w:eastAsia="Arial Unicode MS" w:cs="Arial"/>
                <w:szCs w:val="20"/>
              </w:rPr>
            </w:pPr>
            <w:r>
              <w:rPr>
                <w:rFonts w:eastAsia="Arial Unicode MS" w:cs="Arial"/>
                <w:szCs w:val="20"/>
              </w:rPr>
              <w:t>&lt;2</w:t>
            </w:r>
          </w:p>
        </w:tc>
      </w:tr>
    </w:tbl>
    <w:p w14:paraId="48AD02B1" w14:textId="34061D9D" w:rsidR="00776154" w:rsidRPr="00A05ECC" w:rsidRDefault="00776154" w:rsidP="00776154">
      <w:pPr>
        <w:rPr>
          <w:i/>
          <w:sz w:val="18"/>
          <w:lang w:eastAsia="en-AU"/>
        </w:rPr>
      </w:pPr>
      <w:r w:rsidRPr="00A05ECC">
        <w:rPr>
          <w:i/>
          <w:sz w:val="18"/>
          <w:lang w:eastAsia="en-AU"/>
        </w:rPr>
        <w:t>* Infant formula manufactured from cow</w:t>
      </w:r>
      <w:r w:rsidR="00C73A77" w:rsidRPr="00A05ECC">
        <w:rPr>
          <w:i/>
          <w:sz w:val="18"/>
          <w:lang w:eastAsia="en-AU"/>
        </w:rPr>
        <w:t>’</w:t>
      </w:r>
      <w:r w:rsidRPr="00A05ECC">
        <w:rPr>
          <w:i/>
          <w:sz w:val="18"/>
          <w:lang w:eastAsia="en-AU"/>
        </w:rPr>
        <w:t>s milk or goat</w:t>
      </w:r>
      <w:r w:rsidR="00C73A77" w:rsidRPr="00A05ECC">
        <w:rPr>
          <w:i/>
          <w:sz w:val="18"/>
          <w:lang w:eastAsia="en-AU"/>
        </w:rPr>
        <w:t>’</w:t>
      </w:r>
      <w:r w:rsidRPr="00A05ECC">
        <w:rPr>
          <w:i/>
          <w:sz w:val="18"/>
          <w:lang w:eastAsia="en-AU"/>
        </w:rPr>
        <w:t>s milk proteins or protein hydrolysates</w:t>
      </w:r>
    </w:p>
    <w:p w14:paraId="304D0E14" w14:textId="51F2486F" w:rsidR="00776154" w:rsidRPr="00A05ECC" w:rsidRDefault="00776154" w:rsidP="00776154">
      <w:pPr>
        <w:rPr>
          <w:i/>
          <w:sz w:val="18"/>
          <w:lang w:eastAsia="en-AU" w:bidi="ar-SA"/>
        </w:rPr>
      </w:pPr>
      <w:r w:rsidRPr="00A05ECC">
        <w:rPr>
          <w:i/>
          <w:sz w:val="18"/>
          <w:lang w:eastAsia="en-AU" w:bidi="ar-SA"/>
        </w:rPr>
        <w:t>^ Infant formula manufactured from soya protein isola</w:t>
      </w:r>
      <w:r w:rsidRPr="00A05ECC">
        <w:rPr>
          <w:i/>
          <w:sz w:val="18"/>
          <w:lang w:eastAsia="en-AU"/>
        </w:rPr>
        <w:t xml:space="preserve">tes, alone or in a mixture with </w:t>
      </w:r>
      <w:r w:rsidRPr="00A05ECC">
        <w:rPr>
          <w:i/>
          <w:sz w:val="18"/>
          <w:lang w:eastAsia="en-AU" w:bidi="ar-SA"/>
        </w:rPr>
        <w:t>cow</w:t>
      </w:r>
      <w:r w:rsidR="00C73A77" w:rsidRPr="00A05ECC">
        <w:rPr>
          <w:i/>
          <w:sz w:val="18"/>
          <w:lang w:eastAsia="en-AU" w:bidi="ar-SA"/>
        </w:rPr>
        <w:t>’</w:t>
      </w:r>
      <w:r w:rsidRPr="00A05ECC">
        <w:rPr>
          <w:i/>
          <w:sz w:val="18"/>
          <w:lang w:eastAsia="en-AU" w:bidi="ar-SA"/>
        </w:rPr>
        <w:t>s milk or goat</w:t>
      </w:r>
      <w:r w:rsidR="00C73A77" w:rsidRPr="00A05ECC">
        <w:rPr>
          <w:i/>
          <w:sz w:val="18"/>
          <w:lang w:eastAsia="en-AU" w:bidi="ar-SA"/>
        </w:rPr>
        <w:t>’</w:t>
      </w:r>
      <w:r w:rsidRPr="00A05ECC">
        <w:rPr>
          <w:i/>
          <w:sz w:val="18"/>
          <w:lang w:eastAsia="en-AU" w:bidi="ar-SA"/>
        </w:rPr>
        <w:t>s milk proteins</w:t>
      </w:r>
    </w:p>
    <w:p w14:paraId="1721DD93" w14:textId="31C2A66F" w:rsidR="00776154" w:rsidRDefault="00776154" w:rsidP="00776154">
      <w:pPr>
        <w:pStyle w:val="Heading4"/>
      </w:pPr>
      <w:r w:rsidRPr="00BA1FD9">
        <w:t>Current regulations</w:t>
      </w:r>
    </w:p>
    <w:p w14:paraId="093E0EBF" w14:textId="6579223F" w:rsidR="00776154" w:rsidRDefault="00776154" w:rsidP="00776154">
      <w:pPr>
        <w:rPr>
          <w:lang w:val="en-AU"/>
        </w:rPr>
      </w:pPr>
      <w:r>
        <w:rPr>
          <w:lang w:eastAsia="en-AU" w:bidi="ar-SA"/>
        </w:rPr>
        <w:t xml:space="preserve">Standard 2.9.1, Codex STAN 72-1981 and </w:t>
      </w:r>
      <w:r w:rsidR="00C73A77">
        <w:t xml:space="preserve">EU 2016/127 </w:t>
      </w:r>
      <w:r>
        <w:rPr>
          <w:lang w:eastAsia="en-AU" w:bidi="ar-SA"/>
        </w:rPr>
        <w:t>are generally aligned for the minimum and maximum amounts of calcium and phosphorus</w:t>
      </w:r>
      <w:r w:rsidR="0011607A">
        <w:rPr>
          <w:lang w:eastAsia="en-AU" w:bidi="ar-SA"/>
        </w:rPr>
        <w:t xml:space="preserve"> (Table 7.15)</w:t>
      </w:r>
      <w:r>
        <w:rPr>
          <w:lang w:eastAsia="en-AU" w:bidi="ar-SA"/>
        </w:rPr>
        <w:t>.</w:t>
      </w:r>
      <w:r w:rsidRPr="003A1816">
        <w:t xml:space="preserve"> </w:t>
      </w:r>
      <w:r w:rsidR="00C73A77">
        <w:t xml:space="preserve">EU 2016/127 </w:t>
      </w:r>
      <w:r>
        <w:t xml:space="preserve">notes that the Ca:P ratio should not be less than 1 or greater than 2 and the </w:t>
      </w:r>
      <w:r w:rsidRPr="00954E33">
        <w:t>amount of available phosphorus should</w:t>
      </w:r>
      <w:r>
        <w:t xml:space="preserve"> be calculated as 70</w:t>
      </w:r>
      <w:r w:rsidRPr="00954E33">
        <w:t>% of total phosphorus for infant formula manufactured from soya protein isolates</w:t>
      </w:r>
      <w:r>
        <w:t xml:space="preserve"> and 80% of total phosphorous for infant formula</w:t>
      </w:r>
      <w:r w:rsidRPr="0070392E">
        <w:t xml:space="preserve"> manufactured from cow</w:t>
      </w:r>
      <w:r w:rsidR="00C73A77">
        <w:t>’</w:t>
      </w:r>
      <w:r w:rsidRPr="0070392E">
        <w:t>s milk protein, goat</w:t>
      </w:r>
      <w:r w:rsidR="00C73A77">
        <w:t>’</w:t>
      </w:r>
      <w:r w:rsidRPr="0070392E">
        <w:t>s milk protein or protein hydrolysates.</w:t>
      </w:r>
      <w:r>
        <w:t xml:space="preserve"> </w:t>
      </w:r>
    </w:p>
    <w:p w14:paraId="2CC86DA9" w14:textId="77777777" w:rsidR="00776154" w:rsidRDefault="00776154" w:rsidP="00776154">
      <w:pPr>
        <w:pStyle w:val="Heading4"/>
      </w:pPr>
      <w:r w:rsidRPr="00BA1FD9">
        <w:t>Previous consideration</w:t>
      </w:r>
    </w:p>
    <w:p w14:paraId="653EFCE4" w14:textId="7DD01F67" w:rsidR="00776154" w:rsidRDefault="00776154" w:rsidP="00776154">
      <w:pPr>
        <w:rPr>
          <w:lang w:eastAsia="en-AU" w:bidi="ar-SA"/>
        </w:rPr>
      </w:pPr>
      <w:r>
        <w:rPr>
          <w:lang w:eastAsia="en-AU" w:bidi="ar-SA"/>
        </w:rPr>
        <w:t xml:space="preserve">In 2016 FSANZ considered it appropriate to </w:t>
      </w:r>
      <w:r w:rsidRPr="00EB1A3E">
        <w:t>change the current</w:t>
      </w:r>
      <w:r>
        <w:t xml:space="preserve"> phosphorus</w:t>
      </w:r>
      <w:r w:rsidRPr="00EB1A3E">
        <w:t xml:space="preserve"> maximum (25 mg/100 kJ) </w:t>
      </w:r>
      <w:r w:rsidR="00FF6312">
        <w:t>specified in section S29—9</w:t>
      </w:r>
      <w:r w:rsidRPr="00EB1A3E">
        <w:t xml:space="preserve"> to a GUL of 24 mg/</w:t>
      </w:r>
      <w:r>
        <w:t>100 kJ in alignment with Codex.</w:t>
      </w:r>
      <w:r w:rsidR="003E1F85">
        <w:t xml:space="preserve"> </w:t>
      </w:r>
      <w:r>
        <w:t>FSANZ</w:t>
      </w:r>
      <w:r w:rsidRPr="00EB1A3E">
        <w:t xml:space="preserve"> al</w:t>
      </w:r>
      <w:r>
        <w:t>s</w:t>
      </w:r>
      <w:r w:rsidRPr="00EB1A3E">
        <w:t>o propose</w:t>
      </w:r>
      <w:r>
        <w:t>d</w:t>
      </w:r>
      <w:r w:rsidRPr="00EB1A3E">
        <w:t xml:space="preserve"> to adjust Standard 2.9.1 to align with the minimum Ca:P ratio of 1:1 as the nutrition </w:t>
      </w:r>
      <w:r w:rsidR="001C2AA7">
        <w:t xml:space="preserve">risk </w:t>
      </w:r>
      <w:r w:rsidRPr="00EB1A3E">
        <w:t>assessment indicates that such a change would be unlikely to pose a risk to infant health, and the shift required to align is small</w:t>
      </w:r>
      <w:r>
        <w:t>.</w:t>
      </w:r>
    </w:p>
    <w:p w14:paraId="3C78ADBD" w14:textId="77777777" w:rsidR="00776154" w:rsidRDefault="00776154" w:rsidP="00776154">
      <w:pPr>
        <w:pStyle w:val="Heading4"/>
        <w:ind w:left="0" w:firstLine="0"/>
      </w:pPr>
      <w:r w:rsidRPr="00BA1FD9">
        <w:t>S</w:t>
      </w:r>
      <w:r>
        <w:t>takeholder views</w:t>
      </w:r>
    </w:p>
    <w:p w14:paraId="7CAE0F9C" w14:textId="6872F5F3" w:rsidR="00776154" w:rsidRPr="00070103" w:rsidRDefault="00776154" w:rsidP="00776154">
      <w:pPr>
        <w:rPr>
          <w:lang w:eastAsia="en-AU" w:bidi="ar-SA"/>
        </w:rPr>
      </w:pPr>
      <w:r>
        <w:rPr>
          <w:lang w:eastAsia="en-AU" w:bidi="ar-SA"/>
        </w:rPr>
        <w:t>Six</w:t>
      </w:r>
      <w:r w:rsidRPr="00152C5D">
        <w:rPr>
          <w:lang w:eastAsia="en-AU" w:bidi="ar-SA"/>
        </w:rPr>
        <w:t xml:space="preserve"> submi</w:t>
      </w:r>
      <w:r>
        <w:rPr>
          <w:lang w:eastAsia="en-AU" w:bidi="ar-SA"/>
        </w:rPr>
        <w:t>tters (</w:t>
      </w:r>
      <w:r w:rsidR="001C2AA7">
        <w:rPr>
          <w:lang w:eastAsia="en-AU" w:bidi="ar-SA"/>
        </w:rPr>
        <w:t>three</w:t>
      </w:r>
      <w:r w:rsidRPr="00152C5D">
        <w:rPr>
          <w:lang w:eastAsia="en-AU" w:bidi="ar-SA"/>
        </w:rPr>
        <w:t xml:space="preserve"> government</w:t>
      </w:r>
      <w:r>
        <w:rPr>
          <w:lang w:eastAsia="en-AU" w:bidi="ar-SA"/>
        </w:rPr>
        <w:t xml:space="preserve">, </w:t>
      </w:r>
      <w:r w:rsidR="001C2AA7">
        <w:rPr>
          <w:lang w:eastAsia="en-AU" w:bidi="ar-SA"/>
        </w:rPr>
        <w:t>three</w:t>
      </w:r>
      <w:r>
        <w:rPr>
          <w:lang w:eastAsia="en-AU" w:bidi="ar-SA"/>
        </w:rPr>
        <w:t xml:space="preserve"> industry</w:t>
      </w:r>
      <w:r w:rsidRPr="00152C5D">
        <w:rPr>
          <w:lang w:eastAsia="en-AU" w:bidi="ar-SA"/>
        </w:rPr>
        <w:t>) commented</w:t>
      </w:r>
      <w:r>
        <w:rPr>
          <w:lang w:eastAsia="en-AU" w:bidi="ar-SA"/>
        </w:rPr>
        <w:t xml:space="preserve"> on the permitted range for </w:t>
      </w:r>
      <w:r w:rsidR="001C2AA7">
        <w:rPr>
          <w:lang w:eastAsia="en-AU" w:bidi="ar-SA"/>
        </w:rPr>
        <w:t>p</w:t>
      </w:r>
      <w:r>
        <w:rPr>
          <w:lang w:eastAsia="en-AU" w:bidi="ar-SA"/>
        </w:rPr>
        <w:t>hosphorus and the prescribed Ca:P ratio</w:t>
      </w:r>
      <w:r w:rsidR="0011607A">
        <w:rPr>
          <w:lang w:eastAsia="en-AU" w:bidi="ar-SA"/>
        </w:rPr>
        <w:t xml:space="preserve"> (Table 7.16)</w:t>
      </w:r>
      <w:r>
        <w:rPr>
          <w:lang w:eastAsia="en-AU" w:bidi="ar-SA"/>
        </w:rPr>
        <w:t>. All submitters supported FSANZ</w:t>
      </w:r>
      <w:r w:rsidR="001C2AA7">
        <w:rPr>
          <w:lang w:eastAsia="en-AU" w:bidi="ar-SA"/>
        </w:rPr>
        <w:t>’s</w:t>
      </w:r>
      <w:r>
        <w:rPr>
          <w:lang w:eastAsia="en-AU" w:bidi="ar-SA"/>
        </w:rPr>
        <w:t xml:space="preserve"> proposal to adjust Standard 2.9.1 to align with the minimum Ca:P ratio prescribed by Codex STAN 72-1981 of 1:1. </w:t>
      </w:r>
    </w:p>
    <w:p w14:paraId="3C99DFB7" w14:textId="77777777" w:rsidR="00776154" w:rsidRDefault="00776154" w:rsidP="00776154">
      <w:pPr>
        <w:rPr>
          <w:lang w:val="en-AU" w:bidi="ar-SA"/>
        </w:rPr>
      </w:pPr>
    </w:p>
    <w:p w14:paraId="762835AF" w14:textId="5A00B646" w:rsidR="00776154" w:rsidRPr="00070103" w:rsidRDefault="001A44B7" w:rsidP="00FA28CD">
      <w:pPr>
        <w:pStyle w:val="FSTitle"/>
        <w:rPr>
          <w:lang w:val="en-AU" w:bidi="ar-SA"/>
        </w:rPr>
      </w:pPr>
      <w:bookmarkStart w:id="405" w:name="_Toc74061257"/>
      <w:r>
        <w:rPr>
          <w:lang w:val="en-AU" w:bidi="ar-SA"/>
        </w:rPr>
        <w:t>Table 7</w:t>
      </w:r>
      <w:r w:rsidR="00776154">
        <w:rPr>
          <w:lang w:val="en-AU" w:bidi="ar-SA"/>
        </w:rPr>
        <w:t>.</w:t>
      </w:r>
      <w:r w:rsidR="0011607A">
        <w:rPr>
          <w:lang w:val="en-AU" w:bidi="ar-SA"/>
        </w:rPr>
        <w:t>16</w:t>
      </w:r>
      <w:r>
        <w:rPr>
          <w:lang w:val="en-AU" w:bidi="ar-SA"/>
        </w:rPr>
        <w:tab/>
      </w:r>
      <w:r w:rsidR="00776154">
        <w:rPr>
          <w:lang w:val="en-AU" w:bidi="ar-SA"/>
        </w:rPr>
        <w:t xml:space="preserve">Submitter </w:t>
      </w:r>
      <w:r w:rsidR="0011607A">
        <w:rPr>
          <w:lang w:val="en-AU" w:bidi="ar-SA"/>
        </w:rPr>
        <w:t>comments on</w:t>
      </w:r>
      <w:r w:rsidR="00776154">
        <w:rPr>
          <w:lang w:val="en-AU" w:bidi="ar-SA"/>
        </w:rPr>
        <w:t xml:space="preserve"> </w:t>
      </w:r>
      <w:r w:rsidR="001C2AA7">
        <w:rPr>
          <w:lang w:val="en-AU" w:bidi="ar-SA"/>
        </w:rPr>
        <w:t>p</w:t>
      </w:r>
      <w:r w:rsidR="00776154">
        <w:rPr>
          <w:lang w:val="en-AU" w:bidi="ar-SA"/>
        </w:rPr>
        <w:t xml:space="preserve">hosphorus </w:t>
      </w:r>
      <w:r w:rsidR="001C2AA7">
        <w:rPr>
          <w:lang w:val="en-AU" w:bidi="ar-SA"/>
        </w:rPr>
        <w:t>m</w:t>
      </w:r>
      <w:r w:rsidR="00776154">
        <w:rPr>
          <w:lang w:val="en-AU" w:bidi="ar-SA"/>
        </w:rPr>
        <w:t xml:space="preserve">aximum and </w:t>
      </w:r>
      <w:r w:rsidR="001C2AA7">
        <w:rPr>
          <w:lang w:val="en-AU" w:bidi="ar-SA"/>
        </w:rPr>
        <w:t>p</w:t>
      </w:r>
      <w:r w:rsidR="00776154" w:rsidRPr="00070103">
        <w:rPr>
          <w:lang w:val="en-AU" w:bidi="ar-SA"/>
        </w:rPr>
        <w:t xml:space="preserve">hosphorus levels in </w:t>
      </w:r>
      <w:r w:rsidR="001C2AA7" w:rsidRPr="00070103">
        <w:rPr>
          <w:lang w:val="en-AU" w:bidi="ar-SA"/>
        </w:rPr>
        <w:t>soy-based infant formula</w:t>
      </w:r>
      <w:bookmarkEnd w:id="405"/>
      <w:r w:rsidR="001C2AA7" w:rsidRPr="00070103">
        <w:rPr>
          <w:lang w:val="en-AU" w:bidi="ar-SA"/>
        </w:rPr>
        <w:t xml:space="preserve"> </w:t>
      </w:r>
    </w:p>
    <w:tbl>
      <w:tblPr>
        <w:tblStyle w:val="MediumShading1-Accent3"/>
        <w:tblW w:w="8898" w:type="dxa"/>
        <w:tblLook w:val="04A0" w:firstRow="1" w:lastRow="0" w:firstColumn="1" w:lastColumn="0" w:noHBand="0" w:noVBand="1"/>
        <w:tblCaption w:val="Table 7.4.1.2 Submitter issues and FSANZ responses for phosphorus maximum and phosphorus levels in soy-based infant formula "/>
        <w:tblDescription w:val="Submitter issues and FSANZ responses for phosphorus maximum and phosphorus levels in soy-based infant formula."/>
      </w:tblPr>
      <w:tblGrid>
        <w:gridCol w:w="3402"/>
        <w:gridCol w:w="1701"/>
        <w:gridCol w:w="3795"/>
      </w:tblGrid>
      <w:tr w:rsidR="00776154" w:rsidRPr="00944536" w14:paraId="075E9DD7" w14:textId="77777777" w:rsidTr="00CF2812">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402" w:type="dxa"/>
          </w:tcPr>
          <w:p w14:paraId="7FA08257" w14:textId="77777777" w:rsidR="00776154" w:rsidRPr="00A05ECC" w:rsidRDefault="00776154" w:rsidP="00A05ECC">
            <w:pPr>
              <w:jc w:val="center"/>
              <w:rPr>
                <w:color w:val="auto"/>
                <w:szCs w:val="20"/>
              </w:rPr>
            </w:pPr>
            <w:r w:rsidRPr="00A05ECC">
              <w:rPr>
                <w:color w:val="auto"/>
                <w:szCs w:val="20"/>
              </w:rPr>
              <w:t>Comment</w:t>
            </w:r>
          </w:p>
        </w:tc>
        <w:tc>
          <w:tcPr>
            <w:tcW w:w="1701" w:type="dxa"/>
          </w:tcPr>
          <w:p w14:paraId="4BB548E7" w14:textId="77777777" w:rsidR="00776154" w:rsidRPr="00A05ECC" w:rsidRDefault="00776154" w:rsidP="00A05ECC">
            <w:pPr>
              <w:ind w:right="27"/>
              <w:jc w:val="center"/>
              <w:cnfStyle w:val="100000000000" w:firstRow="1" w:lastRow="0" w:firstColumn="0" w:lastColumn="0" w:oddVBand="0" w:evenVBand="0" w:oddHBand="0" w:evenHBand="0" w:firstRowFirstColumn="0" w:firstRowLastColumn="0" w:lastRowFirstColumn="0" w:lastRowLastColumn="0"/>
              <w:rPr>
                <w:color w:val="auto"/>
                <w:szCs w:val="20"/>
              </w:rPr>
            </w:pPr>
            <w:r w:rsidRPr="00A05ECC">
              <w:rPr>
                <w:color w:val="auto"/>
                <w:szCs w:val="20"/>
              </w:rPr>
              <w:t>Submitter</w:t>
            </w:r>
          </w:p>
        </w:tc>
        <w:tc>
          <w:tcPr>
            <w:tcW w:w="3795" w:type="dxa"/>
          </w:tcPr>
          <w:p w14:paraId="04BAA528" w14:textId="77777777" w:rsidR="00776154" w:rsidRPr="00A05ECC" w:rsidRDefault="00776154" w:rsidP="00A05ECC">
            <w:pPr>
              <w:ind w:right="27"/>
              <w:jc w:val="center"/>
              <w:cnfStyle w:val="100000000000" w:firstRow="1" w:lastRow="0" w:firstColumn="0" w:lastColumn="0" w:oddVBand="0" w:evenVBand="0" w:oddHBand="0" w:evenHBand="0" w:firstRowFirstColumn="0" w:firstRowLastColumn="0" w:lastRowFirstColumn="0" w:lastRowLastColumn="0"/>
              <w:rPr>
                <w:color w:val="auto"/>
                <w:szCs w:val="20"/>
              </w:rPr>
            </w:pPr>
            <w:r w:rsidRPr="00A05ECC">
              <w:rPr>
                <w:color w:val="auto"/>
                <w:szCs w:val="20"/>
              </w:rPr>
              <w:t>FSANZ response</w:t>
            </w:r>
          </w:p>
        </w:tc>
      </w:tr>
      <w:tr w:rsidR="00776154" w:rsidRPr="00944536" w14:paraId="001324F3" w14:textId="77777777" w:rsidTr="00CF2812">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402" w:type="dxa"/>
          </w:tcPr>
          <w:p w14:paraId="53D9FE52" w14:textId="77777777" w:rsidR="00776154" w:rsidRPr="00A05ECC" w:rsidRDefault="00776154" w:rsidP="00776154">
            <w:pPr>
              <w:rPr>
                <w:b w:val="0"/>
                <w:i/>
                <w:szCs w:val="20"/>
              </w:rPr>
            </w:pPr>
            <w:r w:rsidRPr="00A05ECC">
              <w:rPr>
                <w:b w:val="0"/>
                <w:i/>
                <w:szCs w:val="20"/>
                <w:lang w:val="en-AU"/>
              </w:rPr>
              <w:t>Phosphorus Maximum</w:t>
            </w:r>
          </w:p>
        </w:tc>
        <w:tc>
          <w:tcPr>
            <w:tcW w:w="1701" w:type="dxa"/>
          </w:tcPr>
          <w:p w14:paraId="6CFE78FC" w14:textId="77777777" w:rsidR="00776154" w:rsidRPr="00A05ECC" w:rsidRDefault="00776154" w:rsidP="00776154">
            <w:pPr>
              <w:ind w:right="27"/>
              <w:cnfStyle w:val="000000100000" w:firstRow="0" w:lastRow="0" w:firstColumn="0" w:lastColumn="0" w:oddVBand="0" w:evenVBand="0" w:oddHBand="1" w:evenHBand="0" w:firstRowFirstColumn="0" w:firstRowLastColumn="0" w:lastRowFirstColumn="0" w:lastRowLastColumn="0"/>
              <w:rPr>
                <w:szCs w:val="20"/>
              </w:rPr>
            </w:pPr>
          </w:p>
        </w:tc>
        <w:tc>
          <w:tcPr>
            <w:tcW w:w="3795" w:type="dxa"/>
          </w:tcPr>
          <w:p w14:paraId="79745CA5" w14:textId="77777777" w:rsidR="00776154" w:rsidRPr="00A05ECC" w:rsidRDefault="00776154" w:rsidP="00776154">
            <w:pPr>
              <w:ind w:right="27"/>
              <w:cnfStyle w:val="000000100000" w:firstRow="0" w:lastRow="0" w:firstColumn="0" w:lastColumn="0" w:oddVBand="0" w:evenVBand="0" w:oddHBand="1" w:evenHBand="0" w:firstRowFirstColumn="0" w:firstRowLastColumn="0" w:lastRowFirstColumn="0" w:lastRowLastColumn="0"/>
              <w:rPr>
                <w:szCs w:val="20"/>
              </w:rPr>
            </w:pPr>
          </w:p>
        </w:tc>
      </w:tr>
      <w:tr w:rsidR="00776154" w:rsidRPr="00944536" w14:paraId="4EBF1868" w14:textId="77777777" w:rsidTr="00CF281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797D2D41" w14:textId="5272B48B" w:rsidR="00776154" w:rsidRPr="00070103" w:rsidRDefault="00776154" w:rsidP="001C2AA7">
            <w:pPr>
              <w:rPr>
                <w:b w:val="0"/>
                <w:szCs w:val="20"/>
                <w:lang w:val="en-AU" w:eastAsia="en-AU" w:bidi="ar-SA"/>
              </w:rPr>
            </w:pPr>
            <w:r w:rsidRPr="00070103">
              <w:rPr>
                <w:b w:val="0"/>
                <w:szCs w:val="20"/>
                <w:lang w:val="en-AU" w:eastAsia="en-AU" w:bidi="ar-SA"/>
              </w:rPr>
              <w:t>Adopt GUL of 24 mg/100 kJ</w:t>
            </w:r>
            <w:r w:rsidR="001C2AA7">
              <w:rPr>
                <w:b w:val="0"/>
                <w:szCs w:val="20"/>
                <w:lang w:val="en-AU" w:eastAsia="en-AU" w:bidi="ar-SA"/>
              </w:rPr>
              <w:t>. A</w:t>
            </w:r>
            <w:r w:rsidRPr="00070103">
              <w:rPr>
                <w:b w:val="0"/>
                <w:szCs w:val="20"/>
                <w:lang w:val="en-AU" w:eastAsia="en-AU" w:bidi="ar-SA"/>
              </w:rPr>
              <w:t>s it is not possible to establish an UL a GUL is most appropriate and allows alignment with Codex.</w:t>
            </w:r>
          </w:p>
        </w:tc>
        <w:tc>
          <w:tcPr>
            <w:tcW w:w="1701" w:type="dxa"/>
          </w:tcPr>
          <w:p w14:paraId="523E128C" w14:textId="3B66A286" w:rsidR="00776154" w:rsidRPr="00070103" w:rsidRDefault="001C2AA7" w:rsidP="001C2AA7">
            <w:pPr>
              <w:ind w:right="27"/>
              <w:cnfStyle w:val="000000010000" w:firstRow="0" w:lastRow="0" w:firstColumn="0" w:lastColumn="0" w:oddVBand="0" w:evenVBand="0" w:oddHBand="0" w:evenHBand="1" w:firstRowFirstColumn="0" w:firstRowLastColumn="0" w:lastRowFirstColumn="0" w:lastRowLastColumn="0"/>
              <w:rPr>
                <w:bCs/>
                <w:szCs w:val="20"/>
                <w:lang w:val="en-AU" w:eastAsia="en-AU" w:bidi="ar-SA"/>
              </w:rPr>
            </w:pPr>
            <w:r>
              <w:rPr>
                <w:bCs/>
                <w:szCs w:val="20"/>
                <w:lang w:val="en-AU" w:eastAsia="en-AU" w:bidi="ar-SA"/>
              </w:rPr>
              <w:t>I</w:t>
            </w:r>
            <w:r w:rsidR="00776154" w:rsidRPr="00070103">
              <w:rPr>
                <w:bCs/>
                <w:szCs w:val="20"/>
                <w:lang w:val="en-AU" w:eastAsia="en-AU" w:bidi="ar-SA"/>
              </w:rPr>
              <w:t>ndustry</w:t>
            </w:r>
            <w:r>
              <w:rPr>
                <w:bCs/>
                <w:szCs w:val="20"/>
                <w:lang w:val="en-AU" w:eastAsia="en-AU" w:bidi="ar-SA"/>
              </w:rPr>
              <w:t xml:space="preserve"> (3)</w:t>
            </w:r>
          </w:p>
        </w:tc>
        <w:tc>
          <w:tcPr>
            <w:tcW w:w="3795" w:type="dxa"/>
          </w:tcPr>
          <w:p w14:paraId="325A56C2" w14:textId="6EF6C214" w:rsidR="00776154" w:rsidRPr="00070103" w:rsidRDefault="00776154" w:rsidP="00776154">
            <w:pPr>
              <w:cnfStyle w:val="000000010000" w:firstRow="0" w:lastRow="0" w:firstColumn="0" w:lastColumn="0" w:oddVBand="0" w:evenVBand="0" w:oddHBand="0" w:evenHBand="1" w:firstRowFirstColumn="0" w:firstRowLastColumn="0" w:lastRowFirstColumn="0" w:lastRowLastColumn="0"/>
              <w:rPr>
                <w:bCs/>
                <w:szCs w:val="20"/>
                <w:lang w:val="en-AU" w:eastAsia="en-AU" w:bidi="ar-SA"/>
              </w:rPr>
            </w:pPr>
            <w:r w:rsidRPr="00070103">
              <w:rPr>
                <w:bCs/>
                <w:szCs w:val="20"/>
                <w:lang w:val="en-AU" w:eastAsia="en-AU" w:bidi="ar-SA"/>
              </w:rPr>
              <w:t xml:space="preserve">Noted. FSANZ reiterates that proposed approach in 2016 was to change the current phosphorus maximum (25 mg/100 kJ) in </w:t>
            </w:r>
            <w:r w:rsidR="00BE647E">
              <w:rPr>
                <w:bCs/>
                <w:szCs w:val="20"/>
                <w:lang w:val="en-AU" w:eastAsia="en-AU" w:bidi="ar-SA"/>
              </w:rPr>
              <w:t>S</w:t>
            </w:r>
            <w:r w:rsidR="00FF6312">
              <w:rPr>
                <w:bCs/>
                <w:szCs w:val="20"/>
                <w:lang w:val="en-AU" w:eastAsia="en-AU" w:bidi="ar-SA"/>
              </w:rPr>
              <w:t>chedule 29</w:t>
            </w:r>
            <w:r w:rsidRPr="00070103">
              <w:rPr>
                <w:bCs/>
                <w:szCs w:val="20"/>
                <w:lang w:val="en-AU" w:eastAsia="en-AU" w:bidi="ar-SA"/>
              </w:rPr>
              <w:t xml:space="preserve"> to a GUL of 24 mg/100 kJ in alignment with Codex.</w:t>
            </w:r>
          </w:p>
        </w:tc>
      </w:tr>
      <w:tr w:rsidR="00776154" w:rsidRPr="00944536" w14:paraId="2EE360B7" w14:textId="77777777" w:rsidTr="00CF28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14183602" w14:textId="23D6EDAA" w:rsidR="00776154" w:rsidRPr="00070103" w:rsidRDefault="00776154" w:rsidP="001C2AA7">
            <w:pPr>
              <w:rPr>
                <w:b w:val="0"/>
                <w:szCs w:val="20"/>
                <w:lang w:val="en-AU" w:eastAsia="en-AU" w:bidi="ar-SA"/>
              </w:rPr>
            </w:pPr>
            <w:r w:rsidRPr="00070103">
              <w:rPr>
                <w:b w:val="0"/>
                <w:szCs w:val="20"/>
                <w:lang w:val="en-AU" w:eastAsia="en-AU" w:bidi="ar-SA"/>
              </w:rPr>
              <w:t xml:space="preserve">Cautions about amending the maximum to a GUL, based on evidence of hypocalcaemia in neonates fed </w:t>
            </w:r>
            <w:r w:rsidRPr="00070103">
              <w:rPr>
                <w:b w:val="0"/>
                <w:szCs w:val="20"/>
                <w:lang w:val="en-AU" w:eastAsia="en-AU" w:bidi="ar-SA"/>
              </w:rPr>
              <w:lastRenderedPageBreak/>
              <w:t>infant form</w:t>
            </w:r>
            <w:r w:rsidR="001C2AA7">
              <w:rPr>
                <w:b w:val="0"/>
                <w:szCs w:val="20"/>
                <w:lang w:val="en-AU" w:eastAsia="en-AU" w:bidi="ar-SA"/>
              </w:rPr>
              <w:t>ula</w:t>
            </w:r>
            <w:r w:rsidRPr="00070103">
              <w:rPr>
                <w:b w:val="0"/>
                <w:szCs w:val="20"/>
                <w:lang w:val="en-AU" w:eastAsia="en-AU" w:bidi="ar-SA"/>
              </w:rPr>
              <w:t xml:space="preserve"> and ULs derived by the NHMRC/MoH for young children suggest that excessive intakes should be avoided as a precautionary approach for this age group. A government submitter suggested a review of the literature may further inform this issue. </w:t>
            </w:r>
          </w:p>
        </w:tc>
        <w:tc>
          <w:tcPr>
            <w:tcW w:w="1701" w:type="dxa"/>
            <w:shd w:val="clear" w:color="auto" w:fill="auto"/>
          </w:tcPr>
          <w:p w14:paraId="7FDCB799" w14:textId="24E3AB28" w:rsidR="00776154" w:rsidRPr="00070103" w:rsidRDefault="001C2AA7" w:rsidP="00776154">
            <w:pPr>
              <w:ind w:left="34" w:right="27"/>
              <w:cnfStyle w:val="000000100000" w:firstRow="0" w:lastRow="0" w:firstColumn="0" w:lastColumn="0" w:oddVBand="0" w:evenVBand="0" w:oddHBand="1" w:evenHBand="0" w:firstRowFirstColumn="0" w:firstRowLastColumn="0" w:lastRowFirstColumn="0" w:lastRowLastColumn="0"/>
              <w:rPr>
                <w:bCs/>
                <w:szCs w:val="20"/>
                <w:lang w:val="en-AU" w:eastAsia="en-AU" w:bidi="ar-SA"/>
              </w:rPr>
            </w:pPr>
            <w:r>
              <w:rPr>
                <w:bCs/>
                <w:szCs w:val="20"/>
                <w:lang w:val="en-AU" w:eastAsia="en-AU" w:bidi="ar-SA"/>
              </w:rPr>
              <w:lastRenderedPageBreak/>
              <w:t>G</w:t>
            </w:r>
            <w:r w:rsidR="00776154" w:rsidRPr="00070103">
              <w:rPr>
                <w:bCs/>
                <w:szCs w:val="20"/>
                <w:lang w:val="en-AU" w:eastAsia="en-AU" w:bidi="ar-SA"/>
              </w:rPr>
              <w:t>overnment</w:t>
            </w:r>
            <w:r>
              <w:rPr>
                <w:bCs/>
                <w:szCs w:val="20"/>
                <w:lang w:val="en-AU" w:eastAsia="en-AU" w:bidi="ar-SA"/>
              </w:rPr>
              <w:t xml:space="preserve"> (2)</w:t>
            </w:r>
          </w:p>
        </w:tc>
        <w:tc>
          <w:tcPr>
            <w:tcW w:w="3795" w:type="dxa"/>
            <w:shd w:val="clear" w:color="auto" w:fill="auto"/>
          </w:tcPr>
          <w:p w14:paraId="517C76B8" w14:textId="6DB28BB0" w:rsidR="00776154" w:rsidRPr="00070103" w:rsidRDefault="00776154" w:rsidP="00776154">
            <w:pPr>
              <w:ind w:right="27"/>
              <w:cnfStyle w:val="000000100000" w:firstRow="0" w:lastRow="0" w:firstColumn="0" w:lastColumn="0" w:oddVBand="0" w:evenVBand="0" w:oddHBand="1" w:evenHBand="0" w:firstRowFirstColumn="0" w:firstRowLastColumn="0" w:lastRowFirstColumn="0" w:lastRowLastColumn="0"/>
              <w:rPr>
                <w:bCs/>
                <w:szCs w:val="20"/>
                <w:lang w:val="en-AU" w:eastAsia="en-AU" w:bidi="ar-SA"/>
              </w:rPr>
            </w:pPr>
            <w:r w:rsidRPr="00070103">
              <w:rPr>
                <w:bCs/>
                <w:szCs w:val="20"/>
                <w:lang w:val="en-AU" w:eastAsia="en-AU" w:bidi="ar-SA"/>
              </w:rPr>
              <w:t xml:space="preserve">The 2016 nutrition </w:t>
            </w:r>
            <w:r w:rsidR="001C2AA7">
              <w:rPr>
                <w:bCs/>
                <w:szCs w:val="20"/>
                <w:lang w:val="en-AU" w:eastAsia="en-AU" w:bidi="ar-SA"/>
              </w:rPr>
              <w:t xml:space="preserve">risk </w:t>
            </w:r>
            <w:r w:rsidRPr="00070103">
              <w:rPr>
                <w:bCs/>
                <w:szCs w:val="20"/>
                <w:lang w:val="en-AU" w:eastAsia="en-AU" w:bidi="ar-SA"/>
              </w:rPr>
              <w:t xml:space="preserve">assessment considered research investigating hypocalcaemia in neonates fed infant </w:t>
            </w:r>
            <w:r w:rsidRPr="00070103">
              <w:rPr>
                <w:bCs/>
                <w:szCs w:val="20"/>
                <w:lang w:val="en-AU" w:eastAsia="en-AU" w:bidi="ar-SA"/>
              </w:rPr>
              <w:lastRenderedPageBreak/>
              <w:t>formula which concluded that in several clinical reports of formula-fed early neonates (&lt;14 days) the hypocalcaemia was considered to be associated with vitamin D deficiency resulting from low maternal vitamin D status. Two recent studies also support this conclusion.</w:t>
            </w:r>
          </w:p>
        </w:tc>
      </w:tr>
      <w:tr w:rsidR="00776154" w:rsidRPr="00944536" w14:paraId="3CDBFF22" w14:textId="77777777" w:rsidTr="00CF2812">
        <w:trPr>
          <w:cnfStyle w:val="000000010000" w:firstRow="0" w:lastRow="0" w:firstColumn="0" w:lastColumn="0" w:oddVBand="0" w:evenVBand="0" w:oddHBand="0" w:evenHBand="1"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8898" w:type="dxa"/>
            <w:gridSpan w:val="3"/>
            <w:shd w:val="clear" w:color="auto" w:fill="E6EED5"/>
          </w:tcPr>
          <w:p w14:paraId="64020739" w14:textId="7EDD81C5" w:rsidR="00776154" w:rsidRPr="00A05ECC" w:rsidRDefault="00776154" w:rsidP="00776154">
            <w:pPr>
              <w:ind w:left="34" w:right="27"/>
              <w:rPr>
                <w:b w:val="0"/>
                <w:i/>
                <w:szCs w:val="20"/>
                <w:lang w:eastAsia="en-AU"/>
              </w:rPr>
            </w:pPr>
            <w:r w:rsidRPr="00A05ECC">
              <w:rPr>
                <w:b w:val="0"/>
                <w:i/>
                <w:szCs w:val="20"/>
                <w:lang w:val="en-AU" w:bidi="ar-SA"/>
              </w:rPr>
              <w:lastRenderedPageBreak/>
              <w:t xml:space="preserve">Phosphorus levels in </w:t>
            </w:r>
            <w:r w:rsidR="001C2AA7" w:rsidRPr="00A05ECC">
              <w:rPr>
                <w:b w:val="0"/>
                <w:i/>
                <w:szCs w:val="20"/>
                <w:lang w:val="en-AU" w:bidi="ar-SA"/>
              </w:rPr>
              <w:t xml:space="preserve">soy-based infant formula </w:t>
            </w:r>
          </w:p>
        </w:tc>
      </w:tr>
      <w:tr w:rsidR="00776154" w:rsidRPr="00944536" w14:paraId="54874D0B" w14:textId="77777777" w:rsidTr="00CF28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FFFFFF" w:themeFill="background1"/>
          </w:tcPr>
          <w:p w14:paraId="0D08070F" w14:textId="76FE2D7A" w:rsidR="00776154" w:rsidRPr="00070103" w:rsidRDefault="00776154" w:rsidP="001C2AA7">
            <w:pPr>
              <w:ind w:left="34" w:right="27"/>
              <w:rPr>
                <w:bCs w:val="0"/>
                <w:szCs w:val="20"/>
                <w:lang w:val="en-AU" w:eastAsia="en-AU" w:bidi="ar-SA"/>
              </w:rPr>
            </w:pPr>
            <w:r w:rsidRPr="00070103">
              <w:rPr>
                <w:b w:val="0"/>
                <w:szCs w:val="20"/>
                <w:lang w:val="en-AU" w:eastAsia="en-AU" w:bidi="ar-SA"/>
              </w:rPr>
              <w:t xml:space="preserve">Support setting separate minimum and maximum phosphorus levels in soy-based infant formula in line with </w:t>
            </w:r>
            <w:r w:rsidR="001C2AA7">
              <w:rPr>
                <w:b w:val="0"/>
                <w:szCs w:val="20"/>
                <w:lang w:val="en-AU" w:eastAsia="en-AU" w:bidi="ar-SA"/>
              </w:rPr>
              <w:t xml:space="preserve">EU </w:t>
            </w:r>
            <w:r w:rsidRPr="00070103">
              <w:rPr>
                <w:b w:val="0"/>
                <w:szCs w:val="20"/>
                <w:lang w:val="en-AU" w:eastAsia="en-AU" w:bidi="ar-SA"/>
              </w:rPr>
              <w:t>2016</w:t>
            </w:r>
            <w:r w:rsidR="001C2AA7">
              <w:rPr>
                <w:b w:val="0"/>
                <w:szCs w:val="20"/>
                <w:lang w:val="en-AU" w:eastAsia="en-AU" w:bidi="ar-SA"/>
              </w:rPr>
              <w:t>/127</w:t>
            </w:r>
            <w:r w:rsidRPr="00070103">
              <w:rPr>
                <w:b w:val="0"/>
                <w:szCs w:val="20"/>
                <w:lang w:val="en-AU" w:eastAsia="en-AU" w:bidi="ar-SA"/>
              </w:rPr>
              <w:t xml:space="preserve">. </w:t>
            </w:r>
          </w:p>
        </w:tc>
        <w:tc>
          <w:tcPr>
            <w:tcW w:w="1701" w:type="dxa"/>
            <w:shd w:val="clear" w:color="auto" w:fill="FFFFFF" w:themeFill="background1"/>
          </w:tcPr>
          <w:p w14:paraId="08037383" w14:textId="3DFF5DEF" w:rsidR="00776154" w:rsidRPr="00070103" w:rsidRDefault="001C2AA7" w:rsidP="00776154">
            <w:pPr>
              <w:ind w:left="34" w:right="27"/>
              <w:cnfStyle w:val="000000100000" w:firstRow="0" w:lastRow="0" w:firstColumn="0" w:lastColumn="0" w:oddVBand="0" w:evenVBand="0" w:oddHBand="1" w:evenHBand="0" w:firstRowFirstColumn="0" w:firstRowLastColumn="0" w:lastRowFirstColumn="0" w:lastRowLastColumn="0"/>
              <w:rPr>
                <w:bCs/>
                <w:szCs w:val="20"/>
                <w:lang w:val="en-AU" w:eastAsia="en-AU" w:bidi="ar-SA"/>
              </w:rPr>
            </w:pPr>
            <w:r>
              <w:rPr>
                <w:bCs/>
                <w:szCs w:val="20"/>
                <w:lang w:val="en-AU" w:eastAsia="en-AU" w:bidi="ar-SA"/>
              </w:rPr>
              <w:t>G</w:t>
            </w:r>
            <w:r w:rsidR="00776154" w:rsidRPr="00070103">
              <w:rPr>
                <w:bCs/>
                <w:szCs w:val="20"/>
                <w:lang w:val="en-AU" w:eastAsia="en-AU" w:bidi="ar-SA"/>
              </w:rPr>
              <w:t>overnment</w:t>
            </w:r>
            <w:r>
              <w:rPr>
                <w:bCs/>
                <w:szCs w:val="20"/>
                <w:lang w:val="en-AU" w:eastAsia="en-AU" w:bidi="ar-SA"/>
              </w:rPr>
              <w:t xml:space="preserve"> (2</w:t>
            </w:r>
            <w:r w:rsidR="00776154" w:rsidRPr="00070103">
              <w:rPr>
                <w:bCs/>
                <w:szCs w:val="20"/>
                <w:lang w:val="en-AU" w:eastAsia="en-AU" w:bidi="ar-SA"/>
              </w:rPr>
              <w:t>)</w:t>
            </w:r>
          </w:p>
        </w:tc>
        <w:tc>
          <w:tcPr>
            <w:tcW w:w="3795" w:type="dxa"/>
            <w:shd w:val="clear" w:color="auto" w:fill="FFFFFF" w:themeFill="background1"/>
          </w:tcPr>
          <w:p w14:paraId="6921E627" w14:textId="3CE1BF65" w:rsidR="00776154" w:rsidRPr="00070103" w:rsidRDefault="00776154" w:rsidP="001C2AA7">
            <w:pPr>
              <w:ind w:left="34" w:right="27"/>
              <w:cnfStyle w:val="000000100000" w:firstRow="0" w:lastRow="0" w:firstColumn="0" w:lastColumn="0" w:oddVBand="0" w:evenVBand="0" w:oddHBand="1" w:evenHBand="0" w:firstRowFirstColumn="0" w:firstRowLastColumn="0" w:lastRowFirstColumn="0" w:lastRowLastColumn="0"/>
              <w:rPr>
                <w:bCs/>
                <w:szCs w:val="20"/>
                <w:lang w:val="en-AU" w:eastAsia="en-AU" w:bidi="ar-SA"/>
              </w:rPr>
            </w:pPr>
            <w:r w:rsidRPr="00070103">
              <w:rPr>
                <w:bCs/>
                <w:szCs w:val="20"/>
                <w:lang w:val="en-AU" w:eastAsia="en-AU" w:bidi="ar-SA"/>
              </w:rPr>
              <w:t>FSANZ is seeking further information from industry submitters on this issue to inform future considerations.</w:t>
            </w:r>
          </w:p>
        </w:tc>
      </w:tr>
    </w:tbl>
    <w:p w14:paraId="65A387E5" w14:textId="718E7940" w:rsidR="00776154" w:rsidRDefault="001C2AA7" w:rsidP="00776154">
      <w:pPr>
        <w:pStyle w:val="Heading4"/>
      </w:pPr>
      <w:r>
        <w:t>Nutrition r</w:t>
      </w:r>
      <w:r w:rsidR="00776154" w:rsidRPr="00BA1FD9">
        <w:t>isk assessment</w:t>
      </w:r>
    </w:p>
    <w:p w14:paraId="4DA1416B" w14:textId="73DC10F7" w:rsidR="00776154" w:rsidRPr="00741136" w:rsidRDefault="00776154" w:rsidP="00776154">
      <w:pPr>
        <w:autoSpaceDE w:val="0"/>
        <w:autoSpaceDN w:val="0"/>
        <w:adjustRightInd w:val="0"/>
        <w:rPr>
          <w:rFonts w:eastAsia="Arial Unicode MS"/>
        </w:rPr>
      </w:pPr>
      <w:r w:rsidRPr="00741136">
        <w:rPr>
          <w:rFonts w:eastAsia="Arial Unicode MS"/>
        </w:rPr>
        <w:t xml:space="preserve">No further </w:t>
      </w:r>
      <w:r w:rsidR="001C2AA7">
        <w:rPr>
          <w:rFonts w:eastAsia="Arial Unicode MS"/>
        </w:rPr>
        <w:t xml:space="preserve">nutrition </w:t>
      </w:r>
      <w:r>
        <w:rPr>
          <w:rFonts w:eastAsia="Arial Unicode MS"/>
        </w:rPr>
        <w:t>risk assessment was considered on this issue.</w:t>
      </w:r>
    </w:p>
    <w:p w14:paraId="3E578EEC" w14:textId="77777777" w:rsidR="00776154" w:rsidRDefault="00776154" w:rsidP="00776154">
      <w:pPr>
        <w:pStyle w:val="Heading4"/>
      </w:pPr>
      <w:r w:rsidRPr="00BA1FD9">
        <w:t>Options and discussion</w:t>
      </w:r>
    </w:p>
    <w:p w14:paraId="4012C089" w14:textId="15605841" w:rsidR="00776154" w:rsidRDefault="00776154" w:rsidP="00776154">
      <w:pPr>
        <w:rPr>
          <w:lang w:val="en-AU" w:bidi="ar-SA"/>
        </w:rPr>
      </w:pPr>
      <w:r>
        <w:rPr>
          <w:lang w:val="en-AU" w:bidi="ar-SA"/>
        </w:rPr>
        <w:t xml:space="preserve">The 2016 nutrition </w:t>
      </w:r>
      <w:r w:rsidR="001C2AA7">
        <w:rPr>
          <w:lang w:val="en-AU" w:bidi="ar-SA"/>
        </w:rPr>
        <w:t xml:space="preserve">risk </w:t>
      </w:r>
      <w:r>
        <w:rPr>
          <w:lang w:val="en-AU" w:bidi="ar-SA"/>
        </w:rPr>
        <w:t xml:space="preserve">assessment considered research investigating </w:t>
      </w:r>
      <w:r w:rsidRPr="0060438D">
        <w:rPr>
          <w:lang w:val="en-AU" w:bidi="ar-SA"/>
        </w:rPr>
        <w:t>hypocalcaemia i</w:t>
      </w:r>
      <w:r>
        <w:rPr>
          <w:lang w:val="en-AU" w:bidi="ar-SA"/>
        </w:rPr>
        <w:t>n neonates fed infant formula. The assessment</w:t>
      </w:r>
      <w:r w:rsidRPr="0060438D">
        <w:rPr>
          <w:lang w:val="en-AU" w:bidi="ar-SA"/>
        </w:rPr>
        <w:t xml:space="preserve"> concluded that in several clinical reports of formula-fed early neonates (&lt;14 days) the hypocalcaemia was considered to be associated with vitamin D deficiency resulting from low maternal vitamin D status (Thomas et al. 2012; Do et al. 2014; Cho et al. 201</w:t>
      </w:r>
      <w:r>
        <w:rPr>
          <w:lang w:val="en-AU" w:bidi="ar-SA"/>
        </w:rPr>
        <w:t>5). There was also</w:t>
      </w:r>
      <w:r w:rsidRPr="0060438D">
        <w:rPr>
          <w:lang w:val="en-AU" w:bidi="ar-SA"/>
        </w:rPr>
        <w:t xml:space="preserve"> no recent evidence indicating that older infants (&gt;14 days) consuming infant formula develop hypercalcemia due to excess phosphorus intakes.</w:t>
      </w:r>
      <w:r>
        <w:rPr>
          <w:lang w:val="en-AU" w:bidi="ar-SA"/>
        </w:rPr>
        <w:t xml:space="preserve"> Both government submitters that did not support FSANZ’s pervious consideration to permit phosphorus at a GUL of 24 mg/100 kJ referenced the Cho et al study </w:t>
      </w:r>
      <w:r w:rsidR="001C2AA7">
        <w:rPr>
          <w:lang w:val="en-AU" w:bidi="ar-SA"/>
        </w:rPr>
        <w:t xml:space="preserve">(2015) </w:t>
      </w:r>
      <w:r>
        <w:rPr>
          <w:lang w:val="en-AU" w:bidi="ar-SA"/>
        </w:rPr>
        <w:t xml:space="preserve">to support their concerns surrounding </w:t>
      </w:r>
      <w:r w:rsidRPr="0060438D">
        <w:rPr>
          <w:lang w:val="en-AU" w:bidi="ar-SA"/>
        </w:rPr>
        <w:t xml:space="preserve">hypocalcaemia in </w:t>
      </w:r>
      <w:r>
        <w:rPr>
          <w:lang w:val="en-AU" w:bidi="ar-SA"/>
        </w:rPr>
        <w:t>formula</w:t>
      </w:r>
      <w:r w:rsidR="001C2AA7">
        <w:rPr>
          <w:lang w:val="en-AU" w:bidi="ar-SA"/>
        </w:rPr>
        <w:t>-</w:t>
      </w:r>
      <w:r>
        <w:rPr>
          <w:lang w:val="en-AU" w:bidi="ar-SA"/>
        </w:rPr>
        <w:t>fed neonates.</w:t>
      </w:r>
      <w:r w:rsidRPr="00077F80">
        <w:rPr>
          <w:lang w:val="en-AU" w:bidi="ar-SA"/>
        </w:rPr>
        <w:t xml:space="preserve"> </w:t>
      </w:r>
    </w:p>
    <w:p w14:paraId="2A712894" w14:textId="77777777" w:rsidR="00776154" w:rsidRDefault="00776154" w:rsidP="00776154">
      <w:pPr>
        <w:rPr>
          <w:lang w:val="en-AU" w:bidi="ar-SA"/>
        </w:rPr>
      </w:pPr>
    </w:p>
    <w:p w14:paraId="522E8351" w14:textId="15202DAF" w:rsidR="00776154" w:rsidRPr="00A25B2E" w:rsidRDefault="00776154" w:rsidP="00776154">
      <w:pPr>
        <w:rPr>
          <w:lang w:val="en-AU" w:bidi="ar-SA"/>
        </w:rPr>
      </w:pPr>
      <w:r>
        <w:rPr>
          <w:lang w:val="en-AU" w:bidi="ar-SA"/>
        </w:rPr>
        <w:t xml:space="preserve">No further </w:t>
      </w:r>
      <w:r w:rsidR="001C2AA7">
        <w:rPr>
          <w:lang w:val="en-AU" w:bidi="ar-SA"/>
        </w:rPr>
        <w:t xml:space="preserve">nutrition </w:t>
      </w:r>
      <w:r>
        <w:rPr>
          <w:lang w:val="en-AU" w:bidi="ar-SA"/>
        </w:rPr>
        <w:t>risk assessment was done for this issue, however two studies have recently been published regarding hypocalcaemia in formula fed neonates. The</w:t>
      </w:r>
      <w:r w:rsidRPr="00077F80">
        <w:rPr>
          <w:lang w:val="en-AU" w:bidi="ar-SA"/>
        </w:rPr>
        <w:t xml:space="preserve"> studies published </w:t>
      </w:r>
      <w:r w:rsidR="001C2AA7">
        <w:rPr>
          <w:lang w:val="en-AU" w:bidi="ar-SA"/>
        </w:rPr>
        <w:t>in</w:t>
      </w:r>
      <w:r w:rsidR="001C2AA7" w:rsidRPr="00077F80">
        <w:rPr>
          <w:lang w:val="en-AU" w:bidi="ar-SA"/>
        </w:rPr>
        <w:t xml:space="preserve"> </w:t>
      </w:r>
      <w:r w:rsidRPr="00077F80">
        <w:rPr>
          <w:lang w:val="en-AU" w:bidi="ar-SA"/>
        </w:rPr>
        <w:t xml:space="preserve">2015 </w:t>
      </w:r>
      <w:r w:rsidR="001C2AA7">
        <w:rPr>
          <w:lang w:val="en-AU" w:bidi="ar-SA"/>
        </w:rPr>
        <w:t>and</w:t>
      </w:r>
      <w:r w:rsidRPr="00077F80">
        <w:rPr>
          <w:lang w:val="en-AU" w:bidi="ar-SA"/>
        </w:rPr>
        <w:t xml:space="preserve"> 202</w:t>
      </w:r>
      <w:r w:rsidR="001C2AA7">
        <w:rPr>
          <w:lang w:val="en-AU" w:bidi="ar-SA"/>
        </w:rPr>
        <w:t>0</w:t>
      </w:r>
      <w:r w:rsidRPr="00077F80">
        <w:rPr>
          <w:lang w:val="en-AU" w:bidi="ar-SA"/>
        </w:rPr>
        <w:t xml:space="preserve"> </w:t>
      </w:r>
      <w:r w:rsidR="004F01A0">
        <w:rPr>
          <w:lang w:val="en-AU" w:bidi="ar-SA"/>
        </w:rPr>
        <w:t>were consistent with t</w:t>
      </w:r>
      <w:r w:rsidRPr="00077F80">
        <w:rPr>
          <w:lang w:val="en-AU" w:bidi="ar-SA"/>
        </w:rPr>
        <w:t xml:space="preserve">he conclusions of the 2016 nutrition </w:t>
      </w:r>
      <w:r w:rsidR="001C2AA7">
        <w:rPr>
          <w:lang w:val="en-AU" w:bidi="ar-SA"/>
        </w:rPr>
        <w:t xml:space="preserve">risk </w:t>
      </w:r>
      <w:r w:rsidRPr="00077F80">
        <w:rPr>
          <w:lang w:val="en-AU" w:bidi="ar-SA"/>
        </w:rPr>
        <w:t>assessment</w:t>
      </w:r>
      <w:r>
        <w:rPr>
          <w:lang w:val="en-AU" w:bidi="ar-SA"/>
        </w:rPr>
        <w:t xml:space="preserve"> noting the </w:t>
      </w:r>
      <w:r w:rsidRPr="00077F80">
        <w:rPr>
          <w:lang w:val="en-AU" w:bidi="ar-SA"/>
        </w:rPr>
        <w:t>incidence of hypocalcaemia in formula</w:t>
      </w:r>
      <w:r w:rsidR="001C2AA7">
        <w:rPr>
          <w:lang w:val="en-AU" w:bidi="ar-SA"/>
        </w:rPr>
        <w:t>-</w:t>
      </w:r>
      <w:r w:rsidRPr="00077F80">
        <w:rPr>
          <w:lang w:val="en-AU" w:bidi="ar-SA"/>
        </w:rPr>
        <w:t>fed infants</w:t>
      </w:r>
      <w:r>
        <w:rPr>
          <w:lang w:val="en-AU" w:bidi="ar-SA"/>
        </w:rPr>
        <w:t xml:space="preserve"> was</w:t>
      </w:r>
      <w:r w:rsidRPr="00077F80">
        <w:rPr>
          <w:lang w:val="en-AU" w:bidi="ar-SA"/>
        </w:rPr>
        <w:t xml:space="preserve"> associated with vitamin D deficiency</w:t>
      </w:r>
      <w:r>
        <w:rPr>
          <w:lang w:val="en-AU" w:bidi="ar-SA"/>
        </w:rPr>
        <w:t xml:space="preserve"> (</w:t>
      </w:r>
      <w:r w:rsidRPr="007C7639">
        <w:rPr>
          <w:lang w:val="en-AU" w:bidi="ar-SA"/>
        </w:rPr>
        <w:t xml:space="preserve">Qureshi </w:t>
      </w:r>
      <w:r w:rsidR="00D70A45">
        <w:rPr>
          <w:lang w:val="en-AU" w:bidi="ar-SA"/>
        </w:rPr>
        <w:t xml:space="preserve">et al. </w:t>
      </w:r>
      <w:r w:rsidRPr="007C7639">
        <w:rPr>
          <w:lang w:val="en-AU" w:bidi="ar-SA"/>
        </w:rPr>
        <w:t>2020</w:t>
      </w:r>
      <w:r w:rsidR="00615705">
        <w:rPr>
          <w:lang w:val="en-AU" w:bidi="ar-SA"/>
        </w:rPr>
        <w:t>;</w:t>
      </w:r>
      <w:r w:rsidRPr="007C7639">
        <w:rPr>
          <w:lang w:val="en-AU" w:bidi="ar-SA"/>
        </w:rPr>
        <w:t xml:space="preserve"> </w:t>
      </w:r>
      <w:r>
        <w:rPr>
          <w:lang w:val="en-AU" w:bidi="ar-SA"/>
        </w:rPr>
        <w:t>Jo</w:t>
      </w:r>
      <w:r w:rsidRPr="007C7639">
        <w:rPr>
          <w:lang w:val="en-AU" w:bidi="ar-SA"/>
        </w:rPr>
        <w:t xml:space="preserve"> </w:t>
      </w:r>
      <w:r w:rsidR="00615705">
        <w:rPr>
          <w:lang w:val="en-AU" w:bidi="ar-SA"/>
        </w:rPr>
        <w:t>et al.</w:t>
      </w:r>
      <w:r w:rsidRPr="007C7639">
        <w:rPr>
          <w:lang w:val="en-AU" w:bidi="ar-SA"/>
        </w:rPr>
        <w:t xml:space="preserve"> 2015)</w:t>
      </w:r>
      <w:r w:rsidRPr="00077F80">
        <w:rPr>
          <w:lang w:val="en-AU" w:bidi="ar-SA"/>
        </w:rPr>
        <w:t xml:space="preserve">. </w:t>
      </w:r>
      <w:r w:rsidR="004F01A0">
        <w:rPr>
          <w:lang w:val="en-AU" w:bidi="ar-SA"/>
        </w:rPr>
        <w:t xml:space="preserve">Therefore </w:t>
      </w:r>
      <w:r>
        <w:rPr>
          <w:lang w:val="en-AU" w:bidi="ar-SA"/>
        </w:rPr>
        <w:t>FSANZ reiterate</w:t>
      </w:r>
      <w:r w:rsidR="004F01A0">
        <w:rPr>
          <w:lang w:val="en-AU" w:bidi="ar-SA"/>
        </w:rPr>
        <w:t>s</w:t>
      </w:r>
      <w:r>
        <w:rPr>
          <w:lang w:val="en-AU" w:bidi="ar-SA"/>
        </w:rPr>
        <w:t xml:space="preserve"> the conclusions of the 2016 nutrition </w:t>
      </w:r>
      <w:r w:rsidR="001C2AA7">
        <w:rPr>
          <w:lang w:val="en-AU" w:bidi="ar-SA"/>
        </w:rPr>
        <w:t xml:space="preserve">risk </w:t>
      </w:r>
      <w:r>
        <w:rPr>
          <w:lang w:val="en-AU" w:bidi="ar-SA"/>
        </w:rPr>
        <w:t xml:space="preserve">assessment, noting there is no recent literature to suggest otherwise, that the incidence of </w:t>
      </w:r>
      <w:r w:rsidRPr="0060438D">
        <w:rPr>
          <w:lang w:val="en-AU" w:bidi="ar-SA"/>
        </w:rPr>
        <w:t>hypocalcaemia in neonates fed infant formula</w:t>
      </w:r>
      <w:r>
        <w:rPr>
          <w:lang w:val="en-AU" w:bidi="ar-SA"/>
        </w:rPr>
        <w:t xml:space="preserve"> is associated with </w:t>
      </w:r>
      <w:r w:rsidRPr="0060438D">
        <w:rPr>
          <w:lang w:val="en-AU" w:bidi="ar-SA"/>
        </w:rPr>
        <w:t>vitamin D deficiency</w:t>
      </w:r>
      <w:r>
        <w:rPr>
          <w:lang w:val="en-AU" w:bidi="ar-SA"/>
        </w:rPr>
        <w:t xml:space="preserve"> not phosphorus levels in infant formula and therefore aligning with the </w:t>
      </w:r>
      <w:r w:rsidRPr="00056F26">
        <w:rPr>
          <w:lang w:eastAsia="en-AU" w:bidi="ar-SA"/>
        </w:rPr>
        <w:t xml:space="preserve">Codex STAN 72-1981 </w:t>
      </w:r>
      <w:r>
        <w:rPr>
          <w:lang w:eastAsia="en-AU" w:bidi="ar-SA"/>
        </w:rPr>
        <w:t>voluntary maximum</w:t>
      </w:r>
      <w:r>
        <w:rPr>
          <w:lang w:val="en-AU" w:bidi="ar-SA"/>
        </w:rPr>
        <w:t xml:space="preserve"> i</w:t>
      </w:r>
      <w:r>
        <w:rPr>
          <w:szCs w:val="22"/>
        </w:rPr>
        <w:t>s unlikely to pose a risk to infant health.</w:t>
      </w:r>
    </w:p>
    <w:p w14:paraId="5D709430" w14:textId="77777777" w:rsidR="00776154" w:rsidRPr="007B26C1" w:rsidRDefault="00776154" w:rsidP="00776154">
      <w:pPr>
        <w:rPr>
          <w:lang w:val="en-AU" w:bidi="ar-SA"/>
        </w:rPr>
      </w:pPr>
    </w:p>
    <w:p w14:paraId="42F1E681" w14:textId="79444ACF" w:rsidR="00776154" w:rsidRPr="009A6BB6" w:rsidRDefault="00776154" w:rsidP="00776154">
      <w:pPr>
        <w:rPr>
          <w:rFonts w:cs="Arial"/>
          <w:szCs w:val="22"/>
        </w:rPr>
      </w:pPr>
      <w:r>
        <w:rPr>
          <w:rFonts w:cs="Arial"/>
          <w:szCs w:val="22"/>
        </w:rPr>
        <w:t>Two government submitters noted support for setting a separate minimum and maximum level for phosphorus in soy</w:t>
      </w:r>
      <w:r w:rsidR="008608EB">
        <w:rPr>
          <w:rFonts w:cs="Arial"/>
          <w:szCs w:val="22"/>
        </w:rPr>
        <w:t>-</w:t>
      </w:r>
      <w:r>
        <w:rPr>
          <w:rFonts w:cs="Arial"/>
          <w:szCs w:val="22"/>
        </w:rPr>
        <w:t xml:space="preserve">based infant formula in line with the approach of EU </w:t>
      </w:r>
      <w:r w:rsidR="008608EB">
        <w:rPr>
          <w:rFonts w:cs="Arial"/>
          <w:szCs w:val="22"/>
        </w:rPr>
        <w:t>2016/127</w:t>
      </w:r>
      <w:r>
        <w:rPr>
          <w:rFonts w:cs="Arial"/>
          <w:szCs w:val="22"/>
        </w:rPr>
        <w:t xml:space="preserve">. EU </w:t>
      </w:r>
      <w:r w:rsidR="008608EB">
        <w:rPr>
          <w:rFonts w:cs="Arial"/>
          <w:szCs w:val="22"/>
        </w:rPr>
        <w:t xml:space="preserve">2016/127 </w:t>
      </w:r>
      <w:r>
        <w:rPr>
          <w:rFonts w:cs="Arial"/>
          <w:szCs w:val="22"/>
        </w:rPr>
        <w:t>has set separate ranges for infant formula manufactured from soya protein isolates, alone or in a mixture with cow</w:t>
      </w:r>
      <w:r w:rsidR="008608EB">
        <w:rPr>
          <w:rFonts w:cs="Arial"/>
          <w:szCs w:val="22"/>
        </w:rPr>
        <w:t>’s</w:t>
      </w:r>
      <w:r>
        <w:rPr>
          <w:rFonts w:cs="Arial"/>
          <w:szCs w:val="22"/>
        </w:rPr>
        <w:t xml:space="preserve"> or goat</w:t>
      </w:r>
      <w:r w:rsidR="008608EB">
        <w:rPr>
          <w:rFonts w:cs="Arial"/>
          <w:szCs w:val="22"/>
        </w:rPr>
        <w:t>’s</w:t>
      </w:r>
      <w:r>
        <w:rPr>
          <w:rFonts w:cs="Arial"/>
          <w:szCs w:val="22"/>
        </w:rPr>
        <w:t xml:space="preserve"> milk proteins and infant formula manufactured from cow</w:t>
      </w:r>
      <w:r w:rsidR="008608EB">
        <w:rPr>
          <w:rFonts w:cs="Arial"/>
          <w:szCs w:val="22"/>
        </w:rPr>
        <w:t>’s</w:t>
      </w:r>
      <w:r>
        <w:rPr>
          <w:rFonts w:cs="Arial"/>
          <w:szCs w:val="22"/>
        </w:rPr>
        <w:t xml:space="preserve"> or goat</w:t>
      </w:r>
      <w:r w:rsidR="008608EB">
        <w:rPr>
          <w:rFonts w:cs="Arial"/>
          <w:szCs w:val="22"/>
        </w:rPr>
        <w:t>’s</w:t>
      </w:r>
      <w:r>
        <w:rPr>
          <w:rFonts w:cs="Arial"/>
          <w:szCs w:val="22"/>
        </w:rPr>
        <w:t xml:space="preserve"> milk protein or protein hydrolysates. Despite the separation both ranges are comparable and do not differ greatly</w:t>
      </w:r>
      <w:r w:rsidR="008608EB">
        <w:rPr>
          <w:rFonts w:cs="Arial"/>
          <w:szCs w:val="22"/>
        </w:rPr>
        <w:t>,</w:t>
      </w:r>
      <w:r>
        <w:rPr>
          <w:rFonts w:cs="Arial"/>
          <w:szCs w:val="22"/>
        </w:rPr>
        <w:t xml:space="preserve"> with phosphorus in soy</w:t>
      </w:r>
      <w:r w:rsidR="008608EB">
        <w:rPr>
          <w:rFonts w:cs="Arial"/>
          <w:szCs w:val="22"/>
        </w:rPr>
        <w:t>-</w:t>
      </w:r>
      <w:r>
        <w:rPr>
          <w:rFonts w:cs="Arial"/>
          <w:szCs w:val="22"/>
        </w:rPr>
        <w:t xml:space="preserve">based infant formulas ranging between 7.2 </w:t>
      </w:r>
      <w:r w:rsidR="008608EB">
        <w:rPr>
          <w:rFonts w:cs="Arial"/>
          <w:szCs w:val="22"/>
        </w:rPr>
        <w:t>and</w:t>
      </w:r>
      <w:r>
        <w:rPr>
          <w:rFonts w:cs="Arial"/>
          <w:szCs w:val="22"/>
        </w:rPr>
        <w:t xml:space="preserve"> 24 mg/100 kJ and cow</w:t>
      </w:r>
      <w:r w:rsidR="008608EB">
        <w:rPr>
          <w:rFonts w:cs="Arial"/>
          <w:szCs w:val="22"/>
        </w:rPr>
        <w:t>’s</w:t>
      </w:r>
      <w:r>
        <w:rPr>
          <w:rFonts w:cs="Arial"/>
          <w:szCs w:val="22"/>
        </w:rPr>
        <w:t xml:space="preserve"> or goat</w:t>
      </w:r>
      <w:r w:rsidR="008608EB">
        <w:rPr>
          <w:rFonts w:cs="Arial"/>
          <w:szCs w:val="22"/>
        </w:rPr>
        <w:t>’s milk-</w:t>
      </w:r>
      <w:r>
        <w:rPr>
          <w:rFonts w:cs="Arial"/>
          <w:szCs w:val="22"/>
        </w:rPr>
        <w:t>based infant formulas ranging between 6</w:t>
      </w:r>
      <w:r w:rsidR="008608EB">
        <w:rPr>
          <w:rFonts w:cs="Arial"/>
          <w:szCs w:val="22"/>
        </w:rPr>
        <w:t>.0</w:t>
      </w:r>
      <w:r>
        <w:rPr>
          <w:rFonts w:cs="Arial"/>
          <w:szCs w:val="22"/>
        </w:rPr>
        <w:t xml:space="preserve"> </w:t>
      </w:r>
      <w:r w:rsidR="008608EB">
        <w:rPr>
          <w:rFonts w:cs="Arial"/>
          <w:szCs w:val="22"/>
        </w:rPr>
        <w:t>and</w:t>
      </w:r>
      <w:r>
        <w:rPr>
          <w:rFonts w:cs="Arial"/>
          <w:szCs w:val="22"/>
        </w:rPr>
        <w:t xml:space="preserve"> 21.5 mg/100 kJ. This approach was also not noted in any industry submissions. </w:t>
      </w:r>
      <w:r>
        <w:rPr>
          <w:lang w:eastAsia="en-AU" w:bidi="ar-SA"/>
        </w:rPr>
        <w:t xml:space="preserve">Codex STAN </w:t>
      </w:r>
      <w:r w:rsidRPr="00056F26">
        <w:rPr>
          <w:lang w:eastAsia="en-AU" w:bidi="ar-SA"/>
        </w:rPr>
        <w:t xml:space="preserve">72-1981 </w:t>
      </w:r>
      <w:r>
        <w:rPr>
          <w:lang w:eastAsia="en-AU" w:bidi="ar-SA"/>
        </w:rPr>
        <w:t xml:space="preserve">lists a GUL rather than a maximum amount to accommodate for higher phosphorus levels in isolated soy protein formula. The Codex Standard for Follow-Up Formula </w:t>
      </w:r>
      <w:r>
        <w:t>CXS 156-1987 prescribes a minimum phosphor</w:t>
      </w:r>
      <w:r w:rsidR="008608EB">
        <w:t>u</w:t>
      </w:r>
      <w:r>
        <w:t>s level of 14</w:t>
      </w:r>
      <w:r w:rsidR="008608EB">
        <w:t xml:space="preserve"> </w:t>
      </w:r>
      <w:r>
        <w:t>mg/100</w:t>
      </w:r>
      <w:r w:rsidR="008608EB">
        <w:t xml:space="preserve"> </w:t>
      </w:r>
      <w:r>
        <w:t>kJ, which applies to both cow</w:t>
      </w:r>
      <w:r w:rsidR="008608EB">
        <w:t>’</w:t>
      </w:r>
      <w:r>
        <w:t>s milk</w:t>
      </w:r>
      <w:r w:rsidR="008608EB">
        <w:t>-</w:t>
      </w:r>
      <w:r>
        <w:t xml:space="preserve"> and soy-based products. The Codex </w:t>
      </w:r>
      <w:r>
        <w:rPr>
          <w:lang w:eastAsia="en-AU" w:bidi="ar-SA"/>
        </w:rPr>
        <w:t>Standard for Follow-Up Formula does not set separate ranges for soy</w:t>
      </w:r>
      <w:r w:rsidR="008608EB">
        <w:rPr>
          <w:lang w:eastAsia="en-AU" w:bidi="ar-SA"/>
        </w:rPr>
        <w:t>-</w:t>
      </w:r>
      <w:r>
        <w:rPr>
          <w:lang w:eastAsia="en-AU" w:bidi="ar-SA"/>
        </w:rPr>
        <w:t>based products for any nutrient. The FSANZ 2013</w:t>
      </w:r>
      <w:r w:rsidR="00377B78">
        <w:rPr>
          <w:lang w:eastAsia="en-AU" w:bidi="ar-SA"/>
        </w:rPr>
        <w:t>–</w:t>
      </w:r>
      <w:r>
        <w:rPr>
          <w:lang w:eastAsia="en-AU" w:bidi="ar-SA"/>
        </w:rPr>
        <w:t xml:space="preserve">2014 label survey </w:t>
      </w:r>
      <w:r w:rsidR="008608EB">
        <w:rPr>
          <w:lang w:eastAsia="en-AU" w:bidi="ar-SA"/>
        </w:rPr>
        <w:t xml:space="preserve">included </w:t>
      </w:r>
      <w:r>
        <w:rPr>
          <w:lang w:eastAsia="en-AU" w:bidi="ar-SA"/>
        </w:rPr>
        <w:t xml:space="preserve">three isolated </w:t>
      </w:r>
      <w:r>
        <w:rPr>
          <w:lang w:eastAsia="en-AU" w:bidi="ar-SA"/>
        </w:rPr>
        <w:lastRenderedPageBreak/>
        <w:t>soy protein</w:t>
      </w:r>
      <w:r w:rsidR="008608EB">
        <w:rPr>
          <w:lang w:eastAsia="en-AU" w:bidi="ar-SA"/>
        </w:rPr>
        <w:t>-</w:t>
      </w:r>
      <w:r>
        <w:rPr>
          <w:lang w:eastAsia="en-AU" w:bidi="ar-SA"/>
        </w:rPr>
        <w:t>based formulas, for which the labelled amount range</w:t>
      </w:r>
      <w:r w:rsidR="008608EB">
        <w:rPr>
          <w:lang w:eastAsia="en-AU" w:bidi="ar-SA"/>
        </w:rPr>
        <w:t>d</w:t>
      </w:r>
      <w:r>
        <w:rPr>
          <w:lang w:eastAsia="en-AU" w:bidi="ar-SA"/>
        </w:rPr>
        <w:t xml:space="preserve"> from </w:t>
      </w:r>
      <w:r w:rsidRPr="00F12260">
        <w:rPr>
          <w:rFonts w:eastAsia="Arial Unicode MS"/>
        </w:rPr>
        <w:t>8.57</w:t>
      </w:r>
      <w:r w:rsidR="008608EB">
        <w:rPr>
          <w:rFonts w:eastAsia="Arial Unicode MS"/>
        </w:rPr>
        <w:t xml:space="preserve"> to </w:t>
      </w:r>
      <w:r w:rsidRPr="00F12260">
        <w:rPr>
          <w:rFonts w:eastAsia="Arial Unicode MS"/>
        </w:rPr>
        <w:t>16.22</w:t>
      </w:r>
      <w:r>
        <w:rPr>
          <w:rFonts w:eastAsia="Arial Unicode MS"/>
        </w:rPr>
        <w:t xml:space="preserve"> mg/100 kJ, </w:t>
      </w:r>
      <w:r>
        <w:rPr>
          <w:lang w:eastAsia="en-AU" w:bidi="ar-SA"/>
        </w:rPr>
        <w:t xml:space="preserve">aligning with the current range in Standard 2.9.1 and Codex </w:t>
      </w:r>
      <w:r w:rsidR="008608EB">
        <w:rPr>
          <w:lang w:eastAsia="en-AU" w:bidi="ar-SA"/>
        </w:rPr>
        <w:t xml:space="preserve">STAN </w:t>
      </w:r>
      <w:r>
        <w:rPr>
          <w:lang w:eastAsia="en-AU" w:bidi="ar-SA"/>
        </w:rPr>
        <w:t xml:space="preserve">72-1981 and both ranges prescribed in </w:t>
      </w:r>
      <w:r w:rsidR="008608EB">
        <w:rPr>
          <w:lang w:eastAsia="en-AU" w:bidi="ar-SA"/>
        </w:rPr>
        <w:t xml:space="preserve">EU </w:t>
      </w:r>
      <w:r>
        <w:rPr>
          <w:lang w:eastAsia="en-AU" w:bidi="ar-SA"/>
        </w:rPr>
        <w:t>2016</w:t>
      </w:r>
      <w:r w:rsidR="008608EB">
        <w:rPr>
          <w:lang w:eastAsia="en-AU" w:bidi="ar-SA"/>
        </w:rPr>
        <w:t>/127</w:t>
      </w:r>
      <w:r>
        <w:rPr>
          <w:lang w:eastAsia="en-AU" w:bidi="ar-SA"/>
        </w:rPr>
        <w:t>. Given this alignment</w:t>
      </w:r>
      <w:r w:rsidR="00D74A16">
        <w:rPr>
          <w:lang w:eastAsia="en-AU" w:bidi="ar-SA"/>
        </w:rPr>
        <w:t>,</w:t>
      </w:r>
      <w:r>
        <w:rPr>
          <w:lang w:eastAsia="en-AU" w:bidi="ar-SA"/>
        </w:rPr>
        <w:t xml:space="preserve"> FSANZ proposes retaining a phosphorus range for all infant formula products (including soy</w:t>
      </w:r>
      <w:r w:rsidR="008608EB">
        <w:rPr>
          <w:lang w:eastAsia="en-AU" w:bidi="ar-SA"/>
        </w:rPr>
        <w:t>-</w:t>
      </w:r>
      <w:r>
        <w:rPr>
          <w:lang w:eastAsia="en-AU" w:bidi="ar-SA"/>
        </w:rPr>
        <w:t xml:space="preserve">based infant formulas). </w:t>
      </w:r>
    </w:p>
    <w:p w14:paraId="5524C05F" w14:textId="77777777" w:rsidR="00776154" w:rsidRPr="00BA1FD9" w:rsidRDefault="00776154" w:rsidP="00776154">
      <w:pPr>
        <w:pStyle w:val="Heading4"/>
      </w:pPr>
      <w:r w:rsidRPr="00BA1FD9">
        <w:t>Prop</w:t>
      </w:r>
      <w:r>
        <w:t>o</w:t>
      </w:r>
      <w:r w:rsidRPr="00BA1FD9">
        <w:t xml:space="preserve">sed </w:t>
      </w:r>
      <w:r>
        <w:t>approach</w:t>
      </w:r>
    </w:p>
    <w:p w14:paraId="7DF4F0B9" w14:textId="1B9CF664" w:rsidR="00776154" w:rsidRDefault="00776154" w:rsidP="00776154">
      <w:r>
        <w:t xml:space="preserve">Based on </w:t>
      </w:r>
      <w:r>
        <w:rPr>
          <w:lang w:val="en-AU" w:bidi="ar-SA"/>
        </w:rPr>
        <w:t xml:space="preserve">conclusions of the 2016 nutrition </w:t>
      </w:r>
      <w:r w:rsidR="008608EB">
        <w:rPr>
          <w:lang w:val="en-AU" w:bidi="ar-SA"/>
        </w:rPr>
        <w:t xml:space="preserve">risk </w:t>
      </w:r>
      <w:r>
        <w:rPr>
          <w:lang w:val="en-AU" w:bidi="ar-SA"/>
        </w:rPr>
        <w:t xml:space="preserve">assessment and </w:t>
      </w:r>
      <w:r w:rsidRPr="00056F26">
        <w:rPr>
          <w:lang w:eastAsia="en-AU" w:bidi="ar-SA"/>
        </w:rPr>
        <w:t xml:space="preserve">Codex STAN 72-1981 </w:t>
      </w:r>
      <w:r>
        <w:rPr>
          <w:lang w:eastAsia="en-AU" w:bidi="ar-SA"/>
        </w:rPr>
        <w:t>current regulations,</w:t>
      </w:r>
      <w:r>
        <w:t xml:space="preserve"> FSANZ proposes </w:t>
      </w:r>
      <w:r w:rsidRPr="00EB1A3E">
        <w:t>to adjust Standard 2.9.1 to align with</w:t>
      </w:r>
      <w:r>
        <w:t xml:space="preserve"> Codex’s</w:t>
      </w:r>
      <w:r w:rsidRPr="00EB1A3E">
        <w:t xml:space="preserve"> minimum Ca:P ratio of 1:1</w:t>
      </w:r>
      <w:r>
        <w:t>.</w:t>
      </w:r>
    </w:p>
    <w:p w14:paraId="38C3DED8" w14:textId="77777777" w:rsidR="00776154" w:rsidRDefault="00776154" w:rsidP="00776154"/>
    <w:p w14:paraId="4D48E533" w14:textId="492FDD31" w:rsidR="00776154" w:rsidRDefault="00776154" w:rsidP="00776154">
      <w:r w:rsidRPr="00017820">
        <w:t xml:space="preserve">Based on the above discussion supported by recent research, alignment with </w:t>
      </w:r>
      <w:r w:rsidRPr="00056F26">
        <w:t>Codex STAN 72-1981</w:t>
      </w:r>
      <w:r>
        <w:t xml:space="preserve"> and conclusions from the 2016 nutrition </w:t>
      </w:r>
      <w:r w:rsidR="008608EB">
        <w:t xml:space="preserve">risk </w:t>
      </w:r>
      <w:r>
        <w:t>assessment</w:t>
      </w:r>
      <w:r w:rsidR="001E68AB">
        <w:t>,</w:t>
      </w:r>
      <w:r>
        <w:t xml:space="preserve"> FSANZ proposes to adjust </w:t>
      </w:r>
      <w:r w:rsidRPr="00EB1A3E">
        <w:t>the current</w:t>
      </w:r>
      <w:r>
        <w:t xml:space="preserve"> phosphorus</w:t>
      </w:r>
      <w:r w:rsidRPr="00EB1A3E">
        <w:t xml:space="preserve"> maximum (25 mg/100 kJ) in </w:t>
      </w:r>
      <w:r w:rsidR="00FF6312">
        <w:t>section S29—9</w:t>
      </w:r>
      <w:r w:rsidRPr="00EB1A3E">
        <w:t xml:space="preserve"> to a GUL of 24 mg/</w:t>
      </w:r>
      <w:r>
        <w:t>100 kJ.</w:t>
      </w:r>
    </w:p>
    <w:p w14:paraId="008DC27A" w14:textId="77777777" w:rsidR="00776154" w:rsidRDefault="00776154" w:rsidP="00776154"/>
    <w:p w14:paraId="596A79D7" w14:textId="5CEB4596" w:rsidR="00776154" w:rsidRPr="00362734" w:rsidRDefault="00776154" w:rsidP="00776154">
      <w:r>
        <w:t xml:space="preserve">FSANZ also proposes </w:t>
      </w:r>
      <w:r w:rsidRPr="00362734">
        <w:t xml:space="preserve">retaining a </w:t>
      </w:r>
      <w:r w:rsidRPr="00362734">
        <w:rPr>
          <w:lang w:eastAsia="en-AU" w:bidi="ar-SA"/>
        </w:rPr>
        <w:t>phosphorus range that accounts for all infant formula products (including soy</w:t>
      </w:r>
      <w:r w:rsidR="008608EB">
        <w:rPr>
          <w:lang w:eastAsia="en-AU" w:bidi="ar-SA"/>
        </w:rPr>
        <w:t>-</w:t>
      </w:r>
      <w:r w:rsidRPr="00362734">
        <w:rPr>
          <w:lang w:eastAsia="en-AU" w:bidi="ar-SA"/>
        </w:rPr>
        <w:t xml:space="preserve">based infant formulas), however </w:t>
      </w:r>
      <w:r w:rsidRPr="00362734">
        <w:t>is seeking further information from industry submitters to inform considerations</w:t>
      </w:r>
      <w:r>
        <w:t xml:space="preserve"> regarding </w:t>
      </w:r>
      <w:r>
        <w:rPr>
          <w:lang w:val="en-AU"/>
        </w:rPr>
        <w:t>separate minimum and maximum phosphorus levels for soy</w:t>
      </w:r>
      <w:r w:rsidR="008608EB">
        <w:rPr>
          <w:lang w:val="en-AU"/>
        </w:rPr>
        <w:t>-</w:t>
      </w:r>
      <w:r>
        <w:rPr>
          <w:lang w:val="en-AU"/>
        </w:rPr>
        <w:t>based infant formula</w:t>
      </w:r>
      <w:r w:rsidRPr="00362734">
        <w:t>.</w:t>
      </w:r>
      <w:r w:rsidR="00450004">
        <w:t xml:space="preserve"> </w:t>
      </w:r>
      <w:r w:rsidR="001C24DD">
        <w:rPr>
          <w:lang w:val="en-AU"/>
        </w:rPr>
        <w:t>Please see section 9</w:t>
      </w:r>
      <w:r w:rsidR="00450004">
        <w:rPr>
          <w:lang w:val="en-AU"/>
        </w:rPr>
        <w:t xml:space="preserve"> for further details.</w:t>
      </w:r>
    </w:p>
    <w:p w14:paraId="166B88F8" w14:textId="1AE09874" w:rsidR="00776154" w:rsidRPr="00103A50" w:rsidRDefault="001A44B7" w:rsidP="00C73A77">
      <w:pPr>
        <w:pStyle w:val="Heading3"/>
      </w:pPr>
      <w:bookmarkStart w:id="406" w:name="_Toc70415487"/>
      <w:bookmarkStart w:id="407" w:name="_Toc73455650"/>
      <w:bookmarkStart w:id="408" w:name="_Toc73624923"/>
      <w:r>
        <w:t>7</w:t>
      </w:r>
      <w:r w:rsidR="00776154">
        <w:t>.4.2</w:t>
      </w:r>
      <w:r w:rsidR="00776154">
        <w:tab/>
        <w:t>Vitamin E:</w:t>
      </w:r>
      <w:r w:rsidR="002170C5">
        <w:t xml:space="preserve"> </w:t>
      </w:r>
      <w:r w:rsidR="00776154">
        <w:t>fatty acids ratio</w:t>
      </w:r>
      <w:bookmarkEnd w:id="406"/>
      <w:bookmarkEnd w:id="407"/>
      <w:bookmarkEnd w:id="408"/>
      <w:r w:rsidR="00776154">
        <w:t xml:space="preserve"> </w:t>
      </w:r>
    </w:p>
    <w:p w14:paraId="367258C1" w14:textId="77777777" w:rsidR="00776154" w:rsidRDefault="00776154" w:rsidP="00776154">
      <w:pPr>
        <w:pStyle w:val="Heading4"/>
      </w:pPr>
      <w:r w:rsidRPr="00BA1FD9">
        <w:t>Current regulations</w:t>
      </w:r>
    </w:p>
    <w:p w14:paraId="5BC3A29A" w14:textId="1773D93F" w:rsidR="00776154" w:rsidRPr="00513CD7" w:rsidRDefault="00776154" w:rsidP="00776154">
      <w:pPr>
        <w:rPr>
          <w:lang w:val="en-AU" w:bidi="ar-SA"/>
        </w:rPr>
      </w:pPr>
      <w:r w:rsidRPr="000051D9">
        <w:rPr>
          <w:lang w:eastAsia="en-AU" w:bidi="ar-SA"/>
        </w:rPr>
        <w:t>Both Standard 2.9.1</w:t>
      </w:r>
      <w:r>
        <w:rPr>
          <w:lang w:eastAsia="en-AU" w:bidi="ar-SA"/>
        </w:rPr>
        <w:t xml:space="preserve"> and Codex STAN 72-1981 </w:t>
      </w:r>
      <w:r w:rsidRPr="000051D9">
        <w:rPr>
          <w:lang w:eastAsia="en-AU" w:bidi="ar-SA"/>
        </w:rPr>
        <w:t>s</w:t>
      </w:r>
      <w:r>
        <w:rPr>
          <w:lang w:eastAsia="en-AU" w:bidi="ar-SA"/>
        </w:rPr>
        <w:t xml:space="preserve">pecify a minimum amount of </w:t>
      </w:r>
      <w:r w:rsidRPr="000051D9">
        <w:rPr>
          <w:lang w:eastAsia="en-AU" w:bidi="ar-SA"/>
        </w:rPr>
        <w:t xml:space="preserve">vitamin E </w:t>
      </w:r>
      <w:r w:rsidRPr="001D2837">
        <w:rPr>
          <w:lang w:eastAsia="en-AU" w:bidi="ar-SA"/>
        </w:rPr>
        <w:t>per g</w:t>
      </w:r>
      <w:r w:rsidR="00C87326">
        <w:rPr>
          <w:lang w:eastAsia="en-AU" w:bidi="ar-SA"/>
        </w:rPr>
        <w:t>ram</w:t>
      </w:r>
      <w:r w:rsidRPr="001D2837">
        <w:rPr>
          <w:lang w:eastAsia="en-AU" w:bidi="ar-SA"/>
        </w:rPr>
        <w:t xml:space="preserve"> </w:t>
      </w:r>
      <w:r>
        <w:rPr>
          <w:lang w:eastAsia="en-AU" w:bidi="ar-SA"/>
        </w:rPr>
        <w:t xml:space="preserve">of </w:t>
      </w:r>
      <w:r w:rsidRPr="001D2837">
        <w:rPr>
          <w:lang w:eastAsia="en-AU" w:bidi="ar-SA"/>
        </w:rPr>
        <w:t>PUFA</w:t>
      </w:r>
      <w:r w:rsidRPr="000051D9">
        <w:rPr>
          <w:i/>
          <w:lang w:eastAsia="en-AU" w:bidi="ar-SA"/>
        </w:rPr>
        <w:t xml:space="preserve">. </w:t>
      </w:r>
      <w:r w:rsidRPr="000051D9">
        <w:rPr>
          <w:lang w:eastAsia="en-AU" w:bidi="ar-SA"/>
        </w:rPr>
        <w:t>Standard 2.9.1</w:t>
      </w:r>
      <w:r>
        <w:rPr>
          <w:lang w:eastAsia="en-AU" w:bidi="ar-SA"/>
        </w:rPr>
        <w:t xml:space="preserve"> sets a minimum amount of 0.5 mg vitamin E per g</w:t>
      </w:r>
      <w:r w:rsidR="00C87326">
        <w:rPr>
          <w:lang w:eastAsia="en-AU" w:bidi="ar-SA"/>
        </w:rPr>
        <w:t>ram</w:t>
      </w:r>
      <w:r>
        <w:rPr>
          <w:lang w:eastAsia="en-AU" w:bidi="ar-SA"/>
        </w:rPr>
        <w:t xml:space="preserve"> of any PUFA whereas</w:t>
      </w:r>
      <w:r w:rsidRPr="000051D9">
        <w:rPr>
          <w:i/>
          <w:lang w:eastAsia="en-AU" w:bidi="ar-SA"/>
        </w:rPr>
        <w:t xml:space="preserve"> </w:t>
      </w:r>
      <w:r w:rsidRPr="000051D9">
        <w:rPr>
          <w:lang w:eastAsia="en-AU" w:bidi="ar-SA"/>
        </w:rPr>
        <w:t xml:space="preserve">Codex </w:t>
      </w:r>
      <w:r>
        <w:rPr>
          <w:lang w:eastAsia="en-AU" w:bidi="ar-SA"/>
        </w:rPr>
        <w:t xml:space="preserve">STAN 72-1981 </w:t>
      </w:r>
      <w:r w:rsidRPr="000051D9">
        <w:rPr>
          <w:lang w:eastAsia="en-AU" w:bidi="ar-SA"/>
        </w:rPr>
        <w:t xml:space="preserve">also lists </w:t>
      </w:r>
      <w:r>
        <w:rPr>
          <w:lang w:eastAsia="en-AU" w:bidi="ar-SA"/>
        </w:rPr>
        <w:t>‘</w:t>
      </w:r>
      <w:r w:rsidRPr="000051D9">
        <w:rPr>
          <w:lang w:eastAsia="en-AU" w:bidi="ar-SA"/>
        </w:rPr>
        <w:t>factors of equivalence</w:t>
      </w:r>
      <w:r>
        <w:rPr>
          <w:lang w:eastAsia="en-AU" w:bidi="ar-SA"/>
        </w:rPr>
        <w:t>’</w:t>
      </w:r>
      <w:r w:rsidRPr="000051D9">
        <w:rPr>
          <w:lang w:eastAsia="en-AU" w:bidi="ar-SA"/>
        </w:rPr>
        <w:t xml:space="preserve"> </w:t>
      </w:r>
      <w:r>
        <w:rPr>
          <w:lang w:eastAsia="en-AU" w:bidi="ar-SA"/>
        </w:rPr>
        <w:t xml:space="preserve">from 0.5 mg/g for LA </w:t>
      </w:r>
      <w:r w:rsidRPr="002852BE">
        <w:rPr>
          <w:lang w:eastAsia="en-AU" w:bidi="ar-SA"/>
        </w:rPr>
        <w:t>and</w:t>
      </w:r>
      <w:r>
        <w:rPr>
          <w:lang w:eastAsia="en-AU" w:bidi="ar-SA"/>
        </w:rPr>
        <w:t xml:space="preserve"> increasing in increments of 0.25 mg/g to 1.5 mg/g for DHA according to </w:t>
      </w:r>
      <w:r w:rsidRPr="000051D9">
        <w:rPr>
          <w:lang w:eastAsia="en-AU" w:bidi="ar-SA"/>
        </w:rPr>
        <w:t>the number of fatty acid double bonds</w:t>
      </w:r>
      <w:r>
        <w:rPr>
          <w:lang w:eastAsia="en-AU" w:bidi="ar-SA"/>
        </w:rPr>
        <w:t xml:space="preserve"> in individual PUFAs</w:t>
      </w:r>
      <w:r w:rsidRPr="000051D9">
        <w:rPr>
          <w:lang w:eastAsia="en-AU" w:bidi="ar-SA"/>
        </w:rPr>
        <w:t xml:space="preserve"> in </w:t>
      </w:r>
      <w:r>
        <w:rPr>
          <w:lang w:eastAsia="en-AU" w:bidi="ar-SA"/>
        </w:rPr>
        <w:t>an infant</w:t>
      </w:r>
      <w:r w:rsidRPr="000051D9">
        <w:rPr>
          <w:lang w:eastAsia="en-AU" w:bidi="ar-SA"/>
        </w:rPr>
        <w:t xml:space="preserve"> formula</w:t>
      </w:r>
      <w:r>
        <w:rPr>
          <w:lang w:eastAsia="en-AU" w:bidi="ar-SA"/>
        </w:rPr>
        <w:t xml:space="preserve">. These factors are applied to </w:t>
      </w:r>
      <w:r w:rsidRPr="000051D9">
        <w:rPr>
          <w:lang w:eastAsia="en-AU" w:bidi="ar-SA"/>
        </w:rPr>
        <w:t>determin</w:t>
      </w:r>
      <w:r>
        <w:rPr>
          <w:lang w:eastAsia="en-AU" w:bidi="ar-SA"/>
        </w:rPr>
        <w:t>e</w:t>
      </w:r>
      <w:r w:rsidRPr="000051D9">
        <w:rPr>
          <w:lang w:eastAsia="en-AU" w:bidi="ar-SA"/>
        </w:rPr>
        <w:t xml:space="preserve"> the </w:t>
      </w:r>
      <w:r>
        <w:rPr>
          <w:lang w:eastAsia="en-AU" w:bidi="ar-SA"/>
        </w:rPr>
        <w:t xml:space="preserve">minimum </w:t>
      </w:r>
      <w:r w:rsidRPr="000051D9">
        <w:rPr>
          <w:lang w:eastAsia="en-AU" w:bidi="ar-SA"/>
        </w:rPr>
        <w:t xml:space="preserve">amount of vitamin E </w:t>
      </w:r>
      <w:r>
        <w:rPr>
          <w:lang w:eastAsia="en-AU" w:bidi="ar-SA"/>
        </w:rPr>
        <w:t>for a particular PUFA mixture in infant formula.</w:t>
      </w:r>
    </w:p>
    <w:p w14:paraId="7B41DA83" w14:textId="77777777" w:rsidR="00776154" w:rsidRDefault="00776154" w:rsidP="00776154">
      <w:pPr>
        <w:pStyle w:val="Heading4"/>
      </w:pPr>
      <w:r w:rsidRPr="00BA1FD9">
        <w:t>Previous consideration</w:t>
      </w:r>
    </w:p>
    <w:p w14:paraId="2868DB5D" w14:textId="77777777" w:rsidR="00776154" w:rsidRPr="008E5B1F" w:rsidRDefault="00776154" w:rsidP="00776154">
      <w:pPr>
        <w:rPr>
          <w:lang w:eastAsia="en-AU" w:bidi="ar-SA"/>
        </w:rPr>
      </w:pPr>
      <w:r>
        <w:rPr>
          <w:lang w:eastAsia="en-AU" w:bidi="ar-SA"/>
        </w:rPr>
        <w:t xml:space="preserve">In 2016 FSANZ considered it appropriate to retain the </w:t>
      </w:r>
      <w:r>
        <w:rPr>
          <w:rFonts w:eastAsia="Arial Unicode MS"/>
          <w:szCs w:val="22"/>
          <w:lang w:val="en-AU" w:bidi="ar-SA"/>
        </w:rPr>
        <w:t xml:space="preserve">current approach to vitamin E </w:t>
      </w:r>
      <w:r w:rsidRPr="00F438D4">
        <w:rPr>
          <w:rFonts w:eastAsia="Arial Unicode MS"/>
          <w:szCs w:val="22"/>
          <w:lang w:val="en-AU" w:bidi="ar-SA"/>
        </w:rPr>
        <w:t>requirements</w:t>
      </w:r>
      <w:r>
        <w:rPr>
          <w:rFonts w:eastAsia="Arial Unicode MS"/>
          <w:szCs w:val="22"/>
          <w:lang w:val="en-AU" w:bidi="ar-SA"/>
        </w:rPr>
        <w:t xml:space="preserve"> relating to the PUFA content of infant formula</w:t>
      </w:r>
      <w:r>
        <w:rPr>
          <w:lang w:eastAsia="en-AU" w:bidi="ar-SA"/>
        </w:rPr>
        <w:t xml:space="preserve">. It is not considered necessary to </w:t>
      </w:r>
      <w:r w:rsidRPr="00F438D4">
        <w:rPr>
          <w:lang w:eastAsia="en-AU" w:bidi="ar-SA"/>
        </w:rPr>
        <w:t>adopt</w:t>
      </w:r>
      <w:r>
        <w:rPr>
          <w:lang w:eastAsia="en-AU" w:bidi="ar-SA"/>
        </w:rPr>
        <w:t xml:space="preserve"> </w:t>
      </w:r>
      <w:r w:rsidRPr="00F438D4">
        <w:rPr>
          <w:lang w:eastAsia="en-AU" w:bidi="ar-SA"/>
        </w:rPr>
        <w:t xml:space="preserve">the </w:t>
      </w:r>
      <w:r>
        <w:rPr>
          <w:lang w:eastAsia="en-AU" w:bidi="ar-SA"/>
        </w:rPr>
        <w:t>‘factors of equivalence’</w:t>
      </w:r>
      <w:r w:rsidRPr="0066001B">
        <w:rPr>
          <w:lang w:eastAsia="en-AU" w:bidi="ar-SA"/>
        </w:rPr>
        <w:t xml:space="preserve"> </w:t>
      </w:r>
      <w:r w:rsidRPr="00F438D4">
        <w:rPr>
          <w:lang w:eastAsia="en-AU" w:bidi="ar-SA"/>
        </w:rPr>
        <w:t xml:space="preserve">for α-TE to </w:t>
      </w:r>
      <w:r>
        <w:rPr>
          <w:lang w:eastAsia="en-AU" w:bidi="ar-SA"/>
        </w:rPr>
        <w:t xml:space="preserve">individual </w:t>
      </w:r>
      <w:r w:rsidRPr="00F438D4">
        <w:rPr>
          <w:lang w:eastAsia="en-AU" w:bidi="ar-SA"/>
        </w:rPr>
        <w:t xml:space="preserve">PUFA </w:t>
      </w:r>
      <w:r>
        <w:rPr>
          <w:lang w:eastAsia="en-AU" w:bidi="ar-SA"/>
        </w:rPr>
        <w:t>outlined in Codex STAN 72-1981.</w:t>
      </w:r>
      <w:r w:rsidRPr="00F438D4">
        <w:rPr>
          <w:lang w:eastAsia="en-AU" w:bidi="ar-SA"/>
        </w:rPr>
        <w:t xml:space="preserve"> </w:t>
      </w:r>
    </w:p>
    <w:p w14:paraId="59B4375B" w14:textId="77777777" w:rsidR="00776154" w:rsidRDefault="00776154" w:rsidP="00776154">
      <w:pPr>
        <w:pStyle w:val="Heading4"/>
        <w:ind w:left="0" w:firstLine="0"/>
      </w:pPr>
      <w:r w:rsidRPr="00BA1FD9">
        <w:t>S</w:t>
      </w:r>
      <w:r>
        <w:t>takeholder views</w:t>
      </w:r>
    </w:p>
    <w:p w14:paraId="71BC7D37" w14:textId="421335D7" w:rsidR="00776154" w:rsidRPr="008E5B1F" w:rsidRDefault="00776154" w:rsidP="00776154">
      <w:pPr>
        <w:rPr>
          <w:lang w:eastAsia="en-AU" w:bidi="ar-SA"/>
        </w:rPr>
      </w:pPr>
      <w:r>
        <w:rPr>
          <w:lang w:eastAsia="en-AU" w:bidi="ar-SA"/>
        </w:rPr>
        <w:t>Three</w:t>
      </w:r>
      <w:r w:rsidRPr="00152C5D">
        <w:rPr>
          <w:lang w:eastAsia="en-AU" w:bidi="ar-SA"/>
        </w:rPr>
        <w:t xml:space="preserve"> submi</w:t>
      </w:r>
      <w:r>
        <w:rPr>
          <w:lang w:eastAsia="en-AU" w:bidi="ar-SA"/>
        </w:rPr>
        <w:t>tters (</w:t>
      </w:r>
      <w:r w:rsidR="008608EB">
        <w:rPr>
          <w:lang w:eastAsia="en-AU" w:bidi="ar-SA"/>
        </w:rPr>
        <w:t>one</w:t>
      </w:r>
      <w:r w:rsidRPr="00152C5D">
        <w:rPr>
          <w:lang w:eastAsia="en-AU" w:bidi="ar-SA"/>
        </w:rPr>
        <w:t xml:space="preserve"> government</w:t>
      </w:r>
      <w:r>
        <w:rPr>
          <w:lang w:eastAsia="en-AU" w:bidi="ar-SA"/>
        </w:rPr>
        <w:t xml:space="preserve">, </w:t>
      </w:r>
      <w:r w:rsidR="008608EB">
        <w:rPr>
          <w:lang w:eastAsia="en-AU" w:bidi="ar-SA"/>
        </w:rPr>
        <w:t>two</w:t>
      </w:r>
      <w:r>
        <w:rPr>
          <w:lang w:eastAsia="en-AU" w:bidi="ar-SA"/>
        </w:rPr>
        <w:t xml:space="preserve"> industry</w:t>
      </w:r>
      <w:r w:rsidRPr="00152C5D">
        <w:rPr>
          <w:lang w:eastAsia="en-AU" w:bidi="ar-SA"/>
        </w:rPr>
        <w:t>) commented</w:t>
      </w:r>
      <w:r>
        <w:rPr>
          <w:lang w:eastAsia="en-AU" w:bidi="ar-SA"/>
        </w:rPr>
        <w:t xml:space="preserve"> on the current approach to vitamin E requirements relating to the PUFA content of infant formula. All submitters supported retaining the current approach in </w:t>
      </w:r>
      <w:r w:rsidRPr="000051D9">
        <w:rPr>
          <w:lang w:eastAsia="en-AU" w:bidi="ar-SA"/>
        </w:rPr>
        <w:t>Standard 2.9.1</w:t>
      </w:r>
      <w:r>
        <w:rPr>
          <w:lang w:eastAsia="en-AU" w:bidi="ar-SA"/>
        </w:rPr>
        <w:t>.</w:t>
      </w:r>
    </w:p>
    <w:p w14:paraId="671C9B0B" w14:textId="5AF3E987" w:rsidR="00776154" w:rsidRDefault="008608EB" w:rsidP="00776154">
      <w:pPr>
        <w:pStyle w:val="Heading4"/>
      </w:pPr>
      <w:r>
        <w:t>Nutrition r</w:t>
      </w:r>
      <w:r w:rsidR="00776154" w:rsidRPr="00BA1FD9">
        <w:t>isk assessment</w:t>
      </w:r>
    </w:p>
    <w:p w14:paraId="4F74DCC5" w14:textId="3444B416" w:rsidR="00776154" w:rsidRPr="00741136" w:rsidRDefault="00776154" w:rsidP="00776154">
      <w:pPr>
        <w:autoSpaceDE w:val="0"/>
        <w:autoSpaceDN w:val="0"/>
        <w:adjustRightInd w:val="0"/>
        <w:rPr>
          <w:rFonts w:eastAsia="Arial Unicode MS"/>
        </w:rPr>
      </w:pPr>
      <w:r w:rsidRPr="00741136">
        <w:rPr>
          <w:rFonts w:eastAsia="Arial Unicode MS"/>
        </w:rPr>
        <w:t xml:space="preserve">No further </w:t>
      </w:r>
      <w:r w:rsidR="008608EB">
        <w:rPr>
          <w:rFonts w:eastAsia="Arial Unicode MS"/>
        </w:rPr>
        <w:t xml:space="preserve">nutrition </w:t>
      </w:r>
      <w:r>
        <w:rPr>
          <w:rFonts w:eastAsia="Arial Unicode MS"/>
        </w:rPr>
        <w:t>risk assessment was considered on this issue.</w:t>
      </w:r>
    </w:p>
    <w:p w14:paraId="1411E090" w14:textId="77777777" w:rsidR="00776154" w:rsidRDefault="00776154" w:rsidP="00776154">
      <w:pPr>
        <w:pStyle w:val="Heading4"/>
      </w:pPr>
      <w:r w:rsidRPr="00BA1FD9">
        <w:t>Options and discussion</w:t>
      </w:r>
    </w:p>
    <w:p w14:paraId="0CE0BB7F" w14:textId="30948DDB" w:rsidR="00776154" w:rsidRDefault="00776154" w:rsidP="00776154">
      <w:pPr>
        <w:rPr>
          <w:lang w:val="en-AU" w:bidi="ar-SA"/>
        </w:rPr>
      </w:pPr>
      <w:r>
        <w:rPr>
          <w:lang w:val="en-AU" w:bidi="ar-SA"/>
        </w:rPr>
        <w:t xml:space="preserve">The 2016 nutrition </w:t>
      </w:r>
      <w:r w:rsidR="008608EB">
        <w:rPr>
          <w:lang w:val="en-AU" w:bidi="ar-SA"/>
        </w:rPr>
        <w:t xml:space="preserve">risk </w:t>
      </w:r>
      <w:r>
        <w:rPr>
          <w:lang w:val="en-AU" w:bidi="ar-SA"/>
        </w:rPr>
        <w:t xml:space="preserve">assessment concluded </w:t>
      </w:r>
      <w:r>
        <w:rPr>
          <w:lang w:eastAsia="en-AU" w:bidi="ar-SA"/>
        </w:rPr>
        <w:t xml:space="preserve">that application of the Codex STAN 72-1981 conversions for vitamin E equivalents makes a marginal difference in the amount of vitamin E needed to be present compared to application of the approach currently used in Standard 2.9.1. There is limited evidence to indicate that the use of different factors depending on the </w:t>
      </w:r>
      <w:r>
        <w:rPr>
          <w:lang w:eastAsia="en-AU" w:bidi="ar-SA"/>
        </w:rPr>
        <w:lastRenderedPageBreak/>
        <w:t>number of PUFA double bonds is warranted.</w:t>
      </w:r>
      <w:r>
        <w:rPr>
          <w:lang w:val="en-AU" w:bidi="ar-SA"/>
        </w:rPr>
        <w:t xml:space="preserve"> </w:t>
      </w:r>
      <w:r>
        <w:rPr>
          <w:lang w:eastAsia="en-AU" w:bidi="ar-SA"/>
        </w:rPr>
        <w:t>Moreover, without evidence of harm of the current approach, not a</w:t>
      </w:r>
      <w:r w:rsidRPr="0066001B">
        <w:rPr>
          <w:lang w:eastAsia="en-AU" w:bidi="ar-SA"/>
        </w:rPr>
        <w:t xml:space="preserve">pplying the </w:t>
      </w:r>
      <w:r>
        <w:rPr>
          <w:lang w:eastAsia="en-AU" w:bidi="ar-SA"/>
        </w:rPr>
        <w:t xml:space="preserve">specific </w:t>
      </w:r>
      <w:r w:rsidRPr="0066001B">
        <w:rPr>
          <w:lang w:eastAsia="en-AU" w:bidi="ar-SA"/>
        </w:rPr>
        <w:t xml:space="preserve">Codex </w:t>
      </w:r>
      <w:r>
        <w:rPr>
          <w:lang w:eastAsia="en-AU" w:bidi="ar-SA"/>
        </w:rPr>
        <w:t>‘factors of equivalence’</w:t>
      </w:r>
      <w:r w:rsidRPr="0066001B">
        <w:rPr>
          <w:lang w:eastAsia="en-AU" w:bidi="ar-SA"/>
        </w:rPr>
        <w:t xml:space="preserve"> for α-TE to PUFA </w:t>
      </w:r>
      <w:r>
        <w:rPr>
          <w:lang w:eastAsia="en-AU" w:bidi="ar-SA"/>
        </w:rPr>
        <w:t xml:space="preserve">would be </w:t>
      </w:r>
      <w:r w:rsidRPr="0066001B">
        <w:rPr>
          <w:lang w:eastAsia="en-AU" w:bidi="ar-SA"/>
        </w:rPr>
        <w:t>unlikely to pose a risk to infant health</w:t>
      </w:r>
      <w:r>
        <w:rPr>
          <w:lang w:eastAsia="en-AU" w:bidi="ar-SA"/>
        </w:rPr>
        <w:t>.</w:t>
      </w:r>
    </w:p>
    <w:p w14:paraId="2485C00B" w14:textId="77777777" w:rsidR="00776154" w:rsidRDefault="00776154" w:rsidP="00776154">
      <w:pPr>
        <w:pStyle w:val="Heading4"/>
      </w:pPr>
      <w:r w:rsidRPr="00BA1FD9">
        <w:t>Prop</w:t>
      </w:r>
      <w:r>
        <w:t>o</w:t>
      </w:r>
      <w:r w:rsidRPr="00BA1FD9">
        <w:t xml:space="preserve">sed </w:t>
      </w:r>
      <w:r>
        <w:t>approach</w:t>
      </w:r>
    </w:p>
    <w:p w14:paraId="3A2535B8" w14:textId="45463193" w:rsidR="00776154" w:rsidRDefault="00776154" w:rsidP="00776154">
      <w:pPr>
        <w:rPr>
          <w:lang w:eastAsia="en-AU" w:bidi="ar-SA"/>
        </w:rPr>
      </w:pPr>
      <w:r>
        <w:rPr>
          <w:lang w:val="en-AU" w:bidi="ar-SA"/>
        </w:rPr>
        <w:t xml:space="preserve">Based on the 2016 nutrition </w:t>
      </w:r>
      <w:r w:rsidR="008608EB">
        <w:rPr>
          <w:lang w:val="en-AU" w:bidi="ar-SA"/>
        </w:rPr>
        <w:t xml:space="preserve">risk </w:t>
      </w:r>
      <w:r>
        <w:rPr>
          <w:lang w:val="en-AU" w:bidi="ar-SA"/>
        </w:rPr>
        <w:t>assessment conclusions and stakeholder support</w:t>
      </w:r>
      <w:r w:rsidR="001E68AB">
        <w:rPr>
          <w:lang w:val="en-AU" w:bidi="ar-SA"/>
        </w:rPr>
        <w:t>,</w:t>
      </w:r>
      <w:r>
        <w:rPr>
          <w:lang w:val="en-AU" w:bidi="ar-SA"/>
        </w:rPr>
        <w:t xml:space="preserve"> FSANZ’s proposed approach is to retain the current permission for vitamin E requirements relating to the PUFA content of infant formula within Standard 2.9.1. </w:t>
      </w:r>
      <w:r>
        <w:rPr>
          <w:lang w:eastAsia="en-AU" w:bidi="ar-SA"/>
        </w:rPr>
        <w:t xml:space="preserve">It is not considered necessary to </w:t>
      </w:r>
      <w:r w:rsidRPr="00F438D4">
        <w:rPr>
          <w:lang w:eastAsia="en-AU" w:bidi="ar-SA"/>
        </w:rPr>
        <w:t>adopt</w:t>
      </w:r>
      <w:r>
        <w:rPr>
          <w:lang w:eastAsia="en-AU" w:bidi="ar-SA"/>
        </w:rPr>
        <w:t xml:space="preserve"> </w:t>
      </w:r>
      <w:r w:rsidRPr="00F438D4">
        <w:rPr>
          <w:lang w:eastAsia="en-AU" w:bidi="ar-SA"/>
        </w:rPr>
        <w:t xml:space="preserve">the </w:t>
      </w:r>
      <w:r>
        <w:rPr>
          <w:lang w:eastAsia="en-AU" w:bidi="ar-SA"/>
        </w:rPr>
        <w:t>‘factors of equivalence’</w:t>
      </w:r>
      <w:r w:rsidRPr="0066001B">
        <w:rPr>
          <w:lang w:eastAsia="en-AU" w:bidi="ar-SA"/>
        </w:rPr>
        <w:t xml:space="preserve"> </w:t>
      </w:r>
      <w:r w:rsidRPr="00F438D4">
        <w:rPr>
          <w:lang w:eastAsia="en-AU" w:bidi="ar-SA"/>
        </w:rPr>
        <w:t xml:space="preserve">for α-TE to </w:t>
      </w:r>
      <w:r>
        <w:rPr>
          <w:lang w:eastAsia="en-AU" w:bidi="ar-SA"/>
        </w:rPr>
        <w:t xml:space="preserve">individual </w:t>
      </w:r>
      <w:r w:rsidRPr="00F438D4">
        <w:rPr>
          <w:lang w:eastAsia="en-AU" w:bidi="ar-SA"/>
        </w:rPr>
        <w:t xml:space="preserve">PUFA </w:t>
      </w:r>
      <w:r>
        <w:rPr>
          <w:lang w:eastAsia="en-AU" w:bidi="ar-SA"/>
        </w:rPr>
        <w:t>outlined in Codex STAN 72-1981.</w:t>
      </w:r>
      <w:r w:rsidRPr="00F438D4">
        <w:rPr>
          <w:lang w:eastAsia="en-AU" w:bidi="ar-SA"/>
        </w:rPr>
        <w:t xml:space="preserve"> </w:t>
      </w:r>
    </w:p>
    <w:p w14:paraId="156D5675" w14:textId="19205FE3" w:rsidR="00C377DD" w:rsidRPr="003C7660" w:rsidRDefault="001A44B7" w:rsidP="00C73A77">
      <w:pPr>
        <w:pStyle w:val="Heading3"/>
      </w:pPr>
      <w:bookmarkStart w:id="409" w:name="_Toc73455651"/>
      <w:bookmarkStart w:id="410" w:name="_Toc73624924"/>
      <w:r>
        <w:t>7</w:t>
      </w:r>
      <w:r w:rsidR="00C377DD" w:rsidRPr="003C7660">
        <w:t>.4.3</w:t>
      </w:r>
      <w:r w:rsidR="00C377DD" w:rsidRPr="003C7660">
        <w:tab/>
      </w:r>
      <w:r w:rsidR="003C7660" w:rsidRPr="003C7660">
        <w:t xml:space="preserve">Copper, </w:t>
      </w:r>
      <w:r w:rsidR="008608EB">
        <w:t>v</w:t>
      </w:r>
      <w:r w:rsidR="003C7660" w:rsidRPr="003C7660">
        <w:t xml:space="preserve">itamin C and </w:t>
      </w:r>
      <w:r w:rsidR="008608EB">
        <w:t>i</w:t>
      </w:r>
      <w:r w:rsidR="003C7660" w:rsidRPr="003C7660">
        <w:t>ron</w:t>
      </w:r>
      <w:r w:rsidR="003C7660">
        <w:t>:</w:t>
      </w:r>
      <w:r w:rsidR="003C7660" w:rsidRPr="003C7660">
        <w:t xml:space="preserve"> </w:t>
      </w:r>
      <w:r w:rsidR="003C7660">
        <w:t>nutrient interaction</w:t>
      </w:r>
      <w:bookmarkEnd w:id="409"/>
      <w:bookmarkEnd w:id="410"/>
    </w:p>
    <w:p w14:paraId="59FFEC3D" w14:textId="77777777" w:rsidR="00C377DD" w:rsidRDefault="00C377DD" w:rsidP="00C377DD">
      <w:pPr>
        <w:pStyle w:val="Heading4"/>
      </w:pPr>
      <w:r w:rsidRPr="00BA1FD9">
        <w:t>Current regulations</w:t>
      </w:r>
    </w:p>
    <w:p w14:paraId="4A16CDC8" w14:textId="7956F024" w:rsidR="00C377DD" w:rsidRPr="00513CD7" w:rsidRDefault="00B3765B" w:rsidP="00C377DD">
      <w:pPr>
        <w:rPr>
          <w:lang w:val="en-AU" w:bidi="ar-SA"/>
        </w:rPr>
      </w:pPr>
      <w:r>
        <w:rPr>
          <w:lang w:eastAsia="en-AU" w:bidi="ar-SA"/>
        </w:rPr>
        <w:t>Copper, vitamin C and iron all have separate regulations specified in Standard 2.9.1</w:t>
      </w:r>
      <w:r w:rsidR="005E3A44">
        <w:rPr>
          <w:lang w:eastAsia="en-AU" w:bidi="ar-SA"/>
        </w:rPr>
        <w:t xml:space="preserve"> (see sections on these nutrients in </w:t>
      </w:r>
      <w:r>
        <w:rPr>
          <w:lang w:eastAsia="en-AU" w:bidi="ar-SA"/>
        </w:rPr>
        <w:t xml:space="preserve">section </w:t>
      </w:r>
      <w:r w:rsidR="001A44B7">
        <w:rPr>
          <w:lang w:eastAsia="en-AU" w:bidi="ar-SA"/>
        </w:rPr>
        <w:t>7</w:t>
      </w:r>
      <w:r w:rsidR="005E3A44">
        <w:rPr>
          <w:lang w:eastAsia="en-AU" w:bidi="ar-SA"/>
        </w:rPr>
        <w:t>.3)</w:t>
      </w:r>
      <w:r>
        <w:rPr>
          <w:lang w:eastAsia="en-AU" w:bidi="ar-SA"/>
        </w:rPr>
        <w:t xml:space="preserve">. Standard 2.9.1, Codex STAN 72-1981 and </w:t>
      </w:r>
      <w:r w:rsidR="008608EB">
        <w:rPr>
          <w:lang w:eastAsia="en-AU" w:bidi="ar-SA"/>
        </w:rPr>
        <w:t xml:space="preserve">EU </w:t>
      </w:r>
      <w:r>
        <w:rPr>
          <w:lang w:eastAsia="en-AU" w:bidi="ar-SA"/>
        </w:rPr>
        <w:t>2016</w:t>
      </w:r>
      <w:r w:rsidR="008608EB">
        <w:rPr>
          <w:lang w:eastAsia="en-AU" w:bidi="ar-SA"/>
        </w:rPr>
        <w:t>/127</w:t>
      </w:r>
      <w:r>
        <w:rPr>
          <w:lang w:eastAsia="en-AU" w:bidi="ar-SA"/>
        </w:rPr>
        <w:t xml:space="preserve"> do not comment on the nutrient interactions between copper, vitamin C and </w:t>
      </w:r>
      <w:r w:rsidR="008608EB">
        <w:rPr>
          <w:lang w:eastAsia="en-AU" w:bidi="ar-SA"/>
        </w:rPr>
        <w:t>i</w:t>
      </w:r>
      <w:r>
        <w:rPr>
          <w:lang w:eastAsia="en-AU" w:bidi="ar-SA"/>
        </w:rPr>
        <w:t xml:space="preserve">ron.  </w:t>
      </w:r>
    </w:p>
    <w:p w14:paraId="67E14187" w14:textId="77777777" w:rsidR="00C377DD" w:rsidRDefault="00C377DD" w:rsidP="00C377DD">
      <w:pPr>
        <w:pStyle w:val="Heading4"/>
      </w:pPr>
      <w:r w:rsidRPr="00BA1FD9">
        <w:t>Previous consideration</w:t>
      </w:r>
    </w:p>
    <w:p w14:paraId="48B3EFFD" w14:textId="41321DBF" w:rsidR="00A72F0D" w:rsidRDefault="00A72F0D" w:rsidP="00C377DD">
      <w:pPr>
        <w:rPr>
          <w:lang w:eastAsia="en-AU" w:bidi="ar-SA"/>
        </w:rPr>
      </w:pPr>
      <w:r>
        <w:rPr>
          <w:lang w:eastAsia="en-AU" w:bidi="ar-SA"/>
        </w:rPr>
        <w:t xml:space="preserve">In 2016 FSANZ did not consider copper, vitamin C or iron in the context of this nutrient interaction. </w:t>
      </w:r>
    </w:p>
    <w:p w14:paraId="3EA19322" w14:textId="35812ACC" w:rsidR="00C377DD" w:rsidRDefault="00C377DD" w:rsidP="00C377DD">
      <w:pPr>
        <w:pStyle w:val="Heading4"/>
        <w:ind w:left="0" w:firstLine="0"/>
      </w:pPr>
      <w:r w:rsidRPr="00BA1FD9">
        <w:t>S</w:t>
      </w:r>
      <w:r>
        <w:t>takeholder views</w:t>
      </w:r>
    </w:p>
    <w:p w14:paraId="5796421D" w14:textId="2BBDF54B" w:rsidR="00C377DD" w:rsidRPr="008E5B1F" w:rsidRDefault="00C377DD" w:rsidP="00C377DD">
      <w:pPr>
        <w:rPr>
          <w:lang w:eastAsia="en-AU" w:bidi="ar-SA"/>
        </w:rPr>
      </w:pPr>
      <w:r>
        <w:rPr>
          <w:lang w:eastAsia="en-AU" w:bidi="ar-SA"/>
        </w:rPr>
        <w:t>No submitter comments on this issue.</w:t>
      </w:r>
    </w:p>
    <w:p w14:paraId="3A73264E" w14:textId="3974D56C" w:rsidR="00C377DD" w:rsidRDefault="0029598D" w:rsidP="00C377DD">
      <w:pPr>
        <w:pStyle w:val="Heading4"/>
      </w:pPr>
      <w:r>
        <w:t>Nutrition r</w:t>
      </w:r>
      <w:r w:rsidR="00C377DD" w:rsidRPr="00BA1FD9">
        <w:t>isk assessment</w:t>
      </w:r>
    </w:p>
    <w:p w14:paraId="595DC31B" w14:textId="288C4559" w:rsidR="00C377DD" w:rsidRPr="00B3765B" w:rsidRDefault="00C377DD" w:rsidP="00B3765B">
      <w:pPr>
        <w:autoSpaceDE w:val="0"/>
        <w:autoSpaceDN w:val="0"/>
        <w:adjustRightInd w:val="0"/>
        <w:rPr>
          <w:rFonts w:eastAsia="Arial Unicode MS"/>
        </w:rPr>
      </w:pPr>
      <w:r>
        <w:rPr>
          <w:rFonts w:eastAsia="Arial Unicode MS"/>
        </w:rPr>
        <w:t xml:space="preserve">The 2021 nutrition </w:t>
      </w:r>
      <w:r w:rsidR="0029598D">
        <w:rPr>
          <w:rFonts w:eastAsia="Arial Unicode MS"/>
        </w:rPr>
        <w:t xml:space="preserve">risk </w:t>
      </w:r>
      <w:r>
        <w:rPr>
          <w:rFonts w:eastAsia="Arial Unicode MS"/>
        </w:rPr>
        <w:t xml:space="preserve">assessment </w:t>
      </w:r>
      <w:r w:rsidR="005E3A44">
        <w:rPr>
          <w:rFonts w:eastAsia="Arial Unicode MS"/>
        </w:rPr>
        <w:t>(</w:t>
      </w:r>
      <w:r w:rsidR="002170C5">
        <w:rPr>
          <w:rFonts w:eastAsia="Arial Unicode MS"/>
        </w:rPr>
        <w:t xml:space="preserve">see </w:t>
      </w:r>
      <w:r w:rsidR="005E3A44">
        <w:rPr>
          <w:rFonts w:eastAsia="Arial Unicode MS"/>
        </w:rPr>
        <w:t xml:space="preserve">SD1) </w:t>
      </w:r>
      <w:r>
        <w:rPr>
          <w:rFonts w:eastAsia="Arial Unicode MS"/>
        </w:rPr>
        <w:t xml:space="preserve">did not evaluate this nutrient interaction. However, </w:t>
      </w:r>
      <w:r w:rsidR="0029598D">
        <w:rPr>
          <w:rFonts w:eastAsia="Arial Unicode MS"/>
        </w:rPr>
        <w:t xml:space="preserve">it </w:t>
      </w:r>
      <w:r>
        <w:rPr>
          <w:rFonts w:eastAsia="Arial Unicode MS"/>
        </w:rPr>
        <w:t>did not</w:t>
      </w:r>
      <w:r w:rsidR="00A72F0D">
        <w:rPr>
          <w:rFonts w:eastAsia="Arial Unicode MS"/>
        </w:rPr>
        <w:t>e</w:t>
      </w:r>
      <w:r>
        <w:rPr>
          <w:rFonts w:eastAsia="Arial Unicode MS"/>
        </w:rPr>
        <w:t xml:space="preserve"> that </w:t>
      </w:r>
      <w:r w:rsidR="00B3765B">
        <w:rPr>
          <w:rFonts w:eastAsia="Arial Unicode MS"/>
        </w:rPr>
        <w:t>nutrient interactions between copper, vitamin C and iron may be of relevance if the vitamin C maximum amount currently permitted in Standard 2.9.1 is increased</w:t>
      </w:r>
      <w:r w:rsidR="00A72F0D">
        <w:rPr>
          <w:rFonts w:eastAsia="Arial Unicode MS"/>
        </w:rPr>
        <w:t>. This is based on</w:t>
      </w:r>
      <w:r w:rsidR="00B3765B">
        <w:rPr>
          <w:rFonts w:eastAsia="Arial Unicode MS"/>
        </w:rPr>
        <w:t xml:space="preserve"> high intakes of iron and ascorbic acid potentially having a </w:t>
      </w:r>
      <w:r w:rsidR="00B3765B">
        <w:rPr>
          <w:rFonts w:cs="Arial"/>
        </w:rPr>
        <w:t xml:space="preserve">synergistic negative effect on copper metabolism. </w:t>
      </w:r>
    </w:p>
    <w:p w14:paraId="7D12B90C" w14:textId="77777777" w:rsidR="00C377DD" w:rsidRDefault="00C377DD" w:rsidP="00C377DD">
      <w:pPr>
        <w:pStyle w:val="Heading4"/>
      </w:pPr>
      <w:r w:rsidRPr="00BA1FD9">
        <w:t>Options and discussion</w:t>
      </w:r>
    </w:p>
    <w:p w14:paraId="12C57329" w14:textId="0FB8508D" w:rsidR="00954BDA" w:rsidRDefault="00954BDA" w:rsidP="00954BDA">
      <w:pPr>
        <w:rPr>
          <w:szCs w:val="22"/>
          <w:lang w:eastAsia="en-AU" w:bidi="ar-SA"/>
        </w:rPr>
      </w:pPr>
      <w:r>
        <w:rPr>
          <w:rFonts w:eastAsia="Arial Unicode MS"/>
        </w:rPr>
        <w:t xml:space="preserve">As discussed in section </w:t>
      </w:r>
      <w:r w:rsidR="001A44B7">
        <w:rPr>
          <w:rFonts w:eastAsia="Arial Unicode MS"/>
        </w:rPr>
        <w:t>7</w:t>
      </w:r>
      <w:r w:rsidR="005E3A44">
        <w:rPr>
          <w:rFonts w:eastAsia="Arial Unicode MS"/>
        </w:rPr>
        <w:t xml:space="preserve">.3.3 for vitamin C, </w:t>
      </w:r>
      <w:r>
        <w:rPr>
          <w:rFonts w:eastAsia="Arial Unicode MS"/>
        </w:rPr>
        <w:t xml:space="preserve">FSANZ is proposing to increase the vitamin C maximum level from the current permission of 5.5 mg/100 kJ, to a GUL of 17 mg/100 kJ to align with Codex STAN 72-1981. This increase was proposed to mitigate the significant vitamin </w:t>
      </w:r>
      <w:r w:rsidR="0029598D">
        <w:rPr>
          <w:rFonts w:eastAsia="Arial Unicode MS"/>
        </w:rPr>
        <w:t>C</w:t>
      </w:r>
      <w:r>
        <w:rPr>
          <w:rFonts w:eastAsia="Arial Unicode MS"/>
        </w:rPr>
        <w:t xml:space="preserve"> losses that occur during shelf life and preparation of infant formula. </w:t>
      </w:r>
      <w:r w:rsidR="0029598D">
        <w:rPr>
          <w:rFonts w:eastAsia="Arial Unicode MS"/>
        </w:rPr>
        <w:t>The proposed increase seems large</w:t>
      </w:r>
      <w:r>
        <w:rPr>
          <w:rFonts w:eastAsia="Arial Unicode MS"/>
        </w:rPr>
        <w:t>,</w:t>
      </w:r>
      <w:r w:rsidR="0029598D">
        <w:rPr>
          <w:rFonts w:eastAsia="Arial Unicode MS"/>
        </w:rPr>
        <w:t xml:space="preserve"> but</w:t>
      </w:r>
      <w:r>
        <w:rPr>
          <w:rFonts w:eastAsia="Arial Unicode MS"/>
        </w:rPr>
        <w:t xml:space="preserve"> an </w:t>
      </w:r>
      <w:r w:rsidR="0029598D">
        <w:rPr>
          <w:rFonts w:eastAsia="Arial Unicode MS"/>
        </w:rPr>
        <w:t xml:space="preserve">estimated </w:t>
      </w:r>
      <w:r>
        <w:rPr>
          <w:rFonts w:eastAsia="Arial Unicode MS"/>
        </w:rPr>
        <w:t xml:space="preserve">vitamin </w:t>
      </w:r>
      <w:r w:rsidR="0029598D">
        <w:rPr>
          <w:rFonts w:eastAsia="Arial Unicode MS"/>
        </w:rPr>
        <w:t>C</w:t>
      </w:r>
      <w:r>
        <w:rPr>
          <w:rFonts w:eastAsia="Arial Unicode MS"/>
        </w:rPr>
        <w:t xml:space="preserve"> loss of </w:t>
      </w:r>
      <w:r>
        <w:rPr>
          <w:lang w:eastAsia="en-AU"/>
        </w:rPr>
        <w:t xml:space="preserve">20–50% in powdered products and up to 75% in liquid products can occur before the product is consumed.  </w:t>
      </w:r>
    </w:p>
    <w:p w14:paraId="4F6D161B" w14:textId="77777777" w:rsidR="00954BDA" w:rsidRDefault="00954BDA" w:rsidP="00954BDA"/>
    <w:p w14:paraId="1FBDF5C4" w14:textId="61EB076F" w:rsidR="006438A6" w:rsidRDefault="00954BDA" w:rsidP="00954BDA">
      <w:pPr>
        <w:rPr>
          <w:rFonts w:eastAsia="Calibri"/>
          <w:lang w:eastAsia="en-AU"/>
        </w:rPr>
      </w:pPr>
      <w:r>
        <w:t xml:space="preserve">The 2021 nutrition </w:t>
      </w:r>
      <w:r w:rsidR="0029598D">
        <w:t xml:space="preserve">risk </w:t>
      </w:r>
      <w:r>
        <w:t xml:space="preserve">assessment </w:t>
      </w:r>
      <w:r w:rsidR="005E3A44">
        <w:t xml:space="preserve">(SD1) </w:t>
      </w:r>
      <w:r>
        <w:t xml:space="preserve">considered limitations </w:t>
      </w:r>
      <w:r w:rsidR="000B25EA">
        <w:t xml:space="preserve">in </w:t>
      </w:r>
      <w:r>
        <w:t xml:space="preserve">the evidence on ascorbic acid, as there is </w:t>
      </w:r>
      <w:r>
        <w:rPr>
          <w:rFonts w:eastAsia="Calibri"/>
          <w:lang w:eastAsia="en-AU"/>
        </w:rPr>
        <w:t>difficulty in evaluating at which stage ascorbic acid interferes with copper metabolism (Lönnerdal 1998). The paper also noted that most of the data available is based on animal studies and there is uncertainty around whether copper metabolism differs in humans, with the possibility that ascorbic acid has a lesser effect on copper metabolism in humans.</w:t>
      </w:r>
    </w:p>
    <w:p w14:paraId="2F775E9C" w14:textId="465C1150" w:rsidR="00C377DD" w:rsidRDefault="00C377DD" w:rsidP="00C377DD">
      <w:pPr>
        <w:pStyle w:val="Heading4"/>
      </w:pPr>
      <w:r w:rsidRPr="00BA1FD9">
        <w:lastRenderedPageBreak/>
        <w:t>Prop</w:t>
      </w:r>
      <w:r>
        <w:t>o</w:t>
      </w:r>
      <w:r w:rsidRPr="00BA1FD9">
        <w:t xml:space="preserve">sed </w:t>
      </w:r>
      <w:r>
        <w:t>approach</w:t>
      </w:r>
    </w:p>
    <w:p w14:paraId="076FE462" w14:textId="35D05AB8" w:rsidR="00C377DD" w:rsidRPr="00F73BA7" w:rsidRDefault="009C7DEA" w:rsidP="00776154">
      <w:pPr>
        <w:rPr>
          <w:lang w:val="en-AU" w:bidi="ar-SA"/>
        </w:rPr>
      </w:pPr>
      <w:r>
        <w:rPr>
          <w:lang w:val="en-AU" w:bidi="ar-SA"/>
        </w:rPr>
        <w:t>Based on the above discussion</w:t>
      </w:r>
      <w:r w:rsidR="001E68AB">
        <w:rPr>
          <w:lang w:val="en-AU" w:bidi="ar-SA"/>
        </w:rPr>
        <w:t>,</w:t>
      </w:r>
      <w:r>
        <w:rPr>
          <w:lang w:val="en-AU" w:bidi="ar-SA"/>
        </w:rPr>
        <w:t xml:space="preserve"> FSANZ considers the propos</w:t>
      </w:r>
      <w:r w:rsidR="005E3A44">
        <w:rPr>
          <w:lang w:val="en-AU" w:bidi="ar-SA"/>
        </w:rPr>
        <w:t xml:space="preserve">ed approaches for copper, vitamin C, and iron </w:t>
      </w:r>
      <w:r>
        <w:rPr>
          <w:lang w:val="en-AU" w:bidi="ar-SA"/>
        </w:rPr>
        <w:t xml:space="preserve">to be appropriate in regard to the </w:t>
      </w:r>
      <w:r w:rsidR="005E3A44">
        <w:rPr>
          <w:lang w:val="en-AU" w:bidi="ar-SA"/>
        </w:rPr>
        <w:t xml:space="preserve">potential </w:t>
      </w:r>
      <w:r>
        <w:rPr>
          <w:lang w:val="en-AU" w:bidi="ar-SA"/>
        </w:rPr>
        <w:t xml:space="preserve">interactions between </w:t>
      </w:r>
      <w:r w:rsidR="005E3A44">
        <w:rPr>
          <w:lang w:val="en-AU" w:bidi="ar-SA"/>
        </w:rPr>
        <w:t>these nutrients</w:t>
      </w:r>
      <w:r>
        <w:rPr>
          <w:lang w:val="en-AU" w:bidi="ar-SA"/>
        </w:rPr>
        <w:t xml:space="preserve">. </w:t>
      </w:r>
    </w:p>
    <w:p w14:paraId="24BCD2A9" w14:textId="52B6C144" w:rsidR="00776154" w:rsidRPr="00634CD3" w:rsidRDefault="001A44B7" w:rsidP="00776154">
      <w:pPr>
        <w:pStyle w:val="Heading2"/>
        <w:rPr>
          <w:webHidden/>
        </w:rPr>
      </w:pPr>
      <w:bookmarkStart w:id="411" w:name="_Toc437858804"/>
      <w:bookmarkStart w:id="412" w:name="_Toc440462475"/>
      <w:bookmarkStart w:id="413" w:name="_Toc440470872"/>
      <w:bookmarkStart w:id="414" w:name="_Toc70415488"/>
      <w:bookmarkStart w:id="415" w:name="_Toc73455652"/>
      <w:bookmarkStart w:id="416" w:name="_Toc73624925"/>
      <w:bookmarkStart w:id="417" w:name="_Toc76138295"/>
      <w:bookmarkEnd w:id="399"/>
      <w:bookmarkEnd w:id="400"/>
      <w:r>
        <w:t>7</w:t>
      </w:r>
      <w:r w:rsidR="00776154">
        <w:t xml:space="preserve">.5 </w:t>
      </w:r>
      <w:r w:rsidR="00776154">
        <w:tab/>
      </w:r>
      <w:r w:rsidR="00776154" w:rsidRPr="000E385D">
        <w:t xml:space="preserve">Permitted forms </w:t>
      </w:r>
      <w:r w:rsidR="00776154" w:rsidRPr="00634CD3">
        <w:t>of vitamins, minerals and electrolytes</w:t>
      </w:r>
      <w:bookmarkEnd w:id="411"/>
      <w:bookmarkEnd w:id="412"/>
      <w:bookmarkEnd w:id="413"/>
      <w:bookmarkEnd w:id="414"/>
      <w:bookmarkEnd w:id="415"/>
      <w:bookmarkEnd w:id="416"/>
      <w:bookmarkEnd w:id="417"/>
    </w:p>
    <w:p w14:paraId="7AEA5F67" w14:textId="77777777" w:rsidR="00776154" w:rsidRDefault="00776154" w:rsidP="00776154">
      <w:bookmarkStart w:id="418" w:name="_Toc419280154"/>
      <w:bookmarkStart w:id="419" w:name="_Toc427310833"/>
      <w:bookmarkStart w:id="420" w:name="_Toc427318273"/>
      <w:bookmarkEnd w:id="418"/>
      <w:bookmarkEnd w:id="419"/>
      <w:bookmarkEnd w:id="420"/>
      <w:r w:rsidRPr="006F770A">
        <w:rPr>
          <w:lang w:eastAsia="en-AU"/>
        </w:rPr>
        <w:t xml:space="preserve">This section discusses FSANZ’s comparison of the </w:t>
      </w:r>
      <w:r w:rsidRPr="006F770A">
        <w:t xml:space="preserve">permitted forms of vitamins, minerals and electrolytes in Standard 2.9.1 with Codex </w:t>
      </w:r>
      <w:r>
        <w:t xml:space="preserve">GL </w:t>
      </w:r>
      <w:r w:rsidRPr="006F770A">
        <w:t>10-1979</w:t>
      </w:r>
      <w:r>
        <w:t xml:space="preserve">. </w:t>
      </w:r>
    </w:p>
    <w:p w14:paraId="0C5AF399" w14:textId="77777777" w:rsidR="00776154" w:rsidRDefault="00776154" w:rsidP="00776154">
      <w:pPr>
        <w:pStyle w:val="Heading4"/>
      </w:pPr>
      <w:r w:rsidRPr="00BA1FD9">
        <w:t>Current regulations</w:t>
      </w:r>
    </w:p>
    <w:p w14:paraId="183FEDC1" w14:textId="5363FBEE" w:rsidR="00776154" w:rsidRPr="006F770A" w:rsidRDefault="00776154" w:rsidP="00776154">
      <w:pPr>
        <w:rPr>
          <w:szCs w:val="22"/>
        </w:rPr>
      </w:pPr>
      <w:r w:rsidRPr="006F770A">
        <w:rPr>
          <w:szCs w:val="22"/>
        </w:rPr>
        <w:t>S</w:t>
      </w:r>
      <w:r>
        <w:rPr>
          <w:szCs w:val="22"/>
        </w:rPr>
        <w:t>chedule 29</w:t>
      </w:r>
      <w:r w:rsidRPr="006F770A">
        <w:rPr>
          <w:szCs w:val="22"/>
        </w:rPr>
        <w:t xml:space="preserve"> lists the permitted forms for the vitamins, minerals and electrolytes intended for use as a nutrient when added to infant formula. S</w:t>
      </w:r>
      <w:r>
        <w:rPr>
          <w:szCs w:val="22"/>
        </w:rPr>
        <w:t>chedule 3</w:t>
      </w:r>
      <w:r w:rsidRPr="006F770A">
        <w:rPr>
          <w:szCs w:val="22"/>
        </w:rPr>
        <w:t xml:space="preserve"> – Identity and Purity includes a list of acceptable sources of specifications e.g</w:t>
      </w:r>
      <w:r w:rsidRPr="006F770A">
        <w:rPr>
          <w:i/>
          <w:szCs w:val="22"/>
        </w:rPr>
        <w:t xml:space="preserve">. </w:t>
      </w:r>
      <w:r w:rsidRPr="006F770A">
        <w:t>FAO JECFA Monographs</w:t>
      </w:r>
      <w:r w:rsidRPr="006F770A">
        <w:rPr>
          <w:szCs w:val="22"/>
        </w:rPr>
        <w:t>, Food Chemicals Code</w:t>
      </w:r>
      <w:r>
        <w:rPr>
          <w:szCs w:val="22"/>
        </w:rPr>
        <w:t xml:space="preserve">x (FCC), European Pharmacopoeia. </w:t>
      </w:r>
      <w:r w:rsidRPr="006F770A">
        <w:rPr>
          <w:szCs w:val="22"/>
        </w:rPr>
        <w:t xml:space="preserve">The current list of permitted forms in the Code was developed during P93 to align with the 1991 European Commission Infant Formula Directive (91/321/EEC) and the previous </w:t>
      </w:r>
      <w:r w:rsidR="0029598D">
        <w:rPr>
          <w:szCs w:val="22"/>
        </w:rPr>
        <w:t>regulations in</w:t>
      </w:r>
      <w:r w:rsidRPr="006F770A">
        <w:rPr>
          <w:szCs w:val="22"/>
        </w:rPr>
        <w:t xml:space="preserve"> Codex </w:t>
      </w:r>
      <w:r w:rsidR="0029598D">
        <w:rPr>
          <w:szCs w:val="22"/>
        </w:rPr>
        <w:t>(</w:t>
      </w:r>
      <w:r w:rsidRPr="006F770A">
        <w:rPr>
          <w:szCs w:val="22"/>
        </w:rPr>
        <w:t>GL 10-1979</w:t>
      </w:r>
      <w:r w:rsidR="0029598D">
        <w:rPr>
          <w:szCs w:val="22"/>
        </w:rPr>
        <w:t>)</w:t>
      </w:r>
      <w:r w:rsidRPr="006F770A">
        <w:rPr>
          <w:szCs w:val="22"/>
        </w:rPr>
        <w:t xml:space="preserve">. The substances on these lists were assessed as part of the toxicology and risk assessment during assessment of P93. </w:t>
      </w:r>
    </w:p>
    <w:p w14:paraId="6790CF4A" w14:textId="77777777" w:rsidR="00776154" w:rsidRPr="006F770A" w:rsidRDefault="00776154" w:rsidP="00776154">
      <w:pPr>
        <w:pStyle w:val="FootnoteText"/>
      </w:pPr>
    </w:p>
    <w:p w14:paraId="396D4358" w14:textId="77777777" w:rsidR="00776154" w:rsidRPr="006F770A" w:rsidRDefault="00776154" w:rsidP="00776154">
      <w:pPr>
        <w:rPr>
          <w:szCs w:val="22"/>
        </w:rPr>
      </w:pPr>
      <w:r w:rsidRPr="006F770A">
        <w:t xml:space="preserve">The Codex GL 10-1979 </w:t>
      </w:r>
      <w:r w:rsidRPr="006F770A">
        <w:rPr>
          <w:szCs w:val="22"/>
        </w:rPr>
        <w:t>list</w:t>
      </w:r>
      <w:r>
        <w:rPr>
          <w:szCs w:val="22"/>
        </w:rPr>
        <w:t xml:space="preserve"> </w:t>
      </w:r>
      <w:r w:rsidRPr="007212BD">
        <w:rPr>
          <w:szCs w:val="22"/>
        </w:rPr>
        <w:t xml:space="preserve">of the permitted forms of </w:t>
      </w:r>
      <w:r>
        <w:rPr>
          <w:szCs w:val="22"/>
        </w:rPr>
        <w:t xml:space="preserve">nutrients for use in </w:t>
      </w:r>
      <w:r w:rsidRPr="006F770A">
        <w:rPr>
          <w:szCs w:val="22"/>
        </w:rPr>
        <w:t xml:space="preserve">infant formula was comprehensively reviewed by CCNFSDU around the time of the review of Codex STAN 72-1981. A set of criteria was devised to ensure that any permitted nutrient form would be safe and appropriate for use in products for infants. In addition, the CCNFSDU agreed that to ensure safety, permitted forms of nutrients must comply with certain specifications. The specifications </w:t>
      </w:r>
      <w:r>
        <w:rPr>
          <w:szCs w:val="22"/>
        </w:rPr>
        <w:t xml:space="preserve">indicate </w:t>
      </w:r>
      <w:r w:rsidRPr="006F770A">
        <w:rPr>
          <w:szCs w:val="22"/>
        </w:rPr>
        <w:t>the identity, origin, production and acceptable level of purity</w:t>
      </w:r>
      <w:r>
        <w:rPr>
          <w:szCs w:val="22"/>
        </w:rPr>
        <w:t xml:space="preserve"> for each substance</w:t>
      </w:r>
      <w:r w:rsidRPr="006F770A">
        <w:rPr>
          <w:szCs w:val="22"/>
        </w:rPr>
        <w:t>.</w:t>
      </w:r>
    </w:p>
    <w:p w14:paraId="2FBD4B4E" w14:textId="77777777" w:rsidR="00776154" w:rsidRDefault="00776154" w:rsidP="00776154">
      <w:pPr>
        <w:pStyle w:val="Heading4"/>
      </w:pPr>
      <w:r w:rsidRPr="00BA1FD9">
        <w:t>Previous consideration</w:t>
      </w:r>
    </w:p>
    <w:p w14:paraId="0BFEBBFE" w14:textId="09F85B0E" w:rsidR="00776154" w:rsidRPr="006F770A" w:rsidRDefault="00776154" w:rsidP="00776154">
      <w:pPr>
        <w:spacing w:after="120"/>
      </w:pPr>
      <w:r w:rsidRPr="006F770A">
        <w:rPr>
          <w:szCs w:val="22"/>
        </w:rPr>
        <w:t xml:space="preserve">The 2016 Consultation </w:t>
      </w:r>
      <w:r w:rsidR="0029598D">
        <w:rPr>
          <w:szCs w:val="22"/>
        </w:rPr>
        <w:t>p</w:t>
      </w:r>
      <w:r w:rsidRPr="006F770A">
        <w:rPr>
          <w:szCs w:val="22"/>
        </w:rPr>
        <w:t>aper compared the forms of vitamins, minerals and electrolytes that are</w:t>
      </w:r>
      <w:r w:rsidRPr="006F770A">
        <w:t xml:space="preserve"> permitted by Codex but which are not permitted for use in infant formula in the Code and whether each form has a specification source listed in S</w:t>
      </w:r>
      <w:r>
        <w:t>3. We</w:t>
      </w:r>
      <w:r w:rsidRPr="006F770A">
        <w:t xml:space="preserve"> also considered submissions to the 2012 Consult</w:t>
      </w:r>
      <w:r>
        <w:t xml:space="preserve">ation </w:t>
      </w:r>
      <w:r w:rsidR="0029598D">
        <w:t>p</w:t>
      </w:r>
      <w:r>
        <w:t>aper. Overall conclusions in 2016 were</w:t>
      </w:r>
      <w:r w:rsidRPr="006F770A">
        <w:t>:</w:t>
      </w:r>
    </w:p>
    <w:p w14:paraId="467EABC8" w14:textId="77777777" w:rsidR="00776154" w:rsidRDefault="00776154" w:rsidP="00776154">
      <w:pPr>
        <w:pStyle w:val="FSBullet"/>
      </w:pPr>
      <w:r w:rsidRPr="00A675D7">
        <w:t xml:space="preserve">Submissions to the 2012 Consultation paper generally supported aligning the permitted forms of nutrients in Standard 2.9.1 with Codex GL 10-1979 on the basis that these forms have been evaluated by Codex for nutritional adequacy and safety in infant formula. Submitters did not support the removal of any currently permitted nutrient forms from Standard 2.9.1. </w:t>
      </w:r>
    </w:p>
    <w:p w14:paraId="0490ED74" w14:textId="721A6E33" w:rsidR="00776154" w:rsidRDefault="00776154" w:rsidP="00776154">
      <w:pPr>
        <w:pStyle w:val="FSBullet"/>
      </w:pPr>
      <w:r w:rsidRPr="00A675D7">
        <w:t>Particular requests</w:t>
      </w:r>
      <w:r>
        <w:t xml:space="preserve"> from 2012</w:t>
      </w:r>
      <w:r w:rsidRPr="00A675D7">
        <w:t xml:space="preserve"> were to clarify the permitted forms of niacin and vitamin A, and to consider additional permitted forms for niacin, pantothenic acid, copper, iron, magnes</w:t>
      </w:r>
      <w:r>
        <w:t xml:space="preserve">ium, potassium and zinc in terms of technological justification. This information was sought in the 2016 Consultation </w:t>
      </w:r>
      <w:r w:rsidR="0029598D">
        <w:t>p</w:t>
      </w:r>
      <w:r>
        <w:t xml:space="preserve">aper. </w:t>
      </w:r>
    </w:p>
    <w:p w14:paraId="46F22DCB" w14:textId="55F9B033" w:rsidR="00776154" w:rsidRDefault="00776154" w:rsidP="00776154">
      <w:pPr>
        <w:pStyle w:val="Heading4"/>
        <w:ind w:left="0" w:firstLine="0"/>
      </w:pPr>
      <w:r w:rsidRPr="00BA1FD9">
        <w:t>S</w:t>
      </w:r>
      <w:r>
        <w:t>takeholder views</w:t>
      </w:r>
    </w:p>
    <w:p w14:paraId="53D3967E" w14:textId="3CB95AE9" w:rsidR="00776154" w:rsidRDefault="00776154" w:rsidP="00776154">
      <w:pPr>
        <w:rPr>
          <w:lang w:val="en-AU" w:bidi="ar-SA"/>
        </w:rPr>
      </w:pPr>
      <w:r>
        <w:rPr>
          <w:lang w:val="en-AU" w:bidi="ar-SA"/>
        </w:rPr>
        <w:t xml:space="preserve">A summary of submissions and FSANZ’s responses on permitted forms of vitamin, minerals, and electrolytes is provided in Table </w:t>
      </w:r>
      <w:r w:rsidR="004E6E0D">
        <w:rPr>
          <w:lang w:val="en-AU" w:bidi="ar-SA"/>
        </w:rPr>
        <w:t>7</w:t>
      </w:r>
      <w:r w:rsidR="0011607A">
        <w:rPr>
          <w:lang w:val="en-AU" w:bidi="ar-SA"/>
        </w:rPr>
        <w:t>.</w:t>
      </w:r>
      <w:r w:rsidR="0029598D">
        <w:rPr>
          <w:lang w:val="en-AU" w:bidi="ar-SA"/>
        </w:rPr>
        <w:t>1</w:t>
      </w:r>
      <w:r w:rsidR="0011607A">
        <w:rPr>
          <w:lang w:val="en-AU" w:bidi="ar-SA"/>
        </w:rPr>
        <w:t>7</w:t>
      </w:r>
      <w:r>
        <w:rPr>
          <w:lang w:val="en-AU" w:bidi="ar-SA"/>
        </w:rPr>
        <w:t xml:space="preserve">. </w:t>
      </w:r>
    </w:p>
    <w:p w14:paraId="77414021" w14:textId="77777777" w:rsidR="00776154" w:rsidRDefault="00776154" w:rsidP="00776154">
      <w:pPr>
        <w:rPr>
          <w:lang w:val="en-AU" w:bidi="ar-SA"/>
        </w:rPr>
      </w:pPr>
    </w:p>
    <w:p w14:paraId="32471954" w14:textId="77777777" w:rsidR="004A0044" w:rsidRDefault="004A0044">
      <w:pPr>
        <w:rPr>
          <w:rFonts w:eastAsia="Calibri" w:cs="Tahoma"/>
          <w:b/>
          <w:bCs/>
          <w:lang w:val="en-AU"/>
        </w:rPr>
      </w:pPr>
      <w:bookmarkStart w:id="421" w:name="_Toc74061258"/>
      <w:r>
        <w:rPr>
          <w:lang w:val="en-AU"/>
        </w:rPr>
        <w:br w:type="page"/>
      </w:r>
    </w:p>
    <w:p w14:paraId="1D462275" w14:textId="659C2512" w:rsidR="00776154" w:rsidRDefault="00776154" w:rsidP="00FA28CD">
      <w:pPr>
        <w:pStyle w:val="FSTitle"/>
        <w:rPr>
          <w:lang w:val="en-AU"/>
        </w:rPr>
      </w:pPr>
      <w:r>
        <w:rPr>
          <w:lang w:val="en-AU"/>
        </w:rPr>
        <w:lastRenderedPageBreak/>
        <w:t xml:space="preserve">Table </w:t>
      </w:r>
      <w:r w:rsidR="004E6E0D">
        <w:rPr>
          <w:lang w:val="en-AU"/>
        </w:rPr>
        <w:t>7</w:t>
      </w:r>
      <w:r w:rsidR="0029598D">
        <w:rPr>
          <w:lang w:val="en-AU"/>
        </w:rPr>
        <w:t>.</w:t>
      </w:r>
      <w:r w:rsidR="0011607A">
        <w:rPr>
          <w:lang w:val="en-AU"/>
        </w:rPr>
        <w:t>17</w:t>
      </w:r>
      <w:r w:rsidR="0011607A">
        <w:rPr>
          <w:lang w:val="en-AU"/>
        </w:rPr>
        <w:tab/>
      </w:r>
      <w:r>
        <w:rPr>
          <w:lang w:val="en-AU"/>
        </w:rPr>
        <w:t>Su</w:t>
      </w:r>
      <w:r w:rsidR="0011607A">
        <w:rPr>
          <w:lang w:val="en-AU"/>
        </w:rPr>
        <w:t>bmitter comments</w:t>
      </w:r>
      <w:r>
        <w:rPr>
          <w:lang w:val="en-AU"/>
        </w:rPr>
        <w:t xml:space="preserve"> on permitted forms</w:t>
      </w:r>
      <w:bookmarkEnd w:id="421"/>
    </w:p>
    <w:tbl>
      <w:tblPr>
        <w:tblStyle w:val="MediumShading1-Accent3"/>
        <w:tblW w:w="9356" w:type="dxa"/>
        <w:tblLook w:val="04A0" w:firstRow="1" w:lastRow="0" w:firstColumn="1" w:lastColumn="0" w:noHBand="0" w:noVBand="1"/>
        <w:tblCaption w:val="Table 7.5.1  Summary of issues on permitted forms"/>
        <w:tblDescription w:val="This table summarises the number of submissions to the previous Consultation papers for Proposal P1028 regarding permitted forms for Vitamin A, Vitamin D, Pantothenic acid, Niacin, Copper, Magnesium, Potassium, Zinc and Iron."/>
      </w:tblPr>
      <w:tblGrid>
        <w:gridCol w:w="3969"/>
        <w:gridCol w:w="1559"/>
        <w:gridCol w:w="3828"/>
      </w:tblGrid>
      <w:tr w:rsidR="00776154" w:rsidRPr="00310115" w14:paraId="4ED0A46A" w14:textId="77777777" w:rsidTr="008A2FD8">
        <w:trPr>
          <w:cnfStyle w:val="100000000000" w:firstRow="1" w:lastRow="0" w:firstColumn="0" w:lastColumn="0" w:oddVBand="0" w:evenVBand="0" w:oddHBand="0"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3969" w:type="dxa"/>
          </w:tcPr>
          <w:p w14:paraId="26A4AEB5" w14:textId="28D67EFA" w:rsidR="00776154" w:rsidRPr="00586CC8" w:rsidRDefault="00843305" w:rsidP="00586CC8">
            <w:pPr>
              <w:jc w:val="center"/>
              <w:rPr>
                <w:color w:val="auto"/>
                <w:szCs w:val="20"/>
                <w:lang w:bidi="ar-SA"/>
              </w:rPr>
            </w:pPr>
            <w:r>
              <w:rPr>
                <w:color w:val="auto"/>
                <w:szCs w:val="20"/>
                <w:lang w:bidi="ar-SA"/>
              </w:rPr>
              <w:t>Comment</w:t>
            </w:r>
          </w:p>
        </w:tc>
        <w:tc>
          <w:tcPr>
            <w:tcW w:w="1559" w:type="dxa"/>
          </w:tcPr>
          <w:p w14:paraId="16CF252E" w14:textId="742F2565" w:rsidR="00776154" w:rsidRPr="00586CC8" w:rsidRDefault="00776154" w:rsidP="00586CC8">
            <w:pPr>
              <w:jc w:val="center"/>
              <w:cnfStyle w:val="100000000000" w:firstRow="1" w:lastRow="0" w:firstColumn="0" w:lastColumn="0" w:oddVBand="0" w:evenVBand="0" w:oddHBand="0" w:evenHBand="0" w:firstRowFirstColumn="0" w:firstRowLastColumn="0" w:lastRowFirstColumn="0" w:lastRowLastColumn="0"/>
              <w:rPr>
                <w:color w:val="auto"/>
                <w:szCs w:val="20"/>
                <w:lang w:bidi="ar-SA"/>
              </w:rPr>
            </w:pPr>
            <w:r w:rsidRPr="00586CC8">
              <w:rPr>
                <w:color w:val="auto"/>
                <w:szCs w:val="20"/>
                <w:lang w:bidi="ar-SA"/>
              </w:rPr>
              <w:t>Submitters*</w:t>
            </w:r>
          </w:p>
        </w:tc>
        <w:tc>
          <w:tcPr>
            <w:tcW w:w="3828" w:type="dxa"/>
          </w:tcPr>
          <w:p w14:paraId="23D21DDE" w14:textId="77777777" w:rsidR="00776154" w:rsidRPr="00586CC8" w:rsidRDefault="00776154" w:rsidP="00586CC8">
            <w:pPr>
              <w:jc w:val="center"/>
              <w:cnfStyle w:val="100000000000" w:firstRow="1" w:lastRow="0" w:firstColumn="0" w:lastColumn="0" w:oddVBand="0" w:evenVBand="0" w:oddHBand="0" w:evenHBand="0" w:firstRowFirstColumn="0" w:firstRowLastColumn="0" w:lastRowFirstColumn="0" w:lastRowLastColumn="0"/>
              <w:rPr>
                <w:color w:val="auto"/>
                <w:szCs w:val="20"/>
                <w:lang w:bidi="ar-SA"/>
              </w:rPr>
            </w:pPr>
            <w:r w:rsidRPr="00586CC8">
              <w:rPr>
                <w:color w:val="auto"/>
                <w:szCs w:val="20"/>
                <w:lang w:bidi="ar-SA"/>
              </w:rPr>
              <w:t>FSANZ response (proposed approach)</w:t>
            </w:r>
          </w:p>
        </w:tc>
      </w:tr>
      <w:tr w:rsidR="00776154" w:rsidRPr="00310115" w14:paraId="0B1C2408" w14:textId="77777777" w:rsidTr="008A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14:paraId="35405D63" w14:textId="77777777" w:rsidR="00776154" w:rsidRPr="00310115" w:rsidRDefault="00776154" w:rsidP="00776154">
            <w:pPr>
              <w:rPr>
                <w:szCs w:val="20"/>
                <w:lang w:val="en-AU" w:bidi="ar-SA"/>
              </w:rPr>
            </w:pPr>
            <w:r>
              <w:rPr>
                <w:szCs w:val="20"/>
                <w:lang w:val="en-AU" w:bidi="ar-SA"/>
              </w:rPr>
              <w:t xml:space="preserve">General alignment: </w:t>
            </w:r>
            <w:r w:rsidRPr="00F3232A">
              <w:rPr>
                <w:b w:val="0"/>
                <w:szCs w:val="20"/>
                <w:lang w:val="en-AU" w:bidi="ar-SA"/>
              </w:rPr>
              <w:t>forms of nutrients permitted in Codex STAN 72-1981 should be permitted in Standard 2.9.1 for reasons of alignment, flexibility for manufacture and avoidance of trade barriers.</w:t>
            </w:r>
          </w:p>
        </w:tc>
        <w:tc>
          <w:tcPr>
            <w:tcW w:w="1559" w:type="dxa"/>
          </w:tcPr>
          <w:p w14:paraId="43E850BA" w14:textId="33AD26BB" w:rsidR="00776154" w:rsidRPr="00B63A4F" w:rsidRDefault="00D62B4C" w:rsidP="00776154">
            <w:pPr>
              <w:cnfStyle w:val="000000100000" w:firstRow="0" w:lastRow="0" w:firstColumn="0" w:lastColumn="0" w:oddVBand="0" w:evenVBand="0" w:oddHBand="1" w:evenHBand="0" w:firstRowFirstColumn="0" w:firstRowLastColumn="0" w:lastRowFirstColumn="0" w:lastRowLastColumn="0"/>
              <w:rPr>
                <w:szCs w:val="20"/>
                <w:lang w:bidi="ar-SA"/>
              </w:rPr>
            </w:pPr>
            <w:r>
              <w:rPr>
                <w:szCs w:val="20"/>
                <w:lang w:bidi="ar-SA"/>
              </w:rPr>
              <w:t xml:space="preserve">Industry </w:t>
            </w:r>
            <w:r w:rsidR="00776154">
              <w:rPr>
                <w:szCs w:val="20"/>
                <w:lang w:bidi="ar-SA"/>
              </w:rPr>
              <w:t>(5)</w:t>
            </w:r>
          </w:p>
        </w:tc>
        <w:tc>
          <w:tcPr>
            <w:tcW w:w="3828" w:type="dxa"/>
          </w:tcPr>
          <w:p w14:paraId="426DD89F" w14:textId="77777777" w:rsidR="00776154" w:rsidRDefault="00776154" w:rsidP="00776154">
            <w:pPr>
              <w:cnfStyle w:val="000000100000" w:firstRow="0" w:lastRow="0" w:firstColumn="0" w:lastColumn="0" w:oddVBand="0" w:evenVBand="0" w:oddHBand="1" w:evenHBand="0" w:firstRowFirstColumn="0" w:firstRowLastColumn="0" w:lastRowFirstColumn="0" w:lastRowLastColumn="0"/>
              <w:rPr>
                <w:szCs w:val="20"/>
                <w:lang w:bidi="ar-SA"/>
              </w:rPr>
            </w:pPr>
            <w:r>
              <w:rPr>
                <w:szCs w:val="20"/>
                <w:lang w:bidi="ar-SA"/>
              </w:rPr>
              <w:t xml:space="preserve">See “Previous consideration”. Except for niacin, vitamin A, pantothenic acid, copper, iron, magnesium, potassium and zinc there was general support to align permitted forms with Codex. </w:t>
            </w:r>
          </w:p>
        </w:tc>
      </w:tr>
      <w:tr w:rsidR="00776154" w:rsidRPr="00310115" w14:paraId="4873D0C8" w14:textId="77777777" w:rsidTr="008A2FD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14:paraId="519EF955" w14:textId="246436DF" w:rsidR="00776154" w:rsidRPr="00310115" w:rsidRDefault="00776154" w:rsidP="00776154">
            <w:pPr>
              <w:rPr>
                <w:b w:val="0"/>
                <w:szCs w:val="20"/>
                <w:lang w:val="en-AU" w:bidi="ar-SA"/>
              </w:rPr>
            </w:pPr>
            <w:r w:rsidRPr="00310115">
              <w:rPr>
                <w:szCs w:val="20"/>
                <w:lang w:val="en-AU" w:bidi="ar-SA"/>
              </w:rPr>
              <w:t>Vitamin A:</w:t>
            </w:r>
            <w:r w:rsidRPr="00310115">
              <w:rPr>
                <w:b w:val="0"/>
                <w:szCs w:val="20"/>
                <w:lang w:val="en-AU" w:bidi="ar-SA"/>
              </w:rPr>
              <w:t xml:space="preserve"> </w:t>
            </w:r>
            <w:r w:rsidR="0029598D">
              <w:rPr>
                <w:rFonts w:cs="Calibri"/>
                <w:b w:val="0"/>
                <w:szCs w:val="20"/>
                <w:lang w:val="en-AU" w:bidi="ar-SA"/>
              </w:rPr>
              <w:t>β</w:t>
            </w:r>
            <w:r>
              <w:rPr>
                <w:b w:val="0"/>
                <w:szCs w:val="20"/>
                <w:lang w:val="en-AU" w:bidi="ar-SA"/>
              </w:rPr>
              <w:t>-carotene is a permitted as a provitamin A form in Standard 2.9.1 and Codex but it is not included in the total</w:t>
            </w:r>
            <w:r w:rsidR="00D0635C">
              <w:rPr>
                <w:b w:val="0"/>
                <w:szCs w:val="20"/>
                <w:lang w:val="en-AU" w:bidi="ar-SA"/>
              </w:rPr>
              <w:t xml:space="preserve"> vitamin A amount (see section 7</w:t>
            </w:r>
            <w:r>
              <w:rPr>
                <w:b w:val="0"/>
                <w:szCs w:val="20"/>
                <w:lang w:val="en-AU" w:bidi="ar-SA"/>
              </w:rPr>
              <w:t xml:space="preserve">.2.1). FSANZ sought </w:t>
            </w:r>
            <w:r w:rsidRPr="00310115">
              <w:rPr>
                <w:b w:val="0"/>
                <w:szCs w:val="20"/>
                <w:lang w:val="en-AU" w:bidi="ar-SA"/>
              </w:rPr>
              <w:t>further information on the justification to retain β-carotene as a provitamin A form in Standard 2.9.1.</w:t>
            </w:r>
          </w:p>
        </w:tc>
        <w:tc>
          <w:tcPr>
            <w:tcW w:w="1559" w:type="dxa"/>
          </w:tcPr>
          <w:p w14:paraId="5AD01515" w14:textId="77777777" w:rsidR="00776154" w:rsidRPr="00B63A4F" w:rsidRDefault="00776154" w:rsidP="00776154">
            <w:pPr>
              <w:cnfStyle w:val="000000010000" w:firstRow="0" w:lastRow="0" w:firstColumn="0" w:lastColumn="0" w:oddVBand="0" w:evenVBand="0" w:oddHBand="0" w:evenHBand="1" w:firstRowFirstColumn="0" w:firstRowLastColumn="0" w:lastRowFirstColumn="0" w:lastRowLastColumn="0"/>
              <w:rPr>
                <w:szCs w:val="20"/>
                <w:lang w:bidi="ar-SA"/>
              </w:rPr>
            </w:pPr>
            <w:r>
              <w:rPr>
                <w:szCs w:val="20"/>
                <w:lang w:bidi="ar-SA"/>
              </w:rPr>
              <w:t>I</w:t>
            </w:r>
            <w:r w:rsidRPr="00B63A4F">
              <w:rPr>
                <w:szCs w:val="20"/>
                <w:lang w:bidi="ar-SA"/>
              </w:rPr>
              <w:t>ndustry (6</w:t>
            </w:r>
            <w:r>
              <w:rPr>
                <w:szCs w:val="20"/>
                <w:lang w:bidi="ar-SA"/>
              </w:rPr>
              <w:t>)</w:t>
            </w:r>
            <w:r w:rsidRPr="00B63A4F">
              <w:rPr>
                <w:szCs w:val="20"/>
                <w:lang w:bidi="ar-SA"/>
              </w:rPr>
              <w:t xml:space="preserve">, </w:t>
            </w:r>
          </w:p>
          <w:p w14:paraId="7BC5B359" w14:textId="77777777" w:rsidR="00776154" w:rsidRPr="00310115" w:rsidRDefault="00776154" w:rsidP="00776154">
            <w:pPr>
              <w:cnfStyle w:val="000000010000" w:firstRow="0" w:lastRow="0" w:firstColumn="0" w:lastColumn="0" w:oddVBand="0" w:evenVBand="0" w:oddHBand="0" w:evenHBand="1" w:firstRowFirstColumn="0" w:firstRowLastColumn="0" w:lastRowFirstColumn="0" w:lastRowLastColumn="0"/>
              <w:rPr>
                <w:szCs w:val="20"/>
                <w:lang w:bidi="ar-SA"/>
              </w:rPr>
            </w:pPr>
            <w:r>
              <w:rPr>
                <w:szCs w:val="20"/>
                <w:lang w:bidi="ar-SA"/>
              </w:rPr>
              <w:t>G</w:t>
            </w:r>
            <w:r w:rsidRPr="00B63A4F">
              <w:rPr>
                <w:szCs w:val="20"/>
                <w:lang w:bidi="ar-SA"/>
              </w:rPr>
              <w:t>overnment</w:t>
            </w:r>
            <w:r>
              <w:rPr>
                <w:szCs w:val="20"/>
                <w:lang w:bidi="ar-SA"/>
              </w:rPr>
              <w:t xml:space="preserve"> (2</w:t>
            </w:r>
            <w:r w:rsidRPr="00B63A4F">
              <w:rPr>
                <w:szCs w:val="20"/>
                <w:lang w:bidi="ar-SA"/>
              </w:rPr>
              <w:t>)</w:t>
            </w:r>
          </w:p>
        </w:tc>
        <w:tc>
          <w:tcPr>
            <w:tcW w:w="3828" w:type="dxa"/>
          </w:tcPr>
          <w:p w14:paraId="6A7E4CAC" w14:textId="77777777" w:rsidR="00776154" w:rsidRDefault="00776154" w:rsidP="00776154">
            <w:pPr>
              <w:cnfStyle w:val="000000010000" w:firstRow="0" w:lastRow="0" w:firstColumn="0" w:lastColumn="0" w:oddVBand="0" w:evenVBand="0" w:oddHBand="0" w:evenHBand="1" w:firstRowFirstColumn="0" w:firstRowLastColumn="0" w:lastRowFirstColumn="0" w:lastRowLastColumn="0"/>
              <w:rPr>
                <w:szCs w:val="20"/>
                <w:lang w:bidi="ar-SA"/>
              </w:rPr>
            </w:pPr>
            <w:r>
              <w:rPr>
                <w:szCs w:val="20"/>
                <w:lang w:bidi="ar-SA"/>
              </w:rPr>
              <w:t>See discussion below.</w:t>
            </w:r>
          </w:p>
          <w:p w14:paraId="0A505FB1" w14:textId="56F10973" w:rsidR="00776154" w:rsidRPr="00310115" w:rsidRDefault="00776154" w:rsidP="0029598D">
            <w:pPr>
              <w:cnfStyle w:val="000000010000" w:firstRow="0" w:lastRow="0" w:firstColumn="0" w:lastColumn="0" w:oddVBand="0" w:evenVBand="0" w:oddHBand="0" w:evenHBand="1" w:firstRowFirstColumn="0" w:firstRowLastColumn="0" w:lastRowFirstColumn="0" w:lastRowLastColumn="0"/>
              <w:rPr>
                <w:szCs w:val="20"/>
                <w:lang w:bidi="ar-SA"/>
              </w:rPr>
            </w:pPr>
            <w:r w:rsidRPr="00B63A4F">
              <w:rPr>
                <w:szCs w:val="20"/>
                <w:lang w:bidi="ar-SA"/>
              </w:rPr>
              <w:t xml:space="preserve">FSANZ proposes to retain permission for </w:t>
            </w:r>
            <w:r w:rsidR="00DB62B6">
              <w:rPr>
                <w:rFonts w:cs="Calibri"/>
                <w:szCs w:val="20"/>
                <w:lang w:bidi="ar-SA"/>
              </w:rPr>
              <w:t>β</w:t>
            </w:r>
            <w:r w:rsidR="00DB62B6">
              <w:rPr>
                <w:szCs w:val="20"/>
                <w:lang w:bidi="ar-SA"/>
              </w:rPr>
              <w:t>-‍</w:t>
            </w:r>
            <w:r w:rsidRPr="00B63A4F">
              <w:rPr>
                <w:szCs w:val="20"/>
                <w:lang w:bidi="ar-SA"/>
              </w:rPr>
              <w:t>carotene as a permitted form but this will not be included in the vitamin A content.</w:t>
            </w:r>
          </w:p>
        </w:tc>
      </w:tr>
      <w:tr w:rsidR="00776154" w:rsidRPr="00310115" w14:paraId="480DA541" w14:textId="77777777" w:rsidTr="008A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14:paraId="1E1D6D70" w14:textId="77777777" w:rsidR="00776154" w:rsidRPr="00310115" w:rsidRDefault="00776154" w:rsidP="00776154">
            <w:pPr>
              <w:rPr>
                <w:b w:val="0"/>
                <w:szCs w:val="20"/>
                <w:lang w:val="en-AU" w:bidi="ar-SA"/>
              </w:rPr>
            </w:pPr>
            <w:r w:rsidRPr="00310115">
              <w:rPr>
                <w:szCs w:val="20"/>
                <w:lang w:val="en-AU" w:bidi="ar-SA"/>
              </w:rPr>
              <w:t>Vitamin D:</w:t>
            </w:r>
            <w:r w:rsidRPr="00310115">
              <w:rPr>
                <w:b w:val="0"/>
                <w:szCs w:val="20"/>
                <w:lang w:val="en-AU" w:bidi="ar-SA"/>
              </w:rPr>
              <w:t xml:space="preserve"> </w:t>
            </w:r>
            <w:r>
              <w:rPr>
                <w:b w:val="0"/>
                <w:szCs w:val="20"/>
                <w:lang w:val="en-AU" w:bidi="ar-SA"/>
              </w:rPr>
              <w:t>Bo</w:t>
            </w:r>
            <w:r w:rsidRPr="00B74191">
              <w:rPr>
                <w:b w:val="0"/>
                <w:szCs w:val="20"/>
                <w:lang w:val="en-AU" w:bidi="ar-SA"/>
              </w:rPr>
              <w:t>th vitamin D</w:t>
            </w:r>
            <w:r w:rsidRPr="009B353C">
              <w:rPr>
                <w:b w:val="0"/>
                <w:szCs w:val="20"/>
                <w:vertAlign w:val="subscript"/>
                <w:lang w:val="en-AU" w:bidi="ar-SA"/>
              </w:rPr>
              <w:t xml:space="preserve">3 </w:t>
            </w:r>
            <w:r w:rsidRPr="00B74191">
              <w:rPr>
                <w:b w:val="0"/>
                <w:szCs w:val="20"/>
                <w:lang w:val="en-AU" w:bidi="ar-SA"/>
              </w:rPr>
              <w:t>(cholecalciferol) and vitamin D</w:t>
            </w:r>
            <w:r w:rsidRPr="009B353C">
              <w:rPr>
                <w:b w:val="0"/>
                <w:szCs w:val="20"/>
                <w:vertAlign w:val="subscript"/>
                <w:lang w:val="en-AU" w:bidi="ar-SA"/>
              </w:rPr>
              <w:t>2</w:t>
            </w:r>
            <w:r w:rsidRPr="00B74191">
              <w:rPr>
                <w:b w:val="0"/>
                <w:szCs w:val="20"/>
                <w:lang w:val="en-AU" w:bidi="ar-SA"/>
              </w:rPr>
              <w:t xml:space="preserve"> (ergocalciferol) </w:t>
            </w:r>
            <w:r>
              <w:rPr>
                <w:b w:val="0"/>
                <w:szCs w:val="20"/>
                <w:lang w:val="en-AU" w:bidi="ar-SA"/>
              </w:rPr>
              <w:t xml:space="preserve">are permitted forms in the Code. </w:t>
            </w:r>
            <w:r w:rsidRPr="00B74191">
              <w:rPr>
                <w:b w:val="0"/>
                <w:szCs w:val="20"/>
                <w:lang w:val="en-AU" w:bidi="ar-SA"/>
              </w:rPr>
              <w:t>Codex GL 10-1979 permits only cholecalciferol (D</w:t>
            </w:r>
            <w:r w:rsidRPr="009B353C">
              <w:rPr>
                <w:b w:val="0"/>
                <w:szCs w:val="20"/>
                <w:vertAlign w:val="subscript"/>
                <w:lang w:val="en-AU" w:bidi="ar-SA"/>
              </w:rPr>
              <w:t>3</w:t>
            </w:r>
            <w:r w:rsidRPr="00B74191">
              <w:rPr>
                <w:b w:val="0"/>
                <w:szCs w:val="20"/>
                <w:lang w:val="en-AU" w:bidi="ar-SA"/>
              </w:rPr>
              <w:t>) based on uncertainty of the bioavailability of vitamin D</w:t>
            </w:r>
            <w:r w:rsidRPr="009B353C">
              <w:rPr>
                <w:b w:val="0"/>
                <w:szCs w:val="20"/>
                <w:vertAlign w:val="subscript"/>
                <w:lang w:val="en-AU" w:bidi="ar-SA"/>
              </w:rPr>
              <w:t>2</w:t>
            </w:r>
            <w:r w:rsidRPr="00B74191">
              <w:rPr>
                <w:b w:val="0"/>
                <w:szCs w:val="20"/>
                <w:lang w:val="en-AU" w:bidi="ar-SA"/>
              </w:rPr>
              <w:t xml:space="preserve"> in infants. </w:t>
            </w:r>
          </w:p>
        </w:tc>
        <w:tc>
          <w:tcPr>
            <w:tcW w:w="1559" w:type="dxa"/>
          </w:tcPr>
          <w:p w14:paraId="69FC20ED" w14:textId="77777777" w:rsidR="00776154" w:rsidRPr="00310115" w:rsidRDefault="00776154" w:rsidP="00776154">
            <w:pPr>
              <w:cnfStyle w:val="000000100000" w:firstRow="0" w:lastRow="0" w:firstColumn="0" w:lastColumn="0" w:oddVBand="0" w:evenVBand="0" w:oddHBand="1" w:evenHBand="0" w:firstRowFirstColumn="0" w:firstRowLastColumn="0" w:lastRowFirstColumn="0" w:lastRowLastColumn="0"/>
              <w:rPr>
                <w:szCs w:val="20"/>
                <w:lang w:bidi="ar-SA"/>
              </w:rPr>
            </w:pPr>
            <w:r>
              <w:rPr>
                <w:szCs w:val="20"/>
                <w:lang w:bidi="ar-SA"/>
              </w:rPr>
              <w:t>Industry (2), Government (1)</w:t>
            </w:r>
          </w:p>
        </w:tc>
        <w:tc>
          <w:tcPr>
            <w:tcW w:w="3828" w:type="dxa"/>
          </w:tcPr>
          <w:p w14:paraId="088809A1" w14:textId="77777777" w:rsidR="00776154" w:rsidRDefault="00776154" w:rsidP="00776154">
            <w:pPr>
              <w:cnfStyle w:val="000000100000" w:firstRow="0" w:lastRow="0" w:firstColumn="0" w:lastColumn="0" w:oddVBand="0" w:evenVBand="0" w:oddHBand="1" w:evenHBand="0" w:firstRowFirstColumn="0" w:firstRowLastColumn="0" w:lastRowFirstColumn="0" w:lastRowLastColumn="0"/>
              <w:rPr>
                <w:szCs w:val="20"/>
                <w:lang w:bidi="ar-SA"/>
              </w:rPr>
            </w:pPr>
            <w:r>
              <w:rPr>
                <w:szCs w:val="20"/>
                <w:lang w:bidi="ar-SA"/>
              </w:rPr>
              <w:t xml:space="preserve">See discussion below. </w:t>
            </w:r>
          </w:p>
          <w:p w14:paraId="65E61DAF" w14:textId="77777777" w:rsidR="00776154" w:rsidRPr="00310115" w:rsidRDefault="00776154" w:rsidP="00776154">
            <w:pPr>
              <w:cnfStyle w:val="000000100000" w:firstRow="0" w:lastRow="0" w:firstColumn="0" w:lastColumn="0" w:oddVBand="0" w:evenVBand="0" w:oddHBand="1" w:evenHBand="0" w:firstRowFirstColumn="0" w:firstRowLastColumn="0" w:lastRowFirstColumn="0" w:lastRowLastColumn="0"/>
              <w:rPr>
                <w:szCs w:val="20"/>
                <w:lang w:bidi="ar-SA"/>
              </w:rPr>
            </w:pPr>
            <w:r>
              <w:rPr>
                <w:szCs w:val="20"/>
                <w:lang w:bidi="ar-SA"/>
              </w:rPr>
              <w:t>Based on current scientific evidence, FSANZ proposes to retain the current Standard 2.9.1 permitted forms for vitamin D.</w:t>
            </w:r>
          </w:p>
        </w:tc>
      </w:tr>
      <w:tr w:rsidR="00776154" w:rsidRPr="00310115" w14:paraId="2DC2ECC8" w14:textId="77777777" w:rsidTr="008A2FD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14:paraId="4E8990EB" w14:textId="77777777" w:rsidR="00776154" w:rsidRPr="00310115" w:rsidRDefault="00776154" w:rsidP="00776154">
            <w:pPr>
              <w:rPr>
                <w:b w:val="0"/>
                <w:szCs w:val="20"/>
                <w:lang w:val="en-AU" w:bidi="ar-SA"/>
              </w:rPr>
            </w:pPr>
            <w:r w:rsidRPr="00310115">
              <w:rPr>
                <w:szCs w:val="20"/>
                <w:lang w:val="en-AU" w:bidi="ar-SA"/>
              </w:rPr>
              <w:t>Pantothenic acid:</w:t>
            </w:r>
            <w:r w:rsidRPr="00310115">
              <w:rPr>
                <w:b w:val="0"/>
                <w:szCs w:val="20"/>
                <w:lang w:val="en-AU" w:bidi="ar-SA"/>
              </w:rPr>
              <w:t xml:space="preserve"> </w:t>
            </w:r>
            <w:r w:rsidRPr="007E1787">
              <w:rPr>
                <w:b w:val="0"/>
                <w:szCs w:val="20"/>
                <w:lang w:val="en-AU" w:bidi="ar-SA"/>
              </w:rPr>
              <w:t xml:space="preserve">The Code lists dexpanthenol as the only permitted form of pantothenic acid. Codex GL 10-1979 lists D-panthenol, DL-panthenol, calcium D-pantothenate, and sodium D-pantothenate as </w:t>
            </w:r>
            <w:r>
              <w:rPr>
                <w:b w:val="0"/>
                <w:szCs w:val="20"/>
                <w:lang w:val="en-AU" w:bidi="ar-SA"/>
              </w:rPr>
              <w:t xml:space="preserve">permitted </w:t>
            </w:r>
            <w:r w:rsidRPr="007E1787">
              <w:rPr>
                <w:b w:val="0"/>
                <w:szCs w:val="20"/>
                <w:lang w:val="en-AU" w:bidi="ar-SA"/>
              </w:rPr>
              <w:t>forms</w:t>
            </w:r>
            <w:r>
              <w:rPr>
                <w:b w:val="0"/>
                <w:szCs w:val="20"/>
                <w:lang w:val="en-AU" w:bidi="ar-SA"/>
              </w:rPr>
              <w:t>.</w:t>
            </w:r>
            <w:r w:rsidRPr="007E1787">
              <w:rPr>
                <w:b w:val="0"/>
                <w:szCs w:val="20"/>
                <w:lang w:val="en-AU" w:bidi="ar-SA"/>
              </w:rPr>
              <w:t xml:space="preserve"> </w:t>
            </w:r>
            <w:r>
              <w:rPr>
                <w:b w:val="0"/>
                <w:szCs w:val="20"/>
                <w:lang w:val="en-AU" w:bidi="ar-SA"/>
              </w:rPr>
              <w:t>FSANZ’s preliminary view was that it is n</w:t>
            </w:r>
            <w:r w:rsidRPr="00310115">
              <w:rPr>
                <w:b w:val="0"/>
                <w:szCs w:val="20"/>
                <w:lang w:val="en-AU" w:bidi="ar-SA"/>
              </w:rPr>
              <w:t xml:space="preserve">ot appropriate to permit DL-panthenol </w:t>
            </w:r>
            <w:r>
              <w:rPr>
                <w:b w:val="0"/>
                <w:szCs w:val="20"/>
                <w:lang w:val="en-AU" w:bidi="ar-SA"/>
              </w:rPr>
              <w:t xml:space="preserve">and we sought </w:t>
            </w:r>
            <w:r w:rsidRPr="00310115">
              <w:rPr>
                <w:b w:val="0"/>
                <w:szCs w:val="20"/>
                <w:lang w:val="en-AU" w:bidi="ar-SA"/>
              </w:rPr>
              <w:t>further information and technological justification for calcium D-pantoth</w:t>
            </w:r>
            <w:r>
              <w:rPr>
                <w:b w:val="0"/>
                <w:szCs w:val="20"/>
                <w:lang w:val="en-AU" w:bidi="ar-SA"/>
              </w:rPr>
              <w:t>enate and sodium D-pantothenate</w:t>
            </w:r>
            <w:r w:rsidRPr="007E1787">
              <w:rPr>
                <w:b w:val="0"/>
                <w:szCs w:val="20"/>
                <w:lang w:val="en-AU" w:bidi="ar-SA"/>
              </w:rPr>
              <w:t xml:space="preserve"> </w:t>
            </w:r>
            <w:r>
              <w:rPr>
                <w:b w:val="0"/>
                <w:szCs w:val="20"/>
                <w:lang w:val="en-AU" w:bidi="ar-SA"/>
              </w:rPr>
              <w:t xml:space="preserve">as </w:t>
            </w:r>
            <w:r w:rsidRPr="007E1787">
              <w:rPr>
                <w:b w:val="0"/>
                <w:szCs w:val="20"/>
                <w:lang w:val="en-AU" w:bidi="ar-SA"/>
              </w:rPr>
              <w:t>suitable for use in infant formula</w:t>
            </w:r>
            <w:r>
              <w:rPr>
                <w:b w:val="0"/>
                <w:szCs w:val="20"/>
                <w:lang w:val="en-AU" w:bidi="ar-SA"/>
              </w:rPr>
              <w:t>.</w:t>
            </w:r>
          </w:p>
        </w:tc>
        <w:tc>
          <w:tcPr>
            <w:tcW w:w="1559" w:type="dxa"/>
          </w:tcPr>
          <w:p w14:paraId="0E896D34" w14:textId="77777777" w:rsidR="00776154" w:rsidRPr="00310115" w:rsidRDefault="00776154" w:rsidP="00776154">
            <w:pPr>
              <w:cnfStyle w:val="000000010000" w:firstRow="0" w:lastRow="0" w:firstColumn="0" w:lastColumn="0" w:oddVBand="0" w:evenVBand="0" w:oddHBand="0" w:evenHBand="1" w:firstRowFirstColumn="0" w:firstRowLastColumn="0" w:lastRowFirstColumn="0" w:lastRowLastColumn="0"/>
              <w:rPr>
                <w:szCs w:val="20"/>
                <w:lang w:bidi="ar-SA"/>
              </w:rPr>
            </w:pPr>
            <w:r>
              <w:rPr>
                <w:szCs w:val="20"/>
                <w:lang w:bidi="ar-SA"/>
              </w:rPr>
              <w:t>0</w:t>
            </w:r>
          </w:p>
        </w:tc>
        <w:tc>
          <w:tcPr>
            <w:tcW w:w="3828" w:type="dxa"/>
          </w:tcPr>
          <w:p w14:paraId="492F1199" w14:textId="472EA944" w:rsidR="00776154" w:rsidRPr="00310115" w:rsidRDefault="00776154" w:rsidP="008A5CD3">
            <w:pPr>
              <w:cnfStyle w:val="000000010000" w:firstRow="0" w:lastRow="0" w:firstColumn="0" w:lastColumn="0" w:oddVBand="0" w:evenVBand="0" w:oddHBand="0" w:evenHBand="1" w:firstRowFirstColumn="0" w:firstRowLastColumn="0" w:lastRowFirstColumn="0" w:lastRowLastColumn="0"/>
              <w:rPr>
                <w:szCs w:val="20"/>
                <w:lang w:bidi="ar-SA"/>
              </w:rPr>
            </w:pPr>
            <w:r>
              <w:rPr>
                <w:szCs w:val="20"/>
                <w:lang w:val="en-AU" w:bidi="ar-SA"/>
              </w:rPr>
              <w:t xml:space="preserve">FSANZ proposes to permit </w:t>
            </w:r>
            <w:r w:rsidR="008A5CD3">
              <w:rPr>
                <w:szCs w:val="20"/>
                <w:lang w:val="en-AU" w:bidi="ar-SA"/>
              </w:rPr>
              <w:t>D-panthenol</w:t>
            </w:r>
            <w:r w:rsidRPr="007E1787">
              <w:rPr>
                <w:szCs w:val="20"/>
                <w:lang w:val="en-AU" w:bidi="ar-SA"/>
              </w:rPr>
              <w:t>, calcium D-pantothenate, and sodium D-pantothenate</w:t>
            </w:r>
            <w:r>
              <w:rPr>
                <w:szCs w:val="20"/>
                <w:lang w:val="en-AU" w:bidi="ar-SA"/>
              </w:rPr>
              <w:t xml:space="preserve"> as forms for pantothenic acid but not DL-panthenol.</w:t>
            </w:r>
          </w:p>
        </w:tc>
      </w:tr>
      <w:tr w:rsidR="00776154" w:rsidRPr="00310115" w14:paraId="2C3F7F3C" w14:textId="77777777" w:rsidTr="008A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14:paraId="2A027219" w14:textId="77777777" w:rsidR="00776154" w:rsidRPr="00310115" w:rsidRDefault="00776154" w:rsidP="00776154">
            <w:pPr>
              <w:rPr>
                <w:b w:val="0"/>
                <w:szCs w:val="20"/>
                <w:lang w:val="en-AU" w:bidi="ar-SA"/>
              </w:rPr>
            </w:pPr>
            <w:r w:rsidRPr="00310115">
              <w:rPr>
                <w:szCs w:val="20"/>
                <w:lang w:val="en-AU" w:bidi="ar-SA"/>
              </w:rPr>
              <w:t>Niacin:</w:t>
            </w:r>
            <w:r w:rsidRPr="00310115">
              <w:rPr>
                <w:b w:val="0"/>
                <w:szCs w:val="20"/>
                <w:lang w:val="en-AU" w:bidi="ar-SA"/>
              </w:rPr>
              <w:t xml:space="preserve"> </w:t>
            </w:r>
            <w:r>
              <w:rPr>
                <w:b w:val="0"/>
                <w:szCs w:val="20"/>
                <w:lang w:val="en-AU" w:bidi="ar-SA"/>
              </w:rPr>
              <w:t xml:space="preserve">The Code and Codex list </w:t>
            </w:r>
            <w:r w:rsidRPr="00783AFC">
              <w:rPr>
                <w:b w:val="0"/>
                <w:szCs w:val="20"/>
                <w:lang w:bidi="ar-SA"/>
              </w:rPr>
              <w:t>niacinamide (nicotinamide)</w:t>
            </w:r>
            <w:r>
              <w:rPr>
                <w:b w:val="0"/>
                <w:szCs w:val="20"/>
                <w:lang w:bidi="ar-SA"/>
              </w:rPr>
              <w:t xml:space="preserve"> as the permitted form for niacin but Codex also includes nicotinic acid. </w:t>
            </w:r>
          </w:p>
        </w:tc>
        <w:tc>
          <w:tcPr>
            <w:tcW w:w="1559" w:type="dxa"/>
          </w:tcPr>
          <w:p w14:paraId="3AE000D3" w14:textId="77777777" w:rsidR="00776154" w:rsidRPr="00310115" w:rsidRDefault="00776154" w:rsidP="00776154">
            <w:pPr>
              <w:cnfStyle w:val="000000100000" w:firstRow="0" w:lastRow="0" w:firstColumn="0" w:lastColumn="0" w:oddVBand="0" w:evenVBand="0" w:oddHBand="1" w:evenHBand="0" w:firstRowFirstColumn="0" w:firstRowLastColumn="0" w:lastRowFirstColumn="0" w:lastRowLastColumn="0"/>
              <w:rPr>
                <w:szCs w:val="20"/>
                <w:lang w:bidi="ar-SA"/>
              </w:rPr>
            </w:pPr>
            <w:r>
              <w:rPr>
                <w:szCs w:val="20"/>
                <w:lang w:bidi="ar-SA"/>
              </w:rPr>
              <w:t>0</w:t>
            </w:r>
          </w:p>
        </w:tc>
        <w:tc>
          <w:tcPr>
            <w:tcW w:w="3828" w:type="dxa"/>
          </w:tcPr>
          <w:p w14:paraId="3E8C6D07" w14:textId="77777777" w:rsidR="00776154" w:rsidRPr="00310115" w:rsidRDefault="00776154" w:rsidP="00776154">
            <w:pPr>
              <w:cnfStyle w:val="000000100000" w:firstRow="0" w:lastRow="0" w:firstColumn="0" w:lastColumn="0" w:oddVBand="0" w:evenVBand="0" w:oddHBand="1" w:evenHBand="0" w:firstRowFirstColumn="0" w:firstRowLastColumn="0" w:lastRowFirstColumn="0" w:lastRowLastColumn="0"/>
              <w:rPr>
                <w:szCs w:val="20"/>
                <w:lang w:bidi="ar-SA"/>
              </w:rPr>
            </w:pPr>
            <w:r>
              <w:rPr>
                <w:szCs w:val="20"/>
                <w:lang w:bidi="ar-SA"/>
              </w:rPr>
              <w:t xml:space="preserve">FSANZ proposes not to permit nicotinic acid for use in infant formula. </w:t>
            </w:r>
          </w:p>
        </w:tc>
      </w:tr>
      <w:tr w:rsidR="00776154" w:rsidRPr="00310115" w14:paraId="0C6A0CF9" w14:textId="77777777" w:rsidTr="008A2FD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14:paraId="1B00E489" w14:textId="77777777" w:rsidR="00776154" w:rsidRPr="00783AFC" w:rsidRDefault="00776154" w:rsidP="00776154">
            <w:pPr>
              <w:rPr>
                <w:b w:val="0"/>
                <w:szCs w:val="20"/>
                <w:lang w:val="en-AU" w:bidi="ar-SA"/>
              </w:rPr>
            </w:pPr>
            <w:r>
              <w:rPr>
                <w:szCs w:val="20"/>
                <w:lang w:val="en-AU" w:bidi="ar-SA"/>
              </w:rPr>
              <w:t xml:space="preserve">Copper: </w:t>
            </w:r>
            <w:r w:rsidRPr="00783AFC">
              <w:rPr>
                <w:b w:val="0"/>
                <w:szCs w:val="20"/>
                <w:lang w:bidi="ar-SA"/>
              </w:rPr>
              <w:t>Codex lists an additional form of copper (cupric carbonate) which is not included in S29 of the Code.</w:t>
            </w:r>
          </w:p>
        </w:tc>
        <w:tc>
          <w:tcPr>
            <w:tcW w:w="1559" w:type="dxa"/>
          </w:tcPr>
          <w:p w14:paraId="0C4C170B" w14:textId="77777777" w:rsidR="00776154" w:rsidRDefault="00776154" w:rsidP="00776154">
            <w:pPr>
              <w:cnfStyle w:val="000000010000" w:firstRow="0" w:lastRow="0" w:firstColumn="0" w:lastColumn="0" w:oddVBand="0" w:evenVBand="0" w:oddHBand="0" w:evenHBand="1" w:firstRowFirstColumn="0" w:firstRowLastColumn="0" w:lastRowFirstColumn="0" w:lastRowLastColumn="0"/>
              <w:rPr>
                <w:szCs w:val="20"/>
                <w:lang w:bidi="ar-SA"/>
              </w:rPr>
            </w:pPr>
            <w:r>
              <w:rPr>
                <w:szCs w:val="20"/>
                <w:lang w:bidi="ar-SA"/>
              </w:rPr>
              <w:t>0</w:t>
            </w:r>
          </w:p>
        </w:tc>
        <w:tc>
          <w:tcPr>
            <w:tcW w:w="3828" w:type="dxa"/>
          </w:tcPr>
          <w:p w14:paraId="5E1CA81B" w14:textId="77777777" w:rsidR="00776154" w:rsidRPr="00310115" w:rsidRDefault="00776154" w:rsidP="00776154">
            <w:pPr>
              <w:cnfStyle w:val="000000010000" w:firstRow="0" w:lastRow="0" w:firstColumn="0" w:lastColumn="0" w:oddVBand="0" w:evenVBand="0" w:oddHBand="0" w:evenHBand="1" w:firstRowFirstColumn="0" w:firstRowLastColumn="0" w:lastRowFirstColumn="0" w:lastRowLastColumn="0"/>
              <w:rPr>
                <w:szCs w:val="20"/>
                <w:lang w:bidi="ar-SA"/>
              </w:rPr>
            </w:pPr>
            <w:r>
              <w:rPr>
                <w:szCs w:val="20"/>
                <w:lang w:bidi="ar-SA"/>
              </w:rPr>
              <w:t xml:space="preserve">FSANZ proposes to include cupric carbonate as a permitted form for copper. </w:t>
            </w:r>
          </w:p>
        </w:tc>
      </w:tr>
      <w:tr w:rsidR="00776154" w:rsidRPr="00310115" w14:paraId="4BCCC576" w14:textId="77777777" w:rsidTr="008A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14:paraId="5B8054EB" w14:textId="77777777" w:rsidR="00776154" w:rsidRPr="00310115" w:rsidRDefault="00776154" w:rsidP="00776154">
            <w:pPr>
              <w:rPr>
                <w:b w:val="0"/>
                <w:szCs w:val="20"/>
                <w:lang w:val="en-AU" w:bidi="ar-SA"/>
              </w:rPr>
            </w:pPr>
            <w:r w:rsidRPr="00310115">
              <w:rPr>
                <w:szCs w:val="20"/>
                <w:lang w:val="en-AU" w:bidi="ar-SA"/>
              </w:rPr>
              <w:t>Magnesium:</w:t>
            </w:r>
            <w:r>
              <w:rPr>
                <w:b w:val="0"/>
                <w:szCs w:val="20"/>
                <w:lang w:val="en-AU" w:bidi="ar-SA"/>
              </w:rPr>
              <w:t xml:space="preserve"> FSANZ sought </w:t>
            </w:r>
            <w:r w:rsidRPr="00310115">
              <w:rPr>
                <w:b w:val="0"/>
                <w:szCs w:val="20"/>
                <w:lang w:val="en-AU" w:bidi="ar-SA"/>
              </w:rPr>
              <w:t>further information on the technological justification for the use of magnesium hydroxide carbonate, magnesium hydroxide and magnesium salts o</w:t>
            </w:r>
            <w:r>
              <w:rPr>
                <w:b w:val="0"/>
                <w:szCs w:val="20"/>
                <w:lang w:val="en-AU" w:bidi="ar-SA"/>
              </w:rPr>
              <w:t xml:space="preserve">f citric acid in infant formula. </w:t>
            </w:r>
          </w:p>
        </w:tc>
        <w:tc>
          <w:tcPr>
            <w:tcW w:w="1559" w:type="dxa"/>
          </w:tcPr>
          <w:p w14:paraId="65469881" w14:textId="77777777" w:rsidR="00776154" w:rsidRPr="00310115" w:rsidRDefault="00776154" w:rsidP="00776154">
            <w:pPr>
              <w:cnfStyle w:val="000000100000" w:firstRow="0" w:lastRow="0" w:firstColumn="0" w:lastColumn="0" w:oddVBand="0" w:evenVBand="0" w:oddHBand="1" w:evenHBand="0" w:firstRowFirstColumn="0" w:firstRowLastColumn="0" w:lastRowFirstColumn="0" w:lastRowLastColumn="0"/>
              <w:rPr>
                <w:szCs w:val="20"/>
                <w:lang w:bidi="ar-SA"/>
              </w:rPr>
            </w:pPr>
            <w:r>
              <w:rPr>
                <w:szCs w:val="20"/>
                <w:lang w:bidi="ar-SA"/>
              </w:rPr>
              <w:t>0</w:t>
            </w:r>
          </w:p>
        </w:tc>
        <w:tc>
          <w:tcPr>
            <w:tcW w:w="3828" w:type="dxa"/>
          </w:tcPr>
          <w:p w14:paraId="60558499" w14:textId="77777777" w:rsidR="00776154" w:rsidRPr="00310115" w:rsidRDefault="00776154" w:rsidP="00776154">
            <w:pPr>
              <w:cnfStyle w:val="000000100000" w:firstRow="0" w:lastRow="0" w:firstColumn="0" w:lastColumn="0" w:oddVBand="0" w:evenVBand="0" w:oddHBand="1" w:evenHBand="0" w:firstRowFirstColumn="0" w:firstRowLastColumn="0" w:lastRowFirstColumn="0" w:lastRowLastColumn="0"/>
              <w:rPr>
                <w:szCs w:val="20"/>
                <w:lang w:bidi="ar-SA"/>
              </w:rPr>
            </w:pPr>
            <w:r>
              <w:rPr>
                <w:szCs w:val="20"/>
                <w:lang w:bidi="ar-SA"/>
              </w:rPr>
              <w:t xml:space="preserve">FSANZ proposes to include </w:t>
            </w:r>
            <w:r w:rsidRPr="00783AFC">
              <w:rPr>
                <w:szCs w:val="20"/>
                <w:lang w:bidi="ar-SA"/>
              </w:rPr>
              <w:t>magnesium hydroxide carbonate, magnesium hydroxide and magnesium salts of citric acid</w:t>
            </w:r>
            <w:r>
              <w:rPr>
                <w:szCs w:val="20"/>
                <w:lang w:bidi="ar-SA"/>
              </w:rPr>
              <w:t xml:space="preserve"> as permitted forms for magnesium. </w:t>
            </w:r>
          </w:p>
        </w:tc>
      </w:tr>
      <w:tr w:rsidR="00776154" w:rsidRPr="00310115" w14:paraId="1D928151" w14:textId="77777777" w:rsidTr="008A2FD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14:paraId="09C01E95" w14:textId="77777777" w:rsidR="00776154" w:rsidRPr="00310115" w:rsidRDefault="00776154" w:rsidP="00776154">
            <w:pPr>
              <w:rPr>
                <w:b w:val="0"/>
                <w:szCs w:val="20"/>
                <w:lang w:val="en-AU" w:bidi="ar-SA"/>
              </w:rPr>
            </w:pPr>
            <w:r w:rsidRPr="00A675D7">
              <w:rPr>
                <w:szCs w:val="20"/>
                <w:lang w:bidi="ar-SA"/>
              </w:rPr>
              <w:t>Potassium:</w:t>
            </w:r>
            <w:r w:rsidRPr="00310115">
              <w:rPr>
                <w:b w:val="0"/>
                <w:szCs w:val="20"/>
                <w:lang w:bidi="ar-SA"/>
              </w:rPr>
              <w:t xml:space="preserve"> </w:t>
            </w:r>
            <w:r>
              <w:rPr>
                <w:b w:val="0"/>
                <w:szCs w:val="20"/>
                <w:lang w:bidi="ar-SA"/>
              </w:rPr>
              <w:t xml:space="preserve">FSANZ sought </w:t>
            </w:r>
            <w:r w:rsidRPr="00310115">
              <w:rPr>
                <w:b w:val="0"/>
                <w:szCs w:val="20"/>
                <w:lang w:bidi="ar-SA"/>
              </w:rPr>
              <w:t>further information on the technological justification for the use of potassium L-lactate in infant formula</w:t>
            </w:r>
            <w:r>
              <w:rPr>
                <w:b w:val="0"/>
                <w:szCs w:val="20"/>
                <w:lang w:bidi="ar-SA"/>
              </w:rPr>
              <w:t>.</w:t>
            </w:r>
          </w:p>
        </w:tc>
        <w:tc>
          <w:tcPr>
            <w:tcW w:w="1559" w:type="dxa"/>
          </w:tcPr>
          <w:p w14:paraId="2A61DE05" w14:textId="77777777" w:rsidR="00776154" w:rsidRPr="00310115" w:rsidRDefault="00776154" w:rsidP="00776154">
            <w:pPr>
              <w:cnfStyle w:val="000000010000" w:firstRow="0" w:lastRow="0" w:firstColumn="0" w:lastColumn="0" w:oddVBand="0" w:evenVBand="0" w:oddHBand="0" w:evenHBand="1" w:firstRowFirstColumn="0" w:firstRowLastColumn="0" w:lastRowFirstColumn="0" w:lastRowLastColumn="0"/>
              <w:rPr>
                <w:szCs w:val="20"/>
                <w:lang w:bidi="ar-SA"/>
              </w:rPr>
            </w:pPr>
            <w:r>
              <w:rPr>
                <w:szCs w:val="20"/>
                <w:lang w:bidi="ar-SA"/>
              </w:rPr>
              <w:t>0</w:t>
            </w:r>
          </w:p>
        </w:tc>
        <w:tc>
          <w:tcPr>
            <w:tcW w:w="3828" w:type="dxa"/>
          </w:tcPr>
          <w:p w14:paraId="078F3FE2" w14:textId="77777777" w:rsidR="00776154" w:rsidRPr="00310115" w:rsidRDefault="00776154" w:rsidP="00776154">
            <w:pPr>
              <w:cnfStyle w:val="000000010000" w:firstRow="0" w:lastRow="0" w:firstColumn="0" w:lastColumn="0" w:oddVBand="0" w:evenVBand="0" w:oddHBand="0" w:evenHBand="1" w:firstRowFirstColumn="0" w:firstRowLastColumn="0" w:lastRowFirstColumn="0" w:lastRowLastColumn="0"/>
              <w:rPr>
                <w:szCs w:val="20"/>
                <w:lang w:bidi="ar-SA"/>
              </w:rPr>
            </w:pPr>
            <w:r>
              <w:rPr>
                <w:szCs w:val="20"/>
                <w:lang w:bidi="ar-SA"/>
              </w:rPr>
              <w:t xml:space="preserve">FSANZ proposes to include </w:t>
            </w:r>
            <w:r w:rsidRPr="00783AFC">
              <w:rPr>
                <w:szCs w:val="20"/>
                <w:lang w:bidi="ar-SA"/>
              </w:rPr>
              <w:t>potassium L-lactate</w:t>
            </w:r>
            <w:r>
              <w:rPr>
                <w:szCs w:val="20"/>
                <w:lang w:bidi="ar-SA"/>
              </w:rPr>
              <w:t xml:space="preserve"> as a permitted form for potassium. </w:t>
            </w:r>
          </w:p>
        </w:tc>
      </w:tr>
      <w:tr w:rsidR="00776154" w:rsidRPr="00310115" w14:paraId="551C0C41" w14:textId="77777777" w:rsidTr="008A2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14:paraId="1877CD74" w14:textId="77777777" w:rsidR="00776154" w:rsidRPr="00310115" w:rsidRDefault="00776154" w:rsidP="00776154">
            <w:pPr>
              <w:rPr>
                <w:b w:val="0"/>
                <w:szCs w:val="20"/>
                <w:lang w:val="en-AU" w:bidi="ar-SA"/>
              </w:rPr>
            </w:pPr>
            <w:r w:rsidRPr="00A675D7">
              <w:rPr>
                <w:szCs w:val="20"/>
                <w:lang w:bidi="ar-SA"/>
              </w:rPr>
              <w:t>Zinc:</w:t>
            </w:r>
            <w:r>
              <w:rPr>
                <w:szCs w:val="20"/>
                <w:lang w:bidi="ar-SA"/>
              </w:rPr>
              <w:t xml:space="preserve"> </w:t>
            </w:r>
            <w:r w:rsidRPr="00A675D7">
              <w:rPr>
                <w:b w:val="0"/>
                <w:szCs w:val="20"/>
                <w:lang w:bidi="ar-SA"/>
              </w:rPr>
              <w:t>FSANZ sought</w:t>
            </w:r>
            <w:r>
              <w:rPr>
                <w:szCs w:val="20"/>
                <w:lang w:bidi="ar-SA"/>
              </w:rPr>
              <w:t xml:space="preserve"> </w:t>
            </w:r>
            <w:r w:rsidRPr="00310115">
              <w:rPr>
                <w:b w:val="0"/>
                <w:szCs w:val="20"/>
                <w:lang w:bidi="ar-SA"/>
              </w:rPr>
              <w:t xml:space="preserve">further information on the technological justification for the use of zinc lactate and zinc citrate (zinc citrate dehydrate or zinc citrate trihydrate) in infant formula </w:t>
            </w:r>
          </w:p>
        </w:tc>
        <w:tc>
          <w:tcPr>
            <w:tcW w:w="1559" w:type="dxa"/>
          </w:tcPr>
          <w:p w14:paraId="4711AA7D" w14:textId="77777777" w:rsidR="00776154" w:rsidRPr="00310115" w:rsidRDefault="00776154" w:rsidP="00776154">
            <w:pPr>
              <w:cnfStyle w:val="000000100000" w:firstRow="0" w:lastRow="0" w:firstColumn="0" w:lastColumn="0" w:oddVBand="0" w:evenVBand="0" w:oddHBand="1" w:evenHBand="0" w:firstRowFirstColumn="0" w:firstRowLastColumn="0" w:lastRowFirstColumn="0" w:lastRowLastColumn="0"/>
              <w:rPr>
                <w:szCs w:val="20"/>
                <w:lang w:bidi="ar-SA"/>
              </w:rPr>
            </w:pPr>
            <w:r>
              <w:rPr>
                <w:szCs w:val="20"/>
                <w:lang w:bidi="ar-SA"/>
              </w:rPr>
              <w:t>0</w:t>
            </w:r>
          </w:p>
        </w:tc>
        <w:tc>
          <w:tcPr>
            <w:tcW w:w="3828" w:type="dxa"/>
          </w:tcPr>
          <w:p w14:paraId="0BC664F7" w14:textId="77777777" w:rsidR="00776154" w:rsidRPr="00310115" w:rsidRDefault="00776154" w:rsidP="00776154">
            <w:pPr>
              <w:cnfStyle w:val="000000100000" w:firstRow="0" w:lastRow="0" w:firstColumn="0" w:lastColumn="0" w:oddVBand="0" w:evenVBand="0" w:oddHBand="1" w:evenHBand="0" w:firstRowFirstColumn="0" w:firstRowLastColumn="0" w:lastRowFirstColumn="0" w:lastRowLastColumn="0"/>
              <w:rPr>
                <w:szCs w:val="20"/>
                <w:lang w:bidi="ar-SA"/>
              </w:rPr>
            </w:pPr>
            <w:r w:rsidRPr="00783AFC">
              <w:rPr>
                <w:szCs w:val="20"/>
                <w:lang w:bidi="ar-SA"/>
              </w:rPr>
              <w:t xml:space="preserve">FSANZ </w:t>
            </w:r>
            <w:r>
              <w:rPr>
                <w:szCs w:val="20"/>
                <w:lang w:bidi="ar-SA"/>
              </w:rPr>
              <w:t>proposes to include</w:t>
            </w:r>
            <w:r w:rsidRPr="00783AFC">
              <w:rPr>
                <w:szCs w:val="20"/>
                <w:lang w:bidi="ar-SA"/>
              </w:rPr>
              <w:t xml:space="preserve"> zinc lactate and zinc citrate (zinc citrate dehydrate or zinc citrate trihydrate) </w:t>
            </w:r>
            <w:r>
              <w:rPr>
                <w:szCs w:val="20"/>
                <w:lang w:bidi="ar-SA"/>
              </w:rPr>
              <w:t>as permitted forms for zinc.</w:t>
            </w:r>
          </w:p>
        </w:tc>
      </w:tr>
      <w:tr w:rsidR="00776154" w:rsidRPr="00310115" w14:paraId="3AA78F22" w14:textId="77777777" w:rsidTr="008A2FD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14:paraId="300F001E" w14:textId="77777777" w:rsidR="00776154" w:rsidRPr="00310115" w:rsidRDefault="00776154" w:rsidP="00776154">
            <w:pPr>
              <w:rPr>
                <w:b w:val="0"/>
                <w:szCs w:val="20"/>
                <w:lang w:val="en-AU" w:bidi="ar-SA"/>
              </w:rPr>
            </w:pPr>
            <w:r w:rsidRPr="00A675D7">
              <w:rPr>
                <w:szCs w:val="20"/>
                <w:lang w:val="en-AU" w:bidi="ar-SA"/>
              </w:rPr>
              <w:t>Iron:</w:t>
            </w:r>
            <w:r w:rsidRPr="00310115">
              <w:rPr>
                <w:b w:val="0"/>
                <w:szCs w:val="20"/>
                <w:lang w:val="en-AU" w:bidi="ar-SA"/>
              </w:rPr>
              <w:t xml:space="preserve"> </w:t>
            </w:r>
            <w:r>
              <w:rPr>
                <w:b w:val="0"/>
                <w:szCs w:val="20"/>
                <w:lang w:val="en-AU" w:bidi="ar-SA"/>
              </w:rPr>
              <w:t xml:space="preserve">FSANZ sought </w:t>
            </w:r>
            <w:r w:rsidRPr="00310115">
              <w:rPr>
                <w:b w:val="0"/>
                <w:szCs w:val="20"/>
                <w:lang w:val="en-AU" w:bidi="ar-SA"/>
              </w:rPr>
              <w:t>further information on the technological justification for the use of ferric citrate, ferrous bisglycinate and ferrous sulphate in infant formula</w:t>
            </w:r>
            <w:r>
              <w:rPr>
                <w:b w:val="0"/>
                <w:szCs w:val="20"/>
                <w:lang w:val="en-AU" w:bidi="ar-SA"/>
              </w:rPr>
              <w:t>.</w:t>
            </w:r>
          </w:p>
        </w:tc>
        <w:tc>
          <w:tcPr>
            <w:tcW w:w="1559" w:type="dxa"/>
          </w:tcPr>
          <w:p w14:paraId="4A8444F5" w14:textId="77777777" w:rsidR="00776154" w:rsidRPr="00310115" w:rsidRDefault="00776154" w:rsidP="00776154">
            <w:pPr>
              <w:cnfStyle w:val="000000010000" w:firstRow="0" w:lastRow="0" w:firstColumn="0" w:lastColumn="0" w:oddVBand="0" w:evenVBand="0" w:oddHBand="0" w:evenHBand="1" w:firstRowFirstColumn="0" w:firstRowLastColumn="0" w:lastRowFirstColumn="0" w:lastRowLastColumn="0"/>
              <w:rPr>
                <w:szCs w:val="20"/>
                <w:lang w:bidi="ar-SA"/>
              </w:rPr>
            </w:pPr>
            <w:r>
              <w:rPr>
                <w:szCs w:val="20"/>
                <w:lang w:bidi="ar-SA"/>
              </w:rPr>
              <w:t>0</w:t>
            </w:r>
          </w:p>
        </w:tc>
        <w:tc>
          <w:tcPr>
            <w:tcW w:w="3828" w:type="dxa"/>
          </w:tcPr>
          <w:p w14:paraId="4F563E79" w14:textId="77777777" w:rsidR="00776154" w:rsidRPr="00310115" w:rsidRDefault="00776154" w:rsidP="00776154">
            <w:pPr>
              <w:cnfStyle w:val="000000010000" w:firstRow="0" w:lastRow="0" w:firstColumn="0" w:lastColumn="0" w:oddVBand="0" w:evenVBand="0" w:oddHBand="0" w:evenHBand="1" w:firstRowFirstColumn="0" w:firstRowLastColumn="0" w:lastRowFirstColumn="0" w:lastRowLastColumn="0"/>
              <w:rPr>
                <w:szCs w:val="20"/>
                <w:lang w:bidi="ar-SA"/>
              </w:rPr>
            </w:pPr>
            <w:r>
              <w:rPr>
                <w:szCs w:val="20"/>
                <w:lang w:bidi="ar-SA"/>
              </w:rPr>
              <w:t xml:space="preserve">FSANZ proposes to include </w:t>
            </w:r>
            <w:r w:rsidRPr="00096D6E">
              <w:rPr>
                <w:szCs w:val="20"/>
                <w:lang w:bidi="ar-SA"/>
              </w:rPr>
              <w:t xml:space="preserve">ferric citrate, ferrous bisglycinate and ferrous sulphate </w:t>
            </w:r>
            <w:r>
              <w:rPr>
                <w:szCs w:val="20"/>
                <w:lang w:bidi="ar-SA"/>
              </w:rPr>
              <w:t>as permitted forms for iron.</w:t>
            </w:r>
          </w:p>
        </w:tc>
      </w:tr>
    </w:tbl>
    <w:p w14:paraId="492AE9C3" w14:textId="40F28C65" w:rsidR="00776154" w:rsidRPr="004E6E0D" w:rsidRDefault="00776154" w:rsidP="00776154">
      <w:pPr>
        <w:rPr>
          <w:i/>
          <w:sz w:val="16"/>
          <w:lang w:eastAsia="en-AU"/>
        </w:rPr>
      </w:pPr>
      <w:r w:rsidRPr="004E6E0D">
        <w:rPr>
          <w:i/>
          <w:sz w:val="16"/>
          <w:lang w:eastAsia="en-AU"/>
        </w:rPr>
        <w:t>*</w:t>
      </w:r>
      <w:r w:rsidR="00DB62B6">
        <w:rPr>
          <w:i/>
          <w:sz w:val="16"/>
          <w:lang w:eastAsia="en-AU"/>
        </w:rPr>
        <w:t xml:space="preserve"> S</w:t>
      </w:r>
      <w:r w:rsidRPr="004E6E0D">
        <w:rPr>
          <w:i/>
          <w:sz w:val="16"/>
          <w:lang w:eastAsia="en-AU"/>
        </w:rPr>
        <w:t>ubmitters with a specific comment on this nutrient.</w:t>
      </w:r>
    </w:p>
    <w:p w14:paraId="0E56B296" w14:textId="05217FA9" w:rsidR="00776154" w:rsidRDefault="00DB62B6" w:rsidP="00776154">
      <w:pPr>
        <w:pStyle w:val="Heading4"/>
      </w:pPr>
      <w:r>
        <w:lastRenderedPageBreak/>
        <w:t>Nutrition r</w:t>
      </w:r>
      <w:r w:rsidR="00776154" w:rsidRPr="00BA1FD9">
        <w:t>isk assessment</w:t>
      </w:r>
    </w:p>
    <w:p w14:paraId="2F0DE8AE" w14:textId="135FAE03" w:rsidR="00776154" w:rsidRPr="000D5BAA" w:rsidRDefault="00776154" w:rsidP="00776154">
      <w:pPr>
        <w:rPr>
          <w:lang w:val="en-AU" w:bidi="ar-SA"/>
        </w:rPr>
      </w:pPr>
      <w:r>
        <w:rPr>
          <w:lang w:val="en-AU" w:bidi="ar-SA"/>
        </w:rPr>
        <w:t xml:space="preserve">No further </w:t>
      </w:r>
      <w:r w:rsidR="00DB62B6">
        <w:rPr>
          <w:lang w:val="en-AU" w:bidi="ar-SA"/>
        </w:rPr>
        <w:t xml:space="preserve">nutrition </w:t>
      </w:r>
      <w:r>
        <w:rPr>
          <w:lang w:val="en-AU" w:bidi="ar-SA"/>
        </w:rPr>
        <w:t>risk assessment was considered on the permitted forms of vitamins, minerals, and electrolytes.</w:t>
      </w:r>
    </w:p>
    <w:p w14:paraId="43A419ED" w14:textId="77777777" w:rsidR="00776154" w:rsidRDefault="00776154" w:rsidP="00776154">
      <w:pPr>
        <w:pStyle w:val="Heading4"/>
      </w:pPr>
      <w:r w:rsidRPr="00BA1FD9">
        <w:t>Options and discussion</w:t>
      </w:r>
    </w:p>
    <w:p w14:paraId="09837437" w14:textId="3B5BC939" w:rsidR="00776154" w:rsidRDefault="00776154" w:rsidP="00776154">
      <w:pPr>
        <w:rPr>
          <w:lang w:val="en-AU" w:bidi="ar-SA"/>
        </w:rPr>
      </w:pPr>
      <w:r>
        <w:rPr>
          <w:lang w:val="en-AU" w:bidi="ar-SA"/>
        </w:rPr>
        <w:t xml:space="preserve">Table </w:t>
      </w:r>
      <w:r w:rsidR="004E6E0D">
        <w:rPr>
          <w:lang w:val="en-AU" w:bidi="ar-SA"/>
        </w:rPr>
        <w:t>7</w:t>
      </w:r>
      <w:r w:rsidR="00DB62B6">
        <w:rPr>
          <w:lang w:val="en-AU" w:bidi="ar-SA"/>
        </w:rPr>
        <w:t>.5.1</w:t>
      </w:r>
      <w:r>
        <w:rPr>
          <w:lang w:val="en-AU" w:bidi="ar-SA"/>
        </w:rPr>
        <w:t xml:space="preserve"> lists FSANZ’s proposed approach for permitted forms of vitamin, minerals, and electrolytes. Nothing further was considered regarding pantothenic acid, niacin, copper, magnesium, potassium, zinc and iron</w:t>
      </w:r>
      <w:r w:rsidR="00D342E1">
        <w:rPr>
          <w:lang w:val="en-AU" w:bidi="ar-SA"/>
        </w:rPr>
        <w:t>,</w:t>
      </w:r>
      <w:r>
        <w:rPr>
          <w:lang w:val="en-AU" w:bidi="ar-SA"/>
        </w:rPr>
        <w:t xml:space="preserve"> and the proposed approach, which are aligned with Codex STAN 72-1981, as listed in Table </w:t>
      </w:r>
      <w:r w:rsidR="004E6E0D">
        <w:rPr>
          <w:lang w:val="en-AU" w:bidi="ar-SA"/>
        </w:rPr>
        <w:t>7.5.1.</w:t>
      </w:r>
      <w:r>
        <w:rPr>
          <w:lang w:val="en-AU" w:bidi="ar-SA"/>
        </w:rPr>
        <w:t xml:space="preserve"> However, based on comments from submitters, issues for </w:t>
      </w:r>
      <w:r w:rsidR="00DB62B6">
        <w:rPr>
          <w:rFonts w:cs="Arial"/>
          <w:lang w:val="en-AU" w:bidi="ar-SA"/>
        </w:rPr>
        <w:t>β</w:t>
      </w:r>
      <w:r>
        <w:rPr>
          <w:lang w:val="en-AU" w:bidi="ar-SA"/>
        </w:rPr>
        <w:t>-carotene and vitamin D</w:t>
      </w:r>
      <w:r w:rsidRPr="009B353C">
        <w:rPr>
          <w:vertAlign w:val="subscript"/>
          <w:lang w:val="en-AU" w:bidi="ar-SA"/>
        </w:rPr>
        <w:t>2</w:t>
      </w:r>
      <w:r>
        <w:rPr>
          <w:lang w:val="en-AU" w:bidi="ar-SA"/>
        </w:rPr>
        <w:t xml:space="preserve"> have been addressed below.</w:t>
      </w:r>
    </w:p>
    <w:p w14:paraId="130E10AA" w14:textId="77777777" w:rsidR="00776154" w:rsidRDefault="00776154" w:rsidP="00776154">
      <w:pPr>
        <w:pStyle w:val="Heading4"/>
      </w:pPr>
      <w:r>
        <w:t>Proposed approach</w:t>
      </w:r>
    </w:p>
    <w:p w14:paraId="6B6B4DBB" w14:textId="36C5118D" w:rsidR="00776154" w:rsidRDefault="00776154" w:rsidP="00776154">
      <w:pPr>
        <w:rPr>
          <w:lang w:val="en-AU" w:bidi="ar-SA"/>
        </w:rPr>
      </w:pPr>
      <w:r>
        <w:rPr>
          <w:lang w:val="en-AU" w:bidi="ar-SA"/>
        </w:rPr>
        <w:t xml:space="preserve">FSANZ proposes that the proposed approach listed in Table </w:t>
      </w:r>
      <w:r w:rsidR="004E6E0D">
        <w:rPr>
          <w:lang w:val="en-AU" w:bidi="ar-SA"/>
        </w:rPr>
        <w:t>7</w:t>
      </w:r>
      <w:r w:rsidR="00DB62B6">
        <w:rPr>
          <w:lang w:val="en-AU" w:bidi="ar-SA"/>
        </w:rPr>
        <w:t>.5.1</w:t>
      </w:r>
      <w:r>
        <w:rPr>
          <w:lang w:val="en-AU" w:bidi="ar-SA"/>
        </w:rPr>
        <w:t xml:space="preserve"> for permitted forms of vitamin</w:t>
      </w:r>
      <w:r w:rsidR="00DB62B6">
        <w:rPr>
          <w:lang w:val="en-AU" w:bidi="ar-SA"/>
        </w:rPr>
        <w:t>s</w:t>
      </w:r>
      <w:r>
        <w:rPr>
          <w:lang w:val="en-AU" w:bidi="ar-SA"/>
        </w:rPr>
        <w:t>, minerals, and electrolytes be implemented w</w:t>
      </w:r>
      <w:r w:rsidR="00586CC8">
        <w:rPr>
          <w:lang w:val="en-AU" w:bidi="ar-SA"/>
        </w:rPr>
        <w:t>ithin Standard 2.9.1.</w:t>
      </w:r>
    </w:p>
    <w:p w14:paraId="0E9201E9" w14:textId="3DB32DCB" w:rsidR="00776154" w:rsidRDefault="00852D7D" w:rsidP="00C73A77">
      <w:pPr>
        <w:pStyle w:val="Heading3"/>
      </w:pPr>
      <w:bookmarkStart w:id="422" w:name="_Toc70415489"/>
      <w:bookmarkStart w:id="423" w:name="_Toc73455653"/>
      <w:bookmarkStart w:id="424" w:name="_Toc73624926"/>
      <w:r>
        <w:t>7</w:t>
      </w:r>
      <w:r w:rsidR="00776154">
        <w:t>.5.1</w:t>
      </w:r>
      <w:r w:rsidR="00776154">
        <w:tab/>
      </w:r>
      <w:r w:rsidR="00776154" w:rsidRPr="005C4CDF">
        <w:t>β</w:t>
      </w:r>
      <w:r w:rsidR="00776154">
        <w:t>-carotene</w:t>
      </w:r>
      <w:bookmarkEnd w:id="422"/>
      <w:bookmarkEnd w:id="423"/>
      <w:bookmarkEnd w:id="424"/>
    </w:p>
    <w:p w14:paraId="163B26CA" w14:textId="65AC1B1B" w:rsidR="00776154" w:rsidRPr="00653BC6" w:rsidRDefault="00E9072E" w:rsidP="00776154">
      <w:pPr>
        <w:rPr>
          <w:lang w:val="en-AU" w:bidi="ar-SA"/>
        </w:rPr>
      </w:pPr>
      <w:r w:rsidRPr="004E6E0D">
        <w:rPr>
          <w:lang w:val="en-AU" w:bidi="ar-SA"/>
        </w:rPr>
        <w:t>β</w:t>
      </w:r>
      <w:r w:rsidR="00776154" w:rsidRPr="005C4CDF">
        <w:rPr>
          <w:lang w:val="en-AU" w:bidi="ar-SA"/>
        </w:rPr>
        <w:t xml:space="preserve">-carotene is assessed in detail within section </w:t>
      </w:r>
      <w:r w:rsidR="00D0635C">
        <w:rPr>
          <w:lang w:val="en-AU" w:bidi="ar-SA"/>
        </w:rPr>
        <w:t>7</w:t>
      </w:r>
      <w:r w:rsidR="00776154" w:rsidRPr="005C4CDF">
        <w:rPr>
          <w:lang w:val="en-AU" w:bidi="ar-SA"/>
        </w:rPr>
        <w:t xml:space="preserve">.2.1 (Vitamin A, </w:t>
      </w:r>
      <w:r w:rsidR="00776154" w:rsidRPr="005C4CDF">
        <w:rPr>
          <w:rFonts w:hint="eastAsia"/>
          <w:lang w:val="en-AU" w:bidi="ar-SA"/>
        </w:rPr>
        <w:t>β</w:t>
      </w:r>
      <w:r w:rsidR="00776154" w:rsidRPr="005C4CDF">
        <w:rPr>
          <w:lang w:val="en-AU" w:bidi="ar-SA"/>
        </w:rPr>
        <w:t xml:space="preserve">-carotene, and calculation of retinol equivalents), for which </w:t>
      </w:r>
      <w:r w:rsidR="00776154" w:rsidRPr="00BD4679">
        <w:rPr>
          <w:lang w:val="en-AU" w:bidi="ar-SA"/>
        </w:rPr>
        <w:t xml:space="preserve">FSANZ proposes to retain permission for </w:t>
      </w:r>
      <w:r w:rsidRPr="007D1681">
        <w:rPr>
          <w:lang w:val="en-AU" w:bidi="ar-SA"/>
        </w:rPr>
        <w:t>β</w:t>
      </w:r>
      <w:r>
        <w:rPr>
          <w:lang w:val="en-AU" w:bidi="ar-SA"/>
        </w:rPr>
        <w:t>-</w:t>
      </w:r>
      <w:r w:rsidR="00776154" w:rsidRPr="00BD4679">
        <w:rPr>
          <w:lang w:val="en-AU" w:bidi="ar-SA"/>
        </w:rPr>
        <w:t>carotene as a permitted form but this will not be included in the vitamin A content.</w:t>
      </w:r>
      <w:r w:rsidR="00DB62B6">
        <w:rPr>
          <w:lang w:val="en-AU" w:bidi="ar-SA"/>
        </w:rPr>
        <w:t xml:space="preserve"> R</w:t>
      </w:r>
      <w:r w:rsidR="00D0635C">
        <w:rPr>
          <w:lang w:val="en-AU" w:bidi="ar-SA"/>
        </w:rPr>
        <w:t>efer to section 7</w:t>
      </w:r>
      <w:r w:rsidR="00776154" w:rsidRPr="005C4CDF">
        <w:rPr>
          <w:lang w:val="en-AU" w:bidi="ar-SA"/>
        </w:rPr>
        <w:t xml:space="preserve">.2.1 for further details. </w:t>
      </w:r>
    </w:p>
    <w:p w14:paraId="764BCFEC" w14:textId="2C273715" w:rsidR="00776154" w:rsidRDefault="00852D7D" w:rsidP="00C73A77">
      <w:pPr>
        <w:pStyle w:val="Heading3"/>
      </w:pPr>
      <w:bookmarkStart w:id="425" w:name="_Toc70415490"/>
      <w:bookmarkStart w:id="426" w:name="_Toc73455654"/>
      <w:bookmarkStart w:id="427" w:name="_Toc73624927"/>
      <w:r>
        <w:t>7</w:t>
      </w:r>
      <w:r w:rsidR="00776154">
        <w:t>.5.2</w:t>
      </w:r>
      <w:r w:rsidR="00776154">
        <w:tab/>
        <w:t>Vitami</w:t>
      </w:r>
      <w:r w:rsidR="00776154" w:rsidRPr="00653BC6">
        <w:t>n D</w:t>
      </w:r>
      <w:r w:rsidR="00776154" w:rsidRPr="00D65ACD">
        <w:rPr>
          <w:rFonts w:ascii="Arial Bold" w:hAnsi="Arial Bold"/>
          <w:vertAlign w:val="subscript"/>
        </w:rPr>
        <w:t>2</w:t>
      </w:r>
      <w:bookmarkEnd w:id="425"/>
      <w:bookmarkEnd w:id="426"/>
      <w:bookmarkEnd w:id="427"/>
    </w:p>
    <w:p w14:paraId="557487F2" w14:textId="77777777" w:rsidR="00776154" w:rsidRPr="00150395" w:rsidRDefault="00776154" w:rsidP="00776154">
      <w:pPr>
        <w:pStyle w:val="Heading4"/>
      </w:pPr>
      <w:r w:rsidRPr="00BA1FD9">
        <w:t>Current regulations</w:t>
      </w:r>
    </w:p>
    <w:p w14:paraId="72902873" w14:textId="30FEE4FD" w:rsidR="00776154" w:rsidRDefault="00776154" w:rsidP="00776154">
      <w:pPr>
        <w:rPr>
          <w:lang w:val="en-AU" w:bidi="ar-SA"/>
        </w:rPr>
      </w:pPr>
      <w:r>
        <w:rPr>
          <w:lang w:val="en-AU" w:bidi="ar-SA"/>
        </w:rPr>
        <w:t>As a form of vitamin D (</w:t>
      </w:r>
      <w:r w:rsidRPr="00DD1877">
        <w:rPr>
          <w:lang w:val="en-AU" w:bidi="ar-SA"/>
        </w:rPr>
        <w:t>cholecalciferol-cholesterol</w:t>
      </w:r>
      <w:r>
        <w:rPr>
          <w:lang w:val="en-AU" w:bidi="ar-SA"/>
        </w:rPr>
        <w:t>)</w:t>
      </w:r>
      <w:r w:rsidR="00D342E1">
        <w:rPr>
          <w:lang w:val="en-AU" w:bidi="ar-SA"/>
        </w:rPr>
        <w:t>,</w:t>
      </w:r>
      <w:r>
        <w:rPr>
          <w:lang w:val="en-AU" w:bidi="ar-SA"/>
        </w:rPr>
        <w:t xml:space="preserve"> </w:t>
      </w:r>
      <w:r w:rsidRPr="006F770A">
        <w:t xml:space="preserve">Standard 2.9.1 </w:t>
      </w:r>
      <w:r w:rsidRPr="0082652D">
        <w:rPr>
          <w:lang w:val="en-AU" w:bidi="ar-SA"/>
        </w:rPr>
        <w:t>currently permits both vitamin D</w:t>
      </w:r>
      <w:r w:rsidRPr="00D65ACD">
        <w:rPr>
          <w:vertAlign w:val="subscript"/>
          <w:lang w:val="en-AU" w:bidi="ar-SA"/>
        </w:rPr>
        <w:t>3</w:t>
      </w:r>
      <w:r w:rsidRPr="0082652D">
        <w:rPr>
          <w:lang w:val="en-AU" w:bidi="ar-SA"/>
        </w:rPr>
        <w:t xml:space="preserve"> (cholecalciferol) and vitamin D</w:t>
      </w:r>
      <w:r w:rsidRPr="00D65ACD">
        <w:rPr>
          <w:vertAlign w:val="subscript"/>
          <w:lang w:val="en-AU" w:bidi="ar-SA"/>
        </w:rPr>
        <w:t>2</w:t>
      </w:r>
      <w:r w:rsidRPr="0082652D">
        <w:rPr>
          <w:lang w:val="en-AU" w:bidi="ar-SA"/>
        </w:rPr>
        <w:t xml:space="preserve"> (ergocalciferol) in infant formula</w:t>
      </w:r>
      <w:r w:rsidR="002719DB">
        <w:rPr>
          <w:lang w:val="en-AU" w:bidi="ar-SA"/>
        </w:rPr>
        <w:t xml:space="preserve"> (see section S29—7)</w:t>
      </w:r>
      <w:r w:rsidRPr="0082652D">
        <w:rPr>
          <w:lang w:val="en-AU" w:bidi="ar-SA"/>
        </w:rPr>
        <w:t>. Codex GL 10-1979 permits only cholecalciferol (D</w:t>
      </w:r>
      <w:r w:rsidRPr="00D65ACD">
        <w:rPr>
          <w:vertAlign w:val="subscript"/>
          <w:lang w:val="en-AU" w:bidi="ar-SA"/>
        </w:rPr>
        <w:t>3</w:t>
      </w:r>
      <w:r w:rsidRPr="0082652D">
        <w:rPr>
          <w:lang w:val="en-AU" w:bidi="ar-SA"/>
        </w:rPr>
        <w:t>) based on uncertainty of the bioavailability of vitamin D</w:t>
      </w:r>
      <w:r w:rsidRPr="00D65ACD">
        <w:rPr>
          <w:vertAlign w:val="subscript"/>
          <w:lang w:val="en-AU" w:bidi="ar-SA"/>
        </w:rPr>
        <w:t>2</w:t>
      </w:r>
      <w:r w:rsidRPr="0082652D">
        <w:rPr>
          <w:lang w:val="en-AU" w:bidi="ar-SA"/>
        </w:rPr>
        <w:t xml:space="preserve"> in infants. </w:t>
      </w:r>
    </w:p>
    <w:p w14:paraId="1F6CC64E" w14:textId="77777777" w:rsidR="00776154" w:rsidRDefault="00776154" w:rsidP="00776154">
      <w:pPr>
        <w:pStyle w:val="Heading4"/>
      </w:pPr>
      <w:r w:rsidRPr="00BA1FD9">
        <w:t>Previous consideration</w:t>
      </w:r>
    </w:p>
    <w:p w14:paraId="2B0061FF" w14:textId="39CFB48C" w:rsidR="00776154" w:rsidRPr="00DA39FA" w:rsidRDefault="00776154" w:rsidP="00776154">
      <w:pPr>
        <w:rPr>
          <w:lang w:val="en-AU" w:bidi="ar-SA"/>
        </w:rPr>
      </w:pPr>
      <w:r>
        <w:rPr>
          <w:lang w:eastAsia="en-AU" w:bidi="ar-SA"/>
        </w:rPr>
        <w:t>In 2016 FSANZ considered it appropriate</w:t>
      </w:r>
      <w:r w:rsidRPr="0082652D">
        <w:rPr>
          <w:lang w:val="en-AU" w:bidi="ar-SA"/>
        </w:rPr>
        <w:t xml:space="preserve"> to retain the two permitted forms</w:t>
      </w:r>
      <w:r>
        <w:rPr>
          <w:lang w:val="en-AU" w:bidi="ar-SA"/>
        </w:rPr>
        <w:t xml:space="preserve"> </w:t>
      </w:r>
      <w:r w:rsidRPr="0082652D">
        <w:rPr>
          <w:lang w:val="en-AU" w:bidi="ar-SA"/>
        </w:rPr>
        <w:t>vitamin D</w:t>
      </w:r>
      <w:r w:rsidRPr="00D65ACD">
        <w:rPr>
          <w:vertAlign w:val="subscript"/>
          <w:lang w:val="en-AU" w:bidi="ar-SA"/>
        </w:rPr>
        <w:t>3</w:t>
      </w:r>
      <w:r w:rsidRPr="0082652D">
        <w:rPr>
          <w:lang w:val="en-AU" w:bidi="ar-SA"/>
        </w:rPr>
        <w:t xml:space="preserve"> (cholecalciferol) and vitamin D</w:t>
      </w:r>
      <w:r w:rsidRPr="00D65ACD">
        <w:rPr>
          <w:vertAlign w:val="subscript"/>
          <w:lang w:val="en-AU" w:bidi="ar-SA"/>
        </w:rPr>
        <w:t>2</w:t>
      </w:r>
      <w:r w:rsidRPr="0082652D">
        <w:rPr>
          <w:lang w:val="en-AU" w:bidi="ar-SA"/>
        </w:rPr>
        <w:t xml:space="preserve"> (ergocalciferol)</w:t>
      </w:r>
      <w:r w:rsidR="002719DB">
        <w:rPr>
          <w:lang w:val="en-AU" w:bidi="ar-SA"/>
        </w:rPr>
        <w:t>.</w:t>
      </w:r>
    </w:p>
    <w:p w14:paraId="48BC4E4D" w14:textId="77777777" w:rsidR="00776154" w:rsidRDefault="00776154" w:rsidP="00776154">
      <w:pPr>
        <w:pStyle w:val="Heading4"/>
        <w:ind w:left="0" w:firstLine="0"/>
      </w:pPr>
      <w:r w:rsidRPr="00BA1FD9">
        <w:t>S</w:t>
      </w:r>
      <w:r>
        <w:t>takeholder views</w:t>
      </w:r>
    </w:p>
    <w:p w14:paraId="7B14B191" w14:textId="084CCD6E" w:rsidR="00776154" w:rsidRPr="00150395" w:rsidRDefault="00776154" w:rsidP="00776154">
      <w:pPr>
        <w:rPr>
          <w:lang w:val="en-AU" w:bidi="ar-SA"/>
        </w:rPr>
      </w:pPr>
      <w:r>
        <w:rPr>
          <w:lang w:val="en-AU" w:bidi="ar-SA"/>
        </w:rPr>
        <w:t>Two submitters (</w:t>
      </w:r>
      <w:r w:rsidR="00DB62B6">
        <w:rPr>
          <w:lang w:val="en-AU" w:bidi="ar-SA"/>
        </w:rPr>
        <w:t>one</w:t>
      </w:r>
      <w:r>
        <w:rPr>
          <w:lang w:val="en-AU" w:bidi="ar-SA"/>
        </w:rPr>
        <w:t xml:space="preserve"> industry, </w:t>
      </w:r>
      <w:r w:rsidR="00DB62B6">
        <w:rPr>
          <w:lang w:val="en-AU" w:bidi="ar-SA"/>
        </w:rPr>
        <w:t>one</w:t>
      </w:r>
      <w:r>
        <w:rPr>
          <w:lang w:val="en-AU" w:bidi="ar-SA"/>
        </w:rPr>
        <w:t xml:space="preserve"> government)</w:t>
      </w:r>
      <w:r w:rsidRPr="00152C5D">
        <w:rPr>
          <w:lang w:eastAsia="en-AU" w:bidi="ar-SA"/>
        </w:rPr>
        <w:t xml:space="preserve"> commented</w:t>
      </w:r>
      <w:r>
        <w:rPr>
          <w:lang w:eastAsia="en-AU" w:bidi="ar-SA"/>
        </w:rPr>
        <w:t xml:space="preserve"> on the</w:t>
      </w:r>
      <w:r>
        <w:rPr>
          <w:rFonts w:ascii="ArialMT" w:hAnsi="ArialMT" w:cs="ArialMT"/>
          <w:szCs w:val="22"/>
          <w:lang w:eastAsia="en-GB" w:bidi="ar-SA"/>
        </w:rPr>
        <w:t xml:space="preserve"> permitted</w:t>
      </w:r>
      <w:r>
        <w:rPr>
          <w:lang w:val="en-AU" w:bidi="ar-SA"/>
        </w:rPr>
        <w:t xml:space="preserve"> forms of vitamin D. Industry supported</w:t>
      </w:r>
      <w:r w:rsidRPr="00B91128">
        <w:rPr>
          <w:lang w:val="en-AU" w:bidi="ar-SA"/>
        </w:rPr>
        <w:t xml:space="preserve"> retaining both forms</w:t>
      </w:r>
      <w:r>
        <w:rPr>
          <w:lang w:val="en-AU" w:bidi="ar-SA"/>
        </w:rPr>
        <w:t xml:space="preserve"> whereas the government submitter considered that the </w:t>
      </w:r>
      <w:r w:rsidRPr="00B91128">
        <w:rPr>
          <w:lang w:val="en-AU" w:bidi="ar-SA"/>
        </w:rPr>
        <w:t>vit</w:t>
      </w:r>
      <w:r>
        <w:rPr>
          <w:lang w:val="en-AU" w:bidi="ar-SA"/>
        </w:rPr>
        <w:t>amin D</w:t>
      </w:r>
      <w:r w:rsidRPr="009B353C">
        <w:rPr>
          <w:vertAlign w:val="subscript"/>
          <w:lang w:val="en-AU" w:bidi="ar-SA"/>
        </w:rPr>
        <w:t>2</w:t>
      </w:r>
      <w:r>
        <w:rPr>
          <w:lang w:val="en-AU" w:bidi="ar-SA"/>
        </w:rPr>
        <w:t xml:space="preserve"> permission</w:t>
      </w:r>
      <w:r w:rsidRPr="00B91128">
        <w:rPr>
          <w:lang w:val="en-AU" w:bidi="ar-SA"/>
        </w:rPr>
        <w:t xml:space="preserve"> should be retained only if there is clear evidence that the amounts present in </w:t>
      </w:r>
      <w:r w:rsidR="00DB62B6">
        <w:rPr>
          <w:lang w:val="en-AU" w:bidi="ar-SA"/>
        </w:rPr>
        <w:t>infant formula</w:t>
      </w:r>
      <w:r w:rsidR="00DB62B6" w:rsidRPr="00B91128">
        <w:rPr>
          <w:lang w:val="en-AU" w:bidi="ar-SA"/>
        </w:rPr>
        <w:t xml:space="preserve"> </w:t>
      </w:r>
      <w:r w:rsidRPr="00B91128">
        <w:rPr>
          <w:lang w:val="en-AU" w:bidi="ar-SA"/>
        </w:rPr>
        <w:t>are equally bioavailable as D</w:t>
      </w:r>
      <w:r w:rsidRPr="009B353C">
        <w:rPr>
          <w:vertAlign w:val="subscript"/>
          <w:lang w:val="en-AU" w:bidi="ar-SA"/>
        </w:rPr>
        <w:t>3</w:t>
      </w:r>
      <w:r w:rsidRPr="00B91128">
        <w:rPr>
          <w:lang w:val="en-AU" w:bidi="ar-SA"/>
        </w:rPr>
        <w:t>.</w:t>
      </w:r>
    </w:p>
    <w:p w14:paraId="63ED0075" w14:textId="60D895A4" w:rsidR="00776154" w:rsidRDefault="00DB62B6" w:rsidP="00776154">
      <w:pPr>
        <w:pStyle w:val="Heading4"/>
      </w:pPr>
      <w:r>
        <w:t>Nutrition r</w:t>
      </w:r>
      <w:r w:rsidR="00776154" w:rsidRPr="00150395">
        <w:t>isk assessment</w:t>
      </w:r>
    </w:p>
    <w:p w14:paraId="16378137" w14:textId="5EBAE8FB" w:rsidR="00776154" w:rsidRPr="00DA39FA" w:rsidRDefault="00776154" w:rsidP="00776154">
      <w:pPr>
        <w:autoSpaceDE w:val="0"/>
        <w:autoSpaceDN w:val="0"/>
        <w:adjustRightInd w:val="0"/>
        <w:rPr>
          <w:rFonts w:eastAsia="Arial Unicode MS"/>
        </w:rPr>
      </w:pPr>
      <w:r w:rsidRPr="00741136">
        <w:rPr>
          <w:rFonts w:eastAsia="Arial Unicode MS"/>
        </w:rPr>
        <w:t xml:space="preserve">No further </w:t>
      </w:r>
      <w:r w:rsidR="00DB62B6">
        <w:rPr>
          <w:rFonts w:eastAsia="Arial Unicode MS"/>
        </w:rPr>
        <w:t xml:space="preserve">nutrition </w:t>
      </w:r>
      <w:r>
        <w:rPr>
          <w:rFonts w:eastAsia="Arial Unicode MS"/>
        </w:rPr>
        <w:t>risk assessment was considered on this issue.</w:t>
      </w:r>
    </w:p>
    <w:p w14:paraId="6A64E65B" w14:textId="77777777" w:rsidR="00776154" w:rsidRDefault="00776154" w:rsidP="00776154">
      <w:pPr>
        <w:pStyle w:val="Heading4"/>
      </w:pPr>
      <w:r>
        <w:t>Options and discussion</w:t>
      </w:r>
    </w:p>
    <w:p w14:paraId="3BE626EC" w14:textId="00578C8A" w:rsidR="00776154" w:rsidRDefault="00776154" w:rsidP="00776154">
      <w:pPr>
        <w:rPr>
          <w:lang w:val="en-AU" w:bidi="ar-SA"/>
        </w:rPr>
      </w:pPr>
      <w:r>
        <w:rPr>
          <w:lang w:val="en-AU" w:bidi="ar-SA"/>
        </w:rPr>
        <w:t>FSANZ’s</w:t>
      </w:r>
      <w:r w:rsidRPr="0082652D">
        <w:rPr>
          <w:lang w:val="en-AU" w:bidi="ar-SA"/>
        </w:rPr>
        <w:t xml:space="preserve"> </w:t>
      </w:r>
      <w:r>
        <w:rPr>
          <w:lang w:val="en-AU" w:bidi="ar-SA"/>
        </w:rPr>
        <w:t xml:space="preserve">2016 </w:t>
      </w:r>
      <w:r w:rsidRPr="0082652D">
        <w:rPr>
          <w:lang w:val="en-AU" w:bidi="ar-SA"/>
        </w:rPr>
        <w:t xml:space="preserve">nutrition </w:t>
      </w:r>
      <w:r w:rsidR="00DB62B6">
        <w:rPr>
          <w:lang w:val="en-AU" w:bidi="ar-SA"/>
        </w:rPr>
        <w:t xml:space="preserve">risk </w:t>
      </w:r>
      <w:r w:rsidRPr="0082652D">
        <w:rPr>
          <w:lang w:val="en-AU" w:bidi="ar-SA"/>
        </w:rPr>
        <w:t>assessment conclude</w:t>
      </w:r>
      <w:r>
        <w:rPr>
          <w:lang w:val="en-AU" w:bidi="ar-SA"/>
        </w:rPr>
        <w:t>d</w:t>
      </w:r>
      <w:r w:rsidRPr="0082652D">
        <w:rPr>
          <w:lang w:val="en-AU" w:bidi="ar-SA"/>
        </w:rPr>
        <w:t xml:space="preserve"> that both forms are equally effective in raising serum </w:t>
      </w:r>
      <w:r w:rsidR="003E3687">
        <w:rPr>
          <w:lang w:val="en-AU" w:bidi="ar-SA"/>
        </w:rPr>
        <w:t>25-hydroxyvitamin D (</w:t>
      </w:r>
      <w:r w:rsidRPr="0082652D">
        <w:rPr>
          <w:lang w:val="en-AU" w:bidi="ar-SA"/>
        </w:rPr>
        <w:t>25OHD</w:t>
      </w:r>
      <w:r w:rsidR="003E3687">
        <w:rPr>
          <w:lang w:val="en-AU" w:bidi="ar-SA"/>
        </w:rPr>
        <w:t>)</w:t>
      </w:r>
      <w:r w:rsidRPr="0082652D">
        <w:rPr>
          <w:lang w:val="en-AU" w:bidi="ar-SA"/>
        </w:rPr>
        <w:t xml:space="preserve"> concentration</w:t>
      </w:r>
      <w:r>
        <w:rPr>
          <w:lang w:val="en-AU" w:bidi="ar-SA"/>
        </w:rPr>
        <w:t xml:space="preserve"> (the marker for adequate vitamin D status) and use of vitamin D</w:t>
      </w:r>
      <w:r w:rsidRPr="009B353C">
        <w:rPr>
          <w:vertAlign w:val="subscript"/>
          <w:lang w:val="en-AU" w:bidi="ar-SA"/>
        </w:rPr>
        <w:t>2</w:t>
      </w:r>
      <w:r>
        <w:rPr>
          <w:lang w:val="en-AU" w:bidi="ar-SA"/>
        </w:rPr>
        <w:t xml:space="preserve"> would be</w:t>
      </w:r>
      <w:r w:rsidRPr="0082652D">
        <w:rPr>
          <w:lang w:val="en-AU" w:bidi="ar-SA"/>
        </w:rPr>
        <w:t xml:space="preserve"> unlikely to pose a risk to infant health.</w:t>
      </w:r>
      <w:r w:rsidRPr="007212BD">
        <w:rPr>
          <w:lang w:val="en-AU" w:bidi="ar-SA"/>
        </w:rPr>
        <w:t xml:space="preserve"> Recent evidence support</w:t>
      </w:r>
      <w:r>
        <w:rPr>
          <w:lang w:val="en-AU" w:bidi="ar-SA"/>
        </w:rPr>
        <w:t>ed</w:t>
      </w:r>
      <w:r w:rsidRPr="007212BD">
        <w:rPr>
          <w:lang w:val="en-AU" w:bidi="ar-SA"/>
        </w:rPr>
        <w:t xml:space="preserve"> the suitability of </w:t>
      </w:r>
      <w:r>
        <w:rPr>
          <w:lang w:val="en-AU" w:bidi="ar-SA"/>
        </w:rPr>
        <w:t>both forms to be used in infant formula.</w:t>
      </w:r>
      <w:r w:rsidRPr="0082652D">
        <w:rPr>
          <w:lang w:val="en-AU" w:bidi="ar-SA"/>
        </w:rPr>
        <w:t xml:space="preserve"> A review of the </w:t>
      </w:r>
      <w:r w:rsidRPr="0082652D">
        <w:rPr>
          <w:lang w:val="en-AU" w:bidi="ar-SA"/>
        </w:rPr>
        <w:lastRenderedPageBreak/>
        <w:t>labelled ingredient lists on products</w:t>
      </w:r>
      <w:r>
        <w:rPr>
          <w:lang w:val="en-AU" w:bidi="ar-SA"/>
        </w:rPr>
        <w:t xml:space="preserve"> sold in ANZ showed</w:t>
      </w:r>
      <w:r w:rsidRPr="0082652D">
        <w:rPr>
          <w:lang w:val="en-AU" w:bidi="ar-SA"/>
        </w:rPr>
        <w:t xml:space="preserve"> that both forms are currently used</w:t>
      </w:r>
      <w:r>
        <w:rPr>
          <w:lang w:val="en-AU" w:bidi="ar-SA"/>
        </w:rPr>
        <w:t>. Thus restricting the form of v</w:t>
      </w:r>
      <w:r w:rsidRPr="0082652D">
        <w:rPr>
          <w:lang w:val="en-AU" w:bidi="ar-SA"/>
        </w:rPr>
        <w:t>itamin D to the D</w:t>
      </w:r>
      <w:r w:rsidRPr="009B353C">
        <w:rPr>
          <w:vertAlign w:val="subscript"/>
          <w:lang w:val="en-AU" w:bidi="ar-SA"/>
        </w:rPr>
        <w:t>3</w:t>
      </w:r>
      <w:r w:rsidRPr="0082652D">
        <w:rPr>
          <w:lang w:val="en-AU" w:bidi="ar-SA"/>
        </w:rPr>
        <w:t xml:space="preserve"> form to align with Codex may impact on infant formula</w:t>
      </w:r>
      <w:r>
        <w:rPr>
          <w:lang w:val="en-AU" w:bidi="ar-SA"/>
        </w:rPr>
        <w:t xml:space="preserve"> manufacturing</w:t>
      </w:r>
      <w:r w:rsidRPr="0082652D">
        <w:rPr>
          <w:lang w:val="en-AU" w:bidi="ar-SA"/>
        </w:rPr>
        <w:t xml:space="preserve">. </w:t>
      </w:r>
    </w:p>
    <w:p w14:paraId="076FFADD" w14:textId="77777777" w:rsidR="00776154" w:rsidRDefault="00776154" w:rsidP="00776154">
      <w:pPr>
        <w:rPr>
          <w:lang w:val="en-AU" w:bidi="ar-SA"/>
        </w:rPr>
      </w:pPr>
    </w:p>
    <w:p w14:paraId="6DF79C91" w14:textId="70135631" w:rsidR="00776154" w:rsidRDefault="00776154" w:rsidP="00776154">
      <w:pPr>
        <w:rPr>
          <w:lang w:val="en-AU" w:bidi="ar-SA"/>
        </w:rPr>
      </w:pPr>
      <w:r>
        <w:rPr>
          <w:lang w:val="en-AU" w:bidi="ar-SA"/>
        </w:rPr>
        <w:t xml:space="preserve">Additional </w:t>
      </w:r>
      <w:r w:rsidR="003E3687">
        <w:rPr>
          <w:lang w:val="en-AU" w:bidi="ar-SA"/>
        </w:rPr>
        <w:t xml:space="preserve">nutrition </w:t>
      </w:r>
      <w:r>
        <w:rPr>
          <w:lang w:val="en-AU" w:bidi="ar-SA"/>
        </w:rPr>
        <w:t>risk assessment examined whether any human clinical trials published from 2015</w:t>
      </w:r>
      <w:r w:rsidR="003E3687">
        <w:rPr>
          <w:lang w:val="en-AU" w:bidi="ar-SA"/>
        </w:rPr>
        <w:t xml:space="preserve"> to </w:t>
      </w:r>
      <w:r>
        <w:rPr>
          <w:lang w:val="en-AU" w:bidi="ar-SA"/>
        </w:rPr>
        <w:t xml:space="preserve">2018 had compared </w:t>
      </w:r>
      <w:r w:rsidRPr="007039B5">
        <w:rPr>
          <w:rFonts w:cs="Arial"/>
        </w:rPr>
        <w:t>the efficacy of vitamin D</w:t>
      </w:r>
      <w:r w:rsidRPr="009B353C">
        <w:rPr>
          <w:rFonts w:cs="Arial"/>
          <w:vertAlign w:val="subscript"/>
        </w:rPr>
        <w:t>2</w:t>
      </w:r>
      <w:r w:rsidRPr="007039B5">
        <w:rPr>
          <w:rFonts w:cs="Arial"/>
        </w:rPr>
        <w:t xml:space="preserve"> and vitamin D</w:t>
      </w:r>
      <w:r w:rsidRPr="009B353C">
        <w:rPr>
          <w:rFonts w:cs="Arial"/>
          <w:vertAlign w:val="subscript"/>
        </w:rPr>
        <w:t>3</w:t>
      </w:r>
      <w:r w:rsidRPr="007039B5">
        <w:rPr>
          <w:rFonts w:cs="Arial"/>
        </w:rPr>
        <w:t xml:space="preserve"> </w:t>
      </w:r>
      <w:r>
        <w:rPr>
          <w:rFonts w:cs="Arial"/>
        </w:rPr>
        <w:t>in raising serum 25OHD concentrations</w:t>
      </w:r>
      <w:r>
        <w:rPr>
          <w:lang w:val="en-AU" w:bidi="ar-SA"/>
        </w:rPr>
        <w:t xml:space="preserve">. </w:t>
      </w:r>
      <w:r w:rsidRPr="007039B5">
        <w:rPr>
          <w:rFonts w:cs="Arial"/>
        </w:rPr>
        <w:t>No clinical studies involving infants were identi</w:t>
      </w:r>
      <w:r>
        <w:rPr>
          <w:rFonts w:cs="Arial"/>
        </w:rPr>
        <w:t xml:space="preserve">fied from the literature search. However, a recently published </w:t>
      </w:r>
      <w:r w:rsidR="003E3687">
        <w:rPr>
          <w:lang w:val="en-AU" w:bidi="ar-SA"/>
        </w:rPr>
        <w:t xml:space="preserve">randomised controlled trial </w:t>
      </w:r>
      <w:r>
        <w:rPr>
          <w:lang w:val="en-AU" w:bidi="ar-SA"/>
        </w:rPr>
        <w:t>of adult women supplemented with a low dose of vitamin D</w:t>
      </w:r>
      <w:r w:rsidRPr="009B353C">
        <w:rPr>
          <w:vertAlign w:val="subscript"/>
          <w:lang w:val="en-AU" w:bidi="ar-SA"/>
        </w:rPr>
        <w:t>2</w:t>
      </w:r>
      <w:r>
        <w:rPr>
          <w:lang w:val="en-AU" w:bidi="ar-SA"/>
        </w:rPr>
        <w:t xml:space="preserve"> or vitamin D</w:t>
      </w:r>
      <w:r w:rsidRPr="009B353C">
        <w:rPr>
          <w:vertAlign w:val="subscript"/>
          <w:lang w:val="en-AU" w:bidi="ar-SA"/>
        </w:rPr>
        <w:t>3</w:t>
      </w:r>
      <w:r>
        <w:rPr>
          <w:lang w:val="en-AU" w:bidi="ar-SA"/>
        </w:rPr>
        <w:t xml:space="preserve"> showed that the two forms were equally efficacious in raising serum 25OHD </w:t>
      </w:r>
      <w:r w:rsidRPr="00852D7D">
        <w:rPr>
          <w:lang w:val="en-AU" w:bidi="ar-SA"/>
        </w:rPr>
        <w:t>concentrations</w:t>
      </w:r>
      <w:r w:rsidR="003E3687" w:rsidRPr="00852D7D">
        <w:rPr>
          <w:lang w:val="en-AU" w:bidi="ar-SA"/>
        </w:rPr>
        <w:t xml:space="preserve"> </w:t>
      </w:r>
      <w:r w:rsidR="00852D7D" w:rsidRPr="00852D7D">
        <w:rPr>
          <w:lang w:val="en-AU" w:bidi="ar-SA"/>
        </w:rPr>
        <w:t>(FSANZ 2015</w:t>
      </w:r>
      <w:r w:rsidR="003E3687" w:rsidRPr="00852D7D">
        <w:rPr>
          <w:lang w:val="en-AU" w:bidi="ar-SA"/>
        </w:rPr>
        <w:t>)</w:t>
      </w:r>
      <w:r w:rsidRPr="00852D7D">
        <w:rPr>
          <w:lang w:val="en-AU" w:bidi="ar-SA"/>
        </w:rPr>
        <w:t>.</w:t>
      </w:r>
      <w:r>
        <w:rPr>
          <w:lang w:val="en-AU" w:bidi="ar-SA"/>
        </w:rPr>
        <w:t xml:space="preserve"> </w:t>
      </w:r>
    </w:p>
    <w:p w14:paraId="4F3E4DED" w14:textId="77777777" w:rsidR="00776154" w:rsidRDefault="00776154" w:rsidP="00776154">
      <w:pPr>
        <w:rPr>
          <w:lang w:val="en-AU" w:bidi="ar-SA"/>
        </w:rPr>
      </w:pPr>
      <w:r>
        <w:rPr>
          <w:lang w:val="en-AU" w:bidi="ar-SA"/>
        </w:rPr>
        <w:t xml:space="preserve"> </w:t>
      </w:r>
    </w:p>
    <w:p w14:paraId="244062A1" w14:textId="3E03FA39" w:rsidR="00776154" w:rsidRDefault="00776154" w:rsidP="00776154">
      <w:pPr>
        <w:rPr>
          <w:lang w:val="en-AU" w:bidi="ar-SA"/>
        </w:rPr>
      </w:pPr>
      <w:r>
        <w:rPr>
          <w:lang w:val="en-AU" w:bidi="ar-SA"/>
        </w:rPr>
        <w:t>FSANZ also notes that the current review of</w:t>
      </w:r>
      <w:r w:rsidR="00B96544">
        <w:rPr>
          <w:lang w:val="en-AU" w:bidi="ar-SA"/>
        </w:rPr>
        <w:t xml:space="preserve"> the</w:t>
      </w:r>
      <w:r>
        <w:rPr>
          <w:lang w:val="en-AU" w:bidi="ar-SA"/>
        </w:rPr>
        <w:t xml:space="preserve"> </w:t>
      </w:r>
      <w:r w:rsidR="00B96544">
        <w:t>Codex Draft Standard for FUF</w:t>
      </w:r>
      <w:r w:rsidR="00B96544">
        <w:rPr>
          <w:lang w:val="en-AU" w:bidi="ar-SA"/>
        </w:rPr>
        <w:t xml:space="preserve"> </w:t>
      </w:r>
      <w:r>
        <w:rPr>
          <w:lang w:val="en-AU" w:bidi="ar-SA"/>
        </w:rPr>
        <w:t>concluded that the requirement for vitamin D should encompass both vitamin D</w:t>
      </w:r>
      <w:r w:rsidRPr="009B353C">
        <w:rPr>
          <w:vertAlign w:val="subscript"/>
          <w:lang w:val="en-AU" w:bidi="ar-SA"/>
        </w:rPr>
        <w:t>2</w:t>
      </w:r>
      <w:r>
        <w:rPr>
          <w:lang w:val="en-AU" w:bidi="ar-SA"/>
        </w:rPr>
        <w:t xml:space="preserve"> and vitamin D</w:t>
      </w:r>
      <w:r w:rsidRPr="009B353C">
        <w:rPr>
          <w:vertAlign w:val="subscript"/>
          <w:lang w:val="en-AU" w:bidi="ar-SA"/>
        </w:rPr>
        <w:t>3</w:t>
      </w:r>
      <w:r>
        <w:rPr>
          <w:lang w:val="en-AU" w:bidi="ar-SA"/>
        </w:rPr>
        <w:t xml:space="preserve">. </w:t>
      </w:r>
      <w:r w:rsidRPr="00764517">
        <w:rPr>
          <w:lang w:val="en-AU" w:bidi="ar-SA"/>
        </w:rPr>
        <w:t xml:space="preserve"> </w:t>
      </w:r>
    </w:p>
    <w:p w14:paraId="551472AF" w14:textId="77777777" w:rsidR="00776154" w:rsidRDefault="00776154" w:rsidP="00776154">
      <w:pPr>
        <w:rPr>
          <w:lang w:val="en-AU" w:bidi="ar-SA"/>
        </w:rPr>
      </w:pPr>
    </w:p>
    <w:p w14:paraId="0C808642" w14:textId="77777777" w:rsidR="00776154" w:rsidRPr="00150395" w:rsidRDefault="00776154" w:rsidP="00776154">
      <w:pPr>
        <w:rPr>
          <w:b/>
          <w:bCs/>
          <w:iCs/>
          <w:lang w:val="en-AU" w:bidi="ar-SA"/>
        </w:rPr>
      </w:pPr>
      <w:r w:rsidRPr="00150395">
        <w:rPr>
          <w:b/>
          <w:bCs/>
          <w:iCs/>
          <w:lang w:val="en-AU" w:bidi="ar-SA"/>
        </w:rPr>
        <w:t xml:space="preserve">Proposed </w:t>
      </w:r>
      <w:r>
        <w:rPr>
          <w:b/>
          <w:bCs/>
          <w:iCs/>
          <w:lang w:val="en-AU" w:bidi="ar-SA"/>
        </w:rPr>
        <w:t>approach</w:t>
      </w:r>
    </w:p>
    <w:p w14:paraId="39AB4DEB" w14:textId="77777777" w:rsidR="00776154" w:rsidRDefault="00776154" w:rsidP="00776154">
      <w:pPr>
        <w:rPr>
          <w:lang w:val="en-AU" w:bidi="ar-SA"/>
        </w:rPr>
      </w:pPr>
    </w:p>
    <w:p w14:paraId="10D8738D" w14:textId="6C757286" w:rsidR="00B46F5B" w:rsidRDefault="00776154" w:rsidP="00776154">
      <w:pPr>
        <w:rPr>
          <w:lang w:val="en-AU" w:bidi="ar-SA"/>
        </w:rPr>
      </w:pPr>
      <w:r>
        <w:rPr>
          <w:lang w:val="en-AU" w:bidi="ar-SA"/>
        </w:rPr>
        <w:t xml:space="preserve">Based on the </w:t>
      </w:r>
      <w:r w:rsidR="003E3687">
        <w:rPr>
          <w:lang w:val="en-AU" w:bidi="ar-SA"/>
        </w:rPr>
        <w:t xml:space="preserve">nutrition </w:t>
      </w:r>
      <w:r>
        <w:rPr>
          <w:lang w:val="en-AU" w:bidi="ar-SA"/>
        </w:rPr>
        <w:t xml:space="preserve">risk assessment evidence and the conclusions of </w:t>
      </w:r>
      <w:r w:rsidR="00B96544">
        <w:rPr>
          <w:lang w:val="en-AU" w:bidi="ar-SA"/>
        </w:rPr>
        <w:t xml:space="preserve">the </w:t>
      </w:r>
      <w:r w:rsidR="00B96544">
        <w:t>Codex Draft Standard for FUF</w:t>
      </w:r>
      <w:r w:rsidR="00B96544">
        <w:rPr>
          <w:lang w:val="en-AU" w:bidi="ar-SA"/>
        </w:rPr>
        <w:t xml:space="preserve"> </w:t>
      </w:r>
      <w:r>
        <w:rPr>
          <w:lang w:val="en-AU" w:bidi="ar-SA"/>
        </w:rPr>
        <w:t>permitted forms for this nutrient, FSANZ proposes to retain both vitamin D</w:t>
      </w:r>
      <w:r w:rsidRPr="009B353C">
        <w:rPr>
          <w:vertAlign w:val="subscript"/>
          <w:lang w:val="en-AU" w:bidi="ar-SA"/>
        </w:rPr>
        <w:t>2</w:t>
      </w:r>
      <w:r>
        <w:rPr>
          <w:lang w:val="en-AU" w:bidi="ar-SA"/>
        </w:rPr>
        <w:t xml:space="preserve"> and vitamin D</w:t>
      </w:r>
      <w:r w:rsidRPr="009B353C">
        <w:rPr>
          <w:vertAlign w:val="subscript"/>
          <w:lang w:val="en-AU" w:bidi="ar-SA"/>
        </w:rPr>
        <w:t>3</w:t>
      </w:r>
      <w:r>
        <w:rPr>
          <w:lang w:val="en-AU" w:bidi="ar-SA"/>
        </w:rPr>
        <w:t xml:space="preserve"> as permitted forms in </w:t>
      </w:r>
      <w:r w:rsidRPr="006F770A">
        <w:t>Standard 2.9.1</w:t>
      </w:r>
      <w:r w:rsidR="00B46F5B">
        <w:rPr>
          <w:lang w:val="en-AU" w:bidi="ar-SA"/>
        </w:rPr>
        <w:t>.</w:t>
      </w:r>
    </w:p>
    <w:p w14:paraId="2DFD2DFE" w14:textId="4FEB323E" w:rsidR="00B46F5B" w:rsidRDefault="00B46F5B" w:rsidP="00B46F5B">
      <w:pPr>
        <w:pStyle w:val="Heading2"/>
      </w:pPr>
      <w:bookmarkStart w:id="428" w:name="_Toc73624928"/>
      <w:bookmarkStart w:id="429" w:name="_Toc76138296"/>
      <w:bookmarkStart w:id="430" w:name="_Toc73455655"/>
      <w:r>
        <w:t>7.6</w:t>
      </w:r>
      <w:r>
        <w:tab/>
      </w:r>
      <w:r w:rsidR="005B251E">
        <w:t>Fluoride</w:t>
      </w:r>
      <w:bookmarkEnd w:id="428"/>
      <w:bookmarkEnd w:id="429"/>
      <w:r w:rsidR="005B251E">
        <w:t xml:space="preserve"> </w:t>
      </w:r>
      <w:bookmarkEnd w:id="430"/>
    </w:p>
    <w:p w14:paraId="77A07929" w14:textId="427D363D" w:rsidR="003732DA" w:rsidRDefault="003732DA" w:rsidP="003732DA">
      <w:r w:rsidRPr="00AD7C83">
        <w:t xml:space="preserve">Fluoride is a mineral naturally present in food and drink and is considered a normal constituent of the </w:t>
      </w:r>
      <w:r w:rsidRPr="00586D88">
        <w:t>human body (NHMRC and MoH 2006, revised 2017). Fluoride</w:t>
      </w:r>
      <w:r w:rsidR="007E4358" w:rsidRPr="00586D88">
        <w:t xml:space="preserve"> is necessary for</w:t>
      </w:r>
      <w:r w:rsidRPr="00586D88">
        <w:t xml:space="preserve"> mineralisation of teeth and bones and to s</w:t>
      </w:r>
      <w:r w:rsidR="003E6A2E">
        <w:t>timulate formation of new bone. Sufficient intakes of fluoride prevent the formation of dental caries</w:t>
      </w:r>
      <w:r w:rsidRPr="00586D88">
        <w:t xml:space="preserve"> (tooth decay) (FSANZ 2011).</w:t>
      </w:r>
      <w:r w:rsidR="003E6A2E">
        <w:t xml:space="preserve"> M</w:t>
      </w:r>
      <w:r w:rsidR="005A6521">
        <w:t xml:space="preserve">ost public </w:t>
      </w:r>
      <w:r w:rsidRPr="00AD7C83">
        <w:t xml:space="preserve">water supplies </w:t>
      </w:r>
      <w:r w:rsidR="003E6A2E">
        <w:t xml:space="preserve">in </w:t>
      </w:r>
      <w:r w:rsidR="003E6A2E" w:rsidRPr="00586D88">
        <w:t>Australia</w:t>
      </w:r>
      <w:r w:rsidR="003E6A2E" w:rsidRPr="00AD7C83">
        <w:t xml:space="preserve"> and New Zealand </w:t>
      </w:r>
      <w:r w:rsidRPr="00AD7C83">
        <w:t>are fluoridated as a public health strategy to prevent dental caries</w:t>
      </w:r>
      <w:r>
        <w:t xml:space="preserve">. </w:t>
      </w:r>
      <w:r w:rsidR="007E4358">
        <w:t>However,</w:t>
      </w:r>
      <w:r>
        <w:t xml:space="preserve"> </w:t>
      </w:r>
      <w:r w:rsidR="007E4358">
        <w:t xml:space="preserve">excess </w:t>
      </w:r>
      <w:r>
        <w:t>fluoride</w:t>
      </w:r>
      <w:r w:rsidR="007E4358">
        <w:t xml:space="preserve"> intakes</w:t>
      </w:r>
      <w:r>
        <w:t xml:space="preserve"> can lead to dental fluorosis. </w:t>
      </w:r>
    </w:p>
    <w:p w14:paraId="7A1E450A" w14:textId="2CFCD265" w:rsidR="00B46F5B" w:rsidRDefault="00B46F5B" w:rsidP="00B46F5B">
      <w:pPr>
        <w:pStyle w:val="Heading4"/>
      </w:pPr>
      <w:r w:rsidRPr="00BA1FD9">
        <w:t>Current regulations</w:t>
      </w:r>
    </w:p>
    <w:p w14:paraId="204A1D84" w14:textId="6F78F00E" w:rsidR="003732DA" w:rsidRDefault="003732DA" w:rsidP="0057403E">
      <w:pPr>
        <w:pStyle w:val="ListParagraph"/>
        <w:ind w:left="0"/>
        <w:rPr>
          <w:lang w:eastAsia="en-AU"/>
        </w:rPr>
      </w:pPr>
      <w:r>
        <w:rPr>
          <w:lang w:eastAsia="en-AU"/>
        </w:rPr>
        <w:t>The Code, Codex</w:t>
      </w:r>
      <w:r w:rsidR="00586D88">
        <w:rPr>
          <w:lang w:eastAsia="en-AU"/>
        </w:rPr>
        <w:t xml:space="preserve"> STAN 72-1981</w:t>
      </w:r>
      <w:r>
        <w:rPr>
          <w:lang w:eastAsia="en-AU"/>
        </w:rPr>
        <w:t xml:space="preserve">, and </w:t>
      </w:r>
      <w:r w:rsidR="00586D88">
        <w:rPr>
          <w:lang w:eastAsia="en-AU"/>
        </w:rPr>
        <w:t xml:space="preserve">EU </w:t>
      </w:r>
      <w:r w:rsidR="00586D88" w:rsidRPr="006A5DB9">
        <w:t>2016/127</w:t>
      </w:r>
      <w:r w:rsidR="00586D88">
        <w:t xml:space="preserve"> </w:t>
      </w:r>
      <w:r>
        <w:rPr>
          <w:lang w:eastAsia="en-AU"/>
        </w:rPr>
        <w:t xml:space="preserve">do not permit </w:t>
      </w:r>
      <w:r w:rsidR="00586D88">
        <w:rPr>
          <w:lang w:eastAsia="en-AU"/>
        </w:rPr>
        <w:t xml:space="preserve">the </w:t>
      </w:r>
      <w:r>
        <w:rPr>
          <w:lang w:eastAsia="en-AU"/>
        </w:rPr>
        <w:t>addition of fluoride to infant formula.</w:t>
      </w:r>
      <w:r w:rsidR="001200A0">
        <w:rPr>
          <w:lang w:eastAsia="en-AU"/>
        </w:rPr>
        <w:t xml:space="preserve"> Therefore consideration of the minimum amount of fluoride in infant </w:t>
      </w:r>
      <w:r w:rsidR="00586D88">
        <w:rPr>
          <w:lang w:eastAsia="en-AU"/>
        </w:rPr>
        <w:t xml:space="preserve">formula </w:t>
      </w:r>
      <w:r w:rsidR="001200A0">
        <w:rPr>
          <w:lang w:eastAsia="en-AU"/>
        </w:rPr>
        <w:t xml:space="preserve">is not addressed in this review. </w:t>
      </w:r>
    </w:p>
    <w:p w14:paraId="15BE3764" w14:textId="77777777" w:rsidR="003732DA" w:rsidRDefault="003732DA" w:rsidP="0057403E">
      <w:pPr>
        <w:pStyle w:val="ListParagraph"/>
        <w:ind w:left="0"/>
        <w:rPr>
          <w:lang w:eastAsia="en-AU"/>
        </w:rPr>
      </w:pPr>
    </w:p>
    <w:p w14:paraId="48E2C00F" w14:textId="485D8AC0" w:rsidR="003732DA" w:rsidRDefault="0057403E" w:rsidP="003732DA">
      <w:r>
        <w:rPr>
          <w:lang w:eastAsia="en-AU"/>
        </w:rPr>
        <w:t xml:space="preserve">Standard </w:t>
      </w:r>
      <w:r w:rsidR="003732DA">
        <w:rPr>
          <w:lang w:eastAsia="en-AU"/>
        </w:rPr>
        <w:t xml:space="preserve">2.9.1 </w:t>
      </w:r>
      <w:r w:rsidR="003732DA">
        <w:t xml:space="preserve">manages </w:t>
      </w:r>
      <w:r w:rsidR="003732DA" w:rsidRPr="00804304">
        <w:t xml:space="preserve">the potential risk of dental fluorosis </w:t>
      </w:r>
      <w:r w:rsidR="003732DA">
        <w:t>by requiring i</w:t>
      </w:r>
      <w:r w:rsidR="003732DA" w:rsidRPr="00804304">
        <w:t xml:space="preserve">nfant formula </w:t>
      </w:r>
      <w:r w:rsidR="00586D88">
        <w:t>that contain</w:t>
      </w:r>
      <w:r w:rsidR="00344A8A">
        <w:t>s</w:t>
      </w:r>
      <w:r w:rsidR="00586D88">
        <w:t>:</w:t>
      </w:r>
    </w:p>
    <w:p w14:paraId="3DEEED98" w14:textId="77777777" w:rsidR="003732DA" w:rsidRPr="00BE4BDE" w:rsidRDefault="003732DA" w:rsidP="00586D88">
      <w:pPr>
        <w:pStyle w:val="FSBullet1"/>
      </w:pPr>
      <w:r w:rsidRPr="00BE4BDE">
        <w:t>more than 17 µg of fluoride per 100 kJ prior to reconstitution, in the case of powdered or concentrated infant formula product; or</w:t>
      </w:r>
    </w:p>
    <w:p w14:paraId="31E80667" w14:textId="288FC215" w:rsidR="001200A0" w:rsidRPr="001200A0" w:rsidRDefault="003732DA" w:rsidP="001200A0">
      <w:pPr>
        <w:pStyle w:val="FSBullet1"/>
        <w:widowControl w:val="0"/>
      </w:pPr>
      <w:r w:rsidRPr="00BE4BDE">
        <w:t>more than 0.15 mg of fluoride per 100 mL, in the case of ‘ready</w:t>
      </w:r>
      <w:r>
        <w:t>-</w:t>
      </w:r>
      <w:r w:rsidRPr="00BE4BDE">
        <w:t>to</w:t>
      </w:r>
      <w:r>
        <w:t>-</w:t>
      </w:r>
      <w:r w:rsidRPr="00BE4BDE">
        <w:t>drink’ formula</w:t>
      </w:r>
    </w:p>
    <w:p w14:paraId="0BB3ABC5" w14:textId="77777777" w:rsidR="00344A8A" w:rsidRDefault="00344A8A" w:rsidP="00586D88">
      <w:pPr>
        <w:pStyle w:val="ListParagraph"/>
      </w:pPr>
    </w:p>
    <w:p w14:paraId="121A477A" w14:textId="57CDF405" w:rsidR="00CD37AD" w:rsidRPr="00CD37AD" w:rsidRDefault="003732DA" w:rsidP="003E6A2E">
      <w:pPr>
        <w:pStyle w:val="ListParagraph"/>
        <w:ind w:left="0"/>
        <w:rPr>
          <w:lang w:eastAsia="en-AU"/>
        </w:rPr>
      </w:pPr>
      <w:r>
        <w:t xml:space="preserve">to include a </w:t>
      </w:r>
      <w:r w:rsidRPr="00804304">
        <w:t xml:space="preserve">statement on </w:t>
      </w:r>
      <w:r>
        <w:t xml:space="preserve">the </w:t>
      </w:r>
      <w:r w:rsidRPr="00804304">
        <w:t>product label</w:t>
      </w:r>
      <w:r>
        <w:t xml:space="preserve"> </w:t>
      </w:r>
      <w:r w:rsidR="00586D88">
        <w:t>indicating</w:t>
      </w:r>
      <w:r w:rsidRPr="00804304">
        <w:t xml:space="preserve"> the potential risk of dental fluorosis </w:t>
      </w:r>
      <w:r>
        <w:t xml:space="preserve">(subparagraph </w:t>
      </w:r>
      <w:r w:rsidRPr="00804304">
        <w:t>2.9.1</w:t>
      </w:r>
      <w:r>
        <w:t>—</w:t>
      </w:r>
      <w:r w:rsidRPr="00804304">
        <w:t>23(</w:t>
      </w:r>
      <w:r>
        <w:t>1)(b)(i)</w:t>
      </w:r>
      <w:r w:rsidR="00514C3B">
        <w:t>)</w:t>
      </w:r>
      <w:r>
        <w:t xml:space="preserve"> and a statement recommending that the risk of dental fluorosis should be discussed with a medical professional (subparagraph </w:t>
      </w:r>
      <w:r w:rsidRPr="00804304">
        <w:t>2.9.1–23(</w:t>
      </w:r>
      <w:r>
        <w:t>1)(b</w:t>
      </w:r>
      <w:r w:rsidRPr="00804304">
        <w:t>)</w:t>
      </w:r>
      <w:r>
        <w:t>(ii))</w:t>
      </w:r>
      <w:r w:rsidRPr="00804304">
        <w:t xml:space="preserve">. </w:t>
      </w:r>
      <w:r w:rsidR="0057403E">
        <w:rPr>
          <w:lang w:eastAsia="en-AU"/>
        </w:rPr>
        <w:t xml:space="preserve"> </w:t>
      </w:r>
    </w:p>
    <w:p w14:paraId="2C3D50D2" w14:textId="473B2B8F" w:rsidR="0057403E" w:rsidRDefault="0057403E" w:rsidP="0057403E">
      <w:pPr>
        <w:pStyle w:val="ListParagraph"/>
        <w:ind w:left="0"/>
        <w:rPr>
          <w:lang w:eastAsia="en-AU"/>
        </w:rPr>
      </w:pPr>
    </w:p>
    <w:p w14:paraId="0F573D3B" w14:textId="60ADC9DA" w:rsidR="003732DA" w:rsidRDefault="003732DA" w:rsidP="0057403E">
      <w:pPr>
        <w:pStyle w:val="ListParagraph"/>
        <w:ind w:left="0"/>
        <w:rPr>
          <w:lang w:eastAsia="en-AU"/>
        </w:rPr>
      </w:pPr>
      <w:r>
        <w:rPr>
          <w:lang w:eastAsia="en-AU"/>
        </w:rPr>
        <w:t>Codex STAN 72-</w:t>
      </w:r>
      <w:r w:rsidR="0057403E" w:rsidRPr="0057403E">
        <w:rPr>
          <w:lang w:eastAsia="en-AU"/>
        </w:rPr>
        <w:t xml:space="preserve">1981 </w:t>
      </w:r>
      <w:r>
        <w:rPr>
          <w:lang w:eastAsia="en-AU"/>
        </w:rPr>
        <w:t xml:space="preserve">and EU </w:t>
      </w:r>
      <w:r w:rsidRPr="006A5DB9">
        <w:t>2016/127</w:t>
      </w:r>
      <w:r>
        <w:t xml:space="preserve"> manage fluoride content by specifying a</w:t>
      </w:r>
      <w:r w:rsidRPr="00AA7F91">
        <w:t xml:space="preserve">n upper limit </w:t>
      </w:r>
      <w:r w:rsidR="00824278">
        <w:t xml:space="preserve">for fluoride </w:t>
      </w:r>
      <w:r w:rsidRPr="00AA7F91">
        <w:t>of 24</w:t>
      </w:r>
      <w:r w:rsidR="00824278">
        <w:t xml:space="preserve"> </w:t>
      </w:r>
      <w:r w:rsidRPr="00AA7F91">
        <w:t>µg/100</w:t>
      </w:r>
      <w:r w:rsidR="00514C3B">
        <w:t xml:space="preserve"> </w:t>
      </w:r>
      <w:r w:rsidRPr="00AA7F91">
        <w:t>kJ in infant formula prepared ready for consumption</w:t>
      </w:r>
      <w:r>
        <w:t xml:space="preserve"> (i.e. when prepared following the manufacturer’s instructions on the label)</w:t>
      </w:r>
      <w:r w:rsidR="0057403E">
        <w:rPr>
          <w:lang w:eastAsia="en-AU"/>
        </w:rPr>
        <w:t>.</w:t>
      </w:r>
    </w:p>
    <w:p w14:paraId="68DD28F0" w14:textId="7A82BD6D" w:rsidR="00CF4E19" w:rsidRPr="00586D88" w:rsidRDefault="003732DA" w:rsidP="00586D88">
      <w:pPr>
        <w:pStyle w:val="Heading4"/>
      </w:pPr>
      <w:r w:rsidRPr="00586D88">
        <w:t>Previous consideration</w:t>
      </w:r>
    </w:p>
    <w:p w14:paraId="0182B253" w14:textId="2676782E" w:rsidR="00CF4E19" w:rsidRDefault="00CF4E19" w:rsidP="003732DA">
      <w:r w:rsidRPr="00CF4E19">
        <w:t xml:space="preserve">The </w:t>
      </w:r>
      <w:r w:rsidR="00344A8A">
        <w:t>issue of fluoride was</w:t>
      </w:r>
      <w:r>
        <w:t xml:space="preserve"> not </w:t>
      </w:r>
      <w:r w:rsidRPr="00CF4E19">
        <w:t xml:space="preserve">considered in </w:t>
      </w:r>
      <w:r>
        <w:t>the 2016 Consultation paper.</w:t>
      </w:r>
    </w:p>
    <w:p w14:paraId="5633E85D" w14:textId="06BE1B04" w:rsidR="00CF4E19" w:rsidRDefault="00CF4E19" w:rsidP="003732DA"/>
    <w:p w14:paraId="48EF8CEA" w14:textId="34DCAE10" w:rsidR="00B46F5B" w:rsidRDefault="00CF4E19" w:rsidP="00586D88">
      <w:pPr>
        <w:widowControl w:val="0"/>
      </w:pPr>
      <w:r>
        <w:t xml:space="preserve">The </w:t>
      </w:r>
      <w:r w:rsidRPr="00CF4E19">
        <w:t xml:space="preserve">2012 Consultation paper noted </w:t>
      </w:r>
      <w:r>
        <w:t xml:space="preserve">that </w:t>
      </w:r>
      <w:r w:rsidRPr="00CF4E19">
        <w:t>the approach in Standard 2.</w:t>
      </w:r>
      <w:r w:rsidR="00586D88">
        <w:t xml:space="preserve">9.1 varied from both </w:t>
      </w:r>
      <w:r w:rsidR="00586D88">
        <w:lastRenderedPageBreak/>
        <w:t>Codex and the EU</w:t>
      </w:r>
      <w:r w:rsidRPr="00CF4E19">
        <w:t xml:space="preserve"> which specify</w:t>
      </w:r>
      <w:r>
        <w:t xml:space="preserve"> maximum levels for fluoride and do not </w:t>
      </w:r>
      <w:r w:rsidRPr="00CF4E19">
        <w:t>require</w:t>
      </w:r>
      <w:r>
        <w:t xml:space="preserve"> a </w:t>
      </w:r>
      <w:r w:rsidRPr="00CF4E19">
        <w:t>dental fluorosis statement.</w:t>
      </w:r>
      <w:r>
        <w:t xml:space="preserve"> </w:t>
      </w:r>
    </w:p>
    <w:p w14:paraId="6B29DDC6" w14:textId="71B4B2B5" w:rsidR="00B46F5B" w:rsidRPr="00586D88" w:rsidRDefault="00B46F5B" w:rsidP="00586D88">
      <w:pPr>
        <w:pStyle w:val="Heading4"/>
      </w:pPr>
      <w:r w:rsidRPr="00586D88">
        <w:t>Stakeholder views</w:t>
      </w:r>
    </w:p>
    <w:p w14:paraId="481F16F5" w14:textId="3CFE9FF3" w:rsidR="0057403E" w:rsidRPr="00CF4E19" w:rsidRDefault="00CF4E19" w:rsidP="00CF4E19">
      <w:pPr>
        <w:widowControl w:val="0"/>
        <w:rPr>
          <w:b/>
          <w:bCs/>
          <w:i/>
          <w:iCs/>
          <w:lang w:eastAsia="en-AU"/>
        </w:rPr>
      </w:pPr>
      <w:r w:rsidRPr="00CF4E19">
        <w:t>Submitters to the 2012 Consultation paper expressed diverse views on issues relating to fluoride in infant formula. Some submitters supported alignment with Codex provisions (i.e. maximum level of 24 μg/100 kJ ‘ready to drink’), while others considered the level should be lowered following a review of the evidence</w:t>
      </w:r>
      <w:r>
        <w:t xml:space="preserve"> </w:t>
      </w:r>
      <w:r w:rsidRPr="00CF4E19">
        <w:t xml:space="preserve">to consider the public health and safety issues relating to fluoride in infant formula. Some questioned the need for the dental fluorosis statements, and others considered these statements should be amended and made mandatory on products. </w:t>
      </w:r>
    </w:p>
    <w:p w14:paraId="08609A8E" w14:textId="36BCA905" w:rsidR="0057403E" w:rsidRDefault="0057403E" w:rsidP="0057403E">
      <w:pPr>
        <w:pStyle w:val="Heading4"/>
      </w:pPr>
      <w:r>
        <w:t xml:space="preserve">Nutrition risk assessment </w:t>
      </w:r>
    </w:p>
    <w:p w14:paraId="7EACFEBA" w14:textId="0666D7A1" w:rsidR="0057403E" w:rsidRPr="006035F4" w:rsidRDefault="0057403E" w:rsidP="006035F4">
      <w:pPr>
        <w:autoSpaceDE w:val="0"/>
        <w:autoSpaceDN w:val="0"/>
        <w:adjustRightInd w:val="0"/>
        <w:rPr>
          <w:rFonts w:eastAsia="Arial Unicode MS"/>
        </w:rPr>
      </w:pPr>
      <w:r w:rsidRPr="00741136">
        <w:rPr>
          <w:rFonts w:eastAsia="Arial Unicode MS"/>
        </w:rPr>
        <w:t xml:space="preserve">No further </w:t>
      </w:r>
      <w:r>
        <w:rPr>
          <w:rFonts w:eastAsia="Arial Unicode MS"/>
        </w:rPr>
        <w:t>nutrition risk assessment was considered on this issue.</w:t>
      </w:r>
    </w:p>
    <w:p w14:paraId="125E2EB9" w14:textId="77777777" w:rsidR="00FA28CD" w:rsidRDefault="00FA28CD" w:rsidP="00FA28CD">
      <w:pPr>
        <w:pStyle w:val="Heading4"/>
      </w:pPr>
      <w:r>
        <w:t>Options and discussion</w:t>
      </w:r>
    </w:p>
    <w:p w14:paraId="44FB147A" w14:textId="063C71D0" w:rsidR="00CF4E19" w:rsidRPr="00CF4E19" w:rsidRDefault="00CF4E19" w:rsidP="00CF4E19">
      <w:pPr>
        <w:widowControl w:val="0"/>
        <w:rPr>
          <w:i/>
        </w:rPr>
      </w:pPr>
      <w:r w:rsidRPr="00CF4E19">
        <w:rPr>
          <w:i/>
        </w:rPr>
        <w:t xml:space="preserve">History of the requirement </w:t>
      </w:r>
      <w:r w:rsidR="006F44D4">
        <w:rPr>
          <w:i/>
        </w:rPr>
        <w:t>in the Code</w:t>
      </w:r>
    </w:p>
    <w:p w14:paraId="6F4D5A18" w14:textId="77777777" w:rsidR="00CF4E19" w:rsidRPr="00CF4E19" w:rsidRDefault="00CF4E19" w:rsidP="00CF4E19">
      <w:pPr>
        <w:widowControl w:val="0"/>
      </w:pPr>
    </w:p>
    <w:p w14:paraId="05863964" w14:textId="5B6805EC" w:rsidR="00CF4E19" w:rsidRDefault="00CF4E19" w:rsidP="00CF4E19">
      <w:pPr>
        <w:widowControl w:val="0"/>
      </w:pPr>
      <w:r w:rsidRPr="00CF4E19">
        <w:t>During the time Standard 2.9.1 was being developed</w:t>
      </w:r>
      <w:r w:rsidR="006035F4">
        <w:t>,</w:t>
      </w:r>
      <w:r w:rsidRPr="00CF4E19">
        <w:t xml:space="preserve"> there were concerns that formula</w:t>
      </w:r>
      <w:r w:rsidRPr="00CF4E19">
        <w:noBreakHyphen/>
        <w:t>fed infants may be at risk for dental fluorosis when infant formula powder contain</w:t>
      </w:r>
      <w:r w:rsidR="006035F4">
        <w:t xml:space="preserve">ing </w:t>
      </w:r>
      <w:r w:rsidRPr="00CF4E19">
        <w:t>fluoride was mad</w:t>
      </w:r>
      <w:r w:rsidR="006035F4">
        <w:t xml:space="preserve">e up with fluoridated water. Therefore, estimated fluoride intakes were assessed using </w:t>
      </w:r>
      <w:r w:rsidRPr="00CF4E19">
        <w:t xml:space="preserve">the </w:t>
      </w:r>
      <w:r w:rsidR="006035F4">
        <w:t xml:space="preserve">reported </w:t>
      </w:r>
      <w:r w:rsidRPr="00CF4E19">
        <w:t>levels of fluoride in Australian and New Zealand infant formula at the time</w:t>
      </w:r>
      <w:r w:rsidR="006035F4">
        <w:t xml:space="preserve"> and assuming that the infant formula was </w:t>
      </w:r>
      <w:r w:rsidRPr="00CF4E19">
        <w:t>prepared with</w:t>
      </w:r>
      <w:r w:rsidR="006035F4">
        <w:t xml:space="preserve"> water containing the </w:t>
      </w:r>
      <w:r w:rsidRPr="00CF4E19">
        <w:t>maximum</w:t>
      </w:r>
      <w:r w:rsidR="006035F4">
        <w:t xml:space="preserve"> permitted </w:t>
      </w:r>
      <w:r w:rsidRPr="00CF4E19">
        <w:t>fluoridation levels. The assessment noted the fluoride content of infant formula powder alone would not lead to daily intak</w:t>
      </w:r>
      <w:r w:rsidR="006067B3">
        <w:t>es at a level of concern. As potentially high</w:t>
      </w:r>
      <w:r w:rsidRPr="00CF4E19">
        <w:t xml:space="preserve"> fluoride levels depended mainly on the fluoride concentration of the water used to reconstitute the products, it was considered diff</w:t>
      </w:r>
      <w:r w:rsidR="006067B3">
        <w:t>icult to regulate. Consequently</w:t>
      </w:r>
      <w:r w:rsidRPr="00CF4E19">
        <w:t xml:space="preserve"> it was concluded that the issue of fluoride in infant formula was adequately covered by the water quality guidelines at the time. FSANZ (then ANZFA) also noted that some manufacturers were moving to produce infant formula with low fluoride-containing </w:t>
      </w:r>
      <w:r w:rsidRPr="007F48C2">
        <w:t>water to reduce the fluor</w:t>
      </w:r>
      <w:r w:rsidR="006067B3">
        <w:t>ide levels in the final product and</w:t>
      </w:r>
      <w:r w:rsidRPr="007F48C2">
        <w:t xml:space="preserve"> this was consistent with monitoring study (Riordan 1995). Due to concerns on the possibility of dental fluorosis from the use of some formulas, </w:t>
      </w:r>
      <w:r w:rsidR="00BB2297">
        <w:t xml:space="preserve">a labelling requirement was introduced as a measure </w:t>
      </w:r>
      <w:r w:rsidRPr="00CF4E19">
        <w:t xml:space="preserve">to advise carers of this potential risk. </w:t>
      </w:r>
    </w:p>
    <w:p w14:paraId="420E9357" w14:textId="77777777" w:rsidR="005A6521" w:rsidRDefault="005A6521" w:rsidP="00CF4E19">
      <w:pPr>
        <w:widowControl w:val="0"/>
      </w:pPr>
    </w:p>
    <w:p w14:paraId="074FB1A1" w14:textId="77777777" w:rsidR="00CF4E19" w:rsidRPr="00CF4E19" w:rsidRDefault="00CF4E19" w:rsidP="00CF4E19">
      <w:pPr>
        <w:widowControl w:val="0"/>
        <w:rPr>
          <w:i/>
        </w:rPr>
      </w:pPr>
      <w:r w:rsidRPr="00CF4E19">
        <w:rPr>
          <w:i/>
        </w:rPr>
        <w:t xml:space="preserve">Other FSANZ assessments </w:t>
      </w:r>
    </w:p>
    <w:p w14:paraId="175E2CA8" w14:textId="77777777" w:rsidR="00CF4E19" w:rsidRPr="00CF4E19" w:rsidRDefault="00CF4E19" w:rsidP="00CF4E19">
      <w:pPr>
        <w:widowControl w:val="0"/>
      </w:pPr>
    </w:p>
    <w:p w14:paraId="12E3E13B" w14:textId="00295113" w:rsidR="00CF4E19" w:rsidRPr="00CF4E19" w:rsidRDefault="006067B3" w:rsidP="00CF4E19">
      <w:pPr>
        <w:widowControl w:val="0"/>
        <w:rPr>
          <w:rFonts w:cs="Arial"/>
        </w:rPr>
      </w:pPr>
      <w:r>
        <w:t>The f</w:t>
      </w:r>
      <w:r w:rsidR="00CF4E19" w:rsidRPr="00CF4E19">
        <w:t xml:space="preserve">luoride content of infant formula and infant foods (in addition to other foods) was analysed as part of </w:t>
      </w:r>
      <w:r w:rsidR="00CF4E19" w:rsidRPr="007F48C2">
        <w:t>the 23</w:t>
      </w:r>
      <w:r w:rsidR="00CF4E19" w:rsidRPr="007F48C2">
        <w:rPr>
          <w:vertAlign w:val="superscript"/>
        </w:rPr>
        <w:t>rd</w:t>
      </w:r>
      <w:r w:rsidR="00CF4E19" w:rsidRPr="007F48C2">
        <w:t xml:space="preserve"> </w:t>
      </w:r>
      <w:r w:rsidR="006035F4" w:rsidRPr="007F48C2">
        <w:t>ATDS</w:t>
      </w:r>
      <w:r w:rsidR="00CF4E19" w:rsidRPr="007F48C2">
        <w:t xml:space="preserve">. </w:t>
      </w:r>
      <w:r w:rsidR="00C76930" w:rsidRPr="007F48C2">
        <w:t xml:space="preserve">Based on a model infant diet, </w:t>
      </w:r>
      <w:r w:rsidR="00CF4E19" w:rsidRPr="007F48C2">
        <w:t>infant formula was</w:t>
      </w:r>
      <w:r w:rsidR="00C76930" w:rsidRPr="007F48C2">
        <w:t xml:space="preserve"> reported to be </w:t>
      </w:r>
      <w:r w:rsidR="00CF4E19" w:rsidRPr="007F48C2">
        <w:t>the major source of fluoride intake for infants, noting that the survey only considered dietary sources of fl</w:t>
      </w:r>
      <w:r w:rsidR="00C76930" w:rsidRPr="007F48C2">
        <w:t xml:space="preserve">uoride. For 9 month old infants, </w:t>
      </w:r>
      <w:r w:rsidR="00CF4E19" w:rsidRPr="007F48C2">
        <w:t xml:space="preserve">estimated </w:t>
      </w:r>
      <w:r w:rsidR="00CF4E19" w:rsidRPr="007F48C2">
        <w:rPr>
          <w:rFonts w:cs="Arial"/>
        </w:rPr>
        <w:t>mean dietary intakes exceeded the AI, while the UL (0.9 mg/day) was exceeded in 9 month old infants at the 95</w:t>
      </w:r>
      <w:r w:rsidR="00CF4E19" w:rsidRPr="007F48C2">
        <w:rPr>
          <w:rFonts w:cs="Arial"/>
          <w:vertAlign w:val="superscript"/>
        </w:rPr>
        <w:t>th</w:t>
      </w:r>
      <w:r w:rsidR="00CF4E19" w:rsidRPr="007F48C2">
        <w:rPr>
          <w:rFonts w:cs="Arial"/>
        </w:rPr>
        <w:t xml:space="preserve"> per</w:t>
      </w:r>
      <w:r w:rsidR="004E60D2">
        <w:rPr>
          <w:rFonts w:cs="Arial"/>
        </w:rPr>
        <w:t>centile (150% of the UL) (FSANZ</w:t>
      </w:r>
      <w:r w:rsidR="00CF4E19" w:rsidRPr="007F48C2">
        <w:rPr>
          <w:rFonts w:cs="Arial"/>
        </w:rPr>
        <w:t xml:space="preserve"> 2011). This was consistent with </w:t>
      </w:r>
      <w:r w:rsidR="00C76930" w:rsidRPr="007F48C2">
        <w:rPr>
          <w:rFonts w:cs="Arial"/>
        </w:rPr>
        <w:t xml:space="preserve">the FSANZ </w:t>
      </w:r>
      <w:r w:rsidR="00CF4E19" w:rsidRPr="007F48C2">
        <w:rPr>
          <w:rFonts w:cs="Arial"/>
        </w:rPr>
        <w:t>assessment for Application A588 – Voluntary Addition of Fluoride to Packaged Water (FSANZ 2009). As part of the dietary exposure assessment</w:t>
      </w:r>
      <w:r w:rsidR="00C76930" w:rsidRPr="007F48C2">
        <w:rPr>
          <w:rFonts w:cs="Arial"/>
        </w:rPr>
        <w:t xml:space="preserve"> for </w:t>
      </w:r>
      <w:r w:rsidR="00CF4E19" w:rsidRPr="007F48C2">
        <w:rPr>
          <w:rFonts w:cs="Arial"/>
        </w:rPr>
        <w:t>this Application, a proportion of infants and children up to 8 years of age were found to have fluoride intakes greater than the UL.</w:t>
      </w:r>
      <w:r w:rsidR="00CF4E19" w:rsidRPr="00CF4E19">
        <w:rPr>
          <w:rFonts w:cs="Arial"/>
        </w:rPr>
        <w:t xml:space="preserve"> However, these exceedances were not considered to represent a safety issue </w:t>
      </w:r>
      <w:r w:rsidR="00C76930">
        <w:rPr>
          <w:rFonts w:cs="Arial"/>
        </w:rPr>
        <w:t>because:</w:t>
      </w:r>
      <w:r w:rsidR="00CF4E19" w:rsidRPr="00CF4E19">
        <w:rPr>
          <w:rFonts w:cs="Arial"/>
        </w:rPr>
        <w:t xml:space="preserve"> </w:t>
      </w:r>
    </w:p>
    <w:p w14:paraId="4B4450C0" w14:textId="77777777" w:rsidR="00CF4E19" w:rsidRPr="00CF4E19" w:rsidRDefault="00CF4E19" w:rsidP="00CF4E19">
      <w:pPr>
        <w:widowControl w:val="0"/>
        <w:rPr>
          <w:rFonts w:cs="Arial"/>
        </w:rPr>
      </w:pPr>
    </w:p>
    <w:p w14:paraId="16DAB80F" w14:textId="7A936CD3" w:rsidR="00CF4E19" w:rsidRPr="00CF4E19" w:rsidRDefault="00514C3B" w:rsidP="00CF4E19">
      <w:pPr>
        <w:widowControl w:val="0"/>
        <w:numPr>
          <w:ilvl w:val="0"/>
          <w:numId w:val="1"/>
        </w:numPr>
        <w:ind w:left="567" w:hanging="567"/>
        <w:rPr>
          <w:rFonts w:cs="Arial"/>
        </w:rPr>
      </w:pPr>
      <w:r>
        <w:rPr>
          <w:rFonts w:cs="Arial"/>
        </w:rPr>
        <w:t>m</w:t>
      </w:r>
      <w:r w:rsidR="00CF4E19" w:rsidRPr="00CF4E19">
        <w:rPr>
          <w:rFonts w:cs="Arial"/>
        </w:rPr>
        <w:t>oderate dental fluorosis (the adverse effect on which the UL is based) is a rare condition in Australia and New Zealand</w:t>
      </w:r>
    </w:p>
    <w:p w14:paraId="5FD3D6E9" w14:textId="04C2D3D1" w:rsidR="00CF4E19" w:rsidRPr="00CF4E19" w:rsidRDefault="00514C3B" w:rsidP="00CF4E19">
      <w:pPr>
        <w:widowControl w:val="0"/>
        <w:numPr>
          <w:ilvl w:val="0"/>
          <w:numId w:val="1"/>
        </w:numPr>
        <w:ind w:left="567" w:hanging="567"/>
        <w:rPr>
          <w:rFonts w:cs="Arial"/>
        </w:rPr>
      </w:pPr>
      <w:r>
        <w:rPr>
          <w:rFonts w:cs="Arial"/>
        </w:rPr>
        <w:t>t</w:t>
      </w:r>
      <w:r w:rsidR="00CF4E19" w:rsidRPr="00CF4E19">
        <w:rPr>
          <w:rFonts w:cs="Arial"/>
        </w:rPr>
        <w:t xml:space="preserve">he apparent exceedances were considered to be the result of comparing values based on actual consumption data for children up to 8 years of age to a UL that was </w:t>
      </w:r>
      <w:r w:rsidR="00CF4E19" w:rsidRPr="00CF4E19">
        <w:rPr>
          <w:rFonts w:cs="Arial"/>
        </w:rPr>
        <w:lastRenderedPageBreak/>
        <w:t>originally based on model data for these ages.</w:t>
      </w:r>
    </w:p>
    <w:p w14:paraId="5CE8A313" w14:textId="77777777" w:rsidR="00CF4E19" w:rsidRPr="00CF4E19" w:rsidRDefault="00CF4E19" w:rsidP="00CF4E19">
      <w:pPr>
        <w:widowControl w:val="0"/>
        <w:ind w:left="720" w:hanging="720"/>
        <w:rPr>
          <w:rFonts w:cs="Arial"/>
        </w:rPr>
      </w:pPr>
    </w:p>
    <w:p w14:paraId="63C50876" w14:textId="60D3421C" w:rsidR="00CF4E19" w:rsidRPr="00CF4E19" w:rsidRDefault="00CF4E19" w:rsidP="00CF4E19">
      <w:pPr>
        <w:widowControl w:val="0"/>
        <w:rPr>
          <w:rFonts w:cs="Arial"/>
        </w:rPr>
      </w:pPr>
      <w:r w:rsidRPr="00CF4E19">
        <w:t>FSANZ concluded that the</w:t>
      </w:r>
      <w:r w:rsidRPr="00CF4E19">
        <w:rPr>
          <w:rFonts w:cs="Arial"/>
        </w:rPr>
        <w:t xml:space="preserve"> apparent exceedances of the UL in infants in the survey were not considered to represent a human health and </w:t>
      </w:r>
      <w:r w:rsidRPr="007F48C2">
        <w:rPr>
          <w:rFonts w:cs="Arial"/>
        </w:rPr>
        <w:t>safety risk (FSANZ 2011). Followin</w:t>
      </w:r>
      <w:r w:rsidRPr="00CF4E19">
        <w:rPr>
          <w:rFonts w:cs="Arial"/>
        </w:rPr>
        <w:t>g this FSANZ started working with the NHMRC to review the UL for fluoride.</w:t>
      </w:r>
    </w:p>
    <w:p w14:paraId="18E27AAD" w14:textId="77777777" w:rsidR="00CF4E19" w:rsidRPr="00CF4E19" w:rsidRDefault="00CF4E19" w:rsidP="00CF4E19">
      <w:pPr>
        <w:widowControl w:val="0"/>
        <w:rPr>
          <w:rFonts w:cs="Arial"/>
        </w:rPr>
      </w:pPr>
    </w:p>
    <w:p w14:paraId="4388F03A" w14:textId="35964DBA" w:rsidR="00CF4E19" w:rsidRPr="00CF4E19" w:rsidRDefault="00CF4E19" w:rsidP="00CF4E19">
      <w:pPr>
        <w:widowControl w:val="0"/>
        <w:rPr>
          <w:i/>
        </w:rPr>
      </w:pPr>
      <w:r w:rsidRPr="00CF4E19">
        <w:rPr>
          <w:i/>
        </w:rPr>
        <w:t>Up</w:t>
      </w:r>
      <w:r w:rsidR="008B1E3C">
        <w:rPr>
          <w:i/>
        </w:rPr>
        <w:t xml:space="preserve">per Level of Intake </w:t>
      </w:r>
      <w:r w:rsidRPr="00CF4E19">
        <w:rPr>
          <w:i/>
        </w:rPr>
        <w:t>for fluoride</w:t>
      </w:r>
    </w:p>
    <w:p w14:paraId="7774AF71" w14:textId="77777777" w:rsidR="00CF4E19" w:rsidRPr="00CF4E19" w:rsidRDefault="00CF4E19" w:rsidP="00CF4E19">
      <w:pPr>
        <w:widowControl w:val="0"/>
        <w:rPr>
          <w:i/>
        </w:rPr>
      </w:pPr>
    </w:p>
    <w:p w14:paraId="692E5EFF" w14:textId="75060189" w:rsidR="008B1E3C" w:rsidRDefault="00CB3260" w:rsidP="00CF4E19">
      <w:pPr>
        <w:widowControl w:val="0"/>
      </w:pPr>
      <w:r>
        <w:t xml:space="preserve">The </w:t>
      </w:r>
      <w:r w:rsidR="006B0EE9">
        <w:t xml:space="preserve">NHMRC </w:t>
      </w:r>
      <w:r>
        <w:t xml:space="preserve">review of the UL for fluoride was undertaken </w:t>
      </w:r>
      <w:r w:rsidR="006B0EE9">
        <w:t>to address the apparent exceedance of recommended fluoride intakes w</w:t>
      </w:r>
      <w:r>
        <w:t>ithout occurrence of adverse dental fluor</w:t>
      </w:r>
      <w:r w:rsidR="006B0EE9">
        <w:t>osis</w:t>
      </w:r>
      <w:r>
        <w:t>.</w:t>
      </w:r>
      <w:r w:rsidR="006B0EE9">
        <w:t xml:space="preserve"> The review included a</w:t>
      </w:r>
      <w:r w:rsidR="00A41AC2">
        <w:t xml:space="preserve"> comprehensive</w:t>
      </w:r>
      <w:r w:rsidR="006B0EE9">
        <w:t xml:space="preserve"> review </w:t>
      </w:r>
      <w:r w:rsidR="00A41AC2">
        <w:t xml:space="preserve">of studies published since the last review of the UL in 2006. The literature review found that studies </w:t>
      </w:r>
      <w:r w:rsidR="001200A0">
        <w:t xml:space="preserve">conducted in </w:t>
      </w:r>
      <w:r w:rsidR="00A41AC2">
        <w:t>1930s and 1940s provide</w:t>
      </w:r>
      <w:r w:rsidR="001200A0">
        <w:t>d</w:t>
      </w:r>
      <w:r w:rsidR="00A41AC2">
        <w:t xml:space="preserve"> the best dose-response data for establishing the UL. B</w:t>
      </w:r>
      <w:r w:rsidR="001877F3">
        <w:t xml:space="preserve">ased on </w:t>
      </w:r>
      <w:r w:rsidR="006067B3">
        <w:t xml:space="preserve">(1) </w:t>
      </w:r>
      <w:r w:rsidR="001877F3">
        <w:t>the critical fluoride concentration in water that would minimise severe dental fluorosis,</w:t>
      </w:r>
      <w:r w:rsidR="006067B3">
        <w:t xml:space="preserve"> (2)</w:t>
      </w:r>
      <w:r w:rsidR="001877F3">
        <w:t xml:space="preserve"> nationally representative data on water and food consumption</w:t>
      </w:r>
      <w:r w:rsidR="006067B3">
        <w:t>,</w:t>
      </w:r>
      <w:r w:rsidR="001877F3">
        <w:t xml:space="preserve"> and</w:t>
      </w:r>
      <w:r w:rsidR="006067B3">
        <w:t xml:space="preserve"> (3)</w:t>
      </w:r>
      <w:r w:rsidR="001877F3">
        <w:t xml:space="preserve"> </w:t>
      </w:r>
      <w:r w:rsidR="00914231">
        <w:t xml:space="preserve">updated </w:t>
      </w:r>
      <w:r w:rsidR="001877F3">
        <w:t xml:space="preserve">bodyweight data for Australian and New Zealand populations, </w:t>
      </w:r>
      <w:r w:rsidR="00344A8A">
        <w:t xml:space="preserve">the </w:t>
      </w:r>
      <w:r w:rsidR="001877F3">
        <w:t>UL for fluoride for infants and children up to 8 years old was estimated to be 0.2 mg fluoride/kg bodyweight/day</w:t>
      </w:r>
      <w:r w:rsidR="001200A0">
        <w:t xml:space="preserve"> </w:t>
      </w:r>
      <w:r w:rsidR="001200A0" w:rsidRPr="00260EA9">
        <w:t>(</w:t>
      </w:r>
      <w:r w:rsidR="00260EA9" w:rsidRPr="00260EA9">
        <w:rPr>
          <w:rFonts w:cs="Arial"/>
          <w:noProof/>
          <w:szCs w:val="22"/>
        </w:rPr>
        <w:t>NHMRC and NZ MOH</w:t>
      </w:r>
      <w:r w:rsidR="00BA537C">
        <w:rPr>
          <w:rFonts w:cs="Arial"/>
          <w:noProof/>
          <w:szCs w:val="22"/>
        </w:rPr>
        <w:t xml:space="preserve"> 2017</w:t>
      </w:r>
      <w:r w:rsidR="001200A0" w:rsidRPr="00260EA9">
        <w:t>)</w:t>
      </w:r>
      <w:r w:rsidR="001877F3" w:rsidRPr="00260EA9">
        <w:t>.</w:t>
      </w:r>
      <w:r w:rsidR="001877F3">
        <w:t xml:space="preserve"> This converts to</w:t>
      </w:r>
      <w:r w:rsidR="00A41AC2">
        <w:t xml:space="preserve"> the</w:t>
      </w:r>
      <w:r w:rsidR="001877F3">
        <w:t xml:space="preserve"> values listed </w:t>
      </w:r>
      <w:r w:rsidR="001877F3" w:rsidRPr="00D06048">
        <w:t xml:space="preserve">in Table </w:t>
      </w:r>
      <w:r w:rsidR="00113BD1">
        <w:t>7.18</w:t>
      </w:r>
      <w:r w:rsidR="001877F3" w:rsidRPr="00D06048">
        <w:t xml:space="preserve"> based</w:t>
      </w:r>
      <w:r w:rsidR="001877F3">
        <w:t xml:space="preserve"> on a mean bodyweight of 6 kg for infants 0–6 months and 9 kg for infants 7–12 months. </w:t>
      </w:r>
      <w:r w:rsidR="00496FFD">
        <w:t>T</w:t>
      </w:r>
      <w:r w:rsidR="00663CA5">
        <w:t>he revised UL</w:t>
      </w:r>
      <w:r w:rsidR="006B0EE9">
        <w:t xml:space="preserve">s, published in 2017, </w:t>
      </w:r>
      <w:r w:rsidR="00496FFD">
        <w:t>are considerably higher than the previous</w:t>
      </w:r>
      <w:r w:rsidR="006F44D4">
        <w:t xml:space="preserve"> values</w:t>
      </w:r>
      <w:r w:rsidR="00113BD1">
        <w:t>.</w:t>
      </w:r>
    </w:p>
    <w:p w14:paraId="593758F7" w14:textId="77777777" w:rsidR="001877F3" w:rsidRDefault="001877F3" w:rsidP="00CF4E19">
      <w:pPr>
        <w:widowControl w:val="0"/>
      </w:pPr>
    </w:p>
    <w:p w14:paraId="7C902C16" w14:textId="1F60F2C9" w:rsidR="001877F3" w:rsidRDefault="001877F3" w:rsidP="00FA28CD">
      <w:pPr>
        <w:pStyle w:val="FSTitle"/>
      </w:pPr>
      <w:bookmarkStart w:id="431" w:name="_Toc74061259"/>
      <w:r>
        <w:t xml:space="preserve">Table </w:t>
      </w:r>
      <w:r w:rsidR="007F48C2">
        <w:t>7.</w:t>
      </w:r>
      <w:r w:rsidR="0011607A">
        <w:t>18</w:t>
      </w:r>
      <w:r w:rsidR="00113BD1">
        <w:tab/>
      </w:r>
      <w:r>
        <w:t>Fluoride Upper Level of Intake as established by the NHMRC</w:t>
      </w:r>
      <w:bookmarkEnd w:id="431"/>
    </w:p>
    <w:tbl>
      <w:tblPr>
        <w:tblStyle w:val="TableGrid"/>
        <w:tblW w:w="0" w:type="auto"/>
        <w:tblLook w:val="04A0" w:firstRow="1" w:lastRow="0" w:firstColumn="1" w:lastColumn="0" w:noHBand="0" w:noVBand="1"/>
        <w:tblCaption w:val="Table 7.6  Fluoride Upper Level of Intake as established by the NHMRC"/>
        <w:tblDescription w:val="This table summarises the Table 7.6 Upper Level of Intake as established by the NHMRC in 2006 and 2017."/>
      </w:tblPr>
      <w:tblGrid>
        <w:gridCol w:w="3005"/>
        <w:gridCol w:w="3005"/>
        <w:gridCol w:w="3006"/>
      </w:tblGrid>
      <w:tr w:rsidR="001877F3" w14:paraId="6BB9FA64" w14:textId="77777777" w:rsidTr="00AE7074">
        <w:trPr>
          <w:trHeight w:val="510"/>
        </w:trPr>
        <w:tc>
          <w:tcPr>
            <w:tcW w:w="3005" w:type="dxa"/>
            <w:shd w:val="clear" w:color="auto" w:fill="E5DFEC" w:themeFill="accent4" w:themeFillTint="33"/>
            <w:vAlign w:val="center"/>
          </w:tcPr>
          <w:p w14:paraId="2443B74E" w14:textId="1AE59479" w:rsidR="001877F3" w:rsidRPr="001200A0" w:rsidRDefault="005F3629" w:rsidP="001200A0">
            <w:pPr>
              <w:widowControl w:val="0"/>
              <w:rPr>
                <w:rFonts w:ascii="Arial" w:hAnsi="Arial" w:cs="Arial"/>
                <w:b/>
                <w:szCs w:val="20"/>
              </w:rPr>
            </w:pPr>
            <w:r w:rsidRPr="001200A0">
              <w:rPr>
                <w:rFonts w:ascii="Arial" w:hAnsi="Arial" w:cs="Arial"/>
                <w:b/>
                <w:szCs w:val="20"/>
              </w:rPr>
              <w:t>Infant a</w:t>
            </w:r>
            <w:r w:rsidR="001877F3" w:rsidRPr="001200A0">
              <w:rPr>
                <w:rFonts w:ascii="Arial" w:hAnsi="Arial" w:cs="Arial"/>
                <w:b/>
                <w:szCs w:val="20"/>
              </w:rPr>
              <w:t>ge range</w:t>
            </w:r>
          </w:p>
        </w:tc>
        <w:tc>
          <w:tcPr>
            <w:tcW w:w="3005" w:type="dxa"/>
            <w:shd w:val="clear" w:color="auto" w:fill="DBE5F1" w:themeFill="accent1" w:themeFillTint="33"/>
            <w:vAlign w:val="center"/>
          </w:tcPr>
          <w:p w14:paraId="2C87CBE9" w14:textId="153F7407" w:rsidR="001877F3" w:rsidRPr="001200A0" w:rsidRDefault="005F3629" w:rsidP="001200A0">
            <w:pPr>
              <w:widowControl w:val="0"/>
              <w:jc w:val="center"/>
              <w:rPr>
                <w:rFonts w:ascii="Arial" w:hAnsi="Arial" w:cs="Arial"/>
                <w:b/>
                <w:szCs w:val="20"/>
              </w:rPr>
            </w:pPr>
            <w:r w:rsidRPr="001200A0">
              <w:rPr>
                <w:rFonts w:ascii="Arial" w:hAnsi="Arial" w:cs="Arial"/>
                <w:b/>
                <w:szCs w:val="20"/>
              </w:rPr>
              <w:t xml:space="preserve">UL - </w:t>
            </w:r>
            <w:r w:rsidR="001877F3" w:rsidRPr="001200A0">
              <w:rPr>
                <w:rFonts w:ascii="Arial" w:hAnsi="Arial" w:cs="Arial"/>
                <w:b/>
                <w:szCs w:val="20"/>
              </w:rPr>
              <w:t>NHMRC 2006</w:t>
            </w:r>
          </w:p>
          <w:p w14:paraId="54DBE2C8" w14:textId="3D0A6065" w:rsidR="001877F3" w:rsidRPr="001200A0" w:rsidRDefault="001877F3" w:rsidP="001200A0">
            <w:pPr>
              <w:widowControl w:val="0"/>
              <w:jc w:val="center"/>
              <w:rPr>
                <w:rFonts w:ascii="Arial" w:hAnsi="Arial" w:cs="Arial"/>
                <w:b/>
                <w:szCs w:val="20"/>
              </w:rPr>
            </w:pPr>
            <w:r w:rsidRPr="001200A0">
              <w:rPr>
                <w:rFonts w:ascii="Arial" w:hAnsi="Arial" w:cs="Arial"/>
                <w:b/>
                <w:szCs w:val="20"/>
              </w:rPr>
              <w:t>(mg/day)</w:t>
            </w:r>
          </w:p>
        </w:tc>
        <w:tc>
          <w:tcPr>
            <w:tcW w:w="3006" w:type="dxa"/>
            <w:shd w:val="clear" w:color="auto" w:fill="EAF1DD" w:themeFill="accent3" w:themeFillTint="33"/>
            <w:vAlign w:val="center"/>
          </w:tcPr>
          <w:p w14:paraId="74DECA16" w14:textId="77777777" w:rsidR="001877F3" w:rsidRPr="001200A0" w:rsidRDefault="005F3629" w:rsidP="001200A0">
            <w:pPr>
              <w:widowControl w:val="0"/>
              <w:jc w:val="center"/>
              <w:rPr>
                <w:rFonts w:ascii="Arial" w:hAnsi="Arial" w:cs="Arial"/>
                <w:b/>
                <w:szCs w:val="20"/>
              </w:rPr>
            </w:pPr>
            <w:r w:rsidRPr="001200A0">
              <w:rPr>
                <w:rFonts w:ascii="Arial" w:hAnsi="Arial" w:cs="Arial"/>
                <w:b/>
                <w:szCs w:val="20"/>
              </w:rPr>
              <w:t xml:space="preserve">UL - </w:t>
            </w:r>
            <w:r w:rsidR="001877F3" w:rsidRPr="001200A0">
              <w:rPr>
                <w:rFonts w:ascii="Arial" w:hAnsi="Arial" w:cs="Arial"/>
                <w:b/>
                <w:szCs w:val="20"/>
              </w:rPr>
              <w:t>NHMRC 2017</w:t>
            </w:r>
          </w:p>
          <w:p w14:paraId="1297FC62" w14:textId="7A43F580" w:rsidR="005F3629" w:rsidRPr="001200A0" w:rsidRDefault="005F3629" w:rsidP="001200A0">
            <w:pPr>
              <w:widowControl w:val="0"/>
              <w:jc w:val="center"/>
              <w:rPr>
                <w:rFonts w:ascii="Arial" w:hAnsi="Arial" w:cs="Arial"/>
                <w:b/>
                <w:szCs w:val="20"/>
              </w:rPr>
            </w:pPr>
            <w:r w:rsidRPr="001200A0">
              <w:rPr>
                <w:rFonts w:ascii="Arial" w:hAnsi="Arial" w:cs="Arial"/>
                <w:b/>
                <w:szCs w:val="20"/>
              </w:rPr>
              <w:t>(mg/day)</w:t>
            </w:r>
          </w:p>
        </w:tc>
      </w:tr>
      <w:tr w:rsidR="001877F3" w14:paraId="05F6FCA4" w14:textId="77777777" w:rsidTr="001200A0">
        <w:trPr>
          <w:trHeight w:val="510"/>
        </w:trPr>
        <w:tc>
          <w:tcPr>
            <w:tcW w:w="3005" w:type="dxa"/>
            <w:vAlign w:val="center"/>
          </w:tcPr>
          <w:p w14:paraId="58C7B068" w14:textId="1CE7936C" w:rsidR="001877F3" w:rsidRPr="005F3629" w:rsidRDefault="001877F3" w:rsidP="001200A0">
            <w:pPr>
              <w:widowControl w:val="0"/>
              <w:rPr>
                <w:rFonts w:ascii="Arial" w:hAnsi="Arial" w:cs="Arial"/>
                <w:szCs w:val="20"/>
              </w:rPr>
            </w:pPr>
            <w:r w:rsidRPr="005F3629">
              <w:rPr>
                <w:rFonts w:ascii="Arial" w:hAnsi="Arial" w:cs="Arial"/>
                <w:szCs w:val="20"/>
              </w:rPr>
              <w:t>0–6 months</w:t>
            </w:r>
          </w:p>
        </w:tc>
        <w:tc>
          <w:tcPr>
            <w:tcW w:w="3005" w:type="dxa"/>
            <w:vAlign w:val="center"/>
          </w:tcPr>
          <w:p w14:paraId="7FC77D23" w14:textId="3D92AB97" w:rsidR="001877F3" w:rsidRPr="005F3629" w:rsidRDefault="005F3629" w:rsidP="001200A0">
            <w:pPr>
              <w:widowControl w:val="0"/>
              <w:jc w:val="center"/>
              <w:rPr>
                <w:rFonts w:ascii="Arial" w:hAnsi="Arial" w:cs="Arial"/>
                <w:szCs w:val="20"/>
              </w:rPr>
            </w:pPr>
            <w:r w:rsidRPr="005F3629">
              <w:rPr>
                <w:rFonts w:ascii="Arial" w:hAnsi="Arial" w:cs="Arial"/>
                <w:szCs w:val="20"/>
              </w:rPr>
              <w:t>0.7</w:t>
            </w:r>
          </w:p>
        </w:tc>
        <w:tc>
          <w:tcPr>
            <w:tcW w:w="3006" w:type="dxa"/>
            <w:vAlign w:val="center"/>
          </w:tcPr>
          <w:p w14:paraId="2318B57B" w14:textId="23795492" w:rsidR="001877F3" w:rsidRPr="005F3629" w:rsidRDefault="005F3629" w:rsidP="001200A0">
            <w:pPr>
              <w:widowControl w:val="0"/>
              <w:jc w:val="center"/>
              <w:rPr>
                <w:rFonts w:ascii="Arial" w:hAnsi="Arial" w:cs="Arial"/>
                <w:szCs w:val="20"/>
              </w:rPr>
            </w:pPr>
            <w:r w:rsidRPr="005F3629">
              <w:rPr>
                <w:rFonts w:ascii="Arial" w:hAnsi="Arial" w:cs="Arial"/>
                <w:szCs w:val="20"/>
              </w:rPr>
              <w:t>1.2</w:t>
            </w:r>
          </w:p>
        </w:tc>
      </w:tr>
      <w:tr w:rsidR="001877F3" w14:paraId="738A2B7F" w14:textId="77777777" w:rsidTr="001200A0">
        <w:trPr>
          <w:trHeight w:val="510"/>
        </w:trPr>
        <w:tc>
          <w:tcPr>
            <w:tcW w:w="3005" w:type="dxa"/>
            <w:vAlign w:val="center"/>
          </w:tcPr>
          <w:p w14:paraId="6F46C198" w14:textId="63768F8C" w:rsidR="001877F3" w:rsidRPr="005F3629" w:rsidRDefault="001877F3" w:rsidP="001200A0">
            <w:pPr>
              <w:widowControl w:val="0"/>
              <w:rPr>
                <w:rFonts w:ascii="Arial" w:hAnsi="Arial" w:cs="Arial"/>
                <w:szCs w:val="20"/>
              </w:rPr>
            </w:pPr>
            <w:r w:rsidRPr="005F3629">
              <w:rPr>
                <w:rFonts w:ascii="Arial" w:hAnsi="Arial" w:cs="Arial"/>
                <w:szCs w:val="20"/>
              </w:rPr>
              <w:t>7–12 months</w:t>
            </w:r>
          </w:p>
        </w:tc>
        <w:tc>
          <w:tcPr>
            <w:tcW w:w="3005" w:type="dxa"/>
            <w:vAlign w:val="center"/>
          </w:tcPr>
          <w:p w14:paraId="087DCFE5" w14:textId="78F6B0E0" w:rsidR="001877F3" w:rsidRPr="005F3629" w:rsidRDefault="005F3629" w:rsidP="001200A0">
            <w:pPr>
              <w:widowControl w:val="0"/>
              <w:jc w:val="center"/>
              <w:rPr>
                <w:rFonts w:ascii="Arial" w:hAnsi="Arial" w:cs="Arial"/>
                <w:szCs w:val="20"/>
              </w:rPr>
            </w:pPr>
            <w:r w:rsidRPr="005F3629">
              <w:rPr>
                <w:rFonts w:ascii="Arial" w:hAnsi="Arial" w:cs="Arial"/>
                <w:szCs w:val="20"/>
              </w:rPr>
              <w:t>0.9</w:t>
            </w:r>
          </w:p>
        </w:tc>
        <w:tc>
          <w:tcPr>
            <w:tcW w:w="3006" w:type="dxa"/>
            <w:vAlign w:val="center"/>
          </w:tcPr>
          <w:p w14:paraId="5D9D386A" w14:textId="48314685" w:rsidR="001877F3" w:rsidRPr="005F3629" w:rsidRDefault="005F3629" w:rsidP="001200A0">
            <w:pPr>
              <w:widowControl w:val="0"/>
              <w:jc w:val="center"/>
              <w:rPr>
                <w:rFonts w:ascii="Arial" w:hAnsi="Arial" w:cs="Arial"/>
                <w:szCs w:val="20"/>
              </w:rPr>
            </w:pPr>
            <w:r w:rsidRPr="005F3629">
              <w:rPr>
                <w:rFonts w:ascii="Arial" w:hAnsi="Arial" w:cs="Arial"/>
                <w:szCs w:val="20"/>
              </w:rPr>
              <w:t>1.8</w:t>
            </w:r>
          </w:p>
        </w:tc>
      </w:tr>
    </w:tbl>
    <w:p w14:paraId="55BC4DEB" w14:textId="7FA66B19" w:rsidR="008B1E3C" w:rsidRDefault="008B1E3C" w:rsidP="00CF4E19">
      <w:pPr>
        <w:widowControl w:val="0"/>
      </w:pPr>
    </w:p>
    <w:p w14:paraId="5EECDAFF" w14:textId="083F4268" w:rsidR="00CF4E19" w:rsidRDefault="00A41AC2" w:rsidP="00CF4E19">
      <w:pPr>
        <w:widowControl w:val="0"/>
        <w:rPr>
          <w:i/>
        </w:rPr>
      </w:pPr>
      <w:r>
        <w:rPr>
          <w:i/>
        </w:rPr>
        <w:t>NHMRC D</w:t>
      </w:r>
      <w:r w:rsidR="00CF4E19" w:rsidRPr="00CF4E19">
        <w:rPr>
          <w:i/>
        </w:rPr>
        <w:t xml:space="preserve">rinking </w:t>
      </w:r>
      <w:r>
        <w:rPr>
          <w:i/>
        </w:rPr>
        <w:t>W</w:t>
      </w:r>
      <w:r w:rsidR="00CF4E19" w:rsidRPr="00CF4E19">
        <w:rPr>
          <w:i/>
        </w:rPr>
        <w:t xml:space="preserve">ater Guidelines </w:t>
      </w:r>
    </w:p>
    <w:p w14:paraId="7DE34DAB" w14:textId="77777777" w:rsidR="00914231" w:rsidRDefault="00914231" w:rsidP="00CF4E19">
      <w:pPr>
        <w:widowControl w:val="0"/>
        <w:rPr>
          <w:i/>
        </w:rPr>
      </w:pPr>
    </w:p>
    <w:p w14:paraId="4A5D4720" w14:textId="63889CD5" w:rsidR="00CB3260" w:rsidRPr="00CB3260" w:rsidRDefault="00A41AC2" w:rsidP="00CF4E19">
      <w:pPr>
        <w:widowControl w:val="0"/>
      </w:pPr>
      <w:r>
        <w:t>The Australian Drinking Water Guidelines and New Zealand Drinking Water Standards both recommend water fluoridation levels in the range of 0.7–1.0 mg F/L with a maximum level in both countries of 1.5 mg</w:t>
      </w:r>
      <w:r w:rsidR="00914231">
        <w:t xml:space="preserve"> F</w:t>
      </w:r>
      <w:r>
        <w:t>/</w:t>
      </w:r>
      <w:r w:rsidRPr="00BA537C">
        <w:t>L (</w:t>
      </w:r>
      <w:r w:rsidR="00BA537C" w:rsidRPr="00BA537C">
        <w:t>NHMRC 2011</w:t>
      </w:r>
      <w:r w:rsidR="00422206">
        <w:t>;</w:t>
      </w:r>
      <w:r w:rsidRPr="00BA537C">
        <w:t xml:space="preserve"> MOH 2005</w:t>
      </w:r>
      <w:r w:rsidR="00BA537C" w:rsidRPr="00BA537C">
        <w:t>, revised 2018</w:t>
      </w:r>
      <w:r w:rsidRPr="00BA537C">
        <w:t>). Optimal</w:t>
      </w:r>
      <w:r>
        <w:t xml:space="preserve"> levels of fluoridation are considered to be 1.0 mg F/L</w:t>
      </w:r>
      <w:r w:rsidR="00914231">
        <w:t xml:space="preserve"> </w:t>
      </w:r>
      <w:r w:rsidR="00914231" w:rsidRPr="00914231">
        <w:t>as this is the point at which maximal protection against dental caries is reached with minimum risk of dental fluorosis.</w:t>
      </w:r>
    </w:p>
    <w:p w14:paraId="3F9A585B" w14:textId="77777777" w:rsidR="00CF4E19" w:rsidRPr="00CF4E19" w:rsidRDefault="00CF4E19" w:rsidP="00CF4E19">
      <w:pPr>
        <w:widowControl w:val="0"/>
        <w:rPr>
          <w:i/>
        </w:rPr>
      </w:pPr>
    </w:p>
    <w:p w14:paraId="68B63679" w14:textId="0948C0BC" w:rsidR="00CD37AD" w:rsidRDefault="00CF4E19" w:rsidP="006F44D4">
      <w:pPr>
        <w:widowControl w:val="0"/>
        <w:rPr>
          <w:i/>
        </w:rPr>
      </w:pPr>
      <w:r w:rsidRPr="00CF4E19">
        <w:rPr>
          <w:i/>
        </w:rPr>
        <w:t>Calculated estimated exposure</w:t>
      </w:r>
    </w:p>
    <w:p w14:paraId="4716AC10" w14:textId="77777777" w:rsidR="00914231" w:rsidRDefault="00914231" w:rsidP="006F44D4">
      <w:pPr>
        <w:widowControl w:val="0"/>
        <w:rPr>
          <w:i/>
        </w:rPr>
      </w:pPr>
    </w:p>
    <w:p w14:paraId="411CA1C5" w14:textId="70E9C9E9" w:rsidR="00914231" w:rsidRDefault="00914231" w:rsidP="006F44D4">
      <w:pPr>
        <w:widowControl w:val="0"/>
        <w:rPr>
          <w:lang w:val="en-AU"/>
        </w:rPr>
      </w:pPr>
      <w:r w:rsidRPr="00914231">
        <w:rPr>
          <w:lang w:val="en-AU"/>
        </w:rPr>
        <w:t xml:space="preserve">FSANZ has </w:t>
      </w:r>
      <w:r>
        <w:rPr>
          <w:lang w:val="en-AU"/>
        </w:rPr>
        <w:t xml:space="preserve">calculated estimated fluoride exposures </w:t>
      </w:r>
      <w:r w:rsidR="00D20D76">
        <w:rPr>
          <w:lang w:val="en-AU"/>
        </w:rPr>
        <w:t xml:space="preserve">based on the fluoride content for </w:t>
      </w:r>
      <w:r>
        <w:rPr>
          <w:lang w:val="en-AU"/>
        </w:rPr>
        <w:t xml:space="preserve">several brands of infant formula powder and water fluoride concentrations of 0, 0.5, 1.0 and 1.5 mg F/L. It is important to note that the maximal level of 1.5 mg/L is not considered generally relevant to Australian </w:t>
      </w:r>
      <w:r w:rsidR="00BA537C">
        <w:rPr>
          <w:lang w:val="en-AU"/>
        </w:rPr>
        <w:t xml:space="preserve">and New Zealand </w:t>
      </w:r>
      <w:r>
        <w:rPr>
          <w:lang w:val="en-AU"/>
        </w:rPr>
        <w:t>conditions.</w:t>
      </w:r>
    </w:p>
    <w:p w14:paraId="6A0D8693" w14:textId="5BDCCB87" w:rsidR="00914231" w:rsidRDefault="00914231" w:rsidP="006F44D4">
      <w:pPr>
        <w:widowControl w:val="0"/>
        <w:rPr>
          <w:lang w:val="en-AU"/>
        </w:rPr>
      </w:pPr>
    </w:p>
    <w:p w14:paraId="4078DE5F" w14:textId="6BD24663" w:rsidR="00914231" w:rsidRDefault="00914231" w:rsidP="001200A0">
      <w:pPr>
        <w:rPr>
          <w:lang w:val="en-AU"/>
        </w:rPr>
      </w:pPr>
      <w:r>
        <w:rPr>
          <w:lang w:val="en-AU"/>
        </w:rPr>
        <w:t xml:space="preserve">The calculations showed that at </w:t>
      </w:r>
      <w:r w:rsidR="005B251E">
        <w:rPr>
          <w:lang w:val="en-AU"/>
        </w:rPr>
        <w:t xml:space="preserve">the </w:t>
      </w:r>
      <w:r>
        <w:rPr>
          <w:lang w:val="en-AU"/>
        </w:rPr>
        <w:t>optimal level of water fluoridation (1.0 mg/L) and current levels of fluoride concentration in infant formula p</w:t>
      </w:r>
      <w:r w:rsidR="00A538C8">
        <w:rPr>
          <w:lang w:val="en-AU"/>
        </w:rPr>
        <w:t>owders (milk- and soy-based</w:t>
      </w:r>
      <w:r>
        <w:rPr>
          <w:lang w:val="en-AU"/>
        </w:rPr>
        <w:t>)</w:t>
      </w:r>
      <w:r w:rsidR="006067B3">
        <w:rPr>
          <w:lang w:val="en-AU"/>
        </w:rPr>
        <w:t>,</w:t>
      </w:r>
      <w:r>
        <w:rPr>
          <w:lang w:val="en-AU"/>
        </w:rPr>
        <w:t xml:space="preserve"> it is unlikely that infants consuming infant formula as recommended would consume even half the UL recommendations for fluoride daily.</w:t>
      </w:r>
      <w:r w:rsidR="00BA537C">
        <w:rPr>
          <w:lang w:val="en-AU"/>
        </w:rPr>
        <w:t xml:space="preserve"> </w:t>
      </w:r>
      <w:r w:rsidR="00BA537C">
        <w:rPr>
          <w:lang w:val="en-AU" w:bidi="ar-SA"/>
        </w:rPr>
        <w:t>An example of this calculation is provided in Appendix 3</w:t>
      </w:r>
      <w:r w:rsidR="00514C3B">
        <w:rPr>
          <w:lang w:val="en-AU" w:bidi="ar-SA"/>
        </w:rPr>
        <w:t>.</w:t>
      </w:r>
    </w:p>
    <w:p w14:paraId="1FC02D58" w14:textId="77777777" w:rsidR="00CF4E19" w:rsidRPr="00C921D0" w:rsidRDefault="00CF4E19" w:rsidP="001200A0">
      <w:pPr>
        <w:pStyle w:val="Heading4"/>
        <w:ind w:left="0" w:firstLine="0"/>
      </w:pPr>
      <w:bookmarkStart w:id="432" w:name="_Toc67393483"/>
      <w:r w:rsidRPr="00C921D0">
        <w:t>Proposed approach</w:t>
      </w:r>
      <w:bookmarkEnd w:id="432"/>
      <w:r w:rsidRPr="00C921D0">
        <w:t xml:space="preserve"> </w:t>
      </w:r>
    </w:p>
    <w:p w14:paraId="6BA3CF94" w14:textId="3E47078E" w:rsidR="00CF4E19" w:rsidRDefault="00CF4E19" w:rsidP="00CF4E19">
      <w:r>
        <w:t>Based on the above discussion, FSANZ is proposing</w:t>
      </w:r>
      <w:r w:rsidDel="002D6C52">
        <w:t xml:space="preserve"> </w:t>
      </w:r>
      <w:r>
        <w:t xml:space="preserve">to </w:t>
      </w:r>
      <w:r w:rsidR="00655BF0">
        <w:t xml:space="preserve">set a compositional limit of </w:t>
      </w:r>
      <w:r w:rsidR="00655BF0" w:rsidRPr="007E4358">
        <w:t>24 μg/100 kJ</w:t>
      </w:r>
      <w:r w:rsidR="00655BF0">
        <w:t xml:space="preserve"> when prepared ready for consumption and </w:t>
      </w:r>
      <w:r w:rsidR="005D0239">
        <w:t xml:space="preserve">to </w:t>
      </w:r>
      <w:r>
        <w:t xml:space="preserve">remove the labelling statements </w:t>
      </w:r>
      <w:r>
        <w:lastRenderedPageBreak/>
        <w:t>relating to dental fluorosis</w:t>
      </w:r>
      <w:r w:rsidDel="006D2730">
        <w:t xml:space="preserve"> </w:t>
      </w:r>
      <w:r>
        <w:t>in paragraph 2.9.1—23(1)(b)</w:t>
      </w:r>
      <w:r w:rsidR="005D0239">
        <w:t>.</w:t>
      </w:r>
      <w:r>
        <w:t xml:space="preserve"> This approach will still provide a mechanism to protect infant health and safety and will align</w:t>
      </w:r>
      <w:r w:rsidDel="00E765E0">
        <w:t xml:space="preserve"> </w:t>
      </w:r>
      <w:r>
        <w:t xml:space="preserve">with international regulations. </w:t>
      </w:r>
    </w:p>
    <w:p w14:paraId="52357699" w14:textId="77777777" w:rsidR="00776154" w:rsidRDefault="00776154" w:rsidP="00776154">
      <w:pPr>
        <w:rPr>
          <w:lang w:val="en-AU" w:bidi="ar-SA"/>
        </w:rPr>
      </w:pPr>
    </w:p>
    <w:p w14:paraId="68139DED" w14:textId="6CDAFFCB" w:rsidR="00776154" w:rsidRDefault="001C24DD" w:rsidP="00776154">
      <w:pPr>
        <w:pStyle w:val="Heading1"/>
      </w:pPr>
      <w:bookmarkStart w:id="433" w:name="_Toc437858807"/>
      <w:bookmarkStart w:id="434" w:name="_Toc440462482"/>
      <w:bookmarkStart w:id="435" w:name="_Toc440470879"/>
      <w:bookmarkStart w:id="436" w:name="_Toc70415491"/>
      <w:bookmarkStart w:id="437" w:name="_Toc73455656"/>
      <w:bookmarkStart w:id="438" w:name="_Toc73624929"/>
      <w:bookmarkStart w:id="439" w:name="_Toc76138297"/>
      <w:bookmarkStart w:id="440" w:name="_Toc432434674"/>
      <w:bookmarkStart w:id="441" w:name="_Toc436382915"/>
      <w:bookmarkStart w:id="442" w:name="_Toc436655969"/>
      <w:r>
        <w:t>8</w:t>
      </w:r>
      <w:r w:rsidR="00776154" w:rsidRPr="00A91B95">
        <w:tab/>
        <w:t>Other</w:t>
      </w:r>
      <w:r w:rsidR="00776154" w:rsidRPr="00D5025F">
        <w:t xml:space="preserve"> </w:t>
      </w:r>
      <w:r w:rsidR="00776154">
        <w:t>optional</w:t>
      </w:r>
      <w:r w:rsidR="00776154" w:rsidRPr="00D5025F">
        <w:t xml:space="preserve"> </w:t>
      </w:r>
      <w:r w:rsidR="00776154" w:rsidRPr="00A91B95">
        <w:t>substances</w:t>
      </w:r>
      <w:bookmarkEnd w:id="433"/>
      <w:bookmarkEnd w:id="434"/>
      <w:bookmarkEnd w:id="435"/>
      <w:bookmarkEnd w:id="436"/>
      <w:bookmarkEnd w:id="437"/>
      <w:bookmarkEnd w:id="438"/>
      <w:bookmarkEnd w:id="439"/>
    </w:p>
    <w:p w14:paraId="539E7ED7" w14:textId="13026377" w:rsidR="00776154" w:rsidRPr="00016E1A" w:rsidRDefault="002719DB" w:rsidP="00776154">
      <w:pPr>
        <w:rPr>
          <w:lang w:eastAsia="en-AU" w:bidi="ar-SA"/>
        </w:rPr>
      </w:pPr>
      <w:r>
        <w:rPr>
          <w:lang w:eastAsia="en-AU" w:bidi="ar-SA"/>
        </w:rPr>
        <w:t>Section S19—</w:t>
      </w:r>
      <w:r w:rsidR="00776154" w:rsidRPr="00016E1A">
        <w:rPr>
          <w:lang w:eastAsia="en-AU" w:bidi="ar-SA"/>
        </w:rPr>
        <w:t xml:space="preserve">7 lists substances permitted for use as nutritive substances in infant formula and their permitted forms. In addition, </w:t>
      </w:r>
      <w:r w:rsidR="00776154" w:rsidRPr="00016E1A">
        <w:rPr>
          <w:szCs w:val="22"/>
        </w:rPr>
        <w:t>S</w:t>
      </w:r>
      <w:r w:rsidR="000809CB">
        <w:rPr>
          <w:szCs w:val="22"/>
        </w:rPr>
        <w:t xml:space="preserve">chedule 3 </w:t>
      </w:r>
      <w:r w:rsidR="00776154" w:rsidRPr="00016E1A">
        <w:rPr>
          <w:szCs w:val="22"/>
        </w:rPr>
        <w:t>includes a list of acceptable sources of specifications e.g</w:t>
      </w:r>
      <w:r w:rsidR="00776154" w:rsidRPr="00016E1A">
        <w:rPr>
          <w:i/>
          <w:szCs w:val="22"/>
        </w:rPr>
        <w:t>.</w:t>
      </w:r>
      <w:r w:rsidR="00776154" w:rsidRPr="00016E1A">
        <w:rPr>
          <w:szCs w:val="22"/>
        </w:rPr>
        <w:t xml:space="preserve"> </w:t>
      </w:r>
      <w:r w:rsidR="00776154" w:rsidRPr="00016E1A">
        <w:t>FAO, JECFA Monographs</w:t>
      </w:r>
      <w:r w:rsidR="00776154" w:rsidRPr="00016E1A">
        <w:rPr>
          <w:szCs w:val="22"/>
        </w:rPr>
        <w:t xml:space="preserve">, </w:t>
      </w:r>
      <w:r w:rsidR="00776154" w:rsidRPr="00016E1A">
        <w:t xml:space="preserve">FCC, </w:t>
      </w:r>
      <w:r w:rsidR="00776154" w:rsidRPr="00016E1A">
        <w:rPr>
          <w:szCs w:val="22"/>
        </w:rPr>
        <w:t>European Pharmacopoeia.</w:t>
      </w:r>
    </w:p>
    <w:p w14:paraId="0274CD9C" w14:textId="77777777" w:rsidR="00776154" w:rsidRPr="00016E1A" w:rsidRDefault="00776154" w:rsidP="00776154">
      <w:pPr>
        <w:rPr>
          <w:lang w:eastAsia="en-AU" w:bidi="ar-SA"/>
        </w:rPr>
      </w:pPr>
    </w:p>
    <w:p w14:paraId="5600826F" w14:textId="76540114" w:rsidR="00776154" w:rsidRPr="00016E1A" w:rsidRDefault="00776154" w:rsidP="00776154">
      <w:pPr>
        <w:rPr>
          <w:lang w:eastAsia="en-AU" w:bidi="ar-SA"/>
        </w:rPr>
      </w:pPr>
      <w:r w:rsidRPr="00016E1A">
        <w:rPr>
          <w:lang w:bidi="ar-SA"/>
        </w:rPr>
        <w:t xml:space="preserve">Codex STAN 72-1981 and EU </w:t>
      </w:r>
      <w:r w:rsidR="003E3687">
        <w:rPr>
          <w:lang w:bidi="ar-SA"/>
        </w:rPr>
        <w:t>2016/127</w:t>
      </w:r>
      <w:r w:rsidR="003E3687" w:rsidRPr="00016E1A">
        <w:rPr>
          <w:lang w:bidi="ar-SA"/>
        </w:rPr>
        <w:t xml:space="preserve"> </w:t>
      </w:r>
      <w:r w:rsidRPr="00016E1A">
        <w:rPr>
          <w:lang w:bidi="ar-SA"/>
        </w:rPr>
        <w:t>prescribe the mandatory addition of three substances to infant formula which are considered optional in the Code: choline, L-carnitine, and inositol</w:t>
      </w:r>
      <w:r w:rsidR="00542980">
        <w:rPr>
          <w:lang w:bidi="ar-SA"/>
        </w:rPr>
        <w:t xml:space="preserve"> (Table 8</w:t>
      </w:r>
      <w:r w:rsidR="0011607A">
        <w:rPr>
          <w:lang w:bidi="ar-SA"/>
        </w:rPr>
        <w:t>.1</w:t>
      </w:r>
      <w:r w:rsidR="00542980">
        <w:rPr>
          <w:lang w:bidi="ar-SA"/>
        </w:rPr>
        <w:t>)</w:t>
      </w:r>
      <w:r w:rsidRPr="00016E1A">
        <w:rPr>
          <w:lang w:bidi="ar-SA"/>
        </w:rPr>
        <w:t xml:space="preserve">. Many infant formulas contain these substances and no adverse effects in infants consuming these formulas have been reported. Thus, the prescribed optional amounts have an extended history of safe use both in Australia, New Zealand and overseas and the safety of infant formula supplemented with these nutrients has not been further examined. </w:t>
      </w:r>
    </w:p>
    <w:p w14:paraId="6C98AEF8" w14:textId="77777777" w:rsidR="00776154" w:rsidRPr="00016E1A" w:rsidRDefault="00776154" w:rsidP="00776154">
      <w:pPr>
        <w:rPr>
          <w:lang w:eastAsia="en-AU" w:bidi="ar-SA"/>
        </w:rPr>
      </w:pPr>
    </w:p>
    <w:p w14:paraId="387D5E59" w14:textId="45D6527A" w:rsidR="00776154" w:rsidRPr="00016E1A" w:rsidRDefault="00852D7D" w:rsidP="00776154">
      <w:r>
        <w:t>Schedule 29</w:t>
      </w:r>
      <w:r w:rsidR="00776154" w:rsidRPr="00016E1A">
        <w:t xml:space="preserve"> permits the optional addition of five specific nucleotides to infant formula as a nutritive substance. Comparison of the permitted forms of nucleotides across </w:t>
      </w:r>
      <w:r>
        <w:t>Schedule 29</w:t>
      </w:r>
      <w:r w:rsidR="00776154" w:rsidRPr="00016E1A">
        <w:t xml:space="preserve">, Codex STAN 72-1981 and </w:t>
      </w:r>
      <w:r w:rsidR="003E3687">
        <w:t xml:space="preserve">EU </w:t>
      </w:r>
      <w:r w:rsidR="00776154" w:rsidRPr="00016E1A">
        <w:t>2016</w:t>
      </w:r>
      <w:r w:rsidR="003E3687">
        <w:t>/127</w:t>
      </w:r>
      <w:r w:rsidR="00776154" w:rsidRPr="00016E1A">
        <w:t xml:space="preserve"> shows they are already aligned</w:t>
      </w:r>
      <w:r w:rsidR="00542980">
        <w:t xml:space="preserve"> (Table 8)</w:t>
      </w:r>
      <w:r w:rsidR="00776154" w:rsidRPr="00016E1A">
        <w:t xml:space="preserve">. </w:t>
      </w:r>
    </w:p>
    <w:p w14:paraId="3C9958B8" w14:textId="77777777" w:rsidR="00776154" w:rsidRPr="00016E1A" w:rsidRDefault="00776154" w:rsidP="00776154">
      <w:pPr>
        <w:rPr>
          <w:lang w:bidi="ar-SA"/>
        </w:rPr>
      </w:pPr>
    </w:p>
    <w:p w14:paraId="56E4F15A" w14:textId="5935A95F" w:rsidR="00776154" w:rsidRPr="00586CC8" w:rsidRDefault="001C24DD" w:rsidP="00FA28CD">
      <w:pPr>
        <w:pStyle w:val="FSTitle"/>
      </w:pPr>
      <w:bookmarkStart w:id="443" w:name="_Toc74061260"/>
      <w:r w:rsidRPr="0011607A">
        <w:t>Table 8</w:t>
      </w:r>
      <w:r w:rsidR="0011607A" w:rsidRPr="0011607A">
        <w:t>.1</w:t>
      </w:r>
      <w:r w:rsidR="00C377DD" w:rsidRPr="00586CC8">
        <w:tab/>
      </w:r>
      <w:r w:rsidR="00542980">
        <w:t xml:space="preserve">Regulatory </w:t>
      </w:r>
      <w:r w:rsidR="00776154" w:rsidRPr="00586CC8">
        <w:t xml:space="preserve">requirements for </w:t>
      </w:r>
      <w:r w:rsidR="003E3687" w:rsidRPr="00586CC8">
        <w:t>c</w:t>
      </w:r>
      <w:r w:rsidR="00776154" w:rsidRPr="00586CC8">
        <w:t xml:space="preserve">holine, L-carnitine, </w:t>
      </w:r>
      <w:r w:rsidR="003E3687" w:rsidRPr="00586CC8">
        <w:t>i</w:t>
      </w:r>
      <w:r w:rsidR="00776154" w:rsidRPr="00586CC8">
        <w:t xml:space="preserve">nositol and </w:t>
      </w:r>
      <w:r w:rsidR="003E3687" w:rsidRPr="00586CC8">
        <w:t>n</w:t>
      </w:r>
      <w:r w:rsidR="00776154" w:rsidRPr="00586CC8">
        <w:t>ucleotides</w:t>
      </w:r>
      <w:bookmarkEnd w:id="443"/>
    </w:p>
    <w:tbl>
      <w:tblPr>
        <w:tblStyle w:val="MediumShading1-Accent3"/>
        <w:tblW w:w="907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8 Summary of requirements for choline, L-carnitine, inositol and nucleotides"/>
        <w:tblDescription w:val="This table summarises the permitted range for choline, L-carnitine, inositol and nucleotides in Standard 2.9.1, Codex STAN 72-1981 and EU 2016/127."/>
      </w:tblPr>
      <w:tblGrid>
        <w:gridCol w:w="3405"/>
        <w:gridCol w:w="828"/>
        <w:gridCol w:w="25"/>
        <w:gridCol w:w="846"/>
        <w:gridCol w:w="997"/>
        <w:gridCol w:w="1129"/>
        <w:gridCol w:w="979"/>
        <w:gridCol w:w="18"/>
        <w:gridCol w:w="850"/>
      </w:tblGrid>
      <w:tr w:rsidR="008A2FD8" w:rsidRPr="00C90454" w14:paraId="334FA007" w14:textId="77777777" w:rsidTr="008A2FD8">
        <w:trPr>
          <w:cnfStyle w:val="100000000000" w:firstRow="1" w:lastRow="0" w:firstColumn="0" w:lastColumn="0" w:oddVBand="0" w:evenVBand="0" w:oddHBand="0"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1876" w:type="pct"/>
            <w:vMerge w:val="restart"/>
            <w:tcBorders>
              <w:top w:val="none" w:sz="0" w:space="0" w:color="auto"/>
              <w:left w:val="none" w:sz="0" w:space="0" w:color="auto"/>
              <w:bottom w:val="none" w:sz="0" w:space="0" w:color="auto"/>
              <w:right w:val="none" w:sz="0" w:space="0" w:color="auto"/>
            </w:tcBorders>
            <w:shd w:val="clear" w:color="auto" w:fill="E5DFEC" w:themeFill="accent4" w:themeFillTint="33"/>
            <w:vAlign w:val="center"/>
          </w:tcPr>
          <w:p w14:paraId="65351507" w14:textId="77777777" w:rsidR="008A2FD8" w:rsidRDefault="008A2FD8" w:rsidP="00776154">
            <w:pPr>
              <w:keepNext/>
              <w:jc w:val="center"/>
              <w:rPr>
                <w:rFonts w:cs="Arial"/>
                <w:color w:val="auto"/>
              </w:rPr>
            </w:pPr>
            <w:r w:rsidRPr="00586CC8">
              <w:rPr>
                <w:rFonts w:cs="Arial"/>
                <w:color w:val="auto"/>
              </w:rPr>
              <w:t>Micronutrient</w:t>
            </w:r>
          </w:p>
          <w:p w14:paraId="280BF751" w14:textId="42D9DA0F" w:rsidR="008A2FD8" w:rsidRPr="00586CC8" w:rsidRDefault="008A2FD8" w:rsidP="00776154">
            <w:pPr>
              <w:keepNext/>
              <w:jc w:val="center"/>
              <w:rPr>
                <w:rFonts w:cs="Arial"/>
                <w:color w:val="auto"/>
              </w:rPr>
            </w:pPr>
            <w:r w:rsidRPr="008A2FD8">
              <w:rPr>
                <w:rFonts w:cs="Arial"/>
                <w:color w:val="auto"/>
                <w:szCs w:val="20"/>
              </w:rPr>
              <w:t>(mg/100 kJ)</w:t>
            </w:r>
          </w:p>
        </w:tc>
        <w:tc>
          <w:tcPr>
            <w:tcW w:w="936" w:type="pct"/>
            <w:gridSpan w:val="3"/>
            <w:tcBorders>
              <w:top w:val="none" w:sz="0" w:space="0" w:color="auto"/>
              <w:left w:val="none" w:sz="0" w:space="0" w:color="auto"/>
              <w:bottom w:val="none" w:sz="0" w:space="0" w:color="auto"/>
              <w:right w:val="none" w:sz="0" w:space="0" w:color="auto"/>
            </w:tcBorders>
            <w:shd w:val="clear" w:color="auto" w:fill="EAF1DD" w:themeFill="accent3" w:themeFillTint="33"/>
            <w:vAlign w:val="center"/>
          </w:tcPr>
          <w:p w14:paraId="51F70AD9" w14:textId="77777777" w:rsidR="000809CB" w:rsidRDefault="000809CB" w:rsidP="00776154">
            <w:pPr>
              <w:keepNext/>
              <w:jc w:val="center"/>
              <w:cnfStyle w:val="100000000000" w:firstRow="1" w:lastRow="0" w:firstColumn="0" w:lastColumn="0" w:oddVBand="0" w:evenVBand="0" w:oddHBand="0" w:evenHBand="0" w:firstRowFirstColumn="0" w:firstRowLastColumn="0" w:lastRowFirstColumn="0" w:lastRowLastColumn="0"/>
              <w:rPr>
                <w:color w:val="auto"/>
              </w:rPr>
            </w:pPr>
            <w:r>
              <w:rPr>
                <w:color w:val="auto"/>
              </w:rPr>
              <w:t>Standard 2.9.1</w:t>
            </w:r>
          </w:p>
          <w:p w14:paraId="36FA8B94" w14:textId="269E1D80" w:rsidR="008A2FD8" w:rsidRPr="00586CC8" w:rsidRDefault="000809CB" w:rsidP="00776154">
            <w:pPr>
              <w:keepNext/>
              <w:jc w:val="center"/>
              <w:cnfStyle w:val="100000000000" w:firstRow="1" w:lastRow="0" w:firstColumn="0" w:lastColumn="0" w:oddVBand="0" w:evenVBand="0" w:oddHBand="0" w:evenHBand="0" w:firstRowFirstColumn="0" w:firstRowLastColumn="0" w:lastRowFirstColumn="0" w:lastRowLastColumn="0"/>
              <w:rPr>
                <w:rFonts w:cs="Arial"/>
                <w:color w:val="auto"/>
              </w:rPr>
            </w:pPr>
            <w:r>
              <w:rPr>
                <w:color w:val="auto"/>
              </w:rPr>
              <w:t>(</w:t>
            </w:r>
            <w:r w:rsidR="008A2FD8" w:rsidRPr="00586CC8">
              <w:rPr>
                <w:color w:val="auto"/>
              </w:rPr>
              <w:t>Schedule 29</w:t>
            </w:r>
            <w:r>
              <w:rPr>
                <w:color w:val="auto"/>
              </w:rPr>
              <w:t>)</w:t>
            </w:r>
          </w:p>
        </w:tc>
        <w:tc>
          <w:tcPr>
            <w:tcW w:w="1171" w:type="pct"/>
            <w:gridSpan w:val="2"/>
            <w:tcBorders>
              <w:top w:val="none" w:sz="0" w:space="0" w:color="auto"/>
              <w:left w:val="none" w:sz="0" w:space="0" w:color="auto"/>
              <w:bottom w:val="none" w:sz="0" w:space="0" w:color="auto"/>
              <w:right w:val="none" w:sz="0" w:space="0" w:color="auto"/>
            </w:tcBorders>
            <w:shd w:val="clear" w:color="auto" w:fill="DAEEF3" w:themeFill="accent5" w:themeFillTint="33"/>
            <w:vAlign w:val="center"/>
          </w:tcPr>
          <w:p w14:paraId="44C96AE2" w14:textId="77777777" w:rsidR="008A2FD8" w:rsidRPr="00586CC8" w:rsidRDefault="008A2FD8" w:rsidP="00776154">
            <w:pPr>
              <w:keepNext/>
              <w:jc w:val="center"/>
              <w:cnfStyle w:val="100000000000" w:firstRow="1" w:lastRow="0" w:firstColumn="0" w:lastColumn="0" w:oddVBand="0" w:evenVBand="0" w:oddHBand="0" w:evenHBand="0" w:firstRowFirstColumn="0" w:firstRowLastColumn="0" w:lastRowFirstColumn="0" w:lastRowLastColumn="0"/>
              <w:rPr>
                <w:rFonts w:cs="Arial"/>
                <w:color w:val="auto"/>
              </w:rPr>
            </w:pPr>
            <w:r w:rsidRPr="00586CC8">
              <w:rPr>
                <w:rFonts w:cs="Arial"/>
                <w:color w:val="auto"/>
              </w:rPr>
              <w:t>Codex STAN 72-1981</w:t>
            </w:r>
          </w:p>
        </w:tc>
        <w:tc>
          <w:tcPr>
            <w:tcW w:w="1017" w:type="pct"/>
            <w:gridSpan w:val="3"/>
            <w:tcBorders>
              <w:top w:val="none" w:sz="0" w:space="0" w:color="auto"/>
              <w:left w:val="none" w:sz="0" w:space="0" w:color="auto"/>
              <w:bottom w:val="none" w:sz="0" w:space="0" w:color="auto"/>
              <w:right w:val="none" w:sz="0" w:space="0" w:color="auto"/>
            </w:tcBorders>
            <w:shd w:val="clear" w:color="auto" w:fill="DDD9C3" w:themeFill="background2" w:themeFillShade="E6"/>
            <w:vAlign w:val="center"/>
          </w:tcPr>
          <w:p w14:paraId="7E1629D4" w14:textId="49A0863B" w:rsidR="008A2FD8" w:rsidRPr="00586CC8" w:rsidRDefault="008A2FD8" w:rsidP="00776154">
            <w:pPr>
              <w:keepNext/>
              <w:jc w:val="center"/>
              <w:cnfStyle w:val="100000000000" w:firstRow="1" w:lastRow="0" w:firstColumn="0" w:lastColumn="0" w:oddVBand="0" w:evenVBand="0" w:oddHBand="0" w:evenHBand="0" w:firstRowFirstColumn="0" w:firstRowLastColumn="0" w:lastRowFirstColumn="0" w:lastRowLastColumn="0"/>
              <w:rPr>
                <w:rFonts w:cs="Arial"/>
                <w:color w:val="auto"/>
              </w:rPr>
            </w:pPr>
            <w:r w:rsidRPr="00586CC8">
              <w:rPr>
                <w:rFonts w:cs="Arial"/>
                <w:color w:val="auto"/>
              </w:rPr>
              <w:t>EU 2016/127</w:t>
            </w:r>
          </w:p>
        </w:tc>
      </w:tr>
      <w:tr w:rsidR="008A2FD8" w:rsidRPr="00C90454" w14:paraId="4F7C3A11" w14:textId="77777777" w:rsidTr="0011607A">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1876" w:type="pct"/>
            <w:vMerge/>
            <w:shd w:val="clear" w:color="auto" w:fill="E5DFEC" w:themeFill="accent4" w:themeFillTint="33"/>
            <w:vAlign w:val="center"/>
          </w:tcPr>
          <w:p w14:paraId="10BB09AF" w14:textId="77777777" w:rsidR="008A2FD8" w:rsidRPr="00586CC8" w:rsidRDefault="008A2FD8" w:rsidP="00776154">
            <w:pPr>
              <w:keepNext/>
              <w:keepLines/>
              <w:jc w:val="center"/>
              <w:rPr>
                <w:rFonts w:cs="Arial"/>
                <w:szCs w:val="20"/>
              </w:rPr>
            </w:pPr>
          </w:p>
        </w:tc>
        <w:tc>
          <w:tcPr>
            <w:tcW w:w="470" w:type="pct"/>
            <w:gridSpan w:val="2"/>
            <w:shd w:val="clear" w:color="auto" w:fill="EAF1DD" w:themeFill="accent3" w:themeFillTint="33"/>
            <w:vAlign w:val="center"/>
          </w:tcPr>
          <w:p w14:paraId="2D9B1D03" w14:textId="77777777" w:rsidR="008A2FD8" w:rsidRPr="00586CC8" w:rsidRDefault="008A2FD8" w:rsidP="00776154">
            <w:pPr>
              <w:keepNext/>
              <w:keepLines/>
              <w:jc w:val="center"/>
              <w:cnfStyle w:val="000000100000" w:firstRow="0" w:lastRow="0" w:firstColumn="0" w:lastColumn="0" w:oddVBand="0" w:evenVBand="0" w:oddHBand="1" w:evenHBand="0" w:firstRowFirstColumn="0" w:firstRowLastColumn="0" w:lastRowFirstColumn="0" w:lastRowLastColumn="0"/>
              <w:rPr>
                <w:rFonts w:cs="Arial"/>
                <w:b/>
                <w:szCs w:val="20"/>
              </w:rPr>
            </w:pPr>
            <w:r w:rsidRPr="00586CC8">
              <w:rPr>
                <w:rFonts w:cs="Arial"/>
                <w:b/>
                <w:szCs w:val="20"/>
              </w:rPr>
              <w:t>Min</w:t>
            </w:r>
          </w:p>
        </w:tc>
        <w:tc>
          <w:tcPr>
            <w:tcW w:w="466" w:type="pct"/>
            <w:shd w:val="clear" w:color="auto" w:fill="EAF1DD" w:themeFill="accent3" w:themeFillTint="33"/>
            <w:vAlign w:val="center"/>
          </w:tcPr>
          <w:p w14:paraId="32B4B483" w14:textId="77777777" w:rsidR="008A2FD8" w:rsidRPr="00586CC8" w:rsidRDefault="008A2FD8" w:rsidP="00776154">
            <w:pPr>
              <w:keepNext/>
              <w:keepLines/>
              <w:jc w:val="center"/>
              <w:cnfStyle w:val="000000100000" w:firstRow="0" w:lastRow="0" w:firstColumn="0" w:lastColumn="0" w:oddVBand="0" w:evenVBand="0" w:oddHBand="1" w:evenHBand="0" w:firstRowFirstColumn="0" w:firstRowLastColumn="0" w:lastRowFirstColumn="0" w:lastRowLastColumn="0"/>
              <w:rPr>
                <w:rFonts w:cs="Arial"/>
                <w:b/>
                <w:szCs w:val="20"/>
              </w:rPr>
            </w:pPr>
            <w:r w:rsidRPr="00586CC8">
              <w:rPr>
                <w:rFonts w:cs="Arial"/>
                <w:b/>
                <w:szCs w:val="20"/>
              </w:rPr>
              <w:t>Max</w:t>
            </w:r>
          </w:p>
        </w:tc>
        <w:tc>
          <w:tcPr>
            <w:tcW w:w="549" w:type="pct"/>
            <w:shd w:val="clear" w:color="auto" w:fill="DAEEF3" w:themeFill="accent5" w:themeFillTint="33"/>
            <w:vAlign w:val="center"/>
          </w:tcPr>
          <w:p w14:paraId="597DD6D0" w14:textId="6D59B20B" w:rsidR="008A2FD8" w:rsidRPr="00586CC8" w:rsidRDefault="008A2FD8" w:rsidP="00776154">
            <w:pPr>
              <w:keepNext/>
              <w:keepLines/>
              <w:jc w:val="center"/>
              <w:cnfStyle w:val="000000100000" w:firstRow="0" w:lastRow="0" w:firstColumn="0" w:lastColumn="0" w:oddVBand="0" w:evenVBand="0" w:oddHBand="1" w:evenHBand="0" w:firstRowFirstColumn="0" w:firstRowLastColumn="0" w:lastRowFirstColumn="0" w:lastRowLastColumn="0"/>
              <w:rPr>
                <w:rFonts w:cs="Arial"/>
                <w:b/>
                <w:szCs w:val="20"/>
              </w:rPr>
            </w:pPr>
            <w:r w:rsidRPr="00586CC8">
              <w:rPr>
                <w:rFonts w:cs="Arial"/>
                <w:b/>
                <w:szCs w:val="20"/>
              </w:rPr>
              <w:t>Min</w:t>
            </w:r>
          </w:p>
        </w:tc>
        <w:tc>
          <w:tcPr>
            <w:tcW w:w="622" w:type="pct"/>
            <w:shd w:val="clear" w:color="auto" w:fill="DAEEF3" w:themeFill="accent5" w:themeFillTint="33"/>
            <w:vAlign w:val="center"/>
          </w:tcPr>
          <w:p w14:paraId="4BA6BF81" w14:textId="77777777" w:rsidR="008A2FD8" w:rsidRPr="00586CC8" w:rsidRDefault="008A2FD8" w:rsidP="00776154">
            <w:pPr>
              <w:keepNext/>
              <w:keepLines/>
              <w:jc w:val="center"/>
              <w:cnfStyle w:val="000000100000" w:firstRow="0" w:lastRow="0" w:firstColumn="0" w:lastColumn="0" w:oddVBand="0" w:evenVBand="0" w:oddHBand="1" w:evenHBand="0" w:firstRowFirstColumn="0" w:firstRowLastColumn="0" w:lastRowFirstColumn="0" w:lastRowLastColumn="0"/>
              <w:rPr>
                <w:rFonts w:cs="Arial"/>
                <w:b/>
                <w:szCs w:val="20"/>
              </w:rPr>
            </w:pPr>
            <w:r w:rsidRPr="00586CC8">
              <w:rPr>
                <w:rFonts w:cs="Arial"/>
                <w:b/>
                <w:szCs w:val="20"/>
              </w:rPr>
              <w:t>Max</w:t>
            </w:r>
          </w:p>
        </w:tc>
        <w:tc>
          <w:tcPr>
            <w:tcW w:w="539" w:type="pct"/>
            <w:shd w:val="clear" w:color="auto" w:fill="DDD9C3" w:themeFill="background2" w:themeFillShade="E6"/>
            <w:vAlign w:val="center"/>
          </w:tcPr>
          <w:p w14:paraId="570D9ED0" w14:textId="77777777" w:rsidR="008A2FD8" w:rsidRPr="00586CC8" w:rsidRDefault="008A2FD8" w:rsidP="00776154">
            <w:pPr>
              <w:keepNext/>
              <w:keepLines/>
              <w:jc w:val="center"/>
              <w:cnfStyle w:val="000000100000" w:firstRow="0" w:lastRow="0" w:firstColumn="0" w:lastColumn="0" w:oddVBand="0" w:evenVBand="0" w:oddHBand="1" w:evenHBand="0" w:firstRowFirstColumn="0" w:firstRowLastColumn="0" w:lastRowFirstColumn="0" w:lastRowLastColumn="0"/>
              <w:rPr>
                <w:rFonts w:cs="Arial"/>
                <w:b/>
                <w:szCs w:val="20"/>
              </w:rPr>
            </w:pPr>
            <w:r w:rsidRPr="00586CC8">
              <w:rPr>
                <w:rFonts w:cs="Arial"/>
                <w:b/>
                <w:szCs w:val="20"/>
              </w:rPr>
              <w:t>Min</w:t>
            </w:r>
          </w:p>
        </w:tc>
        <w:tc>
          <w:tcPr>
            <w:tcW w:w="478" w:type="pct"/>
            <w:gridSpan w:val="2"/>
            <w:shd w:val="clear" w:color="auto" w:fill="DDD9C3" w:themeFill="background2" w:themeFillShade="E6"/>
            <w:vAlign w:val="center"/>
          </w:tcPr>
          <w:p w14:paraId="4092816E" w14:textId="77777777" w:rsidR="008A2FD8" w:rsidRPr="00586CC8" w:rsidRDefault="008A2FD8" w:rsidP="00776154">
            <w:pPr>
              <w:keepNext/>
              <w:keepLines/>
              <w:jc w:val="center"/>
              <w:cnfStyle w:val="000000100000" w:firstRow="0" w:lastRow="0" w:firstColumn="0" w:lastColumn="0" w:oddVBand="0" w:evenVBand="0" w:oddHBand="1" w:evenHBand="0" w:firstRowFirstColumn="0" w:firstRowLastColumn="0" w:lastRowFirstColumn="0" w:lastRowLastColumn="0"/>
              <w:rPr>
                <w:rFonts w:cs="Arial"/>
                <w:b/>
                <w:szCs w:val="20"/>
              </w:rPr>
            </w:pPr>
            <w:r w:rsidRPr="00586CC8">
              <w:rPr>
                <w:rFonts w:cs="Arial"/>
                <w:b/>
                <w:szCs w:val="20"/>
              </w:rPr>
              <w:t>Max</w:t>
            </w:r>
          </w:p>
        </w:tc>
      </w:tr>
      <w:tr w:rsidR="008A2FD8" w:rsidRPr="00C90454" w14:paraId="06BC82AE" w14:textId="77777777" w:rsidTr="0011607A">
        <w:trPr>
          <w:cnfStyle w:val="000000010000" w:firstRow="0" w:lastRow="0" w:firstColumn="0" w:lastColumn="0" w:oddVBand="0" w:evenVBand="0" w:oddHBand="0" w:evenHBand="1"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876" w:type="pct"/>
            <w:tcBorders>
              <w:right w:val="none" w:sz="0" w:space="0" w:color="auto"/>
            </w:tcBorders>
            <w:shd w:val="clear" w:color="auto" w:fill="FFFFFF" w:themeFill="background1"/>
            <w:vAlign w:val="center"/>
          </w:tcPr>
          <w:p w14:paraId="6BCC8799" w14:textId="2DD5DC39" w:rsidR="008A2FD8" w:rsidRPr="00C90454" w:rsidRDefault="008A2FD8" w:rsidP="008A2FD8">
            <w:pPr>
              <w:keepNext/>
              <w:keepLines/>
              <w:rPr>
                <w:rFonts w:cs="Arial"/>
                <w:szCs w:val="20"/>
              </w:rPr>
            </w:pPr>
            <w:r>
              <w:rPr>
                <w:rFonts w:cs="Arial"/>
                <w:szCs w:val="20"/>
              </w:rPr>
              <w:t>Choline</w:t>
            </w:r>
          </w:p>
        </w:tc>
        <w:tc>
          <w:tcPr>
            <w:tcW w:w="456" w:type="pct"/>
            <w:tcBorders>
              <w:left w:val="none" w:sz="0" w:space="0" w:color="auto"/>
              <w:right w:val="none" w:sz="0" w:space="0" w:color="auto"/>
            </w:tcBorders>
            <w:shd w:val="clear" w:color="auto" w:fill="FFFFFF" w:themeFill="background1"/>
          </w:tcPr>
          <w:p w14:paraId="262BC56D" w14:textId="77777777" w:rsidR="008A2FD8" w:rsidRPr="00C90454" w:rsidRDefault="008A2FD8" w:rsidP="008A2FD8">
            <w:pPr>
              <w:keepNext/>
              <w:keepLines/>
              <w:jc w:val="center"/>
              <w:cnfStyle w:val="000000010000" w:firstRow="0" w:lastRow="0" w:firstColumn="0" w:lastColumn="0" w:oddVBand="0" w:evenVBand="0" w:oddHBand="0" w:evenHBand="1" w:firstRowFirstColumn="0" w:firstRowLastColumn="0" w:lastRowFirstColumn="0" w:lastRowLastColumn="0"/>
              <w:rPr>
                <w:rFonts w:cs="Arial"/>
                <w:szCs w:val="20"/>
              </w:rPr>
            </w:pPr>
            <w:r>
              <w:rPr>
                <w:rFonts w:cs="Arial"/>
                <w:szCs w:val="20"/>
              </w:rPr>
              <w:t>1.7</w:t>
            </w:r>
          </w:p>
        </w:tc>
        <w:tc>
          <w:tcPr>
            <w:tcW w:w="480" w:type="pct"/>
            <w:gridSpan w:val="2"/>
            <w:tcBorders>
              <w:left w:val="none" w:sz="0" w:space="0" w:color="auto"/>
              <w:right w:val="none" w:sz="0" w:space="0" w:color="auto"/>
            </w:tcBorders>
            <w:shd w:val="clear" w:color="auto" w:fill="FFFFFF" w:themeFill="background1"/>
          </w:tcPr>
          <w:p w14:paraId="78419D98" w14:textId="77777777" w:rsidR="008A2FD8" w:rsidRPr="00C90454" w:rsidRDefault="008A2FD8" w:rsidP="008A2FD8">
            <w:pPr>
              <w:keepNext/>
              <w:keepLines/>
              <w:jc w:val="center"/>
              <w:cnfStyle w:val="000000010000" w:firstRow="0" w:lastRow="0" w:firstColumn="0" w:lastColumn="0" w:oddVBand="0" w:evenVBand="0" w:oddHBand="0" w:evenHBand="1" w:firstRowFirstColumn="0" w:firstRowLastColumn="0" w:lastRowFirstColumn="0" w:lastRowLastColumn="0"/>
              <w:rPr>
                <w:rFonts w:cs="Arial"/>
                <w:szCs w:val="20"/>
              </w:rPr>
            </w:pPr>
            <w:r w:rsidRPr="00206EDA">
              <w:rPr>
                <w:rFonts w:cs="Arial"/>
                <w:szCs w:val="20"/>
              </w:rPr>
              <w:t>7.1</w:t>
            </w:r>
          </w:p>
        </w:tc>
        <w:tc>
          <w:tcPr>
            <w:tcW w:w="549" w:type="pct"/>
            <w:tcBorders>
              <w:left w:val="none" w:sz="0" w:space="0" w:color="auto"/>
              <w:right w:val="none" w:sz="0" w:space="0" w:color="auto"/>
            </w:tcBorders>
            <w:shd w:val="clear" w:color="auto" w:fill="FFFFFF" w:themeFill="background1"/>
          </w:tcPr>
          <w:p w14:paraId="0847B680" w14:textId="77777777" w:rsidR="008A2FD8" w:rsidRPr="00C90454" w:rsidRDefault="008A2FD8" w:rsidP="008A2FD8">
            <w:pPr>
              <w:keepNext/>
              <w:keepLines/>
              <w:jc w:val="center"/>
              <w:cnfStyle w:val="000000010000" w:firstRow="0" w:lastRow="0" w:firstColumn="0" w:lastColumn="0" w:oddVBand="0" w:evenVBand="0" w:oddHBand="0" w:evenHBand="1" w:firstRowFirstColumn="0" w:firstRowLastColumn="0" w:lastRowFirstColumn="0" w:lastRowLastColumn="0"/>
              <w:rPr>
                <w:rFonts w:cs="Arial"/>
                <w:szCs w:val="20"/>
              </w:rPr>
            </w:pPr>
            <w:r>
              <w:rPr>
                <w:rFonts w:cs="Arial"/>
                <w:szCs w:val="20"/>
              </w:rPr>
              <w:t>1.7</w:t>
            </w:r>
          </w:p>
        </w:tc>
        <w:tc>
          <w:tcPr>
            <w:tcW w:w="622" w:type="pct"/>
            <w:tcBorders>
              <w:left w:val="none" w:sz="0" w:space="0" w:color="auto"/>
              <w:right w:val="none" w:sz="0" w:space="0" w:color="auto"/>
            </w:tcBorders>
            <w:shd w:val="clear" w:color="auto" w:fill="FFFFFF" w:themeFill="background1"/>
          </w:tcPr>
          <w:p w14:paraId="4230FDBA" w14:textId="77777777" w:rsidR="008A2FD8" w:rsidRPr="00206EDA" w:rsidRDefault="008A2FD8" w:rsidP="008A2FD8">
            <w:pPr>
              <w:keepNext/>
              <w:keepLines/>
              <w:jc w:val="center"/>
              <w:cnfStyle w:val="000000010000" w:firstRow="0" w:lastRow="0" w:firstColumn="0" w:lastColumn="0" w:oddVBand="0" w:evenVBand="0" w:oddHBand="0" w:evenHBand="1" w:firstRowFirstColumn="0" w:firstRowLastColumn="0" w:lastRowFirstColumn="0" w:lastRowLastColumn="0"/>
              <w:rPr>
                <w:rFonts w:cs="Arial"/>
                <w:szCs w:val="20"/>
              </w:rPr>
            </w:pPr>
            <w:r w:rsidRPr="00206EDA">
              <w:rPr>
                <w:rFonts w:cs="Arial"/>
                <w:szCs w:val="20"/>
              </w:rPr>
              <w:t>12</w:t>
            </w:r>
          </w:p>
          <w:p w14:paraId="6C82AF5F" w14:textId="1C11DBC2" w:rsidR="008A2FD8" w:rsidRPr="00C90454" w:rsidRDefault="008A2FD8" w:rsidP="008A2FD8">
            <w:pPr>
              <w:keepNext/>
              <w:keepLines/>
              <w:jc w:val="center"/>
              <w:cnfStyle w:val="000000010000" w:firstRow="0" w:lastRow="0" w:firstColumn="0" w:lastColumn="0" w:oddVBand="0" w:evenVBand="0" w:oddHBand="0" w:evenHBand="1" w:firstRowFirstColumn="0" w:firstRowLastColumn="0" w:lastRowFirstColumn="0" w:lastRowLastColumn="0"/>
              <w:rPr>
                <w:rFonts w:cs="Arial"/>
                <w:szCs w:val="20"/>
              </w:rPr>
            </w:pPr>
            <w:r w:rsidRPr="00206EDA">
              <w:rPr>
                <w:rFonts w:cs="Arial"/>
                <w:szCs w:val="20"/>
              </w:rPr>
              <w:t>(GUL)</w:t>
            </w:r>
          </w:p>
        </w:tc>
        <w:tc>
          <w:tcPr>
            <w:tcW w:w="549" w:type="pct"/>
            <w:gridSpan w:val="2"/>
            <w:tcBorders>
              <w:left w:val="none" w:sz="0" w:space="0" w:color="auto"/>
              <w:right w:val="none" w:sz="0" w:space="0" w:color="auto"/>
            </w:tcBorders>
            <w:shd w:val="clear" w:color="auto" w:fill="FFFFFF" w:themeFill="background1"/>
          </w:tcPr>
          <w:p w14:paraId="6C8EB171" w14:textId="77777777" w:rsidR="008A2FD8" w:rsidRPr="00B418F6" w:rsidRDefault="008A2FD8" w:rsidP="008A2FD8">
            <w:pPr>
              <w:keepNext/>
              <w:keepLines/>
              <w:jc w:val="center"/>
              <w:cnfStyle w:val="000000010000" w:firstRow="0" w:lastRow="0" w:firstColumn="0" w:lastColumn="0" w:oddVBand="0" w:evenVBand="0" w:oddHBand="0" w:evenHBand="1" w:firstRowFirstColumn="0" w:firstRowLastColumn="0" w:lastRowFirstColumn="0" w:lastRowLastColumn="0"/>
              <w:rPr>
                <w:rFonts w:cs="Arial"/>
                <w:szCs w:val="20"/>
              </w:rPr>
            </w:pPr>
            <w:r w:rsidRPr="00B418F6">
              <w:rPr>
                <w:rFonts w:cs="Arial"/>
                <w:szCs w:val="20"/>
              </w:rPr>
              <w:t>6.0</w:t>
            </w:r>
          </w:p>
        </w:tc>
        <w:tc>
          <w:tcPr>
            <w:tcW w:w="468" w:type="pct"/>
            <w:tcBorders>
              <w:left w:val="none" w:sz="0" w:space="0" w:color="auto"/>
            </w:tcBorders>
            <w:shd w:val="clear" w:color="auto" w:fill="FFFFFF" w:themeFill="background1"/>
          </w:tcPr>
          <w:p w14:paraId="393A257A" w14:textId="77777777" w:rsidR="008A2FD8" w:rsidRPr="00B418F6" w:rsidRDefault="008A2FD8" w:rsidP="008A2FD8">
            <w:pPr>
              <w:keepNext/>
              <w:keepLines/>
              <w:jc w:val="center"/>
              <w:cnfStyle w:val="000000010000" w:firstRow="0" w:lastRow="0" w:firstColumn="0" w:lastColumn="0" w:oddVBand="0" w:evenVBand="0" w:oddHBand="0" w:evenHBand="1" w:firstRowFirstColumn="0" w:firstRowLastColumn="0" w:lastRowFirstColumn="0" w:lastRowLastColumn="0"/>
              <w:rPr>
                <w:rFonts w:cs="Arial"/>
                <w:szCs w:val="20"/>
              </w:rPr>
            </w:pPr>
            <w:r w:rsidRPr="00B418F6">
              <w:rPr>
                <w:rFonts w:cs="Arial"/>
                <w:szCs w:val="20"/>
              </w:rPr>
              <w:t>12.0</w:t>
            </w:r>
          </w:p>
        </w:tc>
      </w:tr>
      <w:tr w:rsidR="008A2FD8" w:rsidRPr="00C90454" w14:paraId="7131CF1A" w14:textId="77777777" w:rsidTr="0011607A">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876" w:type="pct"/>
            <w:tcBorders>
              <w:right w:val="none" w:sz="0" w:space="0" w:color="auto"/>
            </w:tcBorders>
            <w:shd w:val="clear" w:color="auto" w:fill="FFFFFF" w:themeFill="background1"/>
            <w:vAlign w:val="center"/>
          </w:tcPr>
          <w:p w14:paraId="08EDFA06" w14:textId="26F198EE" w:rsidR="008A2FD8" w:rsidRDefault="008A2FD8" w:rsidP="008A2FD8">
            <w:pPr>
              <w:keepNext/>
              <w:keepLines/>
              <w:rPr>
                <w:rFonts w:cs="Arial"/>
                <w:szCs w:val="20"/>
              </w:rPr>
            </w:pPr>
            <w:r>
              <w:rPr>
                <w:rFonts w:cs="Arial"/>
                <w:szCs w:val="20"/>
              </w:rPr>
              <w:t>L-carnitine</w:t>
            </w:r>
          </w:p>
        </w:tc>
        <w:tc>
          <w:tcPr>
            <w:tcW w:w="456" w:type="pct"/>
            <w:tcBorders>
              <w:left w:val="none" w:sz="0" w:space="0" w:color="auto"/>
              <w:right w:val="none" w:sz="0" w:space="0" w:color="auto"/>
            </w:tcBorders>
            <w:shd w:val="clear" w:color="auto" w:fill="FFFFFF" w:themeFill="background1"/>
          </w:tcPr>
          <w:p w14:paraId="2C0A36CB" w14:textId="77777777" w:rsidR="008A2FD8" w:rsidRDefault="008A2FD8" w:rsidP="008A2FD8">
            <w:pPr>
              <w:keepNext/>
              <w:keepLines/>
              <w:jc w:val="center"/>
              <w:cnfStyle w:val="000000100000" w:firstRow="0" w:lastRow="0" w:firstColumn="0" w:lastColumn="0" w:oddVBand="0" w:evenVBand="0" w:oddHBand="1" w:evenHBand="0" w:firstRowFirstColumn="0" w:firstRowLastColumn="0" w:lastRowFirstColumn="0" w:lastRowLastColumn="0"/>
              <w:rPr>
                <w:rFonts w:cs="Arial"/>
                <w:szCs w:val="20"/>
              </w:rPr>
            </w:pPr>
            <w:r>
              <w:rPr>
                <w:rFonts w:cs="Arial"/>
                <w:szCs w:val="20"/>
              </w:rPr>
              <w:t>0.21</w:t>
            </w:r>
          </w:p>
        </w:tc>
        <w:tc>
          <w:tcPr>
            <w:tcW w:w="480" w:type="pct"/>
            <w:gridSpan w:val="2"/>
            <w:tcBorders>
              <w:left w:val="none" w:sz="0" w:space="0" w:color="auto"/>
              <w:right w:val="none" w:sz="0" w:space="0" w:color="auto"/>
            </w:tcBorders>
            <w:shd w:val="clear" w:color="auto" w:fill="FFFFFF" w:themeFill="background1"/>
          </w:tcPr>
          <w:p w14:paraId="1EE4DCFE" w14:textId="77777777" w:rsidR="008A2FD8" w:rsidRPr="00206EDA" w:rsidRDefault="008A2FD8" w:rsidP="008A2FD8">
            <w:pPr>
              <w:keepNext/>
              <w:keepLines/>
              <w:jc w:val="center"/>
              <w:cnfStyle w:val="000000100000" w:firstRow="0" w:lastRow="0" w:firstColumn="0" w:lastColumn="0" w:oddVBand="0" w:evenVBand="0" w:oddHBand="1" w:evenHBand="0" w:firstRowFirstColumn="0" w:firstRowLastColumn="0" w:lastRowFirstColumn="0" w:lastRowLastColumn="0"/>
              <w:rPr>
                <w:rFonts w:cs="Arial"/>
                <w:szCs w:val="20"/>
              </w:rPr>
            </w:pPr>
            <w:r w:rsidRPr="00206EDA">
              <w:rPr>
                <w:rFonts w:cs="Arial"/>
                <w:szCs w:val="20"/>
              </w:rPr>
              <w:t>0.8</w:t>
            </w:r>
          </w:p>
        </w:tc>
        <w:tc>
          <w:tcPr>
            <w:tcW w:w="549" w:type="pct"/>
            <w:tcBorders>
              <w:left w:val="none" w:sz="0" w:space="0" w:color="auto"/>
              <w:right w:val="none" w:sz="0" w:space="0" w:color="auto"/>
            </w:tcBorders>
            <w:shd w:val="clear" w:color="auto" w:fill="FFFFFF" w:themeFill="background1"/>
          </w:tcPr>
          <w:p w14:paraId="4CFECE8B" w14:textId="77777777" w:rsidR="008A2FD8" w:rsidRDefault="008A2FD8" w:rsidP="008A2FD8">
            <w:pPr>
              <w:keepNext/>
              <w:keepLines/>
              <w:jc w:val="center"/>
              <w:cnfStyle w:val="000000100000" w:firstRow="0" w:lastRow="0" w:firstColumn="0" w:lastColumn="0" w:oddVBand="0" w:evenVBand="0" w:oddHBand="1" w:evenHBand="0" w:firstRowFirstColumn="0" w:firstRowLastColumn="0" w:lastRowFirstColumn="0" w:lastRowLastColumn="0"/>
              <w:rPr>
                <w:rFonts w:cs="Arial"/>
                <w:szCs w:val="20"/>
              </w:rPr>
            </w:pPr>
            <w:r>
              <w:rPr>
                <w:rFonts w:cs="Arial"/>
                <w:szCs w:val="20"/>
              </w:rPr>
              <w:t>0.3</w:t>
            </w:r>
          </w:p>
        </w:tc>
        <w:tc>
          <w:tcPr>
            <w:tcW w:w="622" w:type="pct"/>
            <w:tcBorders>
              <w:left w:val="none" w:sz="0" w:space="0" w:color="auto"/>
              <w:right w:val="none" w:sz="0" w:space="0" w:color="auto"/>
            </w:tcBorders>
            <w:shd w:val="clear" w:color="auto" w:fill="FFFFFF" w:themeFill="background1"/>
          </w:tcPr>
          <w:p w14:paraId="66469544" w14:textId="5CD4B737" w:rsidR="008A2FD8" w:rsidRPr="00206EDA" w:rsidRDefault="008A2FD8" w:rsidP="008A2FD8">
            <w:pPr>
              <w:keepNext/>
              <w:keepLines/>
              <w:jc w:val="center"/>
              <w:cnfStyle w:val="000000100000" w:firstRow="0" w:lastRow="0" w:firstColumn="0" w:lastColumn="0" w:oddVBand="0" w:evenVBand="0" w:oddHBand="1" w:evenHBand="0" w:firstRowFirstColumn="0" w:firstRowLastColumn="0" w:lastRowFirstColumn="0" w:lastRowLastColumn="0"/>
              <w:rPr>
                <w:rFonts w:cs="Arial"/>
                <w:szCs w:val="20"/>
              </w:rPr>
            </w:pPr>
            <w:r>
              <w:rPr>
                <w:rFonts w:cs="Arial"/>
                <w:szCs w:val="20"/>
              </w:rPr>
              <w:t>ns</w:t>
            </w:r>
          </w:p>
        </w:tc>
        <w:tc>
          <w:tcPr>
            <w:tcW w:w="549" w:type="pct"/>
            <w:gridSpan w:val="2"/>
            <w:tcBorders>
              <w:left w:val="none" w:sz="0" w:space="0" w:color="auto"/>
              <w:right w:val="none" w:sz="0" w:space="0" w:color="auto"/>
            </w:tcBorders>
            <w:shd w:val="clear" w:color="auto" w:fill="FFFFFF" w:themeFill="background1"/>
          </w:tcPr>
          <w:p w14:paraId="3CD94BB0" w14:textId="77777777" w:rsidR="008A2FD8" w:rsidRPr="00B418F6" w:rsidRDefault="008A2FD8" w:rsidP="008A2FD8">
            <w:pPr>
              <w:keepNext/>
              <w:keepLines/>
              <w:jc w:val="center"/>
              <w:cnfStyle w:val="000000100000" w:firstRow="0" w:lastRow="0" w:firstColumn="0" w:lastColumn="0" w:oddVBand="0" w:evenVBand="0" w:oddHBand="1" w:evenHBand="0" w:firstRowFirstColumn="0" w:firstRowLastColumn="0" w:lastRowFirstColumn="0" w:lastRowLastColumn="0"/>
              <w:rPr>
                <w:rFonts w:cs="Arial"/>
                <w:szCs w:val="20"/>
              </w:rPr>
            </w:pPr>
            <w:r>
              <w:rPr>
                <w:rFonts w:cs="Arial"/>
                <w:szCs w:val="20"/>
              </w:rPr>
              <w:t>0.3</w:t>
            </w:r>
          </w:p>
        </w:tc>
        <w:tc>
          <w:tcPr>
            <w:tcW w:w="468" w:type="pct"/>
            <w:tcBorders>
              <w:left w:val="none" w:sz="0" w:space="0" w:color="auto"/>
            </w:tcBorders>
            <w:shd w:val="clear" w:color="auto" w:fill="FFFFFF" w:themeFill="background1"/>
          </w:tcPr>
          <w:p w14:paraId="77396DAF" w14:textId="77777777" w:rsidR="008A2FD8" w:rsidRPr="00B418F6" w:rsidRDefault="008A2FD8" w:rsidP="008A2FD8">
            <w:pPr>
              <w:keepNext/>
              <w:keepLines/>
              <w:jc w:val="center"/>
              <w:cnfStyle w:val="000000100000" w:firstRow="0" w:lastRow="0" w:firstColumn="0" w:lastColumn="0" w:oddVBand="0" w:evenVBand="0" w:oddHBand="1" w:evenHBand="0" w:firstRowFirstColumn="0" w:firstRowLastColumn="0" w:lastRowFirstColumn="0" w:lastRowLastColumn="0"/>
              <w:rPr>
                <w:rFonts w:cs="Arial"/>
                <w:szCs w:val="20"/>
              </w:rPr>
            </w:pPr>
            <w:r w:rsidRPr="00206EDA">
              <w:rPr>
                <w:rFonts w:cs="Arial"/>
                <w:szCs w:val="20"/>
              </w:rPr>
              <w:t>ns</w:t>
            </w:r>
          </w:p>
        </w:tc>
      </w:tr>
      <w:tr w:rsidR="008A2FD8" w:rsidRPr="00C90454" w14:paraId="5B8E18E7" w14:textId="77777777" w:rsidTr="0011607A">
        <w:trPr>
          <w:cnfStyle w:val="000000010000" w:firstRow="0" w:lastRow="0" w:firstColumn="0" w:lastColumn="0" w:oddVBand="0" w:evenVBand="0" w:oddHBand="0" w:evenHBand="1"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876" w:type="pct"/>
            <w:tcBorders>
              <w:right w:val="none" w:sz="0" w:space="0" w:color="auto"/>
            </w:tcBorders>
            <w:shd w:val="clear" w:color="auto" w:fill="FFFFFF" w:themeFill="background1"/>
            <w:vAlign w:val="center"/>
          </w:tcPr>
          <w:p w14:paraId="1EE31474" w14:textId="1B0AFF88" w:rsidR="008A2FD8" w:rsidRDefault="008A2FD8" w:rsidP="008A2FD8">
            <w:pPr>
              <w:keepNext/>
              <w:keepLines/>
              <w:rPr>
                <w:rFonts w:cs="Arial"/>
                <w:szCs w:val="20"/>
              </w:rPr>
            </w:pPr>
            <w:r>
              <w:rPr>
                <w:rFonts w:cs="Arial"/>
                <w:szCs w:val="20"/>
              </w:rPr>
              <w:t>Inositol</w:t>
            </w:r>
          </w:p>
        </w:tc>
        <w:tc>
          <w:tcPr>
            <w:tcW w:w="456" w:type="pct"/>
            <w:tcBorders>
              <w:left w:val="none" w:sz="0" w:space="0" w:color="auto"/>
              <w:right w:val="none" w:sz="0" w:space="0" w:color="auto"/>
            </w:tcBorders>
            <w:shd w:val="clear" w:color="auto" w:fill="FFFFFF" w:themeFill="background1"/>
          </w:tcPr>
          <w:p w14:paraId="41CB2B34" w14:textId="77777777" w:rsidR="008A2FD8" w:rsidRDefault="008A2FD8" w:rsidP="008A2FD8">
            <w:pPr>
              <w:keepNext/>
              <w:keepLines/>
              <w:jc w:val="center"/>
              <w:cnfStyle w:val="000000010000" w:firstRow="0" w:lastRow="0" w:firstColumn="0" w:lastColumn="0" w:oddVBand="0" w:evenVBand="0" w:oddHBand="0" w:evenHBand="1" w:firstRowFirstColumn="0" w:firstRowLastColumn="0" w:lastRowFirstColumn="0" w:lastRowLastColumn="0"/>
              <w:rPr>
                <w:rFonts w:cs="Arial"/>
                <w:szCs w:val="20"/>
              </w:rPr>
            </w:pPr>
            <w:r>
              <w:rPr>
                <w:rFonts w:cs="Arial"/>
                <w:szCs w:val="20"/>
              </w:rPr>
              <w:t>1.0</w:t>
            </w:r>
          </w:p>
        </w:tc>
        <w:tc>
          <w:tcPr>
            <w:tcW w:w="480" w:type="pct"/>
            <w:gridSpan w:val="2"/>
            <w:tcBorders>
              <w:left w:val="none" w:sz="0" w:space="0" w:color="auto"/>
              <w:right w:val="none" w:sz="0" w:space="0" w:color="auto"/>
            </w:tcBorders>
            <w:shd w:val="clear" w:color="auto" w:fill="FFFFFF" w:themeFill="background1"/>
          </w:tcPr>
          <w:p w14:paraId="2A454561" w14:textId="77777777" w:rsidR="008A2FD8" w:rsidRPr="00206EDA" w:rsidRDefault="008A2FD8" w:rsidP="008A2FD8">
            <w:pPr>
              <w:keepNext/>
              <w:keepLines/>
              <w:jc w:val="center"/>
              <w:cnfStyle w:val="000000010000" w:firstRow="0" w:lastRow="0" w:firstColumn="0" w:lastColumn="0" w:oddVBand="0" w:evenVBand="0" w:oddHBand="0" w:evenHBand="1" w:firstRowFirstColumn="0" w:firstRowLastColumn="0" w:lastRowFirstColumn="0" w:lastRowLastColumn="0"/>
              <w:rPr>
                <w:rFonts w:cs="Arial"/>
                <w:szCs w:val="20"/>
              </w:rPr>
            </w:pPr>
            <w:r w:rsidRPr="00206EDA">
              <w:rPr>
                <w:rFonts w:cs="Arial"/>
                <w:szCs w:val="20"/>
              </w:rPr>
              <w:t>9.5</w:t>
            </w:r>
          </w:p>
        </w:tc>
        <w:tc>
          <w:tcPr>
            <w:tcW w:w="549" w:type="pct"/>
            <w:tcBorders>
              <w:left w:val="none" w:sz="0" w:space="0" w:color="auto"/>
              <w:right w:val="none" w:sz="0" w:space="0" w:color="auto"/>
            </w:tcBorders>
            <w:shd w:val="clear" w:color="auto" w:fill="FFFFFF" w:themeFill="background1"/>
          </w:tcPr>
          <w:p w14:paraId="3E836BC3" w14:textId="77777777" w:rsidR="008A2FD8" w:rsidRDefault="008A2FD8" w:rsidP="008A2FD8">
            <w:pPr>
              <w:keepNext/>
              <w:keepLines/>
              <w:jc w:val="center"/>
              <w:cnfStyle w:val="000000010000" w:firstRow="0" w:lastRow="0" w:firstColumn="0" w:lastColumn="0" w:oddVBand="0" w:evenVBand="0" w:oddHBand="0" w:evenHBand="1" w:firstRowFirstColumn="0" w:firstRowLastColumn="0" w:lastRowFirstColumn="0" w:lastRowLastColumn="0"/>
              <w:rPr>
                <w:rFonts w:cs="Arial"/>
                <w:szCs w:val="20"/>
              </w:rPr>
            </w:pPr>
            <w:r>
              <w:rPr>
                <w:rFonts w:cs="Arial"/>
                <w:szCs w:val="20"/>
              </w:rPr>
              <w:t>1.0</w:t>
            </w:r>
          </w:p>
        </w:tc>
        <w:tc>
          <w:tcPr>
            <w:tcW w:w="622" w:type="pct"/>
            <w:tcBorders>
              <w:left w:val="none" w:sz="0" w:space="0" w:color="auto"/>
              <w:right w:val="none" w:sz="0" w:space="0" w:color="auto"/>
            </w:tcBorders>
            <w:shd w:val="clear" w:color="auto" w:fill="FFFFFF" w:themeFill="background1"/>
          </w:tcPr>
          <w:p w14:paraId="52C9E34B" w14:textId="77777777" w:rsidR="008A2FD8" w:rsidRPr="00206EDA" w:rsidRDefault="008A2FD8" w:rsidP="008A2FD8">
            <w:pPr>
              <w:keepNext/>
              <w:keepLines/>
              <w:jc w:val="center"/>
              <w:cnfStyle w:val="000000010000" w:firstRow="0" w:lastRow="0" w:firstColumn="0" w:lastColumn="0" w:oddVBand="0" w:evenVBand="0" w:oddHBand="0" w:evenHBand="1" w:firstRowFirstColumn="0" w:firstRowLastColumn="0" w:lastRowFirstColumn="0" w:lastRowLastColumn="0"/>
              <w:rPr>
                <w:rFonts w:cs="Arial"/>
                <w:szCs w:val="20"/>
              </w:rPr>
            </w:pPr>
            <w:r w:rsidRPr="00206EDA">
              <w:rPr>
                <w:rFonts w:cs="Arial"/>
                <w:szCs w:val="20"/>
              </w:rPr>
              <w:t>9.5</w:t>
            </w:r>
          </w:p>
          <w:p w14:paraId="26218AB7" w14:textId="77777777" w:rsidR="008A2FD8" w:rsidRPr="00206EDA" w:rsidRDefault="008A2FD8" w:rsidP="008A2FD8">
            <w:pPr>
              <w:keepNext/>
              <w:keepLines/>
              <w:jc w:val="center"/>
              <w:cnfStyle w:val="000000010000" w:firstRow="0" w:lastRow="0" w:firstColumn="0" w:lastColumn="0" w:oddVBand="0" w:evenVBand="0" w:oddHBand="0" w:evenHBand="1" w:firstRowFirstColumn="0" w:firstRowLastColumn="0" w:lastRowFirstColumn="0" w:lastRowLastColumn="0"/>
              <w:rPr>
                <w:rFonts w:cs="Arial"/>
                <w:szCs w:val="20"/>
              </w:rPr>
            </w:pPr>
            <w:r>
              <w:rPr>
                <w:rFonts w:cs="Arial"/>
                <w:szCs w:val="20"/>
              </w:rPr>
              <w:t>(</w:t>
            </w:r>
            <w:r w:rsidRPr="00206EDA">
              <w:rPr>
                <w:rFonts w:cs="Arial"/>
                <w:szCs w:val="20"/>
              </w:rPr>
              <w:t>GUL</w:t>
            </w:r>
            <w:r>
              <w:rPr>
                <w:rFonts w:cs="Arial"/>
                <w:szCs w:val="20"/>
              </w:rPr>
              <w:t>)</w:t>
            </w:r>
          </w:p>
        </w:tc>
        <w:tc>
          <w:tcPr>
            <w:tcW w:w="549" w:type="pct"/>
            <w:gridSpan w:val="2"/>
            <w:tcBorders>
              <w:left w:val="none" w:sz="0" w:space="0" w:color="auto"/>
              <w:right w:val="none" w:sz="0" w:space="0" w:color="auto"/>
            </w:tcBorders>
            <w:shd w:val="clear" w:color="auto" w:fill="FFFFFF" w:themeFill="background1"/>
          </w:tcPr>
          <w:p w14:paraId="6FD3597B" w14:textId="77777777" w:rsidR="008A2FD8" w:rsidRPr="00B418F6" w:rsidRDefault="008A2FD8" w:rsidP="008A2FD8">
            <w:pPr>
              <w:keepNext/>
              <w:keepLines/>
              <w:jc w:val="center"/>
              <w:cnfStyle w:val="000000010000" w:firstRow="0" w:lastRow="0" w:firstColumn="0" w:lastColumn="0" w:oddVBand="0" w:evenVBand="0" w:oddHBand="0" w:evenHBand="1" w:firstRowFirstColumn="0" w:firstRowLastColumn="0" w:lastRowFirstColumn="0" w:lastRowLastColumn="0"/>
              <w:rPr>
                <w:rFonts w:cs="Arial"/>
                <w:szCs w:val="20"/>
              </w:rPr>
            </w:pPr>
            <w:r>
              <w:rPr>
                <w:rFonts w:cs="Arial"/>
                <w:szCs w:val="20"/>
              </w:rPr>
              <w:t>0.96</w:t>
            </w:r>
          </w:p>
        </w:tc>
        <w:tc>
          <w:tcPr>
            <w:tcW w:w="468" w:type="pct"/>
            <w:tcBorders>
              <w:left w:val="none" w:sz="0" w:space="0" w:color="auto"/>
            </w:tcBorders>
            <w:shd w:val="clear" w:color="auto" w:fill="FFFFFF" w:themeFill="background1"/>
          </w:tcPr>
          <w:p w14:paraId="1A1CBD12" w14:textId="77777777" w:rsidR="008A2FD8" w:rsidRDefault="008A2FD8" w:rsidP="008A2FD8">
            <w:pPr>
              <w:keepNext/>
              <w:keepLines/>
              <w:jc w:val="center"/>
              <w:cnfStyle w:val="000000010000" w:firstRow="0" w:lastRow="0" w:firstColumn="0" w:lastColumn="0" w:oddVBand="0" w:evenVBand="0" w:oddHBand="0" w:evenHBand="1" w:firstRowFirstColumn="0" w:firstRowLastColumn="0" w:lastRowFirstColumn="0" w:lastRowLastColumn="0"/>
              <w:rPr>
                <w:rFonts w:cs="Arial"/>
                <w:szCs w:val="20"/>
              </w:rPr>
            </w:pPr>
            <w:r w:rsidRPr="00206EDA">
              <w:rPr>
                <w:rFonts w:cs="Arial"/>
                <w:szCs w:val="20"/>
              </w:rPr>
              <w:t>9.6</w:t>
            </w:r>
          </w:p>
        </w:tc>
      </w:tr>
      <w:tr w:rsidR="008A2FD8" w:rsidRPr="00C90454" w14:paraId="3DBEE495" w14:textId="77777777" w:rsidTr="008A2FD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000" w:type="pct"/>
            <w:gridSpan w:val="9"/>
            <w:shd w:val="clear" w:color="auto" w:fill="F2F2F2" w:themeFill="background1" w:themeFillShade="F2"/>
          </w:tcPr>
          <w:p w14:paraId="755E4D0D" w14:textId="0C44BFDB" w:rsidR="008A2FD8" w:rsidRPr="008A2FD8" w:rsidRDefault="008A2FD8" w:rsidP="008A2FD8">
            <w:pPr>
              <w:keepNext/>
              <w:keepLines/>
              <w:spacing w:before="40" w:after="40"/>
              <w:rPr>
                <w:rFonts w:cs="Arial"/>
                <w:b w:val="0"/>
                <w:i/>
                <w:szCs w:val="20"/>
              </w:rPr>
            </w:pPr>
            <w:r w:rsidRPr="008A2FD8">
              <w:rPr>
                <w:rFonts w:cs="Arial"/>
                <w:b w:val="0"/>
                <w:i/>
                <w:szCs w:val="20"/>
              </w:rPr>
              <w:t>Nucleotides</w:t>
            </w:r>
          </w:p>
        </w:tc>
      </w:tr>
      <w:tr w:rsidR="008A2FD8" w:rsidRPr="00C90454" w14:paraId="7EF0DBA7" w14:textId="77777777" w:rsidTr="0011607A">
        <w:trPr>
          <w:cnfStyle w:val="000000010000" w:firstRow="0" w:lastRow="0" w:firstColumn="0" w:lastColumn="0" w:oddVBand="0" w:evenVBand="0" w:oddHBand="0" w:evenHBand="1"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1876" w:type="pct"/>
            <w:tcBorders>
              <w:right w:val="none" w:sz="0" w:space="0" w:color="auto"/>
            </w:tcBorders>
            <w:shd w:val="clear" w:color="auto" w:fill="FFFFFF" w:themeFill="background1"/>
          </w:tcPr>
          <w:p w14:paraId="5F540184" w14:textId="5331C39F" w:rsidR="008A2FD8" w:rsidRPr="008A2FD8" w:rsidRDefault="008A2FD8" w:rsidP="001073DF">
            <w:pPr>
              <w:keepNext/>
              <w:keepLines/>
              <w:spacing w:before="40" w:after="40"/>
              <w:rPr>
                <w:rFonts w:cs="Arial"/>
                <w:szCs w:val="20"/>
              </w:rPr>
            </w:pPr>
            <w:r w:rsidRPr="008A2FD8">
              <w:rPr>
                <w:rFonts w:cs="Arial"/>
                <w:szCs w:val="20"/>
              </w:rPr>
              <w:t>Adenosine-5′-monophosphate</w:t>
            </w:r>
          </w:p>
        </w:tc>
        <w:tc>
          <w:tcPr>
            <w:tcW w:w="470" w:type="pct"/>
            <w:gridSpan w:val="2"/>
            <w:tcBorders>
              <w:left w:val="none" w:sz="0" w:space="0" w:color="auto"/>
              <w:right w:val="none" w:sz="0" w:space="0" w:color="auto"/>
            </w:tcBorders>
            <w:shd w:val="clear" w:color="auto" w:fill="FFFFFF" w:themeFill="background1"/>
          </w:tcPr>
          <w:p w14:paraId="6E9FB53F" w14:textId="77777777" w:rsidR="008A2FD8" w:rsidRDefault="008A2FD8" w:rsidP="001073DF">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cs="Arial"/>
                <w:szCs w:val="20"/>
              </w:rPr>
            </w:pPr>
            <w:r>
              <w:rPr>
                <w:rFonts w:cs="Arial"/>
                <w:szCs w:val="20"/>
              </w:rPr>
              <w:t>0.14</w:t>
            </w:r>
          </w:p>
        </w:tc>
        <w:tc>
          <w:tcPr>
            <w:tcW w:w="466" w:type="pct"/>
            <w:tcBorders>
              <w:left w:val="none" w:sz="0" w:space="0" w:color="auto"/>
              <w:right w:val="none" w:sz="0" w:space="0" w:color="auto"/>
            </w:tcBorders>
            <w:shd w:val="clear" w:color="auto" w:fill="FFFFFF" w:themeFill="background1"/>
          </w:tcPr>
          <w:p w14:paraId="7FF92439" w14:textId="77777777" w:rsidR="008A2FD8" w:rsidRPr="00206EDA" w:rsidRDefault="008A2FD8" w:rsidP="001073DF">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cs="Arial"/>
                <w:szCs w:val="20"/>
              </w:rPr>
            </w:pPr>
            <w:r w:rsidRPr="00206EDA">
              <w:rPr>
                <w:rFonts w:cs="Arial"/>
                <w:szCs w:val="20"/>
              </w:rPr>
              <w:t>0.38</w:t>
            </w:r>
          </w:p>
        </w:tc>
        <w:tc>
          <w:tcPr>
            <w:tcW w:w="1171" w:type="pct"/>
            <w:gridSpan w:val="2"/>
            <w:vMerge w:val="restart"/>
            <w:tcBorders>
              <w:left w:val="none" w:sz="0" w:space="0" w:color="auto"/>
              <w:right w:val="none" w:sz="0" w:space="0" w:color="auto"/>
            </w:tcBorders>
            <w:shd w:val="clear" w:color="auto" w:fill="FFFFFF" w:themeFill="background1"/>
            <w:vAlign w:val="center"/>
          </w:tcPr>
          <w:p w14:paraId="13EFA61B" w14:textId="77777777" w:rsidR="008A2FD8" w:rsidRPr="00206EDA" w:rsidRDefault="008A2FD8" w:rsidP="001073DF">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cs="Arial"/>
                <w:szCs w:val="20"/>
              </w:rPr>
            </w:pPr>
            <w:r w:rsidRPr="00104031">
              <w:rPr>
                <w:rFonts w:cs="Arial"/>
                <w:szCs w:val="20"/>
              </w:rPr>
              <w:t>At discretion of national authorities</w:t>
            </w:r>
          </w:p>
        </w:tc>
        <w:tc>
          <w:tcPr>
            <w:tcW w:w="549" w:type="pct"/>
            <w:gridSpan w:val="2"/>
            <w:tcBorders>
              <w:left w:val="none" w:sz="0" w:space="0" w:color="auto"/>
              <w:right w:val="none" w:sz="0" w:space="0" w:color="auto"/>
            </w:tcBorders>
            <w:shd w:val="clear" w:color="auto" w:fill="FFFFFF" w:themeFill="background1"/>
          </w:tcPr>
          <w:p w14:paraId="6BC415F9" w14:textId="1879D0FD" w:rsidR="008A2FD8" w:rsidRDefault="008A2FD8" w:rsidP="001073DF">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cs="Arial"/>
                <w:szCs w:val="20"/>
              </w:rPr>
            </w:pPr>
            <w:r w:rsidRPr="00480886">
              <w:rPr>
                <w:rFonts w:cs="Arial"/>
                <w:szCs w:val="20"/>
              </w:rPr>
              <w:t>ns</w:t>
            </w:r>
          </w:p>
        </w:tc>
        <w:tc>
          <w:tcPr>
            <w:tcW w:w="468" w:type="pct"/>
            <w:tcBorders>
              <w:left w:val="none" w:sz="0" w:space="0" w:color="auto"/>
            </w:tcBorders>
            <w:shd w:val="clear" w:color="auto" w:fill="FFFFFF" w:themeFill="background1"/>
          </w:tcPr>
          <w:p w14:paraId="5C8BEC30" w14:textId="77777777" w:rsidR="008A2FD8" w:rsidRPr="00206EDA" w:rsidRDefault="008A2FD8" w:rsidP="001073DF">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cs="Arial"/>
                <w:szCs w:val="20"/>
              </w:rPr>
            </w:pPr>
            <w:r>
              <w:rPr>
                <w:rFonts w:cs="Arial"/>
                <w:szCs w:val="20"/>
              </w:rPr>
              <w:t>0.36</w:t>
            </w:r>
          </w:p>
        </w:tc>
      </w:tr>
      <w:tr w:rsidR="008A2FD8" w:rsidRPr="00C90454" w14:paraId="5C450CF1" w14:textId="77777777" w:rsidTr="0011607A">
        <w:trPr>
          <w:cnfStyle w:val="000000100000" w:firstRow="0" w:lastRow="0" w:firstColumn="0" w:lastColumn="0" w:oddVBand="0" w:evenVBand="0" w:oddHBand="1" w:evenHBand="0"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1876" w:type="pct"/>
            <w:tcBorders>
              <w:right w:val="none" w:sz="0" w:space="0" w:color="auto"/>
            </w:tcBorders>
            <w:shd w:val="clear" w:color="auto" w:fill="FFFFFF" w:themeFill="background1"/>
          </w:tcPr>
          <w:p w14:paraId="79279D49" w14:textId="4A4DF2A8" w:rsidR="008A2FD8" w:rsidRPr="008A2FD8" w:rsidRDefault="008A2FD8" w:rsidP="001073DF">
            <w:pPr>
              <w:keepNext/>
              <w:keepLines/>
              <w:spacing w:before="40" w:after="40"/>
              <w:rPr>
                <w:rFonts w:cs="Arial"/>
                <w:szCs w:val="20"/>
              </w:rPr>
            </w:pPr>
            <w:r w:rsidRPr="008A2FD8">
              <w:rPr>
                <w:rFonts w:cs="Arial"/>
                <w:szCs w:val="20"/>
              </w:rPr>
              <w:t>Cytidine-5′-monophosphate</w:t>
            </w:r>
          </w:p>
        </w:tc>
        <w:tc>
          <w:tcPr>
            <w:tcW w:w="470" w:type="pct"/>
            <w:gridSpan w:val="2"/>
            <w:tcBorders>
              <w:left w:val="none" w:sz="0" w:space="0" w:color="auto"/>
              <w:right w:val="none" w:sz="0" w:space="0" w:color="auto"/>
            </w:tcBorders>
            <w:shd w:val="clear" w:color="auto" w:fill="FFFFFF" w:themeFill="background1"/>
          </w:tcPr>
          <w:p w14:paraId="01308EF6" w14:textId="77777777" w:rsidR="008A2FD8" w:rsidRDefault="008A2FD8" w:rsidP="001073DF">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cs="Arial"/>
                <w:szCs w:val="20"/>
              </w:rPr>
            </w:pPr>
            <w:r>
              <w:rPr>
                <w:rFonts w:cs="Arial"/>
                <w:szCs w:val="20"/>
              </w:rPr>
              <w:t>0.22</w:t>
            </w:r>
          </w:p>
        </w:tc>
        <w:tc>
          <w:tcPr>
            <w:tcW w:w="466" w:type="pct"/>
            <w:tcBorders>
              <w:left w:val="none" w:sz="0" w:space="0" w:color="auto"/>
              <w:right w:val="none" w:sz="0" w:space="0" w:color="auto"/>
            </w:tcBorders>
            <w:shd w:val="clear" w:color="auto" w:fill="FFFFFF" w:themeFill="background1"/>
          </w:tcPr>
          <w:p w14:paraId="3EE918C2" w14:textId="77777777" w:rsidR="008A2FD8" w:rsidRPr="00206EDA" w:rsidRDefault="008A2FD8" w:rsidP="001073DF">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cs="Arial"/>
                <w:szCs w:val="20"/>
              </w:rPr>
            </w:pPr>
            <w:r w:rsidRPr="00206EDA">
              <w:rPr>
                <w:rFonts w:cs="Arial"/>
                <w:szCs w:val="20"/>
              </w:rPr>
              <w:t>0.6</w:t>
            </w:r>
          </w:p>
        </w:tc>
        <w:tc>
          <w:tcPr>
            <w:tcW w:w="1171" w:type="pct"/>
            <w:gridSpan w:val="2"/>
            <w:vMerge/>
            <w:tcBorders>
              <w:left w:val="none" w:sz="0" w:space="0" w:color="auto"/>
              <w:right w:val="none" w:sz="0" w:space="0" w:color="auto"/>
            </w:tcBorders>
            <w:shd w:val="clear" w:color="auto" w:fill="FFFFFF" w:themeFill="background1"/>
          </w:tcPr>
          <w:p w14:paraId="0F679675" w14:textId="77777777" w:rsidR="008A2FD8" w:rsidRPr="00206EDA" w:rsidRDefault="008A2FD8" w:rsidP="001073DF">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cs="Arial"/>
                <w:szCs w:val="20"/>
              </w:rPr>
            </w:pPr>
          </w:p>
        </w:tc>
        <w:tc>
          <w:tcPr>
            <w:tcW w:w="549" w:type="pct"/>
            <w:gridSpan w:val="2"/>
            <w:tcBorders>
              <w:left w:val="none" w:sz="0" w:space="0" w:color="auto"/>
              <w:right w:val="none" w:sz="0" w:space="0" w:color="auto"/>
            </w:tcBorders>
            <w:shd w:val="clear" w:color="auto" w:fill="FFFFFF" w:themeFill="background1"/>
          </w:tcPr>
          <w:p w14:paraId="1403CC7D" w14:textId="563A7E0D" w:rsidR="008A2FD8" w:rsidRDefault="008A2FD8" w:rsidP="001073DF">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cs="Arial"/>
                <w:szCs w:val="20"/>
              </w:rPr>
            </w:pPr>
            <w:r w:rsidRPr="00480886">
              <w:rPr>
                <w:rFonts w:cs="Arial"/>
                <w:szCs w:val="20"/>
              </w:rPr>
              <w:t>ns</w:t>
            </w:r>
          </w:p>
        </w:tc>
        <w:tc>
          <w:tcPr>
            <w:tcW w:w="468" w:type="pct"/>
            <w:tcBorders>
              <w:left w:val="none" w:sz="0" w:space="0" w:color="auto"/>
            </w:tcBorders>
            <w:shd w:val="clear" w:color="auto" w:fill="FFFFFF" w:themeFill="background1"/>
          </w:tcPr>
          <w:p w14:paraId="70C8A3E9" w14:textId="77777777" w:rsidR="008A2FD8" w:rsidRPr="00206EDA" w:rsidRDefault="008A2FD8" w:rsidP="001073DF">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cs="Arial"/>
                <w:szCs w:val="20"/>
              </w:rPr>
            </w:pPr>
            <w:r>
              <w:rPr>
                <w:rFonts w:cs="Arial"/>
                <w:szCs w:val="20"/>
              </w:rPr>
              <w:t>0.60</w:t>
            </w:r>
          </w:p>
        </w:tc>
      </w:tr>
      <w:tr w:rsidR="008A2FD8" w:rsidRPr="00C90454" w14:paraId="4846B44D" w14:textId="77777777" w:rsidTr="0011607A">
        <w:trPr>
          <w:cnfStyle w:val="000000010000" w:firstRow="0" w:lastRow="0" w:firstColumn="0" w:lastColumn="0" w:oddVBand="0" w:evenVBand="0" w:oddHBand="0" w:evenHBand="1"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1876" w:type="pct"/>
            <w:tcBorders>
              <w:right w:val="none" w:sz="0" w:space="0" w:color="auto"/>
            </w:tcBorders>
            <w:shd w:val="clear" w:color="auto" w:fill="FFFFFF" w:themeFill="background1"/>
          </w:tcPr>
          <w:p w14:paraId="600E5796" w14:textId="79CEE0D7" w:rsidR="008A2FD8" w:rsidRPr="008A2FD8" w:rsidRDefault="008A2FD8" w:rsidP="001073DF">
            <w:pPr>
              <w:keepNext/>
              <w:keepLines/>
              <w:spacing w:before="40" w:after="40"/>
              <w:rPr>
                <w:rFonts w:cs="Arial"/>
                <w:szCs w:val="20"/>
              </w:rPr>
            </w:pPr>
            <w:r w:rsidRPr="008A2FD8">
              <w:rPr>
                <w:rFonts w:cs="Arial"/>
                <w:szCs w:val="20"/>
              </w:rPr>
              <w:t>Guanosine-5′-monophosphate</w:t>
            </w:r>
          </w:p>
        </w:tc>
        <w:tc>
          <w:tcPr>
            <w:tcW w:w="470" w:type="pct"/>
            <w:gridSpan w:val="2"/>
            <w:tcBorders>
              <w:left w:val="none" w:sz="0" w:space="0" w:color="auto"/>
              <w:right w:val="none" w:sz="0" w:space="0" w:color="auto"/>
            </w:tcBorders>
            <w:shd w:val="clear" w:color="auto" w:fill="FFFFFF" w:themeFill="background1"/>
          </w:tcPr>
          <w:p w14:paraId="1FA80445" w14:textId="77777777" w:rsidR="008A2FD8" w:rsidRDefault="008A2FD8" w:rsidP="001073DF">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cs="Arial"/>
                <w:szCs w:val="20"/>
              </w:rPr>
            </w:pPr>
            <w:r>
              <w:rPr>
                <w:rFonts w:cs="Arial"/>
                <w:szCs w:val="20"/>
              </w:rPr>
              <w:t>0.04</w:t>
            </w:r>
          </w:p>
        </w:tc>
        <w:tc>
          <w:tcPr>
            <w:tcW w:w="466" w:type="pct"/>
            <w:tcBorders>
              <w:left w:val="none" w:sz="0" w:space="0" w:color="auto"/>
              <w:right w:val="none" w:sz="0" w:space="0" w:color="auto"/>
            </w:tcBorders>
            <w:shd w:val="clear" w:color="auto" w:fill="FFFFFF" w:themeFill="background1"/>
          </w:tcPr>
          <w:p w14:paraId="0BB887E9" w14:textId="77777777" w:rsidR="008A2FD8" w:rsidRPr="00206EDA" w:rsidRDefault="008A2FD8" w:rsidP="001073DF">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cs="Arial"/>
                <w:szCs w:val="20"/>
              </w:rPr>
            </w:pPr>
            <w:r w:rsidRPr="00206EDA">
              <w:rPr>
                <w:rFonts w:cs="Arial"/>
                <w:szCs w:val="20"/>
              </w:rPr>
              <w:t>0.12</w:t>
            </w:r>
          </w:p>
        </w:tc>
        <w:tc>
          <w:tcPr>
            <w:tcW w:w="1171" w:type="pct"/>
            <w:gridSpan w:val="2"/>
            <w:vMerge/>
            <w:tcBorders>
              <w:left w:val="none" w:sz="0" w:space="0" w:color="auto"/>
              <w:right w:val="none" w:sz="0" w:space="0" w:color="auto"/>
            </w:tcBorders>
            <w:shd w:val="clear" w:color="auto" w:fill="FFFFFF" w:themeFill="background1"/>
          </w:tcPr>
          <w:p w14:paraId="4142BC01" w14:textId="77777777" w:rsidR="008A2FD8" w:rsidRPr="00206EDA" w:rsidRDefault="008A2FD8" w:rsidP="001073DF">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cs="Arial"/>
                <w:szCs w:val="20"/>
              </w:rPr>
            </w:pPr>
          </w:p>
        </w:tc>
        <w:tc>
          <w:tcPr>
            <w:tcW w:w="549" w:type="pct"/>
            <w:gridSpan w:val="2"/>
            <w:tcBorders>
              <w:left w:val="none" w:sz="0" w:space="0" w:color="auto"/>
              <w:right w:val="none" w:sz="0" w:space="0" w:color="auto"/>
            </w:tcBorders>
            <w:shd w:val="clear" w:color="auto" w:fill="FFFFFF" w:themeFill="background1"/>
          </w:tcPr>
          <w:p w14:paraId="38333B58" w14:textId="05D1BA98" w:rsidR="008A2FD8" w:rsidRDefault="008A2FD8" w:rsidP="001073DF">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cs="Arial"/>
                <w:szCs w:val="20"/>
              </w:rPr>
            </w:pPr>
            <w:r w:rsidRPr="00480886">
              <w:rPr>
                <w:rFonts w:cs="Arial"/>
                <w:szCs w:val="20"/>
              </w:rPr>
              <w:t>ns</w:t>
            </w:r>
          </w:p>
        </w:tc>
        <w:tc>
          <w:tcPr>
            <w:tcW w:w="468" w:type="pct"/>
            <w:tcBorders>
              <w:left w:val="none" w:sz="0" w:space="0" w:color="auto"/>
            </w:tcBorders>
            <w:shd w:val="clear" w:color="auto" w:fill="FFFFFF" w:themeFill="background1"/>
          </w:tcPr>
          <w:p w14:paraId="207875AA" w14:textId="77777777" w:rsidR="008A2FD8" w:rsidRPr="00206EDA" w:rsidRDefault="008A2FD8" w:rsidP="001073DF">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cs="Arial"/>
                <w:szCs w:val="20"/>
              </w:rPr>
            </w:pPr>
            <w:r>
              <w:rPr>
                <w:rFonts w:cs="Arial"/>
                <w:szCs w:val="20"/>
              </w:rPr>
              <w:t>0.12</w:t>
            </w:r>
          </w:p>
        </w:tc>
      </w:tr>
      <w:tr w:rsidR="008A2FD8" w:rsidRPr="00C90454" w14:paraId="11C1ADDC" w14:textId="77777777" w:rsidTr="0011607A">
        <w:trPr>
          <w:cnfStyle w:val="000000100000" w:firstRow="0" w:lastRow="0" w:firstColumn="0" w:lastColumn="0" w:oddVBand="0" w:evenVBand="0" w:oddHBand="1" w:evenHBand="0"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1876" w:type="pct"/>
            <w:tcBorders>
              <w:right w:val="none" w:sz="0" w:space="0" w:color="auto"/>
            </w:tcBorders>
            <w:shd w:val="clear" w:color="auto" w:fill="FFFFFF" w:themeFill="background1"/>
          </w:tcPr>
          <w:p w14:paraId="5B7FDAFE" w14:textId="27285071" w:rsidR="008A2FD8" w:rsidRPr="008A2FD8" w:rsidRDefault="008A2FD8" w:rsidP="008A2FD8">
            <w:pPr>
              <w:keepNext/>
              <w:keepLines/>
              <w:spacing w:before="40" w:after="40"/>
              <w:rPr>
                <w:rFonts w:cs="Arial"/>
                <w:szCs w:val="20"/>
              </w:rPr>
            </w:pPr>
            <w:r w:rsidRPr="008A2FD8">
              <w:rPr>
                <w:rFonts w:cs="Arial"/>
                <w:szCs w:val="20"/>
              </w:rPr>
              <w:t>Inosine-5′-monophosphate</w:t>
            </w:r>
          </w:p>
        </w:tc>
        <w:tc>
          <w:tcPr>
            <w:tcW w:w="470" w:type="pct"/>
            <w:gridSpan w:val="2"/>
            <w:tcBorders>
              <w:left w:val="none" w:sz="0" w:space="0" w:color="auto"/>
              <w:right w:val="none" w:sz="0" w:space="0" w:color="auto"/>
            </w:tcBorders>
            <w:shd w:val="clear" w:color="auto" w:fill="FFFFFF" w:themeFill="background1"/>
          </w:tcPr>
          <w:p w14:paraId="6E46E332" w14:textId="77777777" w:rsidR="008A2FD8" w:rsidRDefault="008A2FD8" w:rsidP="001073DF">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cs="Arial"/>
                <w:szCs w:val="20"/>
              </w:rPr>
            </w:pPr>
            <w:r>
              <w:rPr>
                <w:rFonts w:cs="Arial"/>
                <w:szCs w:val="20"/>
              </w:rPr>
              <w:t>0.08</w:t>
            </w:r>
          </w:p>
        </w:tc>
        <w:tc>
          <w:tcPr>
            <w:tcW w:w="466" w:type="pct"/>
            <w:tcBorders>
              <w:left w:val="none" w:sz="0" w:space="0" w:color="auto"/>
              <w:right w:val="none" w:sz="0" w:space="0" w:color="auto"/>
            </w:tcBorders>
            <w:shd w:val="clear" w:color="auto" w:fill="FFFFFF" w:themeFill="background1"/>
          </w:tcPr>
          <w:p w14:paraId="3086D692" w14:textId="77777777" w:rsidR="008A2FD8" w:rsidRPr="00206EDA" w:rsidRDefault="008A2FD8" w:rsidP="001073DF">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cs="Arial"/>
                <w:szCs w:val="20"/>
              </w:rPr>
            </w:pPr>
            <w:r w:rsidRPr="00206EDA">
              <w:rPr>
                <w:rFonts w:cs="Arial"/>
                <w:szCs w:val="20"/>
              </w:rPr>
              <w:t>0.24</w:t>
            </w:r>
          </w:p>
        </w:tc>
        <w:tc>
          <w:tcPr>
            <w:tcW w:w="1171" w:type="pct"/>
            <w:gridSpan w:val="2"/>
            <w:vMerge/>
            <w:tcBorders>
              <w:left w:val="none" w:sz="0" w:space="0" w:color="auto"/>
              <w:right w:val="none" w:sz="0" w:space="0" w:color="auto"/>
            </w:tcBorders>
            <w:shd w:val="clear" w:color="auto" w:fill="FFFFFF" w:themeFill="background1"/>
          </w:tcPr>
          <w:p w14:paraId="3FE27DF9" w14:textId="77777777" w:rsidR="008A2FD8" w:rsidRPr="00206EDA" w:rsidRDefault="008A2FD8" w:rsidP="001073DF">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cs="Arial"/>
                <w:szCs w:val="20"/>
              </w:rPr>
            </w:pPr>
          </w:p>
        </w:tc>
        <w:tc>
          <w:tcPr>
            <w:tcW w:w="549" w:type="pct"/>
            <w:gridSpan w:val="2"/>
            <w:tcBorders>
              <w:left w:val="none" w:sz="0" w:space="0" w:color="auto"/>
              <w:right w:val="none" w:sz="0" w:space="0" w:color="auto"/>
            </w:tcBorders>
            <w:shd w:val="clear" w:color="auto" w:fill="FFFFFF" w:themeFill="background1"/>
          </w:tcPr>
          <w:p w14:paraId="6F07989D" w14:textId="67F8E7C9" w:rsidR="008A2FD8" w:rsidRDefault="008A2FD8" w:rsidP="001073DF">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cs="Arial"/>
                <w:szCs w:val="20"/>
              </w:rPr>
            </w:pPr>
            <w:r w:rsidRPr="00480886">
              <w:rPr>
                <w:rFonts w:cs="Arial"/>
                <w:szCs w:val="20"/>
              </w:rPr>
              <w:t>ns</w:t>
            </w:r>
          </w:p>
        </w:tc>
        <w:tc>
          <w:tcPr>
            <w:tcW w:w="468" w:type="pct"/>
            <w:tcBorders>
              <w:left w:val="none" w:sz="0" w:space="0" w:color="auto"/>
            </w:tcBorders>
            <w:shd w:val="clear" w:color="auto" w:fill="FFFFFF" w:themeFill="background1"/>
          </w:tcPr>
          <w:p w14:paraId="1176B31A" w14:textId="77777777" w:rsidR="008A2FD8" w:rsidRPr="00206EDA" w:rsidRDefault="008A2FD8" w:rsidP="001073DF">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cs="Arial"/>
                <w:szCs w:val="20"/>
              </w:rPr>
            </w:pPr>
            <w:r>
              <w:rPr>
                <w:rFonts w:cs="Arial"/>
                <w:szCs w:val="20"/>
              </w:rPr>
              <w:t>0.24</w:t>
            </w:r>
          </w:p>
        </w:tc>
      </w:tr>
      <w:tr w:rsidR="008A2FD8" w:rsidRPr="00C90454" w14:paraId="584A6E3E" w14:textId="77777777" w:rsidTr="0011607A">
        <w:trPr>
          <w:cnfStyle w:val="000000010000" w:firstRow="0" w:lastRow="0" w:firstColumn="0" w:lastColumn="0" w:oddVBand="0" w:evenVBand="0" w:oddHBand="0" w:evenHBand="1"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1876" w:type="pct"/>
            <w:tcBorders>
              <w:right w:val="none" w:sz="0" w:space="0" w:color="auto"/>
            </w:tcBorders>
            <w:shd w:val="clear" w:color="auto" w:fill="FFFFFF" w:themeFill="background1"/>
          </w:tcPr>
          <w:p w14:paraId="4E379A5A" w14:textId="2A83A38F" w:rsidR="008A2FD8" w:rsidRPr="008A2FD8" w:rsidRDefault="008A2FD8" w:rsidP="001073DF">
            <w:pPr>
              <w:keepNext/>
              <w:keepLines/>
              <w:spacing w:before="40" w:after="40"/>
              <w:rPr>
                <w:rFonts w:cs="Arial"/>
                <w:szCs w:val="20"/>
              </w:rPr>
            </w:pPr>
            <w:r w:rsidRPr="008A2FD8">
              <w:rPr>
                <w:rFonts w:cs="Arial"/>
                <w:szCs w:val="20"/>
              </w:rPr>
              <w:t>Uridine-5′-monophosphate</w:t>
            </w:r>
          </w:p>
        </w:tc>
        <w:tc>
          <w:tcPr>
            <w:tcW w:w="470" w:type="pct"/>
            <w:gridSpan w:val="2"/>
            <w:tcBorders>
              <w:left w:val="none" w:sz="0" w:space="0" w:color="auto"/>
              <w:right w:val="none" w:sz="0" w:space="0" w:color="auto"/>
            </w:tcBorders>
            <w:shd w:val="clear" w:color="auto" w:fill="FFFFFF" w:themeFill="background1"/>
          </w:tcPr>
          <w:p w14:paraId="38DC00ED" w14:textId="77777777" w:rsidR="008A2FD8" w:rsidRPr="00206EDA" w:rsidRDefault="008A2FD8" w:rsidP="001073DF">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cs="Arial"/>
                <w:szCs w:val="20"/>
              </w:rPr>
            </w:pPr>
            <w:r w:rsidRPr="00206EDA">
              <w:rPr>
                <w:rFonts w:cs="Arial"/>
                <w:szCs w:val="20"/>
              </w:rPr>
              <w:t>0.13</w:t>
            </w:r>
          </w:p>
        </w:tc>
        <w:tc>
          <w:tcPr>
            <w:tcW w:w="466" w:type="pct"/>
            <w:tcBorders>
              <w:left w:val="none" w:sz="0" w:space="0" w:color="auto"/>
              <w:right w:val="none" w:sz="0" w:space="0" w:color="auto"/>
            </w:tcBorders>
            <w:shd w:val="clear" w:color="auto" w:fill="FFFFFF" w:themeFill="background1"/>
          </w:tcPr>
          <w:p w14:paraId="6B1C4D00" w14:textId="77777777" w:rsidR="008A2FD8" w:rsidRPr="00206EDA" w:rsidRDefault="008A2FD8" w:rsidP="001073DF">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cs="Arial"/>
                <w:szCs w:val="20"/>
              </w:rPr>
            </w:pPr>
            <w:r w:rsidRPr="00206EDA">
              <w:rPr>
                <w:rFonts w:cs="Arial"/>
                <w:szCs w:val="20"/>
              </w:rPr>
              <w:t>0.42</w:t>
            </w:r>
          </w:p>
        </w:tc>
        <w:tc>
          <w:tcPr>
            <w:tcW w:w="1171" w:type="pct"/>
            <w:gridSpan w:val="2"/>
            <w:vMerge/>
            <w:tcBorders>
              <w:left w:val="none" w:sz="0" w:space="0" w:color="auto"/>
              <w:right w:val="none" w:sz="0" w:space="0" w:color="auto"/>
            </w:tcBorders>
            <w:shd w:val="clear" w:color="auto" w:fill="FFFFFF" w:themeFill="background1"/>
          </w:tcPr>
          <w:p w14:paraId="37C2EF16" w14:textId="77777777" w:rsidR="008A2FD8" w:rsidRDefault="008A2FD8" w:rsidP="001073DF">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cs="Arial"/>
                <w:szCs w:val="20"/>
              </w:rPr>
            </w:pPr>
          </w:p>
        </w:tc>
        <w:tc>
          <w:tcPr>
            <w:tcW w:w="549" w:type="pct"/>
            <w:gridSpan w:val="2"/>
            <w:tcBorders>
              <w:left w:val="none" w:sz="0" w:space="0" w:color="auto"/>
              <w:right w:val="none" w:sz="0" w:space="0" w:color="auto"/>
            </w:tcBorders>
            <w:shd w:val="clear" w:color="auto" w:fill="FFFFFF" w:themeFill="background1"/>
          </w:tcPr>
          <w:p w14:paraId="4C5B0305" w14:textId="197DF5FE" w:rsidR="008A2FD8" w:rsidRDefault="008A2FD8" w:rsidP="001073DF">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cs="Arial"/>
                <w:szCs w:val="20"/>
              </w:rPr>
            </w:pPr>
            <w:r w:rsidRPr="00480886">
              <w:rPr>
                <w:rFonts w:cs="Arial"/>
                <w:szCs w:val="20"/>
              </w:rPr>
              <w:t>ns</w:t>
            </w:r>
          </w:p>
        </w:tc>
        <w:tc>
          <w:tcPr>
            <w:tcW w:w="468" w:type="pct"/>
            <w:tcBorders>
              <w:left w:val="none" w:sz="0" w:space="0" w:color="auto"/>
            </w:tcBorders>
            <w:shd w:val="clear" w:color="auto" w:fill="FFFFFF" w:themeFill="background1"/>
          </w:tcPr>
          <w:p w14:paraId="5A8FC376" w14:textId="77777777" w:rsidR="008A2FD8" w:rsidRPr="00206EDA" w:rsidRDefault="008A2FD8" w:rsidP="001073DF">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cs="Arial"/>
                <w:szCs w:val="20"/>
              </w:rPr>
            </w:pPr>
            <w:r>
              <w:rPr>
                <w:rFonts w:cs="Arial"/>
                <w:szCs w:val="20"/>
              </w:rPr>
              <w:t>0.42</w:t>
            </w:r>
          </w:p>
        </w:tc>
      </w:tr>
      <w:tr w:rsidR="008A2FD8" w:rsidRPr="00C90454" w14:paraId="5CE4D22F" w14:textId="77777777" w:rsidTr="0011607A">
        <w:trPr>
          <w:cnfStyle w:val="000000100000" w:firstRow="0" w:lastRow="0" w:firstColumn="0" w:lastColumn="0" w:oddVBand="0" w:evenVBand="0" w:oddHBand="1" w:evenHBand="0"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1876" w:type="pct"/>
            <w:tcBorders>
              <w:right w:val="none" w:sz="0" w:space="0" w:color="auto"/>
            </w:tcBorders>
            <w:shd w:val="clear" w:color="auto" w:fill="FFFFFF" w:themeFill="background1"/>
          </w:tcPr>
          <w:p w14:paraId="3A741B56" w14:textId="57756EDB" w:rsidR="008A2FD8" w:rsidRPr="008A2FD8" w:rsidRDefault="008A2FD8" w:rsidP="00776154">
            <w:pPr>
              <w:keepNext/>
              <w:keepLines/>
              <w:spacing w:before="40" w:after="40"/>
              <w:rPr>
                <w:rFonts w:cs="Arial"/>
                <w:szCs w:val="20"/>
              </w:rPr>
            </w:pPr>
            <w:r w:rsidRPr="008A2FD8">
              <w:rPr>
                <w:rFonts w:cs="Arial"/>
                <w:szCs w:val="20"/>
              </w:rPr>
              <w:t>Total nucleotide 5’-monophosphates</w:t>
            </w:r>
          </w:p>
        </w:tc>
        <w:tc>
          <w:tcPr>
            <w:tcW w:w="470" w:type="pct"/>
            <w:gridSpan w:val="2"/>
            <w:tcBorders>
              <w:left w:val="none" w:sz="0" w:space="0" w:color="auto"/>
              <w:right w:val="none" w:sz="0" w:space="0" w:color="auto"/>
            </w:tcBorders>
            <w:shd w:val="clear" w:color="auto" w:fill="FFFFFF" w:themeFill="background1"/>
          </w:tcPr>
          <w:p w14:paraId="086A497A" w14:textId="77777777" w:rsidR="008A2FD8" w:rsidRPr="00206EDA" w:rsidRDefault="008A2FD8" w:rsidP="00776154">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cs="Arial"/>
                <w:szCs w:val="20"/>
              </w:rPr>
            </w:pPr>
            <w:r w:rsidRPr="00206EDA">
              <w:rPr>
                <w:rFonts w:cs="Arial"/>
                <w:szCs w:val="20"/>
              </w:rPr>
              <w:t xml:space="preserve">≤ </w:t>
            </w:r>
            <w:r>
              <w:rPr>
                <w:rFonts w:cs="Arial"/>
                <w:szCs w:val="20"/>
              </w:rPr>
              <w:t>3.8</w:t>
            </w:r>
          </w:p>
        </w:tc>
        <w:tc>
          <w:tcPr>
            <w:tcW w:w="466" w:type="pct"/>
            <w:tcBorders>
              <w:left w:val="none" w:sz="0" w:space="0" w:color="auto"/>
              <w:right w:val="none" w:sz="0" w:space="0" w:color="auto"/>
            </w:tcBorders>
            <w:shd w:val="clear" w:color="auto" w:fill="FFFFFF" w:themeFill="background1"/>
          </w:tcPr>
          <w:p w14:paraId="70917A0D" w14:textId="0ADA90F1" w:rsidR="008A2FD8" w:rsidRPr="00206EDA" w:rsidRDefault="008A2FD8" w:rsidP="00776154">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cs="Arial"/>
                <w:szCs w:val="20"/>
              </w:rPr>
            </w:pPr>
            <w:r>
              <w:rPr>
                <w:rFonts w:cs="Arial"/>
                <w:szCs w:val="20"/>
              </w:rPr>
              <w:t>ns</w:t>
            </w:r>
          </w:p>
        </w:tc>
        <w:tc>
          <w:tcPr>
            <w:tcW w:w="1171" w:type="pct"/>
            <w:gridSpan w:val="2"/>
            <w:vMerge/>
            <w:tcBorders>
              <w:left w:val="none" w:sz="0" w:space="0" w:color="auto"/>
              <w:right w:val="none" w:sz="0" w:space="0" w:color="auto"/>
            </w:tcBorders>
            <w:shd w:val="clear" w:color="auto" w:fill="FFFFFF" w:themeFill="background1"/>
          </w:tcPr>
          <w:p w14:paraId="18042F6C" w14:textId="77777777" w:rsidR="008A2FD8" w:rsidRDefault="008A2FD8" w:rsidP="00776154">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cs="Arial"/>
                <w:szCs w:val="20"/>
              </w:rPr>
            </w:pPr>
          </w:p>
        </w:tc>
        <w:tc>
          <w:tcPr>
            <w:tcW w:w="549" w:type="pct"/>
            <w:gridSpan w:val="2"/>
            <w:tcBorders>
              <w:left w:val="none" w:sz="0" w:space="0" w:color="auto"/>
              <w:right w:val="none" w:sz="0" w:space="0" w:color="auto"/>
            </w:tcBorders>
            <w:shd w:val="clear" w:color="auto" w:fill="FFFFFF" w:themeFill="background1"/>
          </w:tcPr>
          <w:p w14:paraId="739C0EE2" w14:textId="77777777" w:rsidR="008A2FD8" w:rsidRDefault="008A2FD8" w:rsidP="00776154">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cs="Arial"/>
                <w:szCs w:val="20"/>
              </w:rPr>
            </w:pPr>
            <w:r w:rsidRPr="00206EDA">
              <w:rPr>
                <w:rFonts w:cs="Arial"/>
                <w:szCs w:val="20"/>
              </w:rPr>
              <w:t>≤ 1.2</w:t>
            </w:r>
          </w:p>
        </w:tc>
        <w:tc>
          <w:tcPr>
            <w:tcW w:w="468" w:type="pct"/>
            <w:tcBorders>
              <w:left w:val="none" w:sz="0" w:space="0" w:color="auto"/>
            </w:tcBorders>
            <w:shd w:val="clear" w:color="auto" w:fill="FFFFFF" w:themeFill="background1"/>
          </w:tcPr>
          <w:p w14:paraId="44F3ED56" w14:textId="0316BE49" w:rsidR="008A2FD8" w:rsidRPr="00206EDA" w:rsidRDefault="008A2FD8" w:rsidP="00776154">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cs="Arial"/>
                <w:szCs w:val="20"/>
              </w:rPr>
            </w:pPr>
            <w:r>
              <w:rPr>
                <w:rFonts w:cs="Arial"/>
                <w:szCs w:val="20"/>
              </w:rPr>
              <w:t>ns</w:t>
            </w:r>
          </w:p>
        </w:tc>
      </w:tr>
    </w:tbl>
    <w:p w14:paraId="478F1682" w14:textId="718882EA" w:rsidR="00811483" w:rsidRPr="004E6E0D" w:rsidRDefault="00811483" w:rsidP="00811483">
      <w:pPr>
        <w:rPr>
          <w:i/>
          <w:sz w:val="16"/>
          <w:lang w:eastAsia="en-AU"/>
        </w:rPr>
      </w:pPr>
      <w:r>
        <w:rPr>
          <w:i/>
          <w:sz w:val="16"/>
          <w:lang w:eastAsia="en-AU"/>
        </w:rPr>
        <w:t>ns: Not specified</w:t>
      </w:r>
      <w:r w:rsidRPr="004E6E0D">
        <w:rPr>
          <w:i/>
          <w:sz w:val="16"/>
          <w:lang w:eastAsia="en-AU"/>
        </w:rPr>
        <w:t>.</w:t>
      </w:r>
    </w:p>
    <w:p w14:paraId="73EBA20B" w14:textId="0A8AB1E0" w:rsidR="00776154" w:rsidRPr="00183A95" w:rsidRDefault="001C24DD" w:rsidP="00776154">
      <w:pPr>
        <w:pStyle w:val="Heading2"/>
      </w:pPr>
      <w:bookmarkStart w:id="444" w:name="_Toc70415492"/>
      <w:bookmarkStart w:id="445" w:name="_Toc73455657"/>
      <w:bookmarkStart w:id="446" w:name="_Toc73624930"/>
      <w:bookmarkStart w:id="447" w:name="_Toc76138298"/>
      <w:r>
        <w:t>8</w:t>
      </w:r>
      <w:r w:rsidR="00776154">
        <w:t>.1</w:t>
      </w:r>
      <w:r w:rsidR="00776154">
        <w:tab/>
      </w:r>
      <w:r w:rsidR="00776154" w:rsidRPr="00183A95">
        <w:t>Choline</w:t>
      </w:r>
      <w:bookmarkEnd w:id="444"/>
      <w:bookmarkEnd w:id="445"/>
      <w:bookmarkEnd w:id="446"/>
      <w:bookmarkEnd w:id="447"/>
    </w:p>
    <w:p w14:paraId="31B48778" w14:textId="77777777" w:rsidR="00776154" w:rsidRDefault="00776154" w:rsidP="00776154">
      <w:pPr>
        <w:pStyle w:val="Heading4"/>
      </w:pPr>
      <w:r w:rsidRPr="00BA1FD9">
        <w:t>Current regulations</w:t>
      </w:r>
    </w:p>
    <w:p w14:paraId="75BDC9A7" w14:textId="3D3BA6F3" w:rsidR="00776154" w:rsidRDefault="00776154" w:rsidP="00776154">
      <w:pPr>
        <w:rPr>
          <w:lang w:eastAsia="en-AU" w:bidi="ar-SA"/>
        </w:rPr>
      </w:pPr>
      <w:r w:rsidRPr="00C90454">
        <w:rPr>
          <w:lang w:eastAsia="en-AU" w:bidi="ar-SA"/>
        </w:rPr>
        <w:t xml:space="preserve">The minimum level for </w:t>
      </w:r>
      <w:r>
        <w:rPr>
          <w:lang w:eastAsia="en-AU" w:bidi="ar-SA"/>
        </w:rPr>
        <w:t>choline</w:t>
      </w:r>
      <w:r w:rsidRPr="00C90454">
        <w:rPr>
          <w:lang w:eastAsia="en-AU" w:bidi="ar-SA"/>
        </w:rPr>
        <w:t xml:space="preserve"> in </w:t>
      </w:r>
      <w:r w:rsidR="00852D7D">
        <w:t>Schedule 29</w:t>
      </w:r>
      <w:r w:rsidR="00852D7D" w:rsidRPr="00016E1A">
        <w:t xml:space="preserve"> </w:t>
      </w:r>
      <w:r w:rsidRPr="00C90454">
        <w:rPr>
          <w:lang w:eastAsia="en-AU" w:bidi="ar-SA"/>
        </w:rPr>
        <w:t>and Codex STAN 72-1981 are aligned</w:t>
      </w:r>
      <w:r>
        <w:rPr>
          <w:lang w:eastAsia="en-AU" w:bidi="ar-SA"/>
        </w:rPr>
        <w:t>, however</w:t>
      </w:r>
      <w:r w:rsidRPr="00C90454">
        <w:rPr>
          <w:lang w:eastAsia="en-AU" w:bidi="ar-SA"/>
        </w:rPr>
        <w:t xml:space="preserve"> the maximum</w:t>
      </w:r>
      <w:r w:rsidR="00AE7074">
        <w:rPr>
          <w:lang w:eastAsia="en-AU" w:bidi="ar-SA"/>
        </w:rPr>
        <w:t>s differ (Table 8</w:t>
      </w:r>
      <w:r w:rsidRPr="00C90454">
        <w:rPr>
          <w:lang w:eastAsia="en-AU" w:bidi="ar-SA"/>
        </w:rPr>
        <w:t xml:space="preserve">). </w:t>
      </w:r>
      <w:r w:rsidR="00EB6A98">
        <w:rPr>
          <w:lang w:eastAsia="en-AU" w:bidi="ar-SA"/>
        </w:rPr>
        <w:t>EU</w:t>
      </w:r>
      <w:r w:rsidR="00EB6A98" w:rsidRPr="00C90454">
        <w:rPr>
          <w:lang w:eastAsia="en-AU" w:bidi="ar-SA"/>
        </w:rPr>
        <w:t xml:space="preserve"> </w:t>
      </w:r>
      <w:r w:rsidRPr="00C90454">
        <w:rPr>
          <w:lang w:eastAsia="en-AU" w:bidi="ar-SA"/>
        </w:rPr>
        <w:t>2016</w:t>
      </w:r>
      <w:r w:rsidR="00EB6A98">
        <w:rPr>
          <w:lang w:eastAsia="en-AU" w:bidi="ar-SA"/>
        </w:rPr>
        <w:t>/127</w:t>
      </w:r>
      <w:r w:rsidRPr="00C90454">
        <w:rPr>
          <w:lang w:eastAsia="en-AU" w:bidi="ar-SA"/>
        </w:rPr>
        <w:t xml:space="preserve"> </w:t>
      </w:r>
      <w:r>
        <w:rPr>
          <w:lang w:eastAsia="en-AU" w:bidi="ar-SA"/>
        </w:rPr>
        <w:t>set a range for choline of 6.0–12.0 m</w:t>
      </w:r>
      <w:r w:rsidRPr="00C90454">
        <w:rPr>
          <w:lang w:eastAsia="en-AU" w:bidi="ar-SA"/>
        </w:rPr>
        <w:t>g/100 kJ.</w:t>
      </w:r>
    </w:p>
    <w:p w14:paraId="0CEDFB51" w14:textId="77777777" w:rsidR="00776154" w:rsidRDefault="00776154" w:rsidP="00776154">
      <w:pPr>
        <w:rPr>
          <w:lang w:eastAsia="en-AU" w:bidi="ar-SA"/>
        </w:rPr>
      </w:pPr>
    </w:p>
    <w:p w14:paraId="20CEF86B" w14:textId="7C606FA2" w:rsidR="00776154" w:rsidRDefault="00776154" w:rsidP="00776154">
      <w:pPr>
        <w:rPr>
          <w:lang w:eastAsia="en-AU" w:bidi="ar-SA"/>
        </w:rPr>
      </w:pPr>
      <w:r>
        <w:rPr>
          <w:lang w:eastAsia="en-AU" w:bidi="ar-SA"/>
        </w:rPr>
        <w:lastRenderedPageBreak/>
        <w:t xml:space="preserve">Within </w:t>
      </w:r>
      <w:r w:rsidR="00852D7D">
        <w:t>Schedule 29</w:t>
      </w:r>
      <w:r w:rsidR="00852D7D" w:rsidRPr="00016E1A">
        <w:t xml:space="preserve"> </w:t>
      </w:r>
      <w:r>
        <w:rPr>
          <w:lang w:eastAsia="en-AU" w:bidi="ar-SA"/>
        </w:rPr>
        <w:t xml:space="preserve">choline is currently permitted as choline chloride and choline bitartrate, whereas Codex GL 10-1979 lists three forms of choline that are not permitted in </w:t>
      </w:r>
      <w:r w:rsidR="00852D7D">
        <w:t>Schedule 29</w:t>
      </w:r>
      <w:r w:rsidR="00852D7D" w:rsidRPr="00016E1A">
        <w:t xml:space="preserve"> </w:t>
      </w:r>
      <w:r>
        <w:rPr>
          <w:lang w:eastAsia="en-AU" w:bidi="ar-SA"/>
        </w:rPr>
        <w:t xml:space="preserve">(choline, choline citrate, choline hydrogen tartrate). </w:t>
      </w:r>
    </w:p>
    <w:p w14:paraId="3F1CD7DE" w14:textId="77777777" w:rsidR="00776154" w:rsidRDefault="00776154" w:rsidP="00776154">
      <w:pPr>
        <w:rPr>
          <w:lang w:eastAsia="en-AU" w:bidi="ar-SA"/>
        </w:rPr>
      </w:pPr>
    </w:p>
    <w:p w14:paraId="509245ED" w14:textId="4A88406E" w:rsidR="00776154" w:rsidRDefault="00776154" w:rsidP="00776154">
      <w:pPr>
        <w:rPr>
          <w:lang w:eastAsia="en-AU" w:bidi="ar-SA"/>
        </w:rPr>
      </w:pPr>
      <w:r>
        <w:rPr>
          <w:lang w:eastAsia="en-AU" w:bidi="ar-SA"/>
        </w:rPr>
        <w:t xml:space="preserve">Choline is permitted within </w:t>
      </w:r>
      <w:r w:rsidR="00852D7D">
        <w:t>Schedule 29</w:t>
      </w:r>
      <w:r w:rsidR="00852D7D" w:rsidRPr="00016E1A">
        <w:t xml:space="preserve"> </w:t>
      </w:r>
      <w:r>
        <w:rPr>
          <w:lang w:eastAsia="en-AU" w:bidi="ar-SA"/>
        </w:rPr>
        <w:t xml:space="preserve">as a nutritive substance. </w:t>
      </w:r>
      <w:r w:rsidR="00EB6A98">
        <w:rPr>
          <w:lang w:eastAsia="en-AU" w:bidi="ar-SA"/>
        </w:rPr>
        <w:t xml:space="preserve">EU </w:t>
      </w:r>
      <w:r>
        <w:rPr>
          <w:lang w:eastAsia="en-AU" w:bidi="ar-SA"/>
        </w:rPr>
        <w:t>2016</w:t>
      </w:r>
      <w:r w:rsidR="00EB6A98">
        <w:rPr>
          <w:lang w:eastAsia="en-AU" w:bidi="ar-SA"/>
        </w:rPr>
        <w:t>/127</w:t>
      </w:r>
      <w:r>
        <w:rPr>
          <w:lang w:eastAsia="en-AU" w:bidi="ar-SA"/>
        </w:rPr>
        <w:t xml:space="preserve"> permits it as a mandatory substance and Codex </w:t>
      </w:r>
      <w:r w:rsidRPr="00C90454">
        <w:rPr>
          <w:lang w:eastAsia="en-AU" w:bidi="ar-SA"/>
        </w:rPr>
        <w:t>STAN 72-1981</w:t>
      </w:r>
      <w:r>
        <w:rPr>
          <w:lang w:eastAsia="en-AU" w:bidi="ar-SA"/>
        </w:rPr>
        <w:t xml:space="preserve"> permits it as an essential ingredient within infant formula. </w:t>
      </w:r>
    </w:p>
    <w:p w14:paraId="16916C9E" w14:textId="77777777" w:rsidR="00776154" w:rsidRDefault="00776154" w:rsidP="00776154">
      <w:pPr>
        <w:pStyle w:val="Heading4"/>
      </w:pPr>
      <w:r w:rsidRPr="00BA1FD9">
        <w:t>Previous consideration</w:t>
      </w:r>
    </w:p>
    <w:p w14:paraId="6400A2DE" w14:textId="1F615668" w:rsidR="00776154" w:rsidRDefault="00776154" w:rsidP="00776154">
      <w:pPr>
        <w:spacing w:before="120" w:after="120"/>
        <w:rPr>
          <w:lang w:eastAsia="en-AU" w:bidi="ar-SA"/>
        </w:rPr>
      </w:pPr>
      <w:r>
        <w:rPr>
          <w:lang w:eastAsia="en-AU" w:bidi="ar-SA"/>
        </w:rPr>
        <w:t xml:space="preserve">In 2016 FSANZ considered that choline should be permitted within </w:t>
      </w:r>
      <w:r w:rsidR="00852D7D">
        <w:t>Schedule 29</w:t>
      </w:r>
      <w:r w:rsidR="00852D7D" w:rsidRPr="00016E1A">
        <w:t xml:space="preserve"> </w:t>
      </w:r>
      <w:r>
        <w:rPr>
          <w:lang w:eastAsia="en-AU" w:bidi="ar-SA"/>
        </w:rPr>
        <w:t>as a mandatory substance in infant formula with a mandatory range of 1.7–12</w:t>
      </w:r>
      <w:r w:rsidR="00EB6A98">
        <w:rPr>
          <w:lang w:eastAsia="en-AU" w:bidi="ar-SA"/>
        </w:rPr>
        <w:t>.0</w:t>
      </w:r>
      <w:r>
        <w:rPr>
          <w:lang w:eastAsia="en-AU" w:bidi="ar-SA"/>
        </w:rPr>
        <w:t xml:space="preserve"> mg/100 kJ, to align with the </w:t>
      </w:r>
      <w:r w:rsidRPr="00C90454">
        <w:rPr>
          <w:lang w:eastAsia="en-AU" w:bidi="ar-SA"/>
        </w:rPr>
        <w:t>Codex STAN 72-1981</w:t>
      </w:r>
      <w:r>
        <w:rPr>
          <w:lang w:eastAsia="en-AU" w:bidi="ar-SA"/>
        </w:rPr>
        <w:t xml:space="preserve"> maximum.</w:t>
      </w:r>
    </w:p>
    <w:p w14:paraId="077504B4" w14:textId="77777777" w:rsidR="00776154" w:rsidRPr="00917510" w:rsidRDefault="00776154" w:rsidP="00776154">
      <w:pPr>
        <w:spacing w:before="120" w:after="120"/>
        <w:rPr>
          <w:lang w:eastAsia="en-AU" w:bidi="ar-SA"/>
        </w:rPr>
      </w:pPr>
      <w:r>
        <w:rPr>
          <w:lang w:eastAsia="en-AU" w:bidi="ar-SA"/>
        </w:rPr>
        <w:t>FSANZ also sought further information on the technological justification for the use of choline, choline citrate and choline hydrogen tartrate as permitted forms of choline in infant formula.</w:t>
      </w:r>
    </w:p>
    <w:p w14:paraId="2F423001" w14:textId="32DEE03C" w:rsidR="00776154" w:rsidRDefault="00776154" w:rsidP="00776154">
      <w:pPr>
        <w:pStyle w:val="Heading4"/>
        <w:ind w:left="0" w:firstLine="0"/>
      </w:pPr>
      <w:r w:rsidRPr="00BA1FD9">
        <w:t>S</w:t>
      </w:r>
      <w:r>
        <w:t>takeholder views</w:t>
      </w:r>
    </w:p>
    <w:p w14:paraId="19385C33" w14:textId="36FA717A" w:rsidR="00776154" w:rsidRPr="00917510" w:rsidRDefault="00776154" w:rsidP="00776154">
      <w:pPr>
        <w:rPr>
          <w:rFonts w:ascii="ArialMT" w:hAnsi="ArialMT" w:cs="ArialMT"/>
          <w:szCs w:val="22"/>
          <w:lang w:eastAsia="en-GB" w:bidi="ar-SA"/>
        </w:rPr>
      </w:pPr>
      <w:r>
        <w:rPr>
          <w:lang w:eastAsia="en-AU" w:bidi="ar-SA"/>
        </w:rPr>
        <w:t>Thirteen</w:t>
      </w:r>
      <w:r w:rsidRPr="00152C5D">
        <w:rPr>
          <w:lang w:eastAsia="en-AU" w:bidi="ar-SA"/>
        </w:rPr>
        <w:t xml:space="preserve"> submitters (</w:t>
      </w:r>
      <w:r w:rsidR="001312BE">
        <w:rPr>
          <w:lang w:eastAsia="en-AU" w:bidi="ar-SA"/>
        </w:rPr>
        <w:t>two</w:t>
      </w:r>
      <w:r w:rsidRPr="00152C5D">
        <w:rPr>
          <w:lang w:eastAsia="en-AU" w:bidi="ar-SA"/>
        </w:rPr>
        <w:t xml:space="preserve"> government</w:t>
      </w:r>
      <w:r>
        <w:rPr>
          <w:lang w:eastAsia="en-AU" w:bidi="ar-SA"/>
        </w:rPr>
        <w:t xml:space="preserve">, </w:t>
      </w:r>
      <w:r w:rsidR="001312BE">
        <w:rPr>
          <w:lang w:eastAsia="en-AU" w:bidi="ar-SA"/>
        </w:rPr>
        <w:t>eleven</w:t>
      </w:r>
      <w:r>
        <w:rPr>
          <w:lang w:eastAsia="en-AU" w:bidi="ar-SA"/>
        </w:rPr>
        <w:t xml:space="preserve"> industry</w:t>
      </w:r>
      <w:r w:rsidRPr="00152C5D">
        <w:rPr>
          <w:lang w:eastAsia="en-AU" w:bidi="ar-SA"/>
        </w:rPr>
        <w:t>) commented</w:t>
      </w:r>
      <w:r>
        <w:rPr>
          <w:lang w:eastAsia="en-AU" w:bidi="ar-SA"/>
        </w:rPr>
        <w:t xml:space="preserve"> on the</w:t>
      </w:r>
      <w:r>
        <w:rPr>
          <w:rFonts w:ascii="ArialMT" w:hAnsi="ArialMT" w:cs="ArialMT"/>
          <w:szCs w:val="22"/>
          <w:lang w:eastAsia="en-GB" w:bidi="ar-SA"/>
        </w:rPr>
        <w:t xml:space="preserve"> permitted range for </w:t>
      </w:r>
      <w:r>
        <w:rPr>
          <w:lang w:val="en-AU" w:bidi="ar-SA"/>
        </w:rPr>
        <w:t>choline</w:t>
      </w:r>
      <w:r>
        <w:rPr>
          <w:lang w:eastAsia="en-AU" w:bidi="ar-SA"/>
        </w:rPr>
        <w:t>.</w:t>
      </w:r>
      <w:r w:rsidRPr="00152C5D">
        <w:rPr>
          <w:lang w:eastAsia="en-AU" w:bidi="ar-SA"/>
        </w:rPr>
        <w:t xml:space="preserve"> All </w:t>
      </w:r>
      <w:r>
        <w:rPr>
          <w:lang w:eastAsia="en-AU" w:bidi="ar-SA"/>
        </w:rPr>
        <w:t>industry and one government submission</w:t>
      </w:r>
      <w:r w:rsidRPr="00152C5D">
        <w:rPr>
          <w:lang w:eastAsia="en-AU" w:bidi="ar-SA"/>
        </w:rPr>
        <w:t xml:space="preserve"> </w:t>
      </w:r>
      <w:r>
        <w:rPr>
          <w:lang w:eastAsia="en-AU" w:bidi="ar-SA"/>
        </w:rPr>
        <w:t xml:space="preserve">supported </w:t>
      </w:r>
      <w:r w:rsidRPr="00152C5D">
        <w:rPr>
          <w:lang w:eastAsia="en-AU" w:bidi="ar-SA"/>
        </w:rPr>
        <w:t>FSANZ’s 2016 view to</w:t>
      </w:r>
      <w:r>
        <w:rPr>
          <w:lang w:eastAsia="en-AU" w:bidi="ar-SA"/>
        </w:rPr>
        <w:t xml:space="preserve"> list</w:t>
      </w:r>
      <w:r w:rsidRPr="00152C5D">
        <w:rPr>
          <w:lang w:eastAsia="en-AU" w:bidi="ar-SA"/>
        </w:rPr>
        <w:t xml:space="preserve"> </w:t>
      </w:r>
      <w:r>
        <w:rPr>
          <w:lang w:eastAsia="en-AU" w:bidi="ar-SA"/>
        </w:rPr>
        <w:t xml:space="preserve">choline as a mandatory substance in infant formula with a range of 1.7–12 mg/100 kJ. The majority also noted that the upper amount should be presented as a GUL as per </w:t>
      </w:r>
      <w:r w:rsidRPr="00C90454">
        <w:rPr>
          <w:lang w:eastAsia="en-AU" w:bidi="ar-SA"/>
        </w:rPr>
        <w:t>Codex STAN 72-1981</w:t>
      </w:r>
      <w:r>
        <w:rPr>
          <w:lang w:eastAsia="en-AU" w:bidi="ar-SA"/>
        </w:rPr>
        <w:t xml:space="preserve">. One government submission </w:t>
      </w:r>
      <w:r>
        <w:rPr>
          <w:rFonts w:ascii="ArialMT" w:hAnsi="ArialMT" w:cs="ArialMT"/>
          <w:szCs w:val="22"/>
          <w:lang w:eastAsia="en-GB" w:bidi="ar-SA"/>
        </w:rPr>
        <w:t xml:space="preserve">supported alignment with the EU minimum </w:t>
      </w:r>
      <w:r w:rsidR="00EB6A98">
        <w:rPr>
          <w:rFonts w:ascii="ArialMT" w:hAnsi="ArialMT" w:cs="ArialMT"/>
          <w:szCs w:val="22"/>
          <w:lang w:eastAsia="en-GB" w:bidi="ar-SA"/>
        </w:rPr>
        <w:t>(</w:t>
      </w:r>
      <w:r>
        <w:rPr>
          <w:rFonts w:ascii="ArialMT" w:hAnsi="ArialMT" w:cs="ArialMT"/>
          <w:szCs w:val="22"/>
          <w:lang w:eastAsia="en-GB" w:bidi="ar-SA"/>
        </w:rPr>
        <w:t>6 mg/100 kJ</w:t>
      </w:r>
      <w:r w:rsidR="00EB6A98">
        <w:rPr>
          <w:rFonts w:ascii="ArialMT" w:hAnsi="ArialMT" w:cs="ArialMT"/>
          <w:szCs w:val="22"/>
          <w:lang w:eastAsia="en-GB" w:bidi="ar-SA"/>
        </w:rPr>
        <w:t>)</w:t>
      </w:r>
      <w:r>
        <w:rPr>
          <w:rFonts w:ascii="ArialMT" w:hAnsi="ArialMT" w:cs="ArialMT"/>
          <w:szCs w:val="22"/>
          <w:lang w:eastAsia="en-GB" w:bidi="ar-SA"/>
        </w:rPr>
        <w:t xml:space="preserve"> because it would meet the Australian and New Zealand AI for choline and is </w:t>
      </w:r>
      <w:r>
        <w:t>consistent with the average amount found in breast</w:t>
      </w:r>
      <w:r w:rsidR="00EB6A98">
        <w:t xml:space="preserve"> </w:t>
      </w:r>
      <w:r>
        <w:t>milk.</w:t>
      </w:r>
    </w:p>
    <w:p w14:paraId="2235CF18" w14:textId="77777777" w:rsidR="00776154" w:rsidRDefault="00776154" w:rsidP="00776154">
      <w:pPr>
        <w:rPr>
          <w:lang w:eastAsia="en-AU" w:bidi="ar-SA"/>
        </w:rPr>
      </w:pPr>
    </w:p>
    <w:p w14:paraId="055698E6" w14:textId="77777777" w:rsidR="00776154" w:rsidRPr="00917510" w:rsidRDefault="00776154" w:rsidP="00776154">
      <w:pPr>
        <w:rPr>
          <w:lang w:val="en-AU" w:bidi="ar-SA"/>
        </w:rPr>
      </w:pPr>
      <w:r>
        <w:rPr>
          <w:lang w:eastAsia="en-AU" w:bidi="ar-SA"/>
        </w:rPr>
        <w:t xml:space="preserve">Four industry submitters commented on the additional forms of choline and their technological justifications for use in infant formula. All submitters supported the inclusions of additional forms as they are safe, the bioavailability is comparable to other current permitted </w:t>
      </w:r>
      <w:r w:rsidRPr="00556B29">
        <w:rPr>
          <w:lang w:eastAsia="en-AU" w:bidi="ar-SA"/>
        </w:rPr>
        <w:t xml:space="preserve">forms and </w:t>
      </w:r>
      <w:r w:rsidRPr="00917510">
        <w:rPr>
          <w:lang w:val="en-AU" w:bidi="ar-SA"/>
        </w:rPr>
        <w:t>choline hydrogen tartrate is an alternative name for choline bitartrate.</w:t>
      </w:r>
    </w:p>
    <w:p w14:paraId="6634667A" w14:textId="53CAEB0C" w:rsidR="00776154" w:rsidRDefault="00EB6A98" w:rsidP="00776154">
      <w:pPr>
        <w:pStyle w:val="Heading4"/>
      </w:pPr>
      <w:r>
        <w:t>Nutrition r</w:t>
      </w:r>
      <w:r w:rsidR="00776154" w:rsidRPr="00BA1FD9">
        <w:t>isk assessment</w:t>
      </w:r>
    </w:p>
    <w:p w14:paraId="034C35A2" w14:textId="659B8CE8" w:rsidR="00776154" w:rsidRPr="00741136" w:rsidRDefault="00776154" w:rsidP="00776154">
      <w:pPr>
        <w:autoSpaceDE w:val="0"/>
        <w:autoSpaceDN w:val="0"/>
        <w:adjustRightInd w:val="0"/>
        <w:rPr>
          <w:rFonts w:eastAsia="Arial Unicode MS"/>
        </w:rPr>
      </w:pPr>
      <w:r w:rsidRPr="00741136">
        <w:rPr>
          <w:rFonts w:eastAsia="Arial Unicode MS"/>
        </w:rPr>
        <w:t xml:space="preserve">No further </w:t>
      </w:r>
      <w:r w:rsidR="00EB6A98">
        <w:rPr>
          <w:rFonts w:eastAsia="Arial Unicode MS"/>
        </w:rPr>
        <w:t xml:space="preserve">nutrition </w:t>
      </w:r>
      <w:r>
        <w:rPr>
          <w:rFonts w:eastAsia="Arial Unicode MS"/>
        </w:rPr>
        <w:t>risk assessment was considered on this issue.</w:t>
      </w:r>
    </w:p>
    <w:p w14:paraId="1DB23D21" w14:textId="77777777" w:rsidR="00776154" w:rsidRDefault="00776154" w:rsidP="00776154">
      <w:pPr>
        <w:pStyle w:val="Heading4"/>
      </w:pPr>
      <w:r w:rsidRPr="00BA1FD9">
        <w:t>Options and discussion</w:t>
      </w:r>
    </w:p>
    <w:p w14:paraId="59DFD416" w14:textId="0788B985" w:rsidR="00776154" w:rsidRDefault="00776154" w:rsidP="00776154">
      <w:pPr>
        <w:rPr>
          <w:lang w:bidi="ar-SA"/>
        </w:rPr>
      </w:pPr>
      <w:r>
        <w:rPr>
          <w:lang w:bidi="ar-SA"/>
        </w:rPr>
        <w:t xml:space="preserve">Since 2006, choline has been </w:t>
      </w:r>
      <w:r w:rsidRPr="00DB5D28">
        <w:rPr>
          <w:lang w:bidi="ar-SA"/>
        </w:rPr>
        <w:t xml:space="preserve">classed as an essential nutrient in </w:t>
      </w:r>
      <w:r>
        <w:rPr>
          <w:lang w:bidi="ar-SA"/>
        </w:rPr>
        <w:t>the NRVs</w:t>
      </w:r>
      <w:r w:rsidRPr="00DB5D28">
        <w:rPr>
          <w:lang w:bidi="ar-SA"/>
        </w:rPr>
        <w:t>.</w:t>
      </w:r>
      <w:r w:rsidR="004B393D">
        <w:rPr>
          <w:lang w:bidi="ar-SA"/>
        </w:rPr>
        <w:t xml:space="preserve"> Submissions to both </w:t>
      </w:r>
      <w:r>
        <w:rPr>
          <w:lang w:bidi="ar-SA"/>
        </w:rPr>
        <w:t>2012 and 2016 Consultation paper</w:t>
      </w:r>
      <w:r w:rsidR="004B393D">
        <w:rPr>
          <w:lang w:bidi="ar-SA"/>
        </w:rPr>
        <w:t>s</w:t>
      </w:r>
      <w:r>
        <w:rPr>
          <w:lang w:bidi="ar-SA"/>
        </w:rPr>
        <w:t xml:space="preserve"> noted this and supported mandating choline in </w:t>
      </w:r>
      <w:r w:rsidR="00852D7D">
        <w:t>Schedule 29</w:t>
      </w:r>
      <w:r>
        <w:rPr>
          <w:lang w:bidi="ar-SA"/>
        </w:rPr>
        <w:t xml:space="preserve">. Mandating choline would align </w:t>
      </w:r>
      <w:r w:rsidR="00852D7D">
        <w:t>Schedule 29</w:t>
      </w:r>
      <w:r w:rsidR="00852D7D" w:rsidRPr="00016E1A">
        <w:t xml:space="preserve"> </w:t>
      </w:r>
      <w:r>
        <w:rPr>
          <w:lang w:bidi="ar-SA"/>
        </w:rPr>
        <w:t xml:space="preserve">with </w:t>
      </w:r>
      <w:r>
        <w:rPr>
          <w:lang w:eastAsia="en-AU" w:bidi="ar-SA"/>
        </w:rPr>
        <w:t xml:space="preserve">Codex GL 10-1979 and </w:t>
      </w:r>
      <w:r w:rsidR="00EB6A98">
        <w:rPr>
          <w:lang w:eastAsia="en-AU" w:bidi="ar-SA"/>
        </w:rPr>
        <w:t>EU</w:t>
      </w:r>
      <w:r w:rsidR="00EB6A98" w:rsidRPr="00C90454">
        <w:rPr>
          <w:lang w:eastAsia="en-AU" w:bidi="ar-SA"/>
        </w:rPr>
        <w:t xml:space="preserve"> </w:t>
      </w:r>
      <w:r w:rsidRPr="00C90454">
        <w:rPr>
          <w:lang w:eastAsia="en-AU" w:bidi="ar-SA"/>
        </w:rPr>
        <w:t>2016</w:t>
      </w:r>
      <w:r w:rsidR="00EB6A98">
        <w:rPr>
          <w:lang w:eastAsia="en-AU" w:bidi="ar-SA"/>
        </w:rPr>
        <w:t>/127</w:t>
      </w:r>
      <w:r>
        <w:rPr>
          <w:lang w:eastAsia="en-AU" w:bidi="ar-SA"/>
        </w:rPr>
        <w:t>.</w:t>
      </w:r>
    </w:p>
    <w:p w14:paraId="3A2CE11F" w14:textId="77777777" w:rsidR="005916EE" w:rsidRDefault="005916EE" w:rsidP="00776154">
      <w:pPr>
        <w:rPr>
          <w:lang w:bidi="ar-SA"/>
        </w:rPr>
      </w:pPr>
    </w:p>
    <w:p w14:paraId="4A1659FB" w14:textId="17A1FD62" w:rsidR="00CF0925" w:rsidRDefault="00EB6A98" w:rsidP="00776154">
      <w:pPr>
        <w:rPr>
          <w:lang w:bidi="ar-SA"/>
        </w:rPr>
      </w:pPr>
      <w:r>
        <w:rPr>
          <w:lang w:bidi="ar-SA"/>
        </w:rPr>
        <w:t>Twelve</w:t>
      </w:r>
      <w:r w:rsidR="00776154" w:rsidRPr="00D23B6E">
        <w:rPr>
          <w:lang w:bidi="ar-SA"/>
        </w:rPr>
        <w:t xml:space="preserve"> submitters supported FSANZ preliminary view. However, one submitter considered the EU minimum of 6 mg/100 kJ to be appropriate. This </w:t>
      </w:r>
      <w:r w:rsidR="00776154">
        <w:rPr>
          <w:lang w:bidi="ar-SA"/>
        </w:rPr>
        <w:t xml:space="preserve">EU amount is based on the recommendation of EFSA 2014 which was </w:t>
      </w:r>
      <w:r w:rsidR="00776154" w:rsidRPr="00D23B6E">
        <w:rPr>
          <w:lang w:bidi="ar-SA"/>
        </w:rPr>
        <w:t xml:space="preserve">based on </w:t>
      </w:r>
      <w:r w:rsidR="00776154">
        <w:rPr>
          <w:lang w:bidi="ar-SA"/>
        </w:rPr>
        <w:t>the choline c</w:t>
      </w:r>
      <w:r w:rsidR="00776154" w:rsidRPr="00D23B6E">
        <w:rPr>
          <w:lang w:bidi="ar-SA"/>
        </w:rPr>
        <w:t xml:space="preserve">oncentration </w:t>
      </w:r>
      <w:r w:rsidR="00776154">
        <w:rPr>
          <w:lang w:bidi="ar-SA"/>
        </w:rPr>
        <w:t xml:space="preserve">in human milk </w:t>
      </w:r>
      <w:r w:rsidR="00776154" w:rsidRPr="00D23B6E">
        <w:rPr>
          <w:lang w:bidi="ar-SA"/>
        </w:rPr>
        <w:t>of 160 mg/L (Holmes</w:t>
      </w:r>
      <w:r w:rsidR="002074F2">
        <w:rPr>
          <w:lang w:bidi="ar-SA"/>
        </w:rPr>
        <w:t>-</w:t>
      </w:r>
      <w:r w:rsidR="00776154" w:rsidRPr="00D23B6E">
        <w:rPr>
          <w:lang w:bidi="ar-SA"/>
        </w:rPr>
        <w:t>McNary</w:t>
      </w:r>
      <w:r w:rsidR="002074F2">
        <w:rPr>
          <w:lang w:bidi="ar-SA"/>
        </w:rPr>
        <w:t xml:space="preserve"> et al.</w:t>
      </w:r>
      <w:r w:rsidR="00776154" w:rsidRPr="00D23B6E">
        <w:rPr>
          <w:lang w:bidi="ar-SA"/>
        </w:rPr>
        <w:t xml:space="preserve"> 1996)</w:t>
      </w:r>
      <w:r w:rsidR="00776154">
        <w:rPr>
          <w:lang w:bidi="ar-SA"/>
        </w:rPr>
        <w:t xml:space="preserve">. This concentration includes all sources of choline; i.e. </w:t>
      </w:r>
      <w:r w:rsidR="00776154" w:rsidRPr="00EE626C">
        <w:rPr>
          <w:lang w:val="en" w:bidi="ar-SA"/>
        </w:rPr>
        <w:t>choline, phosphocholine, glycerophosphocholine, phosphatidylcholine and sphingomyelin</w:t>
      </w:r>
      <w:r w:rsidR="00776154">
        <w:rPr>
          <w:lang w:val="en" w:bidi="ar-SA"/>
        </w:rPr>
        <w:t xml:space="preserve">. The lower Codex STAN 72-1981 and </w:t>
      </w:r>
      <w:r w:rsidR="00852D7D">
        <w:t>Schedule 29</w:t>
      </w:r>
      <w:r w:rsidR="00852D7D" w:rsidRPr="00016E1A">
        <w:t xml:space="preserve"> </w:t>
      </w:r>
      <w:r w:rsidR="00776154">
        <w:rPr>
          <w:lang w:val="en" w:bidi="ar-SA"/>
        </w:rPr>
        <w:t>amount</w:t>
      </w:r>
      <w:r w:rsidR="00776154" w:rsidRPr="00EE626C">
        <w:rPr>
          <w:lang w:val="en" w:bidi="ar-SA"/>
        </w:rPr>
        <w:t xml:space="preserve"> </w:t>
      </w:r>
      <w:r w:rsidR="00776154" w:rsidRPr="00D23B6E">
        <w:rPr>
          <w:lang w:bidi="ar-SA"/>
        </w:rPr>
        <w:t>is based on human milk concentration of about 20 mg/L (</w:t>
      </w:r>
      <w:r w:rsidR="00776154" w:rsidRPr="00A15002">
        <w:rPr>
          <w:lang w:bidi="ar-SA"/>
        </w:rPr>
        <w:t xml:space="preserve">Zeisel </w:t>
      </w:r>
      <w:r w:rsidR="00A15002" w:rsidRPr="00A15002">
        <w:rPr>
          <w:lang w:bidi="ar-SA"/>
        </w:rPr>
        <w:t xml:space="preserve">and </w:t>
      </w:r>
      <w:r w:rsidR="00A15002" w:rsidRPr="00A15002">
        <w:rPr>
          <w:rFonts w:cs="Arial"/>
          <w:szCs w:val="22"/>
        </w:rPr>
        <w:t>Blusztajn</w:t>
      </w:r>
      <w:r w:rsidR="00A15002" w:rsidRPr="00A15002">
        <w:rPr>
          <w:lang w:bidi="ar-SA"/>
        </w:rPr>
        <w:t xml:space="preserve"> </w:t>
      </w:r>
      <w:r w:rsidR="00776154" w:rsidRPr="00A15002">
        <w:rPr>
          <w:lang w:bidi="ar-SA"/>
        </w:rPr>
        <w:t>1994</w:t>
      </w:r>
      <w:r w:rsidR="00776154" w:rsidRPr="00D23B6E">
        <w:rPr>
          <w:lang w:bidi="ar-SA"/>
        </w:rPr>
        <w:t>, LSRO 1998) which does not include all available sources of choline</w:t>
      </w:r>
      <w:r w:rsidR="00776154">
        <w:rPr>
          <w:lang w:bidi="ar-SA"/>
        </w:rPr>
        <w:t>. None of the additional choline sources found in breast milk are permitted forms for choline under either standard</w:t>
      </w:r>
      <w:r w:rsidR="004E60D2">
        <w:rPr>
          <w:lang w:bidi="ar-SA"/>
        </w:rPr>
        <w:t xml:space="preserve">. Assessment of new permitted forms of nutritive substances </w:t>
      </w:r>
      <w:r w:rsidR="00776154">
        <w:rPr>
          <w:lang w:bidi="ar-SA"/>
        </w:rPr>
        <w:t xml:space="preserve">(e.g. phosphatidylcholine and sphingomyelin) </w:t>
      </w:r>
      <w:r w:rsidR="004E60D2">
        <w:rPr>
          <w:lang w:bidi="ar-SA"/>
        </w:rPr>
        <w:t xml:space="preserve">is out of scope for Proposal P1028. </w:t>
      </w:r>
    </w:p>
    <w:p w14:paraId="514320EF" w14:textId="77777777" w:rsidR="00CF0925" w:rsidRDefault="00CF0925" w:rsidP="00776154">
      <w:pPr>
        <w:rPr>
          <w:lang w:bidi="ar-SA"/>
        </w:rPr>
      </w:pPr>
    </w:p>
    <w:p w14:paraId="51D80167" w14:textId="01BE1742" w:rsidR="00776154" w:rsidRDefault="00776154" w:rsidP="00776154">
      <w:pPr>
        <w:rPr>
          <w:lang w:bidi="ar-SA"/>
        </w:rPr>
      </w:pPr>
      <w:r>
        <w:rPr>
          <w:lang w:bidi="ar-SA"/>
        </w:rPr>
        <w:lastRenderedPageBreak/>
        <w:t>Since the current minimum is a better reflection of breast milk concentration of choline itself, and not additional potentially bioactive forms, FSANZ prop</w:t>
      </w:r>
      <w:r w:rsidR="005E5981">
        <w:rPr>
          <w:lang w:bidi="ar-SA"/>
        </w:rPr>
        <w:t>oses that using the range of 1.7</w:t>
      </w:r>
      <w:r w:rsidR="00EB6A98">
        <w:rPr>
          <w:lang w:bidi="ar-SA"/>
        </w:rPr>
        <w:t>–</w:t>
      </w:r>
      <w:r w:rsidR="008D5F4E">
        <w:rPr>
          <w:lang w:bidi="ar-SA"/>
        </w:rPr>
        <w:t>‍</w:t>
      </w:r>
      <w:r>
        <w:rPr>
          <w:lang w:bidi="ar-SA"/>
        </w:rPr>
        <w:t>12</w:t>
      </w:r>
      <w:r w:rsidR="00EB6A98">
        <w:rPr>
          <w:lang w:bidi="ar-SA"/>
        </w:rPr>
        <w:t>.0</w:t>
      </w:r>
      <w:r>
        <w:rPr>
          <w:lang w:bidi="ar-SA"/>
        </w:rPr>
        <w:t xml:space="preserve"> mg/100 kJ for this nutrient is appropriate. This approach </w:t>
      </w:r>
      <w:r w:rsidR="008A5CD3">
        <w:rPr>
          <w:lang w:bidi="ar-SA"/>
        </w:rPr>
        <w:t xml:space="preserve">is supported by </w:t>
      </w:r>
      <w:r w:rsidR="008D5F4E">
        <w:rPr>
          <w:lang w:bidi="ar-SA"/>
        </w:rPr>
        <w:t>the</w:t>
      </w:r>
      <w:r w:rsidR="008A5CD3">
        <w:rPr>
          <w:lang w:bidi="ar-SA"/>
        </w:rPr>
        <w:t xml:space="preserve"> FSANZ 2016 n</w:t>
      </w:r>
      <w:r w:rsidR="005916EE">
        <w:rPr>
          <w:lang w:bidi="ar-SA"/>
        </w:rPr>
        <w:t xml:space="preserve">utrition </w:t>
      </w:r>
      <w:r w:rsidR="00EB6A98">
        <w:rPr>
          <w:lang w:bidi="ar-SA"/>
        </w:rPr>
        <w:t xml:space="preserve">risk </w:t>
      </w:r>
      <w:r w:rsidR="005916EE">
        <w:rPr>
          <w:lang w:bidi="ar-SA"/>
        </w:rPr>
        <w:t>a</w:t>
      </w:r>
      <w:r>
        <w:rPr>
          <w:lang w:bidi="ar-SA"/>
        </w:rPr>
        <w:t xml:space="preserve">ssessment which noted that </w:t>
      </w:r>
      <w:r w:rsidRPr="009E1A61">
        <w:rPr>
          <w:lang w:bidi="ar-SA"/>
        </w:rPr>
        <w:t>mandatory inclusion of c</w:t>
      </w:r>
      <w:r>
        <w:rPr>
          <w:lang w:bidi="ar-SA"/>
        </w:rPr>
        <w:t>holine in the range in</w:t>
      </w:r>
      <w:r w:rsidRPr="009E1A61">
        <w:rPr>
          <w:lang w:bidi="ar-SA"/>
        </w:rPr>
        <w:t xml:space="preserve"> Codex </w:t>
      </w:r>
      <w:r>
        <w:rPr>
          <w:lang w:bidi="ar-SA"/>
        </w:rPr>
        <w:t>STAN 72-1981</w:t>
      </w:r>
      <w:r w:rsidRPr="009E1A61">
        <w:rPr>
          <w:lang w:bidi="ar-SA"/>
        </w:rPr>
        <w:t xml:space="preserve"> is unlikely to pose a risk to infant health</w:t>
      </w:r>
      <w:r>
        <w:rPr>
          <w:lang w:bidi="ar-SA"/>
        </w:rPr>
        <w:t>. FSANZ also notes that 11 out of 12 submitters suggested the upper limit should be set as a GUL</w:t>
      </w:r>
      <w:r w:rsidR="00EB6A98">
        <w:rPr>
          <w:lang w:bidi="ar-SA"/>
        </w:rPr>
        <w:t xml:space="preserve"> rather than</w:t>
      </w:r>
      <w:r>
        <w:rPr>
          <w:lang w:bidi="ar-SA"/>
        </w:rPr>
        <w:t xml:space="preserve"> a mandatory maximum, to allow further alignment with </w:t>
      </w:r>
      <w:r w:rsidRPr="009E1A61">
        <w:rPr>
          <w:lang w:bidi="ar-SA"/>
        </w:rPr>
        <w:t xml:space="preserve">Codex </w:t>
      </w:r>
      <w:r>
        <w:rPr>
          <w:lang w:bidi="ar-SA"/>
        </w:rPr>
        <w:t xml:space="preserve">STAN 72-1981. The consideration proposed by FSANZ in 2016 to use a maximum rather than GUL was based on </w:t>
      </w:r>
      <w:r w:rsidR="00A15002">
        <w:rPr>
          <w:lang w:bidi="ar-SA"/>
        </w:rPr>
        <w:t xml:space="preserve">a review published in </w:t>
      </w:r>
      <w:r>
        <w:rPr>
          <w:lang w:bidi="ar-SA"/>
        </w:rPr>
        <w:t>2014</w:t>
      </w:r>
      <w:r w:rsidR="00A15002">
        <w:rPr>
          <w:lang w:bidi="ar-SA"/>
        </w:rPr>
        <w:t xml:space="preserve"> (Tang and Hazen 2014) although the r</w:t>
      </w:r>
      <w:r>
        <w:rPr>
          <w:lang w:bidi="ar-SA"/>
        </w:rPr>
        <w:t xml:space="preserve">elevance of this evidence for infants and children </w:t>
      </w:r>
      <w:r w:rsidR="00A15002">
        <w:rPr>
          <w:lang w:bidi="ar-SA"/>
        </w:rPr>
        <w:t>remains un</w:t>
      </w:r>
      <w:r>
        <w:rPr>
          <w:lang w:bidi="ar-SA"/>
        </w:rPr>
        <w:t xml:space="preserve">determined. Due to absence of an UL, the use of an GUL is more appropriate and maintains consistency between </w:t>
      </w:r>
      <w:r w:rsidR="00852D7D">
        <w:t>Schedule 29</w:t>
      </w:r>
      <w:r w:rsidR="00852D7D" w:rsidRPr="00016E1A">
        <w:t xml:space="preserve"> </w:t>
      </w:r>
      <w:r>
        <w:rPr>
          <w:lang w:bidi="ar-SA"/>
        </w:rPr>
        <w:t xml:space="preserve">and </w:t>
      </w:r>
      <w:r w:rsidRPr="009E1A61">
        <w:rPr>
          <w:lang w:bidi="ar-SA"/>
        </w:rPr>
        <w:t xml:space="preserve">Codex </w:t>
      </w:r>
      <w:r>
        <w:rPr>
          <w:lang w:bidi="ar-SA"/>
        </w:rPr>
        <w:t>STAN 72-1981.</w:t>
      </w:r>
    </w:p>
    <w:p w14:paraId="66BAB7A3" w14:textId="77777777" w:rsidR="00776154" w:rsidRDefault="00776154" w:rsidP="00776154">
      <w:pPr>
        <w:rPr>
          <w:lang w:bidi="ar-SA"/>
        </w:rPr>
      </w:pPr>
    </w:p>
    <w:p w14:paraId="2423E5A6" w14:textId="3281D919" w:rsidR="00776154" w:rsidRPr="00702BC5" w:rsidRDefault="00776154" w:rsidP="00776154">
      <w:pPr>
        <w:rPr>
          <w:lang w:val="en-AU" w:bidi="ar-SA"/>
        </w:rPr>
      </w:pPr>
      <w:r w:rsidRPr="00DB5D28">
        <w:rPr>
          <w:lang w:bidi="ar-SA"/>
        </w:rPr>
        <w:t xml:space="preserve">Choline in milk </w:t>
      </w:r>
      <w:r>
        <w:rPr>
          <w:lang w:bidi="ar-SA"/>
        </w:rPr>
        <w:t xml:space="preserve">is present in </w:t>
      </w:r>
      <w:r w:rsidRPr="00DB5D28">
        <w:rPr>
          <w:lang w:bidi="ar-SA"/>
        </w:rPr>
        <w:t xml:space="preserve">several forms: free choline, phosphocholine, </w:t>
      </w:r>
      <w:r w:rsidR="00D14D6B">
        <w:rPr>
          <w:lang w:bidi="ar-SA"/>
        </w:rPr>
        <w:t>glycerol-</w:t>
      </w:r>
      <w:r w:rsidRPr="00DB5D28">
        <w:rPr>
          <w:lang w:bidi="ar-SA"/>
        </w:rPr>
        <w:t>phosphocholine, phosphatidylcholine, and sphingomyelin</w:t>
      </w:r>
      <w:r>
        <w:rPr>
          <w:lang w:bidi="ar-SA"/>
        </w:rPr>
        <w:t>. T</w:t>
      </w:r>
      <w:r w:rsidRPr="00DB5D28">
        <w:rPr>
          <w:lang w:bidi="ar-SA"/>
        </w:rPr>
        <w:t xml:space="preserve">he </w:t>
      </w:r>
      <w:r>
        <w:rPr>
          <w:lang w:bidi="ar-SA"/>
        </w:rPr>
        <w:t>amounts</w:t>
      </w:r>
      <w:r w:rsidRPr="00DB5D28">
        <w:rPr>
          <w:lang w:bidi="ar-SA"/>
        </w:rPr>
        <w:t xml:space="preserve"> of these forms var</w:t>
      </w:r>
      <w:r>
        <w:rPr>
          <w:lang w:bidi="ar-SA"/>
        </w:rPr>
        <w:t xml:space="preserve">y </w:t>
      </w:r>
      <w:r w:rsidRPr="00DB5D28">
        <w:rPr>
          <w:lang w:bidi="ar-SA"/>
        </w:rPr>
        <w:t xml:space="preserve">considerably </w:t>
      </w:r>
      <w:r w:rsidRPr="00DB5D28">
        <w:rPr>
          <w:lang w:bidi="ar-SA"/>
        </w:rPr>
        <w:fldChar w:fldCharType="begin">
          <w:fldData xml:space="preserve">PFJlZm1hbj48Q2l0ZT48QXV0aG9yPkhvbG1lcy1NY05hcnk8L0F1dGhvcj48WWVhcj4xOTk2PC9Z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</w:fldData>
        </w:fldChar>
      </w:r>
      <w:r>
        <w:rPr>
          <w:lang w:bidi="ar-SA"/>
        </w:rPr>
        <w:instrText xml:space="preserve"> ADDIN REFMGR.CITE </w:instrText>
      </w:r>
      <w:r>
        <w:rPr>
          <w:lang w:bidi="ar-SA"/>
        </w:rPr>
        <w:fldChar w:fldCharType="begin">
          <w:fldData xml:space="preserve">PFJlZm1hbj48Q2l0ZT48QXV0aG9yPkhvbG1lcy1NY05hcnk8L0F1dGhvcj48WWVhcj4xOTk2PC9Z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</w:fldData>
        </w:fldChar>
      </w:r>
      <w:r>
        <w:rPr>
          <w:lang w:bidi="ar-SA"/>
        </w:rPr>
        <w:instrText xml:space="preserve"> ADDIN EN.CITE.DATA </w:instrText>
      </w:r>
      <w:r>
        <w:rPr>
          <w:lang w:bidi="ar-SA"/>
        </w:rPr>
      </w:r>
      <w:r>
        <w:rPr>
          <w:lang w:bidi="ar-SA"/>
        </w:rPr>
        <w:fldChar w:fldCharType="end"/>
      </w:r>
      <w:r w:rsidRPr="00DB5D28">
        <w:rPr>
          <w:lang w:bidi="ar-SA"/>
        </w:rPr>
      </w:r>
      <w:r w:rsidRPr="00DB5D28">
        <w:rPr>
          <w:lang w:bidi="ar-SA"/>
        </w:rPr>
        <w:fldChar w:fldCharType="separate"/>
      </w:r>
      <w:r w:rsidRPr="00DB5D28">
        <w:rPr>
          <w:noProof/>
          <w:lang w:bidi="ar-SA"/>
        </w:rPr>
        <w:t>(Holmes-McNary et al. 1996)</w:t>
      </w:r>
      <w:r w:rsidRPr="00DB5D28">
        <w:rPr>
          <w:lang w:bidi="ar-SA"/>
        </w:rPr>
        <w:fldChar w:fldCharType="end"/>
      </w:r>
      <w:r w:rsidRPr="00DB5D28">
        <w:rPr>
          <w:lang w:bidi="ar-SA"/>
        </w:rPr>
        <w:t>.</w:t>
      </w:r>
      <w:r>
        <w:rPr>
          <w:lang w:bidi="ar-SA"/>
        </w:rPr>
        <w:t xml:space="preserve"> </w:t>
      </w:r>
      <w:r>
        <w:rPr>
          <w:lang w:eastAsia="en-AU" w:bidi="ar-SA"/>
        </w:rPr>
        <w:t xml:space="preserve">FSANZ notes that numerous stakeholders across the 2012 and 2016 consultation supported the permission of additional forms of choline into </w:t>
      </w:r>
      <w:r w:rsidR="00852D7D">
        <w:t>Schedule 29</w:t>
      </w:r>
      <w:r w:rsidR="00852D7D" w:rsidRPr="00016E1A">
        <w:t xml:space="preserve"> </w:t>
      </w:r>
      <w:r>
        <w:rPr>
          <w:lang w:eastAsia="en-AU" w:bidi="ar-SA"/>
        </w:rPr>
        <w:t xml:space="preserve">including choline, choline citrate and </w:t>
      </w:r>
      <w:r w:rsidRPr="003572F8">
        <w:rPr>
          <w:lang w:eastAsia="en-AU" w:bidi="ar-SA"/>
        </w:rPr>
        <w:t>choline hydrogen tartrate</w:t>
      </w:r>
      <w:r>
        <w:rPr>
          <w:lang w:eastAsia="en-AU" w:bidi="ar-SA"/>
        </w:rPr>
        <w:t xml:space="preserve">. Addition of the above forms would allow alignment with both Codex GL 10-1979 and </w:t>
      </w:r>
      <w:r w:rsidR="00EB6A98">
        <w:rPr>
          <w:lang w:eastAsia="en-AU" w:bidi="ar-SA"/>
        </w:rPr>
        <w:t xml:space="preserve">EU </w:t>
      </w:r>
      <w:r>
        <w:rPr>
          <w:lang w:eastAsia="en-AU" w:bidi="ar-SA"/>
        </w:rPr>
        <w:t>2016</w:t>
      </w:r>
      <w:r w:rsidR="00EB6A98">
        <w:rPr>
          <w:lang w:eastAsia="en-AU" w:bidi="ar-SA"/>
        </w:rPr>
        <w:t>/127</w:t>
      </w:r>
      <w:r>
        <w:rPr>
          <w:lang w:eastAsia="en-AU" w:bidi="ar-SA"/>
        </w:rPr>
        <w:t>. Choline hydrogen tartrate is also an alternative name for choline bitar</w:t>
      </w:r>
      <w:r w:rsidR="00EB6A98">
        <w:rPr>
          <w:lang w:eastAsia="en-AU" w:bidi="ar-SA"/>
        </w:rPr>
        <w:t>t</w:t>
      </w:r>
      <w:r>
        <w:rPr>
          <w:lang w:eastAsia="en-AU" w:bidi="ar-SA"/>
        </w:rPr>
        <w:t xml:space="preserve">rate which is already permitted within </w:t>
      </w:r>
      <w:r w:rsidR="00852D7D">
        <w:t>Schedule 29</w:t>
      </w:r>
      <w:r>
        <w:rPr>
          <w:lang w:eastAsia="en-AU" w:bidi="ar-SA"/>
        </w:rPr>
        <w:t xml:space="preserve">. </w:t>
      </w:r>
      <w:r w:rsidRPr="004D6346">
        <w:rPr>
          <w:lang w:val="en-AU" w:bidi="ar-SA"/>
        </w:rPr>
        <w:t xml:space="preserve">Choline hydrogen tartrate and choline citrate have </w:t>
      </w:r>
      <w:r w:rsidR="00852D7D">
        <w:rPr>
          <w:lang w:val="en-AU" w:bidi="ar-SA"/>
        </w:rPr>
        <w:t xml:space="preserve">a history of use </w:t>
      </w:r>
      <w:r w:rsidRPr="004D6346">
        <w:rPr>
          <w:lang w:val="en-AU" w:bidi="ar-SA"/>
        </w:rPr>
        <w:t xml:space="preserve">in EU infant formula and have not posed risk to infant health. Submitters have noted technological justification in permitting these forms such as similar bioavailability to currently permitted forms and alignment with international standards and uses. The </w:t>
      </w:r>
      <w:r w:rsidR="00EB6A98">
        <w:rPr>
          <w:lang w:val="en-AU" w:bidi="ar-SA"/>
        </w:rPr>
        <w:t>safety</w:t>
      </w:r>
      <w:r w:rsidR="00EB6A98" w:rsidRPr="004D6346">
        <w:rPr>
          <w:lang w:val="en-AU" w:bidi="ar-SA"/>
        </w:rPr>
        <w:t xml:space="preserve"> </w:t>
      </w:r>
      <w:r w:rsidRPr="004D6346">
        <w:rPr>
          <w:lang w:val="en-AU" w:bidi="ar-SA"/>
        </w:rPr>
        <w:t xml:space="preserve">of these forms is also </w:t>
      </w:r>
      <w:r w:rsidR="00EB6A98">
        <w:rPr>
          <w:lang w:val="en-AU" w:bidi="ar-SA"/>
        </w:rPr>
        <w:t>supported by</w:t>
      </w:r>
      <w:r w:rsidRPr="004D6346">
        <w:rPr>
          <w:lang w:val="en-AU" w:bidi="ar-SA"/>
        </w:rPr>
        <w:t xml:space="preserve"> their permissions in Codex and the EU regulations. While some of these forms of choline may be used rarely, in the future they may contribute to the provision of an essential nutrient. </w:t>
      </w:r>
    </w:p>
    <w:p w14:paraId="102DC755" w14:textId="77777777" w:rsidR="00776154" w:rsidRDefault="00776154" w:rsidP="00776154">
      <w:pPr>
        <w:pStyle w:val="Heading4"/>
      </w:pPr>
      <w:r w:rsidRPr="00BA1FD9">
        <w:t>Prop</w:t>
      </w:r>
      <w:r>
        <w:t>o</w:t>
      </w:r>
      <w:r w:rsidRPr="00BA1FD9">
        <w:t xml:space="preserve">sed </w:t>
      </w:r>
      <w:r>
        <w:t>approach</w:t>
      </w:r>
    </w:p>
    <w:p w14:paraId="4744B9EE" w14:textId="134A62C6" w:rsidR="00776154" w:rsidRDefault="00776154" w:rsidP="00776154">
      <w:pPr>
        <w:rPr>
          <w:lang w:val="en-AU" w:bidi="ar-SA"/>
        </w:rPr>
      </w:pPr>
      <w:r>
        <w:rPr>
          <w:lang w:val="en-AU" w:bidi="ar-SA"/>
        </w:rPr>
        <w:t>Based on the above considerations</w:t>
      </w:r>
      <w:r w:rsidR="00CF0925">
        <w:rPr>
          <w:lang w:val="en-AU" w:bidi="ar-SA"/>
        </w:rPr>
        <w:t>,</w:t>
      </w:r>
      <w:r>
        <w:rPr>
          <w:lang w:val="en-AU" w:bidi="ar-SA"/>
        </w:rPr>
        <w:t xml:space="preserve"> FSANZ proposes that choline be </w:t>
      </w:r>
      <w:r w:rsidR="000809CB">
        <w:rPr>
          <w:lang w:val="en-AU" w:bidi="ar-SA"/>
        </w:rPr>
        <w:t xml:space="preserve">listed </w:t>
      </w:r>
      <w:r>
        <w:rPr>
          <w:lang w:eastAsia="en-AU" w:bidi="ar-SA"/>
        </w:rPr>
        <w:t>as a mandatory substance in infant formula with a range of 1.7–12</w:t>
      </w:r>
      <w:r w:rsidR="00EB6A98">
        <w:rPr>
          <w:lang w:eastAsia="en-AU" w:bidi="ar-SA"/>
        </w:rPr>
        <w:t>.0</w:t>
      </w:r>
      <w:r>
        <w:rPr>
          <w:lang w:eastAsia="en-AU" w:bidi="ar-SA"/>
        </w:rPr>
        <w:t xml:space="preserve"> mg/100 kJ, to align with the </w:t>
      </w:r>
      <w:r w:rsidRPr="00C90454">
        <w:rPr>
          <w:lang w:eastAsia="en-AU" w:bidi="ar-SA"/>
        </w:rPr>
        <w:t>Codex STAN 72-1981</w:t>
      </w:r>
      <w:r>
        <w:rPr>
          <w:lang w:eastAsia="en-AU" w:bidi="ar-SA"/>
        </w:rPr>
        <w:t>. The proposed approach also notes that the maximum should be presented as a GUL.</w:t>
      </w:r>
    </w:p>
    <w:p w14:paraId="329DC630" w14:textId="77777777" w:rsidR="00776154" w:rsidRDefault="00776154" w:rsidP="00776154">
      <w:pPr>
        <w:rPr>
          <w:lang w:val="en-AU" w:bidi="ar-SA"/>
        </w:rPr>
      </w:pPr>
    </w:p>
    <w:p w14:paraId="69C8FA66" w14:textId="670C7D2F" w:rsidR="00776154" w:rsidRDefault="00776154" w:rsidP="00776154">
      <w:pPr>
        <w:rPr>
          <w:lang w:val="en-AU" w:bidi="ar-SA"/>
        </w:rPr>
      </w:pPr>
      <w:r>
        <w:rPr>
          <w:lang w:val="en-AU" w:bidi="ar-SA"/>
        </w:rPr>
        <w:t xml:space="preserve">It is proposed that choline should be permitted as the following forms in </w:t>
      </w:r>
      <w:r w:rsidR="00852D7D">
        <w:t>Schedule 29</w:t>
      </w:r>
      <w:r>
        <w:rPr>
          <w:lang w:eastAsia="en-AU" w:bidi="ar-SA"/>
        </w:rPr>
        <w:t>: choline chloride, choline bitartrate, choline, choline citrate and choline hydrogen tartrate.</w:t>
      </w:r>
    </w:p>
    <w:p w14:paraId="5E3B0886" w14:textId="77777777" w:rsidR="00776154" w:rsidRPr="00183A95" w:rsidRDefault="00776154" w:rsidP="00776154">
      <w:pPr>
        <w:rPr>
          <w:lang w:val="en-AU" w:bidi="ar-SA"/>
        </w:rPr>
      </w:pPr>
    </w:p>
    <w:p w14:paraId="19C2E4FC" w14:textId="50923127" w:rsidR="00776154" w:rsidRPr="00183A95" w:rsidRDefault="001C24DD" w:rsidP="00776154">
      <w:pPr>
        <w:pStyle w:val="Heading2"/>
      </w:pPr>
      <w:bookmarkStart w:id="448" w:name="_Toc70415493"/>
      <w:bookmarkStart w:id="449" w:name="_Toc73455658"/>
      <w:bookmarkStart w:id="450" w:name="_Toc73624931"/>
      <w:bookmarkStart w:id="451" w:name="_Toc76138299"/>
      <w:r>
        <w:t>8</w:t>
      </w:r>
      <w:r w:rsidR="00776154">
        <w:t>.2</w:t>
      </w:r>
      <w:r w:rsidR="00776154">
        <w:tab/>
        <w:t>L-carnitine</w:t>
      </w:r>
      <w:bookmarkEnd w:id="448"/>
      <w:bookmarkEnd w:id="449"/>
      <w:bookmarkEnd w:id="450"/>
      <w:bookmarkEnd w:id="451"/>
    </w:p>
    <w:p w14:paraId="64D74507" w14:textId="77777777" w:rsidR="00776154" w:rsidRDefault="00776154" w:rsidP="00776154">
      <w:pPr>
        <w:pStyle w:val="Heading4"/>
      </w:pPr>
      <w:r w:rsidRPr="00BA1FD9">
        <w:t>Current regulations</w:t>
      </w:r>
    </w:p>
    <w:p w14:paraId="31800133" w14:textId="71164BC3" w:rsidR="00776154" w:rsidRDefault="00852D7D" w:rsidP="00776154">
      <w:pPr>
        <w:rPr>
          <w:lang w:eastAsia="en-AU" w:bidi="ar-SA"/>
        </w:rPr>
      </w:pPr>
      <w:r>
        <w:t>Schedule 29</w:t>
      </w:r>
      <w:r w:rsidRPr="00016E1A">
        <w:t xml:space="preserve"> </w:t>
      </w:r>
      <w:r w:rsidR="00776154">
        <w:rPr>
          <w:lang w:eastAsia="en-AU" w:bidi="ar-SA"/>
        </w:rPr>
        <w:t xml:space="preserve">permits the addition of L-carnitine as an </w:t>
      </w:r>
      <w:r w:rsidR="00776154" w:rsidRPr="00917510">
        <w:rPr>
          <w:lang w:eastAsia="en-AU" w:bidi="ar-SA"/>
        </w:rPr>
        <w:t>optional substance</w:t>
      </w:r>
      <w:r w:rsidR="00776154">
        <w:rPr>
          <w:lang w:eastAsia="en-AU" w:bidi="ar-SA"/>
        </w:rPr>
        <w:t xml:space="preserve"> at 0.21–0.8 mg/100 kJ. However, </w:t>
      </w:r>
      <w:r w:rsidR="00776154" w:rsidRPr="00C90454">
        <w:rPr>
          <w:lang w:eastAsia="en-AU" w:bidi="ar-SA"/>
        </w:rPr>
        <w:t>Codex STAN 72-1981</w:t>
      </w:r>
      <w:r w:rsidR="00776154">
        <w:rPr>
          <w:lang w:eastAsia="en-AU" w:bidi="ar-SA"/>
        </w:rPr>
        <w:t xml:space="preserve"> has set a </w:t>
      </w:r>
      <w:r w:rsidR="00776154">
        <w:rPr>
          <w:lang w:bidi="ar-SA"/>
        </w:rPr>
        <w:t>mandatory higher minimum amount of 0.3 mg/100 kJ, but has set no maximum amount. The</w:t>
      </w:r>
      <w:r w:rsidR="00776154">
        <w:rPr>
          <w:lang w:eastAsia="en-AU" w:bidi="ar-SA"/>
        </w:rPr>
        <w:t xml:space="preserve"> </w:t>
      </w:r>
      <w:r w:rsidR="008D5F4E">
        <w:rPr>
          <w:lang w:eastAsia="en-AU" w:bidi="ar-SA"/>
        </w:rPr>
        <w:t>EU 2016/127</w:t>
      </w:r>
      <w:r w:rsidR="00776154">
        <w:rPr>
          <w:lang w:eastAsia="en-AU" w:bidi="ar-SA"/>
        </w:rPr>
        <w:t xml:space="preserve"> also states that L-carnitine content shall be at least equal to 0.3 mg/100 kJ.</w:t>
      </w:r>
    </w:p>
    <w:p w14:paraId="0BF9BC95" w14:textId="77777777" w:rsidR="00852D7D" w:rsidRDefault="00852D7D" w:rsidP="00776154">
      <w:pPr>
        <w:rPr>
          <w:lang w:bidi="ar-SA"/>
        </w:rPr>
      </w:pPr>
    </w:p>
    <w:p w14:paraId="16BACB56" w14:textId="2DC5FE8D" w:rsidR="00776154" w:rsidRPr="00702BC5" w:rsidRDefault="00852D7D" w:rsidP="00852D7D">
      <w:r w:rsidRPr="00852D7D">
        <w:rPr>
          <w:lang w:eastAsia="en-AU"/>
        </w:rPr>
        <w:t xml:space="preserve">Schedule 29 </w:t>
      </w:r>
      <w:r w:rsidR="00776154" w:rsidRPr="00F46157">
        <w:rPr>
          <w:lang w:eastAsia="en-AU"/>
        </w:rPr>
        <w:t>does not permit other forms of L-carnitine, whereas Codex GL 10-1979 lists</w:t>
      </w:r>
      <w:r w:rsidR="00776154">
        <w:rPr>
          <w:lang w:eastAsia="en-AU"/>
        </w:rPr>
        <w:t xml:space="preserve"> </w:t>
      </w:r>
      <w:r w:rsidR="00776154" w:rsidRPr="00F46157">
        <w:t>two other forms (L-carnitine hydrochloride and L-carnitine tartrate).</w:t>
      </w:r>
    </w:p>
    <w:p w14:paraId="17175280" w14:textId="77777777" w:rsidR="00776154" w:rsidRDefault="00776154" w:rsidP="00776154">
      <w:pPr>
        <w:pStyle w:val="Heading4"/>
      </w:pPr>
      <w:r w:rsidRPr="00BA1FD9">
        <w:t>Previous consideration</w:t>
      </w:r>
    </w:p>
    <w:p w14:paraId="74C4AB13" w14:textId="77777777" w:rsidR="00776154" w:rsidRDefault="00776154" w:rsidP="00776154">
      <w:pPr>
        <w:rPr>
          <w:lang w:bidi="ar-SA"/>
        </w:rPr>
      </w:pPr>
      <w:r>
        <w:rPr>
          <w:lang w:val="en-AU" w:bidi="ar-SA"/>
        </w:rPr>
        <w:t xml:space="preserve">In 2016 FSANZ considered that </w:t>
      </w:r>
      <w:r>
        <w:rPr>
          <w:rFonts w:cs="Arial"/>
          <w:szCs w:val="20"/>
          <w:lang w:bidi="ar-SA"/>
        </w:rPr>
        <w:t xml:space="preserve">L-carnitine should be listed as a mandatory substance in infant formula with a mandatory range of </w:t>
      </w:r>
      <w:r>
        <w:rPr>
          <w:lang w:bidi="ar-SA"/>
        </w:rPr>
        <w:t>0.3–0.8</w:t>
      </w:r>
      <w:r w:rsidRPr="00DB5D28">
        <w:rPr>
          <w:lang w:bidi="ar-SA"/>
        </w:rPr>
        <w:t xml:space="preserve"> mg/100 kJ</w:t>
      </w:r>
      <w:r>
        <w:rPr>
          <w:lang w:bidi="ar-SA"/>
        </w:rPr>
        <w:t>.</w:t>
      </w:r>
    </w:p>
    <w:p w14:paraId="37E3E90B" w14:textId="77777777" w:rsidR="00776154" w:rsidRDefault="00776154" w:rsidP="00776154">
      <w:pPr>
        <w:rPr>
          <w:lang w:bidi="ar-SA"/>
        </w:rPr>
      </w:pPr>
    </w:p>
    <w:p w14:paraId="3D702FA0" w14:textId="77777777" w:rsidR="00776154" w:rsidRDefault="00776154" w:rsidP="00776154">
      <w:pPr>
        <w:rPr>
          <w:lang w:bidi="ar-SA"/>
        </w:rPr>
      </w:pPr>
      <w:r>
        <w:rPr>
          <w:lang w:bidi="ar-SA"/>
        </w:rPr>
        <w:t>FSANZ also sought further information on a</w:t>
      </w:r>
      <w:r w:rsidRPr="00331414">
        <w:rPr>
          <w:lang w:bidi="ar-SA"/>
        </w:rPr>
        <w:t xml:space="preserve"> technological justification for additional forms of </w:t>
      </w:r>
      <w:r>
        <w:rPr>
          <w:lang w:bidi="ar-SA"/>
        </w:rPr>
        <w:t>L-carnitine</w:t>
      </w:r>
      <w:r w:rsidRPr="00331414">
        <w:rPr>
          <w:lang w:bidi="ar-SA"/>
        </w:rPr>
        <w:t xml:space="preserve"> </w:t>
      </w:r>
      <w:r>
        <w:rPr>
          <w:lang w:bidi="ar-SA"/>
        </w:rPr>
        <w:t xml:space="preserve">and </w:t>
      </w:r>
      <w:r>
        <w:rPr>
          <w:rFonts w:cs="Arial"/>
          <w:szCs w:val="20"/>
          <w:lang w:bidi="ar-SA"/>
        </w:rPr>
        <w:t xml:space="preserve">evidence to demonstrate safety of these forms in infant formula </w:t>
      </w:r>
      <w:r w:rsidRPr="00331414">
        <w:rPr>
          <w:lang w:bidi="ar-SA"/>
        </w:rPr>
        <w:t xml:space="preserve">is </w:t>
      </w:r>
      <w:r>
        <w:rPr>
          <w:lang w:bidi="ar-SA"/>
        </w:rPr>
        <w:t>needed to inform future assessment</w:t>
      </w:r>
      <w:r w:rsidRPr="00331414">
        <w:rPr>
          <w:lang w:bidi="ar-SA"/>
        </w:rPr>
        <w:t>.</w:t>
      </w:r>
      <w:r>
        <w:rPr>
          <w:lang w:bidi="ar-SA"/>
        </w:rPr>
        <w:t xml:space="preserve"> </w:t>
      </w:r>
    </w:p>
    <w:p w14:paraId="13DFE4CB" w14:textId="06A65768" w:rsidR="00776154" w:rsidRDefault="00776154" w:rsidP="00776154">
      <w:pPr>
        <w:pStyle w:val="Heading4"/>
        <w:ind w:left="0" w:firstLine="0"/>
      </w:pPr>
      <w:r w:rsidRPr="00BA1FD9">
        <w:t>S</w:t>
      </w:r>
      <w:r>
        <w:t>takeholder views</w:t>
      </w:r>
    </w:p>
    <w:p w14:paraId="0F590728" w14:textId="3339246B" w:rsidR="00776154" w:rsidRDefault="00776154" w:rsidP="00776154">
      <w:pPr>
        <w:rPr>
          <w:lang w:bidi="ar-SA"/>
        </w:rPr>
      </w:pPr>
      <w:r>
        <w:rPr>
          <w:lang w:eastAsia="en-AU" w:bidi="ar-SA"/>
        </w:rPr>
        <w:t xml:space="preserve">Fourteen </w:t>
      </w:r>
      <w:r w:rsidRPr="00152C5D">
        <w:rPr>
          <w:lang w:eastAsia="en-AU" w:bidi="ar-SA"/>
        </w:rPr>
        <w:t>submitters (</w:t>
      </w:r>
      <w:r w:rsidR="001312BE">
        <w:rPr>
          <w:lang w:eastAsia="en-AU" w:bidi="ar-SA"/>
        </w:rPr>
        <w:t>two</w:t>
      </w:r>
      <w:r w:rsidRPr="00152C5D">
        <w:rPr>
          <w:lang w:eastAsia="en-AU" w:bidi="ar-SA"/>
        </w:rPr>
        <w:t xml:space="preserve"> government</w:t>
      </w:r>
      <w:r>
        <w:rPr>
          <w:lang w:eastAsia="en-AU" w:bidi="ar-SA"/>
        </w:rPr>
        <w:t xml:space="preserve">, </w:t>
      </w:r>
      <w:r w:rsidR="001312BE">
        <w:rPr>
          <w:lang w:eastAsia="en-AU" w:bidi="ar-SA"/>
        </w:rPr>
        <w:t>eleven</w:t>
      </w:r>
      <w:r>
        <w:rPr>
          <w:lang w:eastAsia="en-AU" w:bidi="ar-SA"/>
        </w:rPr>
        <w:t xml:space="preserve"> industry, </w:t>
      </w:r>
      <w:r w:rsidR="001312BE">
        <w:rPr>
          <w:lang w:eastAsia="en-AU" w:bidi="ar-SA"/>
        </w:rPr>
        <w:t>one</w:t>
      </w:r>
      <w:r>
        <w:rPr>
          <w:lang w:eastAsia="en-AU" w:bidi="ar-SA"/>
        </w:rPr>
        <w:t xml:space="preserve"> health professional)</w:t>
      </w:r>
      <w:r w:rsidRPr="00152C5D">
        <w:rPr>
          <w:lang w:eastAsia="en-AU" w:bidi="ar-SA"/>
        </w:rPr>
        <w:t xml:space="preserve"> commented</w:t>
      </w:r>
      <w:r>
        <w:rPr>
          <w:lang w:eastAsia="en-AU" w:bidi="ar-SA"/>
        </w:rPr>
        <w:t xml:space="preserve"> on L-carnitine’s </w:t>
      </w:r>
      <w:r>
        <w:rPr>
          <w:lang w:val="en-AU" w:bidi="ar-SA"/>
        </w:rPr>
        <w:t>permitted range</w:t>
      </w:r>
      <w:r>
        <w:rPr>
          <w:lang w:eastAsia="en-AU" w:bidi="ar-SA"/>
        </w:rPr>
        <w:t>.</w:t>
      </w:r>
      <w:r w:rsidRPr="00152C5D">
        <w:rPr>
          <w:lang w:eastAsia="en-AU" w:bidi="ar-SA"/>
        </w:rPr>
        <w:t xml:space="preserve"> All </w:t>
      </w:r>
      <w:r>
        <w:rPr>
          <w:lang w:eastAsia="en-AU" w:bidi="ar-SA"/>
        </w:rPr>
        <w:t>government and industry submissions</w:t>
      </w:r>
      <w:r w:rsidRPr="00152C5D">
        <w:rPr>
          <w:lang w:eastAsia="en-AU" w:bidi="ar-SA"/>
        </w:rPr>
        <w:t xml:space="preserve"> </w:t>
      </w:r>
      <w:r>
        <w:rPr>
          <w:lang w:eastAsia="en-AU" w:bidi="ar-SA"/>
        </w:rPr>
        <w:t xml:space="preserve">supported </w:t>
      </w:r>
      <w:r w:rsidRPr="00152C5D">
        <w:rPr>
          <w:lang w:eastAsia="en-AU" w:bidi="ar-SA"/>
        </w:rPr>
        <w:t>FSANZ’s 2016 view to</w:t>
      </w:r>
      <w:r>
        <w:rPr>
          <w:lang w:eastAsia="en-AU" w:bidi="ar-SA"/>
        </w:rPr>
        <w:t xml:space="preserve"> list</w:t>
      </w:r>
      <w:r w:rsidRPr="00152C5D">
        <w:rPr>
          <w:lang w:eastAsia="en-AU" w:bidi="ar-SA"/>
        </w:rPr>
        <w:t xml:space="preserve"> </w:t>
      </w:r>
      <w:r>
        <w:rPr>
          <w:lang w:eastAsia="en-AU" w:bidi="ar-SA"/>
        </w:rPr>
        <w:t>L-carnitine as a mandatory substance in infant formula.</w:t>
      </w:r>
      <w:r w:rsidRPr="00FC146E">
        <w:rPr>
          <w:lang w:bidi="ar-SA"/>
        </w:rPr>
        <w:t xml:space="preserve"> </w:t>
      </w:r>
      <w:r>
        <w:rPr>
          <w:lang w:bidi="ar-SA"/>
        </w:rPr>
        <w:t>One health professional sub</w:t>
      </w:r>
      <w:r w:rsidR="00A05059">
        <w:rPr>
          <w:lang w:bidi="ar-SA"/>
        </w:rPr>
        <w:t xml:space="preserve">mission </w:t>
      </w:r>
      <w:r>
        <w:rPr>
          <w:lang w:bidi="ar-SA"/>
        </w:rPr>
        <w:t xml:space="preserve">did not support the mandatory requirement for L-carnitine in </w:t>
      </w:r>
      <w:r>
        <w:rPr>
          <w:lang w:eastAsia="en-AU" w:bidi="ar-SA"/>
        </w:rPr>
        <w:t>infant formula</w:t>
      </w:r>
      <w:r>
        <w:rPr>
          <w:lang w:bidi="ar-SA"/>
        </w:rPr>
        <w:t xml:space="preserve"> without clinical data to support it.  </w:t>
      </w:r>
    </w:p>
    <w:p w14:paraId="657440FA" w14:textId="77777777" w:rsidR="00776154" w:rsidRDefault="00776154" w:rsidP="00776154">
      <w:pPr>
        <w:rPr>
          <w:lang w:eastAsia="en-AU" w:bidi="ar-SA"/>
        </w:rPr>
      </w:pPr>
    </w:p>
    <w:p w14:paraId="37EDA08C" w14:textId="7CBD4B13" w:rsidR="00776154" w:rsidRDefault="00776154" w:rsidP="00776154">
      <w:pPr>
        <w:rPr>
          <w:lang w:bidi="ar-SA"/>
        </w:rPr>
      </w:pPr>
      <w:r>
        <w:rPr>
          <w:lang w:eastAsia="en-AU" w:bidi="ar-SA"/>
        </w:rPr>
        <w:t xml:space="preserve">The submissions also supported </w:t>
      </w:r>
      <w:r w:rsidR="00A05059">
        <w:rPr>
          <w:lang w:eastAsia="en-AU" w:bidi="ar-SA"/>
        </w:rPr>
        <w:t>increasing the</w:t>
      </w:r>
      <w:r>
        <w:rPr>
          <w:lang w:eastAsia="en-AU" w:bidi="ar-SA"/>
        </w:rPr>
        <w:t xml:space="preserve"> minimum level to align with the </w:t>
      </w:r>
      <w:r w:rsidRPr="00C90454">
        <w:rPr>
          <w:lang w:eastAsia="en-AU" w:bidi="ar-SA"/>
        </w:rPr>
        <w:t>Codex STAN 72-1981</w:t>
      </w:r>
      <w:r>
        <w:rPr>
          <w:lang w:eastAsia="en-AU" w:bidi="ar-SA"/>
        </w:rPr>
        <w:t xml:space="preserve"> </w:t>
      </w:r>
      <w:r>
        <w:rPr>
          <w:lang w:bidi="ar-SA"/>
        </w:rPr>
        <w:t>amount of 0.3 mg/100 kJ. The majority of these submissions did not support setting a mandatory maximum level and noted concerns of achieving the proposed maximum. Multiple industry submissions also noted that a GUL is more appropriate and the upper level set must account for the natural variation in L-carnitine content of milk. The proposed maximum is noted by submitters as problematic as it is too low to account for the variable contribution of naturally occurring L-carnitine from cow</w:t>
      </w:r>
      <w:r w:rsidR="00C73A77">
        <w:rPr>
          <w:lang w:bidi="ar-SA"/>
        </w:rPr>
        <w:t>’</w:t>
      </w:r>
      <w:r>
        <w:rPr>
          <w:lang w:bidi="ar-SA"/>
        </w:rPr>
        <w:t>s or goat</w:t>
      </w:r>
      <w:r w:rsidR="00C73A77">
        <w:rPr>
          <w:lang w:bidi="ar-SA"/>
        </w:rPr>
        <w:t>’</w:t>
      </w:r>
      <w:r>
        <w:rPr>
          <w:lang w:bidi="ar-SA"/>
        </w:rPr>
        <w:t>s milk. An industry submitter also commented that a barrier to trade would emerge with the proposed maximum being out of step with trading partners.</w:t>
      </w:r>
    </w:p>
    <w:p w14:paraId="3234D9A7" w14:textId="77777777" w:rsidR="00776154" w:rsidRDefault="00776154" w:rsidP="00776154">
      <w:pPr>
        <w:rPr>
          <w:lang w:bidi="ar-SA"/>
        </w:rPr>
      </w:pPr>
    </w:p>
    <w:p w14:paraId="308E9763" w14:textId="31BC55A5" w:rsidR="00776154" w:rsidRDefault="00776154" w:rsidP="00776154">
      <w:pPr>
        <w:rPr>
          <w:lang w:eastAsia="en-AU" w:bidi="ar-SA"/>
        </w:rPr>
      </w:pPr>
      <w:r>
        <w:rPr>
          <w:lang w:bidi="ar-SA"/>
        </w:rPr>
        <w:t>Seven submitters (</w:t>
      </w:r>
      <w:r w:rsidR="008D5F4E">
        <w:rPr>
          <w:lang w:bidi="ar-SA"/>
        </w:rPr>
        <w:t>one</w:t>
      </w:r>
      <w:r>
        <w:rPr>
          <w:lang w:bidi="ar-SA"/>
        </w:rPr>
        <w:t xml:space="preserve"> government, </w:t>
      </w:r>
      <w:r w:rsidR="008D5F4E">
        <w:rPr>
          <w:lang w:bidi="ar-SA"/>
        </w:rPr>
        <w:t>six</w:t>
      </w:r>
      <w:r>
        <w:rPr>
          <w:lang w:bidi="ar-SA"/>
        </w:rPr>
        <w:t xml:space="preserve"> industry) </w:t>
      </w:r>
      <w:r>
        <w:rPr>
          <w:lang w:eastAsia="en-AU" w:bidi="ar-SA"/>
        </w:rPr>
        <w:t xml:space="preserve">commented on the </w:t>
      </w:r>
      <w:r w:rsidRPr="00F55473">
        <w:rPr>
          <w:lang w:eastAsia="en-AU" w:bidi="ar-SA"/>
        </w:rPr>
        <w:t xml:space="preserve">technological justification </w:t>
      </w:r>
      <w:r>
        <w:rPr>
          <w:lang w:eastAsia="en-AU" w:bidi="ar-SA"/>
        </w:rPr>
        <w:t>for</w:t>
      </w:r>
      <w:r w:rsidRPr="00F55473">
        <w:rPr>
          <w:lang w:eastAsia="en-AU" w:bidi="ar-SA"/>
        </w:rPr>
        <w:t xml:space="preserve"> use of L-carnitine hydrochloride and/or L-carnitine tartrate </w:t>
      </w:r>
      <w:r>
        <w:rPr>
          <w:lang w:eastAsia="en-AU" w:bidi="ar-SA"/>
        </w:rPr>
        <w:t xml:space="preserve">in </w:t>
      </w:r>
      <w:r w:rsidRPr="00F55473">
        <w:rPr>
          <w:lang w:eastAsia="en-AU" w:bidi="ar-SA"/>
        </w:rPr>
        <w:t>infant formula</w:t>
      </w:r>
      <w:r>
        <w:rPr>
          <w:lang w:eastAsia="en-AU" w:bidi="ar-SA"/>
        </w:rPr>
        <w:t xml:space="preserve">. The majority of submitters supported the use due to no safety issues being raised, as shown by the inclusion in Codex </w:t>
      </w:r>
      <w:r w:rsidRPr="00C90454">
        <w:rPr>
          <w:lang w:eastAsia="en-AU" w:bidi="ar-SA"/>
        </w:rPr>
        <w:t>STAN 72-1981</w:t>
      </w:r>
      <w:r>
        <w:rPr>
          <w:lang w:eastAsia="en-AU" w:bidi="ar-SA"/>
        </w:rPr>
        <w:t xml:space="preserve">. One industry submission did note that a functional benefit of </w:t>
      </w:r>
      <w:r w:rsidRPr="00D041EC">
        <w:rPr>
          <w:lang w:eastAsia="en-AU" w:bidi="ar-SA"/>
        </w:rPr>
        <w:t>L-carnitine tartrate is that it is less hygro</w:t>
      </w:r>
      <w:r>
        <w:rPr>
          <w:lang w:eastAsia="en-AU" w:bidi="ar-SA"/>
        </w:rPr>
        <w:t>scopic compared to L-carnitine, therefore produces less</w:t>
      </w:r>
      <w:r w:rsidRPr="00D041EC">
        <w:rPr>
          <w:lang w:eastAsia="en-AU" w:bidi="ar-SA"/>
        </w:rPr>
        <w:t xml:space="preserve"> lumping in dry powder and premixes. </w:t>
      </w:r>
      <w:r>
        <w:rPr>
          <w:lang w:eastAsia="en-AU" w:bidi="ar-SA"/>
        </w:rPr>
        <w:t xml:space="preserve">Another industry submitter noted there is </w:t>
      </w:r>
      <w:r w:rsidRPr="00D041EC">
        <w:rPr>
          <w:lang w:eastAsia="en-AU" w:bidi="ar-SA"/>
        </w:rPr>
        <w:t xml:space="preserve">evidence to suggest that use of L-carnitine tartrate may result in sulphurous taste and odours, which may adversely affect finished product acceptance of the product by </w:t>
      </w:r>
      <w:r w:rsidR="008D5F4E">
        <w:rPr>
          <w:lang w:eastAsia="en-AU" w:bidi="ar-SA"/>
        </w:rPr>
        <w:t>i</w:t>
      </w:r>
      <w:r w:rsidRPr="00D041EC">
        <w:rPr>
          <w:lang w:eastAsia="en-AU" w:bidi="ar-SA"/>
        </w:rPr>
        <w:t>nfants</w:t>
      </w:r>
      <w:r>
        <w:rPr>
          <w:lang w:eastAsia="en-AU" w:bidi="ar-SA"/>
        </w:rPr>
        <w:t>.</w:t>
      </w:r>
    </w:p>
    <w:p w14:paraId="695281E3" w14:textId="1CE56A52" w:rsidR="00776154" w:rsidRDefault="003B6F75" w:rsidP="00776154">
      <w:pPr>
        <w:pStyle w:val="Heading4"/>
      </w:pPr>
      <w:r>
        <w:t>Nutrition r</w:t>
      </w:r>
      <w:r w:rsidR="00776154" w:rsidRPr="00BA1FD9">
        <w:t>isk assessment</w:t>
      </w:r>
    </w:p>
    <w:p w14:paraId="1D4DC1E6" w14:textId="79A64A4B" w:rsidR="00776154" w:rsidRPr="003B6F75" w:rsidRDefault="003B6F75" w:rsidP="003B6F75">
      <w:pPr>
        <w:contextualSpacing/>
        <w:rPr>
          <w:lang w:eastAsia="en-AU"/>
        </w:rPr>
      </w:pPr>
      <w:r>
        <w:rPr>
          <w:rFonts w:eastAsia="Arial Unicode MS"/>
        </w:rPr>
        <w:t xml:space="preserve">Additional nutrition risk assessment </w:t>
      </w:r>
      <w:r w:rsidR="00F4294A">
        <w:rPr>
          <w:rFonts w:eastAsia="Arial Unicode MS"/>
        </w:rPr>
        <w:t>(</w:t>
      </w:r>
      <w:r w:rsidR="002170C5">
        <w:rPr>
          <w:rFonts w:eastAsia="Arial Unicode MS"/>
        </w:rPr>
        <w:t xml:space="preserve">SD1) </w:t>
      </w:r>
      <w:r>
        <w:rPr>
          <w:rFonts w:eastAsia="Arial Unicode MS"/>
        </w:rPr>
        <w:t xml:space="preserve">noted </w:t>
      </w:r>
      <w:r>
        <w:rPr>
          <w:lang w:eastAsia="en-AU"/>
        </w:rPr>
        <w:t>the</w:t>
      </w:r>
      <w:r w:rsidRPr="001C47DB">
        <w:rPr>
          <w:lang w:eastAsia="en-AU"/>
        </w:rPr>
        <w:t xml:space="preserve"> </w:t>
      </w:r>
      <w:r>
        <w:rPr>
          <w:lang w:eastAsia="en-AU"/>
        </w:rPr>
        <w:t>mean total carnitine concentrations have been reported to be in the range of 0.2 to 0.4 </w:t>
      </w:r>
      <w:r w:rsidRPr="00AD7350">
        <w:rPr>
          <w:lang w:eastAsia="en-AU"/>
        </w:rPr>
        <w:t>mg/100 k</w:t>
      </w:r>
      <w:r>
        <w:rPr>
          <w:lang w:eastAsia="en-AU"/>
        </w:rPr>
        <w:t>J</w:t>
      </w:r>
      <w:r w:rsidRPr="00AD7350">
        <w:rPr>
          <w:lang w:eastAsia="en-AU"/>
        </w:rPr>
        <w:t xml:space="preserve"> in human milk</w:t>
      </w:r>
      <w:r>
        <w:rPr>
          <w:lang w:eastAsia="en-AU"/>
        </w:rPr>
        <w:t>,</w:t>
      </w:r>
      <w:r w:rsidRPr="00AD7350">
        <w:rPr>
          <w:lang w:eastAsia="en-AU"/>
        </w:rPr>
        <w:t xml:space="preserve"> </w:t>
      </w:r>
      <w:r>
        <w:rPr>
          <w:lang w:eastAsia="en-AU"/>
        </w:rPr>
        <w:t>0.8 to 1.6 mg/100 kJ in cow</w:t>
      </w:r>
      <w:r w:rsidR="008D5F4E">
        <w:rPr>
          <w:lang w:eastAsia="en-AU"/>
        </w:rPr>
        <w:t>’s</w:t>
      </w:r>
      <w:r>
        <w:rPr>
          <w:lang w:eastAsia="en-AU"/>
        </w:rPr>
        <w:t xml:space="preserve"> milk and 0.8 to 1.1 mg/100 kJ in goat</w:t>
      </w:r>
      <w:r w:rsidR="002074F2">
        <w:rPr>
          <w:lang w:eastAsia="en-AU"/>
        </w:rPr>
        <w:t>’s</w:t>
      </w:r>
      <w:r>
        <w:rPr>
          <w:lang w:eastAsia="en-AU"/>
        </w:rPr>
        <w:t xml:space="preserve"> milk. </w:t>
      </w:r>
      <w:r>
        <w:rPr>
          <w:lang w:bidi="ar-SA"/>
        </w:rPr>
        <w:t>There is a lack of evidence published since 2015 to assess the risk of harm due to consumption of infant formula that contains L-</w:t>
      </w:r>
      <w:r w:rsidR="008D5F4E">
        <w:rPr>
          <w:lang w:bidi="ar-SA"/>
        </w:rPr>
        <w:t>‍</w:t>
      </w:r>
      <w:r>
        <w:rPr>
          <w:lang w:bidi="ar-SA"/>
        </w:rPr>
        <w:t xml:space="preserve">carnitine at a level greater than the current maximum level in the Code </w:t>
      </w:r>
      <w:r w:rsidR="00886664">
        <w:rPr>
          <w:lang w:bidi="ar-SA"/>
        </w:rPr>
        <w:br/>
      </w:r>
      <w:r>
        <w:rPr>
          <w:lang w:bidi="ar-SA"/>
        </w:rPr>
        <w:t>(0.8 mg/100 kJ).</w:t>
      </w:r>
    </w:p>
    <w:p w14:paraId="4B1465A0" w14:textId="77777777" w:rsidR="00776154" w:rsidRDefault="00776154" w:rsidP="00776154">
      <w:pPr>
        <w:pStyle w:val="Heading4"/>
      </w:pPr>
      <w:r w:rsidRPr="00BA1FD9">
        <w:t>Options and discussion</w:t>
      </w:r>
    </w:p>
    <w:p w14:paraId="688B997E" w14:textId="26442CD1" w:rsidR="00776154" w:rsidRPr="00BF61F8" w:rsidRDefault="00776154" w:rsidP="00776154">
      <w:r w:rsidRPr="001E660F">
        <w:rPr>
          <w:rFonts w:cs="Arial"/>
          <w:szCs w:val="22"/>
        </w:rPr>
        <w:t>FSANZ considers that L-carnitine is regarded as an essential nutrient in infant formula and formulas for special medical purposes intended for infants (Codex STAN 72-1981) and that L-carnitine and L-carnitine tartrate are listed in the advisory list of nutrient compounds for use in foods for special dietary uses intended for infants and young children (CAC/GL 10-1979).</w:t>
      </w:r>
      <w:r>
        <w:rPr>
          <w:rFonts w:cs="Arial"/>
          <w:szCs w:val="22"/>
        </w:rPr>
        <w:t xml:space="preserve"> </w:t>
      </w:r>
      <w:r>
        <w:rPr>
          <w:lang w:eastAsia="en-AU" w:bidi="ar-SA"/>
        </w:rPr>
        <w:t xml:space="preserve">The Codex Standard for Follow-Up Formula </w:t>
      </w:r>
      <w:r>
        <w:t>CXS 156-1987 also notes that in addition to vitamins and minerals, other nutrients may be added when required to ensure that the product is suitable.</w:t>
      </w:r>
    </w:p>
    <w:p w14:paraId="4E8C65F7" w14:textId="77777777" w:rsidR="00776154" w:rsidRPr="001E660F" w:rsidRDefault="00776154" w:rsidP="00776154">
      <w:pPr>
        <w:rPr>
          <w:rFonts w:cs="Arial"/>
          <w:szCs w:val="22"/>
          <w:lang w:bidi="ar-SA"/>
        </w:rPr>
      </w:pPr>
    </w:p>
    <w:p w14:paraId="7B30A3D9" w14:textId="4C0AC2F2" w:rsidR="00776154" w:rsidRDefault="00776154" w:rsidP="00776154">
      <w:pPr>
        <w:rPr>
          <w:lang w:bidi="ar-SA"/>
        </w:rPr>
      </w:pPr>
      <w:r w:rsidRPr="001E660F">
        <w:rPr>
          <w:lang w:bidi="ar-SA"/>
        </w:rPr>
        <w:t>In 2016 FSANZ concluded that based on available evidence the mandatory inclusion of L-</w:t>
      </w:r>
      <w:r w:rsidR="008D5F4E">
        <w:rPr>
          <w:lang w:bidi="ar-SA"/>
        </w:rPr>
        <w:t>‍</w:t>
      </w:r>
      <w:r w:rsidRPr="001E660F">
        <w:rPr>
          <w:lang w:bidi="ar-SA"/>
        </w:rPr>
        <w:t>carnitine at the amount prescribed by Codex is unlikely to pose a risk to infant health.</w:t>
      </w:r>
      <w:r w:rsidRPr="00B97758">
        <w:rPr>
          <w:lang w:bidi="ar-SA"/>
        </w:rPr>
        <w:t xml:space="preserve"> </w:t>
      </w:r>
    </w:p>
    <w:p w14:paraId="140AA3FC" w14:textId="77777777" w:rsidR="00776154" w:rsidRDefault="00776154" w:rsidP="00776154">
      <w:pPr>
        <w:rPr>
          <w:lang w:bidi="ar-SA"/>
        </w:rPr>
      </w:pPr>
    </w:p>
    <w:p w14:paraId="7741C09A" w14:textId="75429E3F" w:rsidR="00776154" w:rsidRDefault="00776154" w:rsidP="00776154">
      <w:pPr>
        <w:rPr>
          <w:bCs/>
        </w:rPr>
      </w:pPr>
      <w:r>
        <w:rPr>
          <w:szCs w:val="22"/>
        </w:rPr>
        <w:lastRenderedPageBreak/>
        <w:t xml:space="preserve">A maximum amount has not been specified in Codex STAN 72-1981 and no discussion about this was provided in the EC SCF review (2003). </w:t>
      </w:r>
      <w:r w:rsidR="008D5F4E">
        <w:rPr>
          <w:bCs/>
        </w:rPr>
        <w:t>EU 2016/127</w:t>
      </w:r>
      <w:r w:rsidRPr="00A170F2">
        <w:rPr>
          <w:bCs/>
        </w:rPr>
        <w:t xml:space="preserve"> </w:t>
      </w:r>
      <w:r w:rsidR="008D5F4E">
        <w:rPr>
          <w:bCs/>
        </w:rPr>
        <w:t>does</w:t>
      </w:r>
      <w:r w:rsidRPr="00A170F2">
        <w:rPr>
          <w:bCs/>
        </w:rPr>
        <w:t xml:space="preserve"> not </w:t>
      </w:r>
      <w:r>
        <w:rPr>
          <w:bCs/>
        </w:rPr>
        <w:t>specif</w:t>
      </w:r>
      <w:r w:rsidR="008D5F4E">
        <w:rPr>
          <w:bCs/>
        </w:rPr>
        <w:t>y</w:t>
      </w:r>
      <w:r>
        <w:rPr>
          <w:bCs/>
        </w:rPr>
        <w:t xml:space="preserve"> a </w:t>
      </w:r>
      <w:r w:rsidRPr="00A170F2">
        <w:rPr>
          <w:bCs/>
        </w:rPr>
        <w:t>maximum</w:t>
      </w:r>
      <w:r>
        <w:rPr>
          <w:bCs/>
        </w:rPr>
        <w:t xml:space="preserve"> level</w:t>
      </w:r>
      <w:r w:rsidRPr="00A170F2">
        <w:rPr>
          <w:bCs/>
        </w:rPr>
        <w:t xml:space="preserve"> for L-carnitine</w:t>
      </w:r>
      <w:r>
        <w:rPr>
          <w:bCs/>
        </w:rPr>
        <w:t xml:space="preserve">, which is based on the </w:t>
      </w:r>
      <w:r w:rsidRPr="00A170F2">
        <w:rPr>
          <w:bCs/>
        </w:rPr>
        <w:t xml:space="preserve">ESPGHAN IEG </w:t>
      </w:r>
      <w:r>
        <w:rPr>
          <w:bCs/>
        </w:rPr>
        <w:t>recommendation that i</w:t>
      </w:r>
      <w:r w:rsidRPr="00A170F2">
        <w:rPr>
          <w:bCs/>
        </w:rPr>
        <w:t xml:space="preserve">n the absence of </w:t>
      </w:r>
      <w:r>
        <w:rPr>
          <w:bCs/>
        </w:rPr>
        <w:t>any adverse effects associated with</w:t>
      </w:r>
      <w:r w:rsidRPr="00A170F2">
        <w:rPr>
          <w:bCs/>
        </w:rPr>
        <w:t xml:space="preserve"> higher L-carnitine intakes for infants no maximum level is needed to be set</w:t>
      </w:r>
      <w:r>
        <w:rPr>
          <w:bCs/>
        </w:rPr>
        <w:t xml:space="preserve"> (</w:t>
      </w:r>
      <w:r w:rsidRPr="00BF61F8">
        <w:rPr>
          <w:bCs/>
        </w:rPr>
        <w:t xml:space="preserve">Koletzko </w:t>
      </w:r>
      <w:r w:rsidR="00615705">
        <w:rPr>
          <w:bCs/>
        </w:rPr>
        <w:t xml:space="preserve">et al. </w:t>
      </w:r>
      <w:r w:rsidRPr="00BF61F8">
        <w:rPr>
          <w:bCs/>
        </w:rPr>
        <w:t>2005</w:t>
      </w:r>
      <w:r>
        <w:rPr>
          <w:bCs/>
        </w:rPr>
        <w:t>)</w:t>
      </w:r>
      <w:r w:rsidRPr="00A170F2">
        <w:rPr>
          <w:bCs/>
        </w:rPr>
        <w:t xml:space="preserve">. </w:t>
      </w:r>
      <w:r>
        <w:rPr>
          <w:bCs/>
        </w:rPr>
        <w:t xml:space="preserve">This recommendation aligns with the majority of submitter views received within the 2016 </w:t>
      </w:r>
      <w:r w:rsidR="00A05059">
        <w:rPr>
          <w:bCs/>
        </w:rPr>
        <w:t>Consultation paper</w:t>
      </w:r>
      <w:r>
        <w:rPr>
          <w:bCs/>
        </w:rPr>
        <w:t xml:space="preserve">. </w:t>
      </w:r>
      <w:r w:rsidRPr="00A170F2">
        <w:rPr>
          <w:bCs/>
        </w:rPr>
        <w:t>FSANZ</w:t>
      </w:r>
      <w:r>
        <w:rPr>
          <w:bCs/>
        </w:rPr>
        <w:t>’s</w:t>
      </w:r>
      <w:r w:rsidRPr="00A170F2">
        <w:rPr>
          <w:bCs/>
        </w:rPr>
        <w:t xml:space="preserve"> current maximum in </w:t>
      </w:r>
      <w:r w:rsidR="00852D7D">
        <w:t>Schedule 29</w:t>
      </w:r>
      <w:r w:rsidR="00852D7D" w:rsidRPr="00016E1A">
        <w:t xml:space="preserve"> </w:t>
      </w:r>
      <w:r>
        <w:rPr>
          <w:bCs/>
        </w:rPr>
        <w:t>(0.8 mg/100 kJ)</w:t>
      </w:r>
      <w:r w:rsidRPr="00A170F2">
        <w:rPr>
          <w:bCs/>
        </w:rPr>
        <w:t xml:space="preserve"> reflects the upper </w:t>
      </w:r>
      <w:r>
        <w:rPr>
          <w:bCs/>
        </w:rPr>
        <w:t xml:space="preserve">levels present in breast milk and aligns with LSRO suggestion that </w:t>
      </w:r>
      <w:r w:rsidRPr="00A170F2">
        <w:rPr>
          <w:bCs/>
        </w:rPr>
        <w:t xml:space="preserve">a maximum level based on the upper end of the usual range found in human milk is also appropriate. </w:t>
      </w:r>
    </w:p>
    <w:p w14:paraId="3086CDC8" w14:textId="77777777" w:rsidR="00776154" w:rsidRDefault="00776154" w:rsidP="00776154">
      <w:pPr>
        <w:rPr>
          <w:bCs/>
        </w:rPr>
      </w:pPr>
    </w:p>
    <w:p w14:paraId="06619D51" w14:textId="67AEF93B" w:rsidR="00A05059" w:rsidRPr="00A05059" w:rsidRDefault="00776154" w:rsidP="00A05059">
      <w:pPr>
        <w:rPr>
          <w:rFonts w:cs="Arial"/>
          <w:szCs w:val="20"/>
          <w:lang w:bidi="ar-SA"/>
        </w:rPr>
      </w:pPr>
      <w:r>
        <w:rPr>
          <w:bCs/>
        </w:rPr>
        <w:t xml:space="preserve">In 2016, the nutrition assessment </w:t>
      </w:r>
      <w:r>
        <w:rPr>
          <w:lang w:val="en-AU" w:bidi="ar-SA"/>
        </w:rPr>
        <w:t xml:space="preserve">considered that </w:t>
      </w:r>
      <w:r>
        <w:rPr>
          <w:rFonts w:cs="Arial"/>
          <w:szCs w:val="20"/>
          <w:lang w:bidi="ar-SA"/>
        </w:rPr>
        <w:t>L-carnitine should retain its maximum level based on its alignment with breast</w:t>
      </w:r>
      <w:r w:rsidR="004F3872">
        <w:rPr>
          <w:rFonts w:cs="Arial"/>
          <w:szCs w:val="20"/>
          <w:lang w:bidi="ar-SA"/>
        </w:rPr>
        <w:t xml:space="preserve"> </w:t>
      </w:r>
      <w:r>
        <w:rPr>
          <w:rFonts w:cs="Arial"/>
          <w:szCs w:val="20"/>
          <w:lang w:bidi="ar-SA"/>
        </w:rPr>
        <w:t xml:space="preserve">milk and evidence showing that non-absorbed carnitine is </w:t>
      </w:r>
      <w:r w:rsidRPr="007B7B1A">
        <w:rPr>
          <w:rFonts w:cs="Arial"/>
          <w:szCs w:val="20"/>
          <w:lang w:bidi="ar-SA"/>
        </w:rPr>
        <w:t>metabolised by microbes in the large bowel to trimethylamine, a compound that may be associated with the development of cardiovascular disease</w:t>
      </w:r>
      <w:r>
        <w:rPr>
          <w:rFonts w:cs="Arial"/>
          <w:szCs w:val="20"/>
          <w:lang w:bidi="ar-SA"/>
        </w:rPr>
        <w:t xml:space="preserve"> </w:t>
      </w:r>
      <w:r w:rsidRPr="007B7B1A">
        <w:rPr>
          <w:rFonts w:cs="Arial"/>
          <w:szCs w:val="20"/>
          <w:lang w:bidi="ar-SA"/>
        </w:rPr>
        <w:t xml:space="preserve">(Koeth et al. 2013). The nutrition </w:t>
      </w:r>
      <w:r w:rsidR="00A05059">
        <w:rPr>
          <w:rFonts w:cs="Arial"/>
          <w:szCs w:val="20"/>
          <w:lang w:bidi="ar-SA"/>
        </w:rPr>
        <w:t xml:space="preserve">risk </w:t>
      </w:r>
      <w:r w:rsidRPr="007B7B1A">
        <w:rPr>
          <w:rFonts w:cs="Arial"/>
          <w:szCs w:val="20"/>
          <w:lang w:bidi="ar-SA"/>
        </w:rPr>
        <w:t xml:space="preserve">assessment also noted there is no evidence </w:t>
      </w:r>
      <w:r>
        <w:rPr>
          <w:rFonts w:cs="Arial"/>
          <w:szCs w:val="20"/>
          <w:lang w:bidi="ar-SA"/>
        </w:rPr>
        <w:t xml:space="preserve">specific to </w:t>
      </w:r>
      <w:r w:rsidRPr="007B7B1A">
        <w:rPr>
          <w:rFonts w:cs="Arial"/>
          <w:szCs w:val="20"/>
          <w:lang w:bidi="ar-SA"/>
        </w:rPr>
        <w:t xml:space="preserve">infants or children indicating consumption of excess carnitine is linked with adverse health outcomes. </w:t>
      </w:r>
      <w:r w:rsidR="00A05059">
        <w:rPr>
          <w:rFonts w:cs="Arial"/>
          <w:szCs w:val="20"/>
          <w:lang w:bidi="ar-SA"/>
        </w:rPr>
        <w:t xml:space="preserve">The 2021 nutrition risk assessment </w:t>
      </w:r>
      <w:r w:rsidR="00A05059" w:rsidRPr="00444C58">
        <w:rPr>
          <w:lang w:bidi="ar-SA"/>
        </w:rPr>
        <w:t xml:space="preserve">searched for </w:t>
      </w:r>
      <w:r w:rsidR="00A05059">
        <w:rPr>
          <w:lang w:bidi="ar-SA"/>
        </w:rPr>
        <w:t>trials</w:t>
      </w:r>
      <w:r w:rsidR="00A05059" w:rsidRPr="00444C58">
        <w:rPr>
          <w:lang w:bidi="ar-SA"/>
        </w:rPr>
        <w:t xml:space="preserve"> </w:t>
      </w:r>
      <w:r w:rsidR="00A05059">
        <w:rPr>
          <w:lang w:bidi="ar-SA"/>
        </w:rPr>
        <w:t xml:space="preserve">in infants receiving supplementary L-carnitine </w:t>
      </w:r>
      <w:r w:rsidR="00A05059" w:rsidRPr="00444C58">
        <w:rPr>
          <w:lang w:bidi="ar-SA"/>
        </w:rPr>
        <w:t>published between January 2015 and May 2021</w:t>
      </w:r>
      <w:r w:rsidR="00A05059">
        <w:rPr>
          <w:lang w:bidi="ar-SA"/>
        </w:rPr>
        <w:t xml:space="preserve">. Eleven publications were identified, however, none of the trials were designed to evaluate the occurrence or impact of excessive carnitine intake in infants without existing health conditions. </w:t>
      </w:r>
    </w:p>
    <w:p w14:paraId="634FC3BE" w14:textId="488DD53F" w:rsidR="00776154" w:rsidRPr="007B7B1A" w:rsidRDefault="00776154" w:rsidP="00776154">
      <w:pPr>
        <w:rPr>
          <w:rFonts w:cs="Arial"/>
          <w:szCs w:val="20"/>
          <w:lang w:bidi="ar-SA"/>
        </w:rPr>
      </w:pPr>
    </w:p>
    <w:p w14:paraId="061542E4" w14:textId="1616B224" w:rsidR="00776154" w:rsidRDefault="00776154" w:rsidP="00776154">
      <w:pPr>
        <w:rPr>
          <w:bCs/>
        </w:rPr>
      </w:pPr>
      <w:r>
        <w:rPr>
          <w:bCs/>
        </w:rPr>
        <w:t>Industry submitters raised comments surrounding the applicability of the current maximum and its appropriateness given the use of cow</w:t>
      </w:r>
      <w:r w:rsidR="008D5F4E">
        <w:rPr>
          <w:bCs/>
        </w:rPr>
        <w:t>’s</w:t>
      </w:r>
      <w:r>
        <w:rPr>
          <w:bCs/>
        </w:rPr>
        <w:t xml:space="preserve"> and goat</w:t>
      </w:r>
      <w:r w:rsidR="008D5F4E">
        <w:rPr>
          <w:bCs/>
        </w:rPr>
        <w:t>’s</w:t>
      </w:r>
      <w:r>
        <w:rPr>
          <w:bCs/>
        </w:rPr>
        <w:t xml:space="preserve"> milk in infant formula. L-carnitine concentrations in milk differ between species, mean total carnitine concentrations have been reported to be in the range of 0.9–1.6 mg/100 kcal in human milk, whereas cow</w:t>
      </w:r>
      <w:r w:rsidR="002B0FE7">
        <w:rPr>
          <w:bCs/>
        </w:rPr>
        <w:t>’s</w:t>
      </w:r>
      <w:r>
        <w:rPr>
          <w:bCs/>
        </w:rPr>
        <w:t xml:space="preserve"> milk and goat</w:t>
      </w:r>
      <w:r w:rsidR="002B0FE7">
        <w:rPr>
          <w:bCs/>
        </w:rPr>
        <w:t>’s</w:t>
      </w:r>
      <w:r>
        <w:rPr>
          <w:bCs/>
        </w:rPr>
        <w:t xml:space="preserve"> milk range from 4.1–6.7 mg/100 kcal and 3.2–4.4 mg/100</w:t>
      </w:r>
      <w:r w:rsidR="002B0FE7">
        <w:rPr>
          <w:bCs/>
        </w:rPr>
        <w:t xml:space="preserve"> </w:t>
      </w:r>
      <w:r>
        <w:rPr>
          <w:bCs/>
        </w:rPr>
        <w:t xml:space="preserve">kcal, respectively (Sandor </w:t>
      </w:r>
      <w:r w:rsidR="00D70A45">
        <w:rPr>
          <w:bCs/>
        </w:rPr>
        <w:t xml:space="preserve">et al. </w:t>
      </w:r>
      <w:r>
        <w:rPr>
          <w:bCs/>
        </w:rPr>
        <w:t>1982</w:t>
      </w:r>
      <w:r w:rsidR="00D70A45">
        <w:rPr>
          <w:bCs/>
        </w:rPr>
        <w:t>;</w:t>
      </w:r>
      <w:r>
        <w:rPr>
          <w:bCs/>
        </w:rPr>
        <w:t xml:space="preserve"> Penn </w:t>
      </w:r>
      <w:r w:rsidR="00D70A45">
        <w:rPr>
          <w:bCs/>
        </w:rPr>
        <w:t xml:space="preserve">et al. </w:t>
      </w:r>
      <w:r>
        <w:rPr>
          <w:bCs/>
        </w:rPr>
        <w:t>1987</w:t>
      </w:r>
      <w:r w:rsidR="00D70A45">
        <w:rPr>
          <w:bCs/>
        </w:rPr>
        <w:t>;</w:t>
      </w:r>
      <w:r>
        <w:rPr>
          <w:bCs/>
        </w:rPr>
        <w:t xml:space="preserve"> Ferreira 2003). Moreover, the submitters suggested in the absence of an UL no maximum should be set and instead a GUL should be applied to account for the natural L-carnitine levels present in cow</w:t>
      </w:r>
      <w:r w:rsidR="00D70A45">
        <w:rPr>
          <w:bCs/>
        </w:rPr>
        <w:t>’s</w:t>
      </w:r>
      <w:r>
        <w:rPr>
          <w:bCs/>
        </w:rPr>
        <w:t xml:space="preserve"> and goat</w:t>
      </w:r>
      <w:r w:rsidR="00D70A45">
        <w:rPr>
          <w:bCs/>
        </w:rPr>
        <w:t>’s</w:t>
      </w:r>
      <w:r>
        <w:rPr>
          <w:bCs/>
        </w:rPr>
        <w:t xml:space="preserve"> milk. </w:t>
      </w:r>
    </w:p>
    <w:p w14:paraId="78B3E9C2" w14:textId="77777777" w:rsidR="00776154" w:rsidRDefault="00776154" w:rsidP="00776154">
      <w:pPr>
        <w:rPr>
          <w:bCs/>
        </w:rPr>
      </w:pPr>
    </w:p>
    <w:p w14:paraId="291BBBE0" w14:textId="05116DB0" w:rsidR="00776154" w:rsidRDefault="00776154" w:rsidP="00776154">
      <w:r w:rsidRPr="001E660F">
        <w:t>One submitter did not</w:t>
      </w:r>
      <w:r w:rsidRPr="001E660F">
        <w:rPr>
          <w:lang w:bidi="ar-SA"/>
        </w:rPr>
        <w:t xml:space="preserve"> support making L-carnitine a mandatory substance in </w:t>
      </w:r>
      <w:r w:rsidRPr="001E660F">
        <w:rPr>
          <w:lang w:eastAsia="en-AU" w:bidi="ar-SA"/>
        </w:rPr>
        <w:t>infant formula</w:t>
      </w:r>
      <w:r w:rsidRPr="001E660F">
        <w:rPr>
          <w:lang w:bidi="ar-SA"/>
        </w:rPr>
        <w:t xml:space="preserve"> without clinical data to support it.</w:t>
      </w:r>
      <w:r w:rsidRPr="00375621">
        <w:rPr>
          <w:lang w:bidi="ar-SA"/>
        </w:rPr>
        <w:t xml:space="preserve"> FSANZ</w:t>
      </w:r>
      <w:r>
        <w:rPr>
          <w:lang w:bidi="ar-SA"/>
        </w:rPr>
        <w:t>’s</w:t>
      </w:r>
      <w:r w:rsidR="00690623">
        <w:rPr>
          <w:lang w:bidi="ar-SA"/>
        </w:rPr>
        <w:t xml:space="preserve"> assessment for </w:t>
      </w:r>
      <w:r w:rsidRPr="00375621">
        <w:rPr>
          <w:lang w:bidi="ar-SA"/>
        </w:rPr>
        <w:t xml:space="preserve">application </w:t>
      </w:r>
      <w:r w:rsidRPr="001E660F">
        <w:rPr>
          <w:i/>
          <w:lang w:bidi="ar-SA"/>
        </w:rPr>
        <w:t>A1102 – L-carnitine in Food</w:t>
      </w:r>
      <w:r>
        <w:rPr>
          <w:i/>
          <w:lang w:bidi="ar-SA"/>
        </w:rPr>
        <w:t xml:space="preserve"> </w:t>
      </w:r>
      <w:r w:rsidR="00690623" w:rsidRPr="00690623">
        <w:rPr>
          <w:lang w:eastAsia="en-GB" w:bidi="ar-SA"/>
        </w:rPr>
        <w:t>reviewed</w:t>
      </w:r>
      <w:r w:rsidRPr="00375621">
        <w:rPr>
          <w:lang w:eastAsia="en-GB" w:bidi="ar-SA"/>
        </w:rPr>
        <w:t xml:space="preserve"> </w:t>
      </w:r>
      <w:r w:rsidRPr="00375621">
        <w:rPr>
          <w:lang w:bidi="ar-SA"/>
        </w:rPr>
        <w:t xml:space="preserve">numerous </w:t>
      </w:r>
      <w:r w:rsidRPr="00B97758">
        <w:rPr>
          <w:lang w:bidi="ar-SA"/>
        </w:rPr>
        <w:t xml:space="preserve">human studies which showed that </w:t>
      </w:r>
      <w:r w:rsidRPr="00B97758">
        <w:rPr>
          <w:lang w:eastAsia="en-GB" w:bidi="ar-SA"/>
        </w:rPr>
        <w:t>intake of L-carnitine up to 3 g/day is not associated with adverse effects</w:t>
      </w:r>
      <w:r w:rsidRPr="001E660F">
        <w:rPr>
          <w:lang w:eastAsia="en-GB" w:bidi="ar-SA"/>
        </w:rPr>
        <w:t xml:space="preserve"> and higher doses only presented minor adverse effects</w:t>
      </w:r>
      <w:r w:rsidR="00690623">
        <w:rPr>
          <w:lang w:eastAsia="en-GB" w:bidi="ar-SA"/>
        </w:rPr>
        <w:t xml:space="preserve"> (FSANZ 2019b)</w:t>
      </w:r>
      <w:r w:rsidRPr="001E660F">
        <w:rPr>
          <w:lang w:eastAsia="en-GB" w:bidi="ar-SA"/>
        </w:rPr>
        <w:t xml:space="preserve">. Although, the above studies do not relate to infants specifically they do reinforce that L-carnitine is unlikely to </w:t>
      </w:r>
      <w:r w:rsidRPr="001E660F">
        <w:rPr>
          <w:color w:val="000000"/>
          <w:lang w:eastAsia="en-GB" w:bidi="ar-SA"/>
        </w:rPr>
        <w:t xml:space="preserve">pose public health risks or safety concerns. </w:t>
      </w:r>
      <w:r w:rsidRPr="001E660F">
        <w:rPr>
          <w:lang w:bidi="ar-SA"/>
        </w:rPr>
        <w:t xml:space="preserve">This application </w:t>
      </w:r>
      <w:r>
        <w:rPr>
          <w:lang w:bidi="ar-SA"/>
        </w:rPr>
        <w:t xml:space="preserve">also </w:t>
      </w:r>
      <w:r w:rsidRPr="001E660F">
        <w:rPr>
          <w:lang w:bidi="ar-SA"/>
        </w:rPr>
        <w:t xml:space="preserve">assessed </w:t>
      </w:r>
      <w:r w:rsidRPr="001E660F">
        <w:rPr>
          <w:color w:val="000000"/>
          <w:lang w:eastAsia="en-GB" w:bidi="ar-SA"/>
        </w:rPr>
        <w:t xml:space="preserve">the use of two forms </w:t>
      </w:r>
      <w:r w:rsidRPr="001E660F">
        <w:t>(L-carnitine and L-carnitine</w:t>
      </w:r>
      <w:r w:rsidR="001C3A56">
        <w:t xml:space="preserve"> </w:t>
      </w:r>
      <w:r w:rsidRPr="001E660F">
        <w:t xml:space="preserve">tartrate) </w:t>
      </w:r>
      <w:r w:rsidRPr="001E660F">
        <w:rPr>
          <w:color w:val="000000"/>
          <w:lang w:eastAsia="en-GB" w:bidi="ar-SA"/>
        </w:rPr>
        <w:t xml:space="preserve">of L-carnitine as a nutritive substance in 30 classes </w:t>
      </w:r>
      <w:r w:rsidRPr="00375621">
        <w:rPr>
          <w:color w:val="000000"/>
          <w:lang w:eastAsia="en-GB" w:bidi="ar-SA"/>
        </w:rPr>
        <w:t>of foods</w:t>
      </w:r>
      <w:r w:rsidRPr="00375621">
        <w:t xml:space="preserve">. FSANZ conducted technical and </w:t>
      </w:r>
      <w:r w:rsidR="003B6F75">
        <w:t xml:space="preserve">nutrition </w:t>
      </w:r>
      <w:r w:rsidRPr="00375621">
        <w:t xml:space="preserve">risk assessments </w:t>
      </w:r>
      <w:r w:rsidRPr="00B97758">
        <w:t xml:space="preserve">which concluded that no public health </w:t>
      </w:r>
      <w:r>
        <w:t xml:space="preserve">or </w:t>
      </w:r>
      <w:r w:rsidRPr="00B97758">
        <w:t xml:space="preserve">safety concerns were associated with the estimated dietary intake of L-carnitine at maximum use levels in the requested foods. </w:t>
      </w:r>
    </w:p>
    <w:p w14:paraId="280358B8" w14:textId="77777777" w:rsidR="00776154" w:rsidRDefault="00776154" w:rsidP="00776154">
      <w:pPr>
        <w:rPr>
          <w:rFonts w:cs="Arial"/>
          <w:szCs w:val="22"/>
        </w:rPr>
      </w:pPr>
    </w:p>
    <w:p w14:paraId="236F443E" w14:textId="5E354890" w:rsidR="00776154" w:rsidRDefault="00776154" w:rsidP="00776154">
      <w:pPr>
        <w:rPr>
          <w:rFonts w:cs="Arial"/>
          <w:szCs w:val="22"/>
        </w:rPr>
      </w:pPr>
      <w:r>
        <w:rPr>
          <w:rFonts w:cs="Arial"/>
          <w:szCs w:val="22"/>
        </w:rPr>
        <w:t xml:space="preserve">Seven submitters supported the addition </w:t>
      </w:r>
      <w:r w:rsidRPr="00F55473">
        <w:rPr>
          <w:lang w:eastAsia="en-AU" w:bidi="ar-SA"/>
        </w:rPr>
        <w:t xml:space="preserve">of </w:t>
      </w:r>
      <w:r>
        <w:rPr>
          <w:lang w:eastAsia="en-AU" w:bidi="ar-SA"/>
        </w:rPr>
        <w:t>L-carnitine hydrochloride and</w:t>
      </w:r>
      <w:r w:rsidRPr="00F55473">
        <w:rPr>
          <w:lang w:eastAsia="en-AU" w:bidi="ar-SA"/>
        </w:rPr>
        <w:t xml:space="preserve"> L-carnitine tartrate </w:t>
      </w:r>
      <w:r>
        <w:rPr>
          <w:lang w:eastAsia="en-AU" w:bidi="ar-SA"/>
        </w:rPr>
        <w:t xml:space="preserve">to </w:t>
      </w:r>
      <w:r w:rsidRPr="00F55473">
        <w:rPr>
          <w:lang w:eastAsia="en-AU" w:bidi="ar-SA"/>
        </w:rPr>
        <w:t>infant formula</w:t>
      </w:r>
      <w:r>
        <w:rPr>
          <w:lang w:eastAsia="en-AU" w:bidi="ar-SA"/>
        </w:rPr>
        <w:t xml:space="preserve">. It is noted that </w:t>
      </w:r>
      <w:r w:rsidRPr="00D041EC">
        <w:rPr>
          <w:lang w:eastAsia="en-AU" w:bidi="ar-SA"/>
        </w:rPr>
        <w:t xml:space="preserve">L-carnitine tartrate </w:t>
      </w:r>
      <w:r>
        <w:rPr>
          <w:lang w:eastAsia="en-AU" w:bidi="ar-SA"/>
        </w:rPr>
        <w:t xml:space="preserve">has technological benefits such as being </w:t>
      </w:r>
      <w:r w:rsidRPr="00D041EC">
        <w:rPr>
          <w:lang w:eastAsia="en-AU" w:bidi="ar-SA"/>
        </w:rPr>
        <w:t>less hygro</w:t>
      </w:r>
      <w:r>
        <w:rPr>
          <w:lang w:eastAsia="en-AU" w:bidi="ar-SA"/>
        </w:rPr>
        <w:t xml:space="preserve">scopic. </w:t>
      </w:r>
      <w:r w:rsidRPr="00D041EC">
        <w:rPr>
          <w:lang w:eastAsia="en-AU" w:bidi="ar-SA"/>
        </w:rPr>
        <w:t xml:space="preserve">L-carnitine tartrate </w:t>
      </w:r>
      <w:r>
        <w:rPr>
          <w:lang w:eastAsia="en-AU" w:bidi="ar-SA"/>
        </w:rPr>
        <w:t xml:space="preserve">was also assessed within </w:t>
      </w:r>
      <w:r w:rsidRPr="001E660F">
        <w:rPr>
          <w:rFonts w:cs="Arial"/>
          <w:i/>
          <w:szCs w:val="22"/>
          <w:lang w:bidi="ar-SA"/>
        </w:rPr>
        <w:t>Application A1102 – L-carnitine in Food</w:t>
      </w:r>
      <w:r>
        <w:rPr>
          <w:rFonts w:cs="Arial"/>
          <w:i/>
          <w:szCs w:val="22"/>
          <w:lang w:bidi="ar-SA"/>
        </w:rPr>
        <w:t xml:space="preserve"> </w:t>
      </w:r>
      <w:r>
        <w:rPr>
          <w:rFonts w:cs="Arial"/>
          <w:szCs w:val="22"/>
          <w:lang w:bidi="ar-SA"/>
        </w:rPr>
        <w:t xml:space="preserve">which noted no safety or public health concerns. Moreover, </w:t>
      </w:r>
      <w:r>
        <w:rPr>
          <w:lang w:eastAsia="en-AU" w:bidi="ar-SA"/>
        </w:rPr>
        <w:t>b</w:t>
      </w:r>
      <w:r w:rsidRPr="00592C33">
        <w:rPr>
          <w:lang w:eastAsia="en-AU" w:bidi="ar-SA"/>
        </w:rPr>
        <w:t>oth</w:t>
      </w:r>
      <w:r>
        <w:rPr>
          <w:lang w:eastAsia="en-AU" w:bidi="ar-SA"/>
        </w:rPr>
        <w:t xml:space="preserve"> forms of </w:t>
      </w:r>
      <w:r w:rsidRPr="00D041EC">
        <w:rPr>
          <w:lang w:eastAsia="en-AU" w:bidi="ar-SA"/>
        </w:rPr>
        <w:t>L-carnitine</w:t>
      </w:r>
      <w:r>
        <w:rPr>
          <w:lang w:eastAsia="en-AU" w:bidi="ar-SA"/>
        </w:rPr>
        <w:t xml:space="preserve"> have no associated safety issues as shown by the inclusion in Codex </w:t>
      </w:r>
      <w:r w:rsidRPr="00C90454">
        <w:rPr>
          <w:lang w:eastAsia="en-AU" w:bidi="ar-SA"/>
        </w:rPr>
        <w:t>STAN 72-</w:t>
      </w:r>
      <w:r w:rsidR="00D70A45">
        <w:rPr>
          <w:lang w:eastAsia="en-AU" w:bidi="ar-SA"/>
        </w:rPr>
        <w:t>‍</w:t>
      </w:r>
      <w:r w:rsidRPr="00C90454">
        <w:rPr>
          <w:lang w:eastAsia="en-AU" w:bidi="ar-SA"/>
        </w:rPr>
        <w:t>1981</w:t>
      </w:r>
      <w:r>
        <w:rPr>
          <w:lang w:eastAsia="en-AU" w:bidi="ar-SA"/>
        </w:rPr>
        <w:t xml:space="preserve">. </w:t>
      </w:r>
    </w:p>
    <w:p w14:paraId="7E99B73E" w14:textId="77777777" w:rsidR="00776154" w:rsidRPr="001E660F" w:rsidRDefault="00776154" w:rsidP="00776154">
      <w:pPr>
        <w:rPr>
          <w:rFonts w:cs="Arial"/>
          <w:szCs w:val="22"/>
        </w:rPr>
      </w:pPr>
    </w:p>
    <w:p w14:paraId="6A17B29E" w14:textId="2FB45908" w:rsidR="00776154" w:rsidRPr="00375621" w:rsidRDefault="00776154" w:rsidP="00776154">
      <w:pPr>
        <w:rPr>
          <w:rFonts w:cs="Arial"/>
          <w:szCs w:val="22"/>
          <w:lang w:bidi="ar-SA"/>
        </w:rPr>
      </w:pPr>
      <w:r w:rsidRPr="001E660F">
        <w:rPr>
          <w:rFonts w:cs="Arial"/>
          <w:szCs w:val="22"/>
          <w:lang w:bidi="ar-SA"/>
        </w:rPr>
        <w:t xml:space="preserve">The range </w:t>
      </w:r>
      <w:r w:rsidR="002B0FE7">
        <w:rPr>
          <w:rFonts w:cs="Arial"/>
          <w:szCs w:val="22"/>
          <w:lang w:bidi="ar-SA"/>
        </w:rPr>
        <w:t xml:space="preserve">previously </w:t>
      </w:r>
      <w:r w:rsidRPr="001E660F">
        <w:rPr>
          <w:rFonts w:cs="Arial"/>
          <w:szCs w:val="22"/>
          <w:lang w:bidi="ar-SA"/>
        </w:rPr>
        <w:t>propose</w:t>
      </w:r>
      <w:r w:rsidR="002B0FE7">
        <w:rPr>
          <w:rFonts w:cs="Arial"/>
          <w:szCs w:val="22"/>
          <w:lang w:bidi="ar-SA"/>
        </w:rPr>
        <w:t>d</w:t>
      </w:r>
      <w:r w:rsidRPr="001E660F">
        <w:rPr>
          <w:rFonts w:cs="Arial"/>
          <w:szCs w:val="22"/>
          <w:lang w:bidi="ar-SA"/>
        </w:rPr>
        <w:t xml:space="preserve"> by FSANZ of 0.3–0.8 mg/100 kJ is consistent with the level found in breast</w:t>
      </w:r>
      <w:r w:rsidR="004F3872">
        <w:rPr>
          <w:rFonts w:cs="Arial"/>
          <w:szCs w:val="22"/>
          <w:lang w:bidi="ar-SA"/>
        </w:rPr>
        <w:t xml:space="preserve"> </w:t>
      </w:r>
      <w:r w:rsidRPr="001E660F">
        <w:rPr>
          <w:rFonts w:cs="Arial"/>
          <w:szCs w:val="22"/>
          <w:lang w:bidi="ar-SA"/>
        </w:rPr>
        <w:t>milk</w:t>
      </w:r>
      <w:r w:rsidRPr="00592C33">
        <w:rPr>
          <w:rFonts w:cs="Arial"/>
          <w:szCs w:val="22"/>
          <w:lang w:bidi="ar-SA"/>
        </w:rPr>
        <w:t>, the amount considered adequate for infants and also aligns with the minimum level in Codex STAN 72-1981 and EU</w:t>
      </w:r>
      <w:r w:rsidRPr="00375621">
        <w:rPr>
          <w:rFonts w:cs="Arial"/>
          <w:szCs w:val="22"/>
          <w:lang w:bidi="ar-SA"/>
        </w:rPr>
        <w:t xml:space="preserve"> 2016/127.</w:t>
      </w:r>
    </w:p>
    <w:p w14:paraId="2A2C4339" w14:textId="77777777" w:rsidR="00776154" w:rsidRDefault="00776154" w:rsidP="00776154">
      <w:pPr>
        <w:pStyle w:val="Heading4"/>
      </w:pPr>
      <w:r w:rsidRPr="00BA1FD9">
        <w:lastRenderedPageBreak/>
        <w:t>Prop</w:t>
      </w:r>
      <w:r>
        <w:t>osed approach</w:t>
      </w:r>
    </w:p>
    <w:p w14:paraId="7F1BA3CA" w14:textId="44338DCF" w:rsidR="00776154" w:rsidRDefault="00776154" w:rsidP="00776154">
      <w:pPr>
        <w:rPr>
          <w:lang w:eastAsia="en-AU" w:bidi="ar-SA"/>
        </w:rPr>
      </w:pPr>
      <w:r>
        <w:rPr>
          <w:lang w:val="en-AU" w:bidi="ar-SA"/>
        </w:rPr>
        <w:t>Based on the above considerations</w:t>
      </w:r>
      <w:r w:rsidR="00222842">
        <w:rPr>
          <w:lang w:val="en-AU" w:bidi="ar-SA"/>
        </w:rPr>
        <w:t>,</w:t>
      </w:r>
      <w:r>
        <w:rPr>
          <w:lang w:val="en-AU" w:bidi="ar-SA"/>
        </w:rPr>
        <w:t xml:space="preserve"> FSANZ proposes that L-carnitine be </w:t>
      </w:r>
      <w:r w:rsidR="000809CB">
        <w:rPr>
          <w:lang w:val="en-AU" w:bidi="ar-SA"/>
        </w:rPr>
        <w:t xml:space="preserve">listed </w:t>
      </w:r>
      <w:r>
        <w:rPr>
          <w:lang w:eastAsia="en-AU" w:bidi="ar-SA"/>
        </w:rPr>
        <w:t xml:space="preserve">as a mandatory substance in infant formula and should align with the permitted Codex and EU mandatory minimum of 0.3g/100 kJ. </w:t>
      </w:r>
    </w:p>
    <w:p w14:paraId="62678487" w14:textId="77777777" w:rsidR="00776154" w:rsidRDefault="00776154" w:rsidP="00776154">
      <w:pPr>
        <w:rPr>
          <w:lang w:eastAsia="en-AU" w:bidi="ar-SA"/>
        </w:rPr>
      </w:pPr>
    </w:p>
    <w:p w14:paraId="0161678A" w14:textId="76E10D45" w:rsidR="00A05059" w:rsidRPr="00A05059" w:rsidRDefault="00776154" w:rsidP="00A05059">
      <w:pPr>
        <w:rPr>
          <w:lang w:eastAsia="en-AU" w:bidi="ar-SA"/>
        </w:rPr>
      </w:pPr>
      <w:r>
        <w:rPr>
          <w:lang w:eastAsia="en-AU" w:bidi="ar-SA"/>
        </w:rPr>
        <w:t>FSANZ also propose</w:t>
      </w:r>
      <w:r w:rsidR="002B0FE7">
        <w:rPr>
          <w:lang w:eastAsia="en-AU" w:bidi="ar-SA"/>
        </w:rPr>
        <w:t>s</w:t>
      </w:r>
      <w:r>
        <w:rPr>
          <w:lang w:eastAsia="en-AU" w:bidi="ar-SA"/>
        </w:rPr>
        <w:t xml:space="preserve"> that the current maximum level within </w:t>
      </w:r>
      <w:r w:rsidR="00852D7D">
        <w:t>Schedule 29</w:t>
      </w:r>
      <w:r w:rsidR="00852D7D" w:rsidRPr="00016E1A">
        <w:t xml:space="preserve"> </w:t>
      </w:r>
      <w:r>
        <w:rPr>
          <w:lang w:eastAsia="en-AU" w:bidi="ar-SA"/>
        </w:rPr>
        <w:t>(0.8</w:t>
      </w:r>
      <w:r w:rsidRPr="00F83545">
        <w:rPr>
          <w:lang w:eastAsia="en-AU" w:bidi="ar-SA"/>
        </w:rPr>
        <w:t xml:space="preserve"> </w:t>
      </w:r>
      <w:r>
        <w:rPr>
          <w:lang w:eastAsia="en-AU" w:bidi="ar-SA"/>
        </w:rPr>
        <w:t xml:space="preserve">mg/100 kJ) should be retained, however presented as a GUL to account for the natural variability of L-carnitine content in differing milks, </w:t>
      </w:r>
      <w:r w:rsidR="002B0FE7">
        <w:rPr>
          <w:lang w:eastAsia="en-AU" w:bidi="ar-SA"/>
        </w:rPr>
        <w:t xml:space="preserve">provide </w:t>
      </w:r>
      <w:r w:rsidRPr="006B11ED">
        <w:rPr>
          <w:lang w:eastAsia="en-AU" w:bidi="ar-SA"/>
        </w:rPr>
        <w:t>flexibility for manufacture</w:t>
      </w:r>
      <w:r w:rsidR="002B0FE7">
        <w:rPr>
          <w:lang w:eastAsia="en-AU" w:bidi="ar-SA"/>
        </w:rPr>
        <w:t>r</w:t>
      </w:r>
      <w:r>
        <w:rPr>
          <w:lang w:eastAsia="en-AU" w:bidi="ar-SA"/>
        </w:rPr>
        <w:t>s</w:t>
      </w:r>
      <w:r w:rsidRPr="006B11ED">
        <w:rPr>
          <w:lang w:eastAsia="en-AU" w:bidi="ar-SA"/>
        </w:rPr>
        <w:t xml:space="preserve"> </w:t>
      </w:r>
      <w:r>
        <w:rPr>
          <w:lang w:eastAsia="en-AU" w:bidi="ar-SA"/>
        </w:rPr>
        <w:t xml:space="preserve">and avoid trade barriers. </w:t>
      </w:r>
      <w:r w:rsidR="00A05059">
        <w:rPr>
          <w:lang w:eastAsia="en-AU" w:bidi="ar-SA"/>
        </w:rPr>
        <w:t xml:space="preserve">This is based on </w:t>
      </w:r>
      <w:r w:rsidR="0032437B">
        <w:rPr>
          <w:lang w:eastAsia="en-AU" w:bidi="ar-SA"/>
        </w:rPr>
        <w:t>a lack of e</w:t>
      </w:r>
      <w:r w:rsidR="00A05059" w:rsidRPr="007B7B1A">
        <w:rPr>
          <w:rFonts w:cs="Arial"/>
          <w:szCs w:val="20"/>
          <w:lang w:bidi="ar-SA"/>
        </w:rPr>
        <w:t xml:space="preserve">vidence </w:t>
      </w:r>
      <w:r w:rsidR="00A05059">
        <w:rPr>
          <w:rFonts w:cs="Arial"/>
          <w:szCs w:val="20"/>
          <w:lang w:bidi="ar-SA"/>
        </w:rPr>
        <w:t xml:space="preserve">specific to </w:t>
      </w:r>
      <w:r w:rsidR="00A05059" w:rsidRPr="007B7B1A">
        <w:rPr>
          <w:rFonts w:cs="Arial"/>
          <w:szCs w:val="20"/>
          <w:lang w:bidi="ar-SA"/>
        </w:rPr>
        <w:t>infants or children indicating co</w:t>
      </w:r>
      <w:r w:rsidR="00A05059">
        <w:rPr>
          <w:rFonts w:cs="Arial"/>
          <w:szCs w:val="20"/>
          <w:lang w:bidi="ar-SA"/>
        </w:rPr>
        <w:t>nsumption of excess carnitine</w:t>
      </w:r>
      <w:r w:rsidR="00A05059" w:rsidRPr="007B7B1A">
        <w:rPr>
          <w:rFonts w:cs="Arial"/>
          <w:szCs w:val="20"/>
          <w:lang w:bidi="ar-SA"/>
        </w:rPr>
        <w:t xml:space="preserve"> </w:t>
      </w:r>
      <w:r w:rsidR="002B0FE7">
        <w:rPr>
          <w:rFonts w:cs="Arial"/>
          <w:szCs w:val="20"/>
          <w:lang w:bidi="ar-SA"/>
        </w:rPr>
        <w:t>being</w:t>
      </w:r>
      <w:r w:rsidR="00A05059" w:rsidRPr="007B7B1A">
        <w:rPr>
          <w:rFonts w:cs="Arial"/>
          <w:szCs w:val="20"/>
          <w:lang w:bidi="ar-SA"/>
        </w:rPr>
        <w:t xml:space="preserve"> linked with adverse health outcomes</w:t>
      </w:r>
      <w:r w:rsidR="00A05059">
        <w:rPr>
          <w:rFonts w:cs="Arial"/>
          <w:szCs w:val="20"/>
          <w:lang w:bidi="ar-SA"/>
        </w:rPr>
        <w:t xml:space="preserve"> and the absence of a UL.</w:t>
      </w:r>
    </w:p>
    <w:p w14:paraId="0B24D4EF" w14:textId="77777777" w:rsidR="00776154" w:rsidRDefault="00776154" w:rsidP="00776154">
      <w:pPr>
        <w:rPr>
          <w:lang w:val="en-AU" w:bidi="ar-SA"/>
        </w:rPr>
      </w:pPr>
    </w:p>
    <w:p w14:paraId="1F0979EB" w14:textId="256354ED" w:rsidR="00776154" w:rsidRPr="00E03F4A" w:rsidRDefault="00776154" w:rsidP="00776154">
      <w:pPr>
        <w:rPr>
          <w:lang w:val="en-AU" w:bidi="ar-SA"/>
        </w:rPr>
      </w:pPr>
      <w:r>
        <w:rPr>
          <w:lang w:val="en-AU" w:bidi="ar-SA"/>
        </w:rPr>
        <w:t xml:space="preserve">Based on the safety conclusions of </w:t>
      </w:r>
      <w:r>
        <w:rPr>
          <w:sz w:val="21"/>
          <w:szCs w:val="21"/>
        </w:rPr>
        <w:t xml:space="preserve">Codex STAN 72-1981 and </w:t>
      </w:r>
      <w:r w:rsidRPr="001E660F">
        <w:rPr>
          <w:i/>
          <w:lang w:bidi="ar-SA"/>
        </w:rPr>
        <w:t>A1102 – L-carnitine in Food</w:t>
      </w:r>
      <w:r>
        <w:rPr>
          <w:i/>
          <w:lang w:bidi="ar-SA"/>
        </w:rPr>
        <w:t xml:space="preserve">, </w:t>
      </w:r>
      <w:r w:rsidRPr="00E03F4A">
        <w:rPr>
          <w:lang w:bidi="ar-SA"/>
        </w:rPr>
        <w:t xml:space="preserve">FSANZ proposes that </w:t>
      </w:r>
      <w:r>
        <w:rPr>
          <w:lang w:val="en-AU" w:bidi="ar-SA"/>
        </w:rPr>
        <w:t>L-carnitine should be permitted as L-carnitine hydrochloride and</w:t>
      </w:r>
      <w:r w:rsidRPr="00F83545">
        <w:rPr>
          <w:lang w:val="en-AU" w:bidi="ar-SA"/>
        </w:rPr>
        <w:t xml:space="preserve"> L-carnitine tartrate</w:t>
      </w:r>
      <w:r>
        <w:rPr>
          <w:lang w:val="en-AU" w:bidi="ar-SA"/>
        </w:rPr>
        <w:t xml:space="preserve"> in </w:t>
      </w:r>
      <w:r w:rsidR="00852D7D">
        <w:t>Schedule 29</w:t>
      </w:r>
      <w:r>
        <w:rPr>
          <w:lang w:eastAsia="en-AU" w:bidi="ar-SA"/>
        </w:rPr>
        <w:t>.</w:t>
      </w:r>
    </w:p>
    <w:p w14:paraId="3B94FF53" w14:textId="5377C719" w:rsidR="00776154" w:rsidRPr="00183A95" w:rsidRDefault="001C24DD" w:rsidP="00776154">
      <w:pPr>
        <w:pStyle w:val="Heading2"/>
      </w:pPr>
      <w:bookmarkStart w:id="452" w:name="_Toc70415494"/>
      <w:bookmarkStart w:id="453" w:name="_Toc73455659"/>
      <w:bookmarkStart w:id="454" w:name="_Toc73624932"/>
      <w:bookmarkStart w:id="455" w:name="_Toc76138300"/>
      <w:r>
        <w:t>8</w:t>
      </w:r>
      <w:r w:rsidR="00776154">
        <w:t>.3</w:t>
      </w:r>
      <w:r w:rsidR="00776154">
        <w:tab/>
        <w:t>Inositol</w:t>
      </w:r>
      <w:bookmarkEnd w:id="452"/>
      <w:bookmarkEnd w:id="453"/>
      <w:bookmarkEnd w:id="454"/>
      <w:bookmarkEnd w:id="455"/>
    </w:p>
    <w:p w14:paraId="5E13E62C" w14:textId="77777777" w:rsidR="00776154" w:rsidRDefault="00776154" w:rsidP="00776154">
      <w:pPr>
        <w:pStyle w:val="Heading4"/>
      </w:pPr>
      <w:r w:rsidRPr="00BA1FD9">
        <w:t>Current regulations</w:t>
      </w:r>
    </w:p>
    <w:p w14:paraId="3C7209B7" w14:textId="3285C333" w:rsidR="00776154" w:rsidRDefault="00CA5C3F" w:rsidP="00776154">
      <w:pPr>
        <w:rPr>
          <w:lang w:bidi="ar-SA"/>
        </w:rPr>
      </w:pPr>
      <w:r>
        <w:t>The Code (</w:t>
      </w:r>
      <w:r w:rsidR="00852D7D">
        <w:t>Schedule 29</w:t>
      </w:r>
      <w:r>
        <w:t>) permits</w:t>
      </w:r>
      <w:r w:rsidRPr="00723374">
        <w:rPr>
          <w:lang w:bidi="ar-SA"/>
        </w:rPr>
        <w:t xml:space="preserve"> the range </w:t>
      </w:r>
      <w:r>
        <w:t xml:space="preserve">of </w:t>
      </w:r>
      <w:r>
        <w:rPr>
          <w:lang w:bidi="ar-SA"/>
        </w:rPr>
        <w:t xml:space="preserve">1.0–9.5 mg/100 kJ for inositol which is basically aligned with </w:t>
      </w:r>
      <w:r w:rsidR="00776154" w:rsidRPr="00723374">
        <w:rPr>
          <w:lang w:bidi="ar-SA"/>
        </w:rPr>
        <w:t>Codex STAN</w:t>
      </w:r>
      <w:r w:rsidR="00776154">
        <w:rPr>
          <w:lang w:bidi="ar-SA"/>
        </w:rPr>
        <w:t xml:space="preserve"> </w:t>
      </w:r>
      <w:r w:rsidR="00776154" w:rsidRPr="00723374">
        <w:rPr>
          <w:lang w:bidi="ar-SA"/>
        </w:rPr>
        <w:t>72-1981</w:t>
      </w:r>
      <w:r w:rsidR="00776154">
        <w:rPr>
          <w:lang w:bidi="ar-SA"/>
        </w:rPr>
        <w:t xml:space="preserve"> and </w:t>
      </w:r>
      <w:r w:rsidR="009E2701">
        <w:rPr>
          <w:lang w:bidi="ar-SA"/>
        </w:rPr>
        <w:t>EU 2016/127</w:t>
      </w:r>
      <w:r w:rsidR="00776154">
        <w:rPr>
          <w:lang w:bidi="ar-SA"/>
        </w:rPr>
        <w:t xml:space="preserve">. However, Codex and </w:t>
      </w:r>
      <w:r w:rsidR="009E2701">
        <w:rPr>
          <w:lang w:bidi="ar-SA"/>
        </w:rPr>
        <w:t>EU 2016/127</w:t>
      </w:r>
      <w:r w:rsidR="00776154">
        <w:rPr>
          <w:lang w:bidi="ar-SA"/>
        </w:rPr>
        <w:t xml:space="preserve"> list inositol</w:t>
      </w:r>
      <w:r w:rsidR="00162584">
        <w:rPr>
          <w:lang w:bidi="ar-SA"/>
        </w:rPr>
        <w:t xml:space="preserve"> maximum amount</w:t>
      </w:r>
      <w:r w:rsidR="00776154">
        <w:rPr>
          <w:lang w:bidi="ar-SA"/>
        </w:rPr>
        <w:t xml:space="preserve"> as a GUL. </w:t>
      </w:r>
    </w:p>
    <w:p w14:paraId="7DEB8240" w14:textId="77777777" w:rsidR="00776154" w:rsidRDefault="00776154" w:rsidP="00776154">
      <w:pPr>
        <w:rPr>
          <w:lang w:bidi="ar-SA"/>
        </w:rPr>
      </w:pPr>
    </w:p>
    <w:p w14:paraId="4EF0CA1C" w14:textId="446583F7" w:rsidR="00776154" w:rsidRDefault="00776154" w:rsidP="00776154">
      <w:pPr>
        <w:rPr>
          <w:lang w:bidi="ar-SA"/>
        </w:rPr>
      </w:pPr>
      <w:r>
        <w:rPr>
          <w:lang w:bidi="ar-SA"/>
        </w:rPr>
        <w:t xml:space="preserve">The above standards permit the same form of inositol, however Codex and EU </w:t>
      </w:r>
      <w:r w:rsidR="009E2701">
        <w:rPr>
          <w:lang w:bidi="ar-SA"/>
        </w:rPr>
        <w:t xml:space="preserve">2016/127 </w:t>
      </w:r>
      <w:r>
        <w:rPr>
          <w:lang w:bidi="ar-SA"/>
        </w:rPr>
        <w:t>list this form as myo-inositol</w:t>
      </w:r>
      <w:r w:rsidR="00162584">
        <w:rPr>
          <w:lang w:bidi="ar-SA"/>
        </w:rPr>
        <w:t xml:space="preserve"> which is the physiologically most relevant form</w:t>
      </w:r>
      <w:r>
        <w:rPr>
          <w:lang w:bidi="ar-SA"/>
        </w:rPr>
        <w:t xml:space="preserve">. </w:t>
      </w:r>
    </w:p>
    <w:p w14:paraId="06866D91" w14:textId="77777777" w:rsidR="00776154" w:rsidRDefault="00776154" w:rsidP="00776154">
      <w:pPr>
        <w:pStyle w:val="Heading4"/>
      </w:pPr>
      <w:r w:rsidRPr="00BA1FD9">
        <w:t>Previous consideration</w:t>
      </w:r>
    </w:p>
    <w:p w14:paraId="6E25FB89" w14:textId="32D96E68" w:rsidR="00776154" w:rsidRPr="003845E5" w:rsidRDefault="00776154" w:rsidP="00776154">
      <w:pPr>
        <w:rPr>
          <w:lang w:bidi="ar-SA"/>
        </w:rPr>
      </w:pPr>
      <w:r>
        <w:rPr>
          <w:lang w:val="en-AU" w:bidi="ar-SA"/>
        </w:rPr>
        <w:t xml:space="preserve">In 2016 FSANZ considered it </w:t>
      </w:r>
      <w:r w:rsidRPr="00705E6B">
        <w:rPr>
          <w:szCs w:val="22"/>
        </w:rPr>
        <w:t xml:space="preserve">appropriate to prescribe the mandatory inclusion of </w:t>
      </w:r>
      <w:r>
        <w:rPr>
          <w:szCs w:val="22"/>
        </w:rPr>
        <w:t>i</w:t>
      </w:r>
      <w:r w:rsidRPr="00705E6B">
        <w:rPr>
          <w:lang w:bidi="ar-SA"/>
        </w:rPr>
        <w:t>nositol</w:t>
      </w:r>
      <w:r>
        <w:rPr>
          <w:lang w:bidi="ar-SA"/>
        </w:rPr>
        <w:t xml:space="preserve"> in infant formula</w:t>
      </w:r>
      <w:r w:rsidRPr="00705E6B">
        <w:rPr>
          <w:lang w:bidi="ar-SA"/>
        </w:rPr>
        <w:t xml:space="preserve"> at the </w:t>
      </w:r>
      <w:r w:rsidRPr="00705E6B">
        <w:rPr>
          <w:szCs w:val="22"/>
        </w:rPr>
        <w:t xml:space="preserve">current minimum </w:t>
      </w:r>
      <w:r w:rsidRPr="00705E6B">
        <w:rPr>
          <w:lang w:bidi="ar-SA"/>
        </w:rPr>
        <w:t xml:space="preserve">amount </w:t>
      </w:r>
      <w:r>
        <w:rPr>
          <w:lang w:bidi="ar-SA"/>
        </w:rPr>
        <w:t xml:space="preserve">(which already aligns with Codex STAN 72-1981 and </w:t>
      </w:r>
      <w:r w:rsidR="009E2701">
        <w:rPr>
          <w:lang w:bidi="ar-SA"/>
        </w:rPr>
        <w:t>EU 2016/127</w:t>
      </w:r>
      <w:r>
        <w:rPr>
          <w:lang w:bidi="ar-SA"/>
        </w:rPr>
        <w:t xml:space="preserve">) and list a GUL of 9.5 mg/100 kJ. FSANZ also considered listing the permitted form of inositol as myo-inositol to provide clarity and align with the Codex STAN 72-1981 and EU </w:t>
      </w:r>
      <w:r w:rsidR="00615705">
        <w:rPr>
          <w:lang w:bidi="ar-SA"/>
        </w:rPr>
        <w:t>2016/127</w:t>
      </w:r>
      <w:r>
        <w:rPr>
          <w:lang w:bidi="ar-SA"/>
        </w:rPr>
        <w:t>.</w:t>
      </w:r>
    </w:p>
    <w:p w14:paraId="422FA8E3" w14:textId="0797CADF" w:rsidR="00776154" w:rsidRDefault="001312BE" w:rsidP="00776154">
      <w:pPr>
        <w:pStyle w:val="Heading4"/>
        <w:ind w:left="0" w:firstLine="0"/>
      </w:pPr>
      <w:r>
        <w:t>Submissions</w:t>
      </w:r>
    </w:p>
    <w:p w14:paraId="396ED885" w14:textId="4C5CD3C8" w:rsidR="00776154" w:rsidRDefault="00776154" w:rsidP="00776154">
      <w:pPr>
        <w:rPr>
          <w:lang w:eastAsia="en-AU" w:bidi="ar-SA"/>
        </w:rPr>
      </w:pPr>
      <w:r>
        <w:rPr>
          <w:lang w:val="en-AU" w:bidi="ar-SA"/>
        </w:rPr>
        <w:t xml:space="preserve">Nine </w:t>
      </w:r>
      <w:r w:rsidRPr="00152C5D">
        <w:rPr>
          <w:lang w:eastAsia="en-AU" w:bidi="ar-SA"/>
        </w:rPr>
        <w:t>submitters (</w:t>
      </w:r>
      <w:r w:rsidR="001312BE">
        <w:rPr>
          <w:lang w:eastAsia="en-AU" w:bidi="ar-SA"/>
        </w:rPr>
        <w:t>two</w:t>
      </w:r>
      <w:r w:rsidRPr="00152C5D">
        <w:rPr>
          <w:lang w:eastAsia="en-AU" w:bidi="ar-SA"/>
        </w:rPr>
        <w:t xml:space="preserve"> government</w:t>
      </w:r>
      <w:r>
        <w:rPr>
          <w:lang w:eastAsia="en-AU" w:bidi="ar-SA"/>
        </w:rPr>
        <w:t xml:space="preserve">, </w:t>
      </w:r>
      <w:r w:rsidR="001312BE">
        <w:rPr>
          <w:lang w:eastAsia="en-AU" w:bidi="ar-SA"/>
        </w:rPr>
        <w:t>seven</w:t>
      </w:r>
      <w:r>
        <w:rPr>
          <w:lang w:eastAsia="en-AU" w:bidi="ar-SA"/>
        </w:rPr>
        <w:t xml:space="preserve"> industry) </w:t>
      </w:r>
      <w:r w:rsidRPr="00152C5D">
        <w:rPr>
          <w:lang w:eastAsia="en-AU" w:bidi="ar-SA"/>
        </w:rPr>
        <w:t>commented</w:t>
      </w:r>
      <w:r>
        <w:rPr>
          <w:lang w:eastAsia="en-AU" w:bidi="ar-SA"/>
        </w:rPr>
        <w:t xml:space="preserve"> on inositol’s </w:t>
      </w:r>
      <w:r>
        <w:rPr>
          <w:lang w:val="en-AU" w:bidi="ar-SA"/>
        </w:rPr>
        <w:t>permitted range</w:t>
      </w:r>
      <w:r>
        <w:rPr>
          <w:lang w:eastAsia="en-AU" w:bidi="ar-SA"/>
        </w:rPr>
        <w:t>.</w:t>
      </w:r>
      <w:r w:rsidRPr="00152C5D">
        <w:rPr>
          <w:lang w:eastAsia="en-AU" w:bidi="ar-SA"/>
        </w:rPr>
        <w:t xml:space="preserve"> All </w:t>
      </w:r>
      <w:r>
        <w:rPr>
          <w:lang w:eastAsia="en-AU" w:bidi="ar-SA"/>
        </w:rPr>
        <w:t>submissions</w:t>
      </w:r>
      <w:r w:rsidRPr="00152C5D">
        <w:rPr>
          <w:lang w:eastAsia="en-AU" w:bidi="ar-SA"/>
        </w:rPr>
        <w:t xml:space="preserve"> </w:t>
      </w:r>
      <w:r>
        <w:rPr>
          <w:lang w:eastAsia="en-AU" w:bidi="ar-SA"/>
        </w:rPr>
        <w:t xml:space="preserve">supported </w:t>
      </w:r>
      <w:r w:rsidRPr="00152C5D">
        <w:rPr>
          <w:lang w:eastAsia="en-AU" w:bidi="ar-SA"/>
        </w:rPr>
        <w:t>FSANZ’s 2016 view to</w:t>
      </w:r>
      <w:r>
        <w:rPr>
          <w:lang w:eastAsia="en-AU" w:bidi="ar-SA"/>
        </w:rPr>
        <w:t xml:space="preserve"> list</w:t>
      </w:r>
      <w:r w:rsidRPr="00152C5D">
        <w:rPr>
          <w:lang w:eastAsia="en-AU" w:bidi="ar-SA"/>
        </w:rPr>
        <w:t xml:space="preserve"> </w:t>
      </w:r>
      <w:r w:rsidR="00E9072E">
        <w:rPr>
          <w:lang w:eastAsia="en-AU" w:bidi="ar-SA"/>
        </w:rPr>
        <w:t>inositol</w:t>
      </w:r>
      <w:r>
        <w:rPr>
          <w:lang w:eastAsia="en-AU" w:bidi="ar-SA"/>
        </w:rPr>
        <w:t xml:space="preserve"> as a mandatory substance in infant formula. Six industry submissions supported the change to a GUL rather than a maximum upper level, to align with Codex. A government submission requested further consideration on whether the upper level should be permitted as a maximum or GUL. Another government submitter noted that the proposed level is much lower than the level found naturally in breast milk.</w:t>
      </w:r>
    </w:p>
    <w:p w14:paraId="6C7527CD" w14:textId="77777777" w:rsidR="00776154" w:rsidRDefault="00776154" w:rsidP="00776154">
      <w:pPr>
        <w:rPr>
          <w:lang w:eastAsia="en-AU"/>
        </w:rPr>
      </w:pPr>
    </w:p>
    <w:p w14:paraId="6584DA3B" w14:textId="252D96C5" w:rsidR="00776154" w:rsidRDefault="00776154" w:rsidP="00776154">
      <w:pPr>
        <w:rPr>
          <w:lang w:eastAsia="en-AU" w:bidi="ar-SA"/>
        </w:rPr>
      </w:pPr>
      <w:r>
        <w:rPr>
          <w:lang w:eastAsia="en-AU" w:bidi="ar-SA"/>
        </w:rPr>
        <w:t>Seven submitters (</w:t>
      </w:r>
      <w:r w:rsidR="001312BE">
        <w:rPr>
          <w:lang w:eastAsia="en-AU" w:bidi="ar-SA"/>
        </w:rPr>
        <w:t>two</w:t>
      </w:r>
      <w:r>
        <w:rPr>
          <w:lang w:eastAsia="en-AU" w:bidi="ar-SA"/>
        </w:rPr>
        <w:t xml:space="preserve"> government and </w:t>
      </w:r>
      <w:r w:rsidR="001312BE">
        <w:rPr>
          <w:lang w:eastAsia="en-AU" w:bidi="ar-SA"/>
        </w:rPr>
        <w:t>five</w:t>
      </w:r>
      <w:r>
        <w:rPr>
          <w:lang w:eastAsia="en-AU" w:bidi="ar-SA"/>
        </w:rPr>
        <w:t xml:space="preserve"> industry) commented on listing the permitted form of inositol as myo-inositol. All submitters were in support of this change and agreed that it provides clarity and consistency with Codex.  </w:t>
      </w:r>
    </w:p>
    <w:p w14:paraId="34B505E4" w14:textId="04C8C6AB" w:rsidR="00776154" w:rsidRDefault="003B6F75" w:rsidP="00776154">
      <w:pPr>
        <w:pStyle w:val="Heading4"/>
      </w:pPr>
      <w:r>
        <w:t>Nutrition r</w:t>
      </w:r>
      <w:r w:rsidR="00776154" w:rsidRPr="00BA1FD9">
        <w:t>isk assessment</w:t>
      </w:r>
    </w:p>
    <w:p w14:paraId="1FAFCA5B" w14:textId="17460E69" w:rsidR="00776154" w:rsidRPr="00CB6CA7" w:rsidRDefault="00776154" w:rsidP="00776154">
      <w:pPr>
        <w:autoSpaceDE w:val="0"/>
        <w:autoSpaceDN w:val="0"/>
        <w:adjustRightInd w:val="0"/>
        <w:rPr>
          <w:rFonts w:eastAsia="Arial Unicode MS"/>
        </w:rPr>
      </w:pPr>
      <w:r w:rsidRPr="00741136">
        <w:rPr>
          <w:rFonts w:eastAsia="Arial Unicode MS"/>
        </w:rPr>
        <w:t xml:space="preserve">No further </w:t>
      </w:r>
      <w:r w:rsidR="003B6F75">
        <w:rPr>
          <w:rFonts w:eastAsia="Arial Unicode MS"/>
        </w:rPr>
        <w:t xml:space="preserve">nutrition </w:t>
      </w:r>
      <w:r>
        <w:rPr>
          <w:rFonts w:eastAsia="Arial Unicode MS"/>
        </w:rPr>
        <w:t>risk assessment was considered on this issue.</w:t>
      </w:r>
    </w:p>
    <w:p w14:paraId="35F2C652" w14:textId="77777777" w:rsidR="00776154" w:rsidRDefault="00776154" w:rsidP="00776154">
      <w:pPr>
        <w:pStyle w:val="Heading4"/>
        <w:ind w:left="0" w:firstLine="0"/>
      </w:pPr>
      <w:r w:rsidRPr="00BA1FD9">
        <w:lastRenderedPageBreak/>
        <w:t>Options and discussion</w:t>
      </w:r>
    </w:p>
    <w:p w14:paraId="3DAF19A5" w14:textId="26007881" w:rsidR="00776154" w:rsidRDefault="00776154" w:rsidP="00776154">
      <w:pPr>
        <w:rPr>
          <w:lang w:bidi="ar-SA"/>
        </w:rPr>
      </w:pPr>
      <w:r>
        <w:rPr>
          <w:lang w:bidi="ar-SA"/>
        </w:rPr>
        <w:t xml:space="preserve">FSANZ notes </w:t>
      </w:r>
      <w:r w:rsidRPr="00DB5D28">
        <w:rPr>
          <w:lang w:bidi="ar-SA"/>
        </w:rPr>
        <w:t>recent review</w:t>
      </w:r>
      <w:r>
        <w:rPr>
          <w:lang w:bidi="ar-SA"/>
        </w:rPr>
        <w:t>s</w:t>
      </w:r>
      <w:r w:rsidRPr="00DB5D28">
        <w:rPr>
          <w:lang w:bidi="ar-SA"/>
        </w:rPr>
        <w:t xml:space="preserve"> on </w:t>
      </w:r>
      <w:r>
        <w:rPr>
          <w:lang w:bidi="ar-SA"/>
        </w:rPr>
        <w:t>infant formula</w:t>
      </w:r>
      <w:r w:rsidRPr="00DB5D28">
        <w:rPr>
          <w:lang w:bidi="ar-SA"/>
        </w:rPr>
        <w:t xml:space="preserve"> composition </w:t>
      </w:r>
      <w:r>
        <w:rPr>
          <w:lang w:bidi="ar-SA"/>
        </w:rPr>
        <w:t>have not set a mandatory maximum, and suggest that the upper level should be around that reported for breast milk (9.6 mg/100 kJ) (</w:t>
      </w:r>
      <w:r w:rsidRPr="00DB5D28">
        <w:rPr>
          <w:lang w:bidi="ar-SA"/>
        </w:rPr>
        <w:t>EFSA 2014</w:t>
      </w:r>
      <w:r w:rsidR="00056097">
        <w:rPr>
          <w:lang w:bidi="ar-SA"/>
        </w:rPr>
        <w:t>b</w:t>
      </w:r>
      <w:r w:rsidRPr="00DB5D28">
        <w:rPr>
          <w:lang w:bidi="ar-SA"/>
        </w:rPr>
        <w:t>).</w:t>
      </w:r>
      <w:r>
        <w:rPr>
          <w:lang w:bidi="ar-SA"/>
        </w:rPr>
        <w:t xml:space="preserve"> The </w:t>
      </w:r>
      <w:r w:rsidR="00182BD8">
        <w:rPr>
          <w:lang w:bidi="ar-SA"/>
        </w:rPr>
        <w:t xml:space="preserve">2016 nutrition assessment also noted that no </w:t>
      </w:r>
      <w:r>
        <w:rPr>
          <w:lang w:bidi="ar-SA"/>
        </w:rPr>
        <w:t>safety data or negative health effects related to ino</w:t>
      </w:r>
      <w:r w:rsidR="00182BD8">
        <w:rPr>
          <w:lang w:bidi="ar-SA"/>
        </w:rPr>
        <w:t>sitol in infants or children had</w:t>
      </w:r>
      <w:r>
        <w:rPr>
          <w:lang w:bidi="ar-SA"/>
        </w:rPr>
        <w:t xml:space="preserve"> been reported. Thus alignment by setting a GUL instead of maximum amount is unlikely to pose a risk to infant health.</w:t>
      </w:r>
    </w:p>
    <w:p w14:paraId="0177B154" w14:textId="77777777" w:rsidR="00776154" w:rsidRDefault="00776154" w:rsidP="00776154">
      <w:pPr>
        <w:rPr>
          <w:lang w:bidi="ar-SA"/>
        </w:rPr>
      </w:pPr>
    </w:p>
    <w:p w14:paraId="67DA8395" w14:textId="27354F92" w:rsidR="00776154" w:rsidRDefault="00776154" w:rsidP="00776154">
      <w:pPr>
        <w:rPr>
          <w:lang w:bidi="ar-SA"/>
        </w:rPr>
      </w:pPr>
      <w:r>
        <w:rPr>
          <w:lang w:bidi="ar-SA"/>
        </w:rPr>
        <w:t>FSANZ notes stakeholder queries relating to the proposed levels being much lower than levels present in breast</w:t>
      </w:r>
      <w:r w:rsidR="004F3872">
        <w:rPr>
          <w:lang w:bidi="ar-SA"/>
        </w:rPr>
        <w:t xml:space="preserve"> </w:t>
      </w:r>
      <w:r>
        <w:rPr>
          <w:lang w:bidi="ar-SA"/>
        </w:rPr>
        <w:t>milk. Inositol has been found to reach a relatively stable concentration of around 130</w:t>
      </w:r>
      <w:r w:rsidR="00615705">
        <w:rPr>
          <w:lang w:bidi="ar-SA"/>
        </w:rPr>
        <w:t>–</w:t>
      </w:r>
      <w:r>
        <w:rPr>
          <w:lang w:bidi="ar-SA"/>
        </w:rPr>
        <w:t>325 mg/L (20</w:t>
      </w:r>
      <w:r w:rsidR="00615705">
        <w:rPr>
          <w:lang w:bidi="ar-SA"/>
        </w:rPr>
        <w:t>–</w:t>
      </w:r>
      <w:r>
        <w:rPr>
          <w:lang w:bidi="ar-SA"/>
        </w:rPr>
        <w:t>50mg/100 kcal) in mature human milk (EFSA 2014</w:t>
      </w:r>
      <w:r w:rsidR="00056097">
        <w:rPr>
          <w:lang w:bidi="ar-SA"/>
        </w:rPr>
        <w:t>b</w:t>
      </w:r>
      <w:r>
        <w:rPr>
          <w:lang w:bidi="ar-SA"/>
        </w:rPr>
        <w:t xml:space="preserve">). The GUL proposed by FSANZ fits within this this range. The proposed range for inositol is 4–40 mg/100kcal which is equivalent to 1–10 mg/100 kJ. This value is reflective of the rounded proposed range of 1–9.5 mg/100 kJ. It is also important to note that </w:t>
      </w:r>
      <w:r w:rsidRPr="009232F0">
        <w:rPr>
          <w:lang w:bidi="ar-SA"/>
        </w:rPr>
        <w:t xml:space="preserve">endogenous </w:t>
      </w:r>
      <w:r w:rsidRPr="004D6346">
        <w:rPr>
          <w:i/>
          <w:lang w:bidi="ar-SA"/>
        </w:rPr>
        <w:t>de novo</w:t>
      </w:r>
      <w:r w:rsidRPr="009232F0">
        <w:rPr>
          <w:lang w:bidi="ar-SA"/>
        </w:rPr>
        <w:t xml:space="preserve"> synthesis of inositol appears to be efficient in newborn infants</w:t>
      </w:r>
      <w:r>
        <w:rPr>
          <w:lang w:bidi="ar-SA"/>
        </w:rPr>
        <w:t xml:space="preserve"> (EFSA 2014</w:t>
      </w:r>
      <w:r w:rsidR="00056097">
        <w:rPr>
          <w:lang w:bidi="ar-SA"/>
        </w:rPr>
        <w:t>b</w:t>
      </w:r>
      <w:r>
        <w:rPr>
          <w:lang w:bidi="ar-SA"/>
        </w:rPr>
        <w:t>)</w:t>
      </w:r>
      <w:r w:rsidRPr="009232F0">
        <w:rPr>
          <w:lang w:bidi="ar-SA"/>
        </w:rPr>
        <w:t xml:space="preserve">. </w:t>
      </w:r>
    </w:p>
    <w:p w14:paraId="44F6E171" w14:textId="77777777" w:rsidR="00776154" w:rsidRDefault="00776154" w:rsidP="00776154">
      <w:pPr>
        <w:shd w:val="clear" w:color="auto" w:fill="FFFFFF"/>
        <w:rPr>
          <w:lang w:bidi="ar-SA"/>
        </w:rPr>
      </w:pPr>
    </w:p>
    <w:p w14:paraId="4E338A16" w14:textId="207702B4" w:rsidR="00776154" w:rsidRDefault="00776154" w:rsidP="00776154">
      <w:pPr>
        <w:rPr>
          <w:lang w:bidi="ar-SA"/>
        </w:rPr>
      </w:pPr>
      <w:r>
        <w:rPr>
          <w:lang w:bidi="ar-SA"/>
        </w:rPr>
        <w:t xml:space="preserve">Codex GL 10–1979 lists myo-inositol (previously referred to as meso-inositol) as the only permitted form of the inositols. The specification listed in Food Chemicals Codex (as referenced in Codex GL 10–1979 and </w:t>
      </w:r>
      <w:r w:rsidR="00852D7D">
        <w:t>Schedule 29</w:t>
      </w:r>
      <w:r>
        <w:rPr>
          <w:lang w:bidi="ar-SA"/>
        </w:rPr>
        <w:t xml:space="preserve">) </w:t>
      </w:r>
      <w:r>
        <w:t>lists three alternative names for inositol:</w:t>
      </w:r>
      <w:r w:rsidRPr="00304BE9">
        <w:t xml:space="preserve"> i-Inositol, meso-Inositol, myo-Inositol</w:t>
      </w:r>
      <w:r>
        <w:t xml:space="preserve">. In the literature inositol can also be used as the common name to refer to several compounds. Thus the permitted forms currently align, however the use of multiple names does create some potential for confusion and outlines the need for consistency. </w:t>
      </w:r>
    </w:p>
    <w:p w14:paraId="2A454642" w14:textId="77777777" w:rsidR="00776154" w:rsidRDefault="00776154" w:rsidP="00776154">
      <w:pPr>
        <w:pStyle w:val="Heading4"/>
      </w:pPr>
      <w:r w:rsidRPr="00BA1FD9">
        <w:t>Prop</w:t>
      </w:r>
      <w:r>
        <w:t>o</w:t>
      </w:r>
      <w:r w:rsidRPr="00BA1FD9">
        <w:t xml:space="preserve">sed </w:t>
      </w:r>
      <w:r>
        <w:t xml:space="preserve">approach </w:t>
      </w:r>
    </w:p>
    <w:p w14:paraId="3EA52AC4" w14:textId="4FBA891E" w:rsidR="00776154" w:rsidRDefault="00776154" w:rsidP="00776154">
      <w:pPr>
        <w:rPr>
          <w:lang w:eastAsia="en-AU" w:bidi="ar-SA"/>
        </w:rPr>
      </w:pPr>
      <w:r>
        <w:rPr>
          <w:lang w:val="en-AU" w:bidi="ar-SA"/>
        </w:rPr>
        <w:t>Based on the above discussion</w:t>
      </w:r>
      <w:r w:rsidR="00222842">
        <w:rPr>
          <w:lang w:val="en-AU" w:bidi="ar-SA"/>
        </w:rPr>
        <w:t>,</w:t>
      </w:r>
      <w:r>
        <w:rPr>
          <w:lang w:val="en-AU" w:bidi="ar-SA"/>
        </w:rPr>
        <w:t xml:space="preserve"> FSANZ proposes that inositol be </w:t>
      </w:r>
      <w:r w:rsidR="000809CB">
        <w:rPr>
          <w:lang w:val="en-AU" w:bidi="ar-SA"/>
        </w:rPr>
        <w:t xml:space="preserve">listed </w:t>
      </w:r>
      <w:r>
        <w:rPr>
          <w:lang w:eastAsia="en-AU" w:bidi="ar-SA"/>
        </w:rPr>
        <w:t xml:space="preserve">as a mandatory substance in infant formula with a minimum of 1.0 mg/100 kJ and a GUL of 9.5 mg/100 kJ to align with the </w:t>
      </w:r>
      <w:r w:rsidRPr="00C90454">
        <w:rPr>
          <w:lang w:eastAsia="en-AU" w:bidi="ar-SA"/>
        </w:rPr>
        <w:t>Codex STAN 72-1981</w:t>
      </w:r>
      <w:r>
        <w:rPr>
          <w:lang w:eastAsia="en-AU" w:bidi="ar-SA"/>
        </w:rPr>
        <w:t xml:space="preserve"> </w:t>
      </w:r>
      <w:r w:rsidR="009E2701">
        <w:rPr>
          <w:lang w:eastAsia="en-AU" w:bidi="ar-SA"/>
        </w:rPr>
        <w:t>range</w:t>
      </w:r>
      <w:r>
        <w:rPr>
          <w:lang w:eastAsia="en-AU" w:bidi="ar-SA"/>
        </w:rPr>
        <w:t xml:space="preserve">. </w:t>
      </w:r>
    </w:p>
    <w:p w14:paraId="61668468" w14:textId="77777777" w:rsidR="00776154" w:rsidRDefault="00776154" w:rsidP="00776154">
      <w:pPr>
        <w:rPr>
          <w:lang w:eastAsia="en-AU" w:bidi="ar-SA"/>
        </w:rPr>
      </w:pPr>
    </w:p>
    <w:p w14:paraId="34F27681" w14:textId="26F15E90" w:rsidR="00776154" w:rsidRPr="003845E5" w:rsidRDefault="00776154" w:rsidP="00776154">
      <w:r>
        <w:rPr>
          <w:lang w:eastAsia="en-AU" w:bidi="ar-SA"/>
        </w:rPr>
        <w:t xml:space="preserve">FSANZ also proposes listing </w:t>
      </w:r>
      <w:r>
        <w:rPr>
          <w:lang w:bidi="ar-SA"/>
        </w:rPr>
        <w:t xml:space="preserve">the permitted form of inositol as myo-inositol to provide clarity and align with the Codex STAN 72-1981 and EU </w:t>
      </w:r>
      <w:r w:rsidR="00615705">
        <w:rPr>
          <w:lang w:bidi="ar-SA"/>
        </w:rPr>
        <w:t>2016/127</w:t>
      </w:r>
      <w:r>
        <w:rPr>
          <w:lang w:bidi="ar-SA"/>
        </w:rPr>
        <w:t>.</w:t>
      </w:r>
    </w:p>
    <w:p w14:paraId="54B8FBD8" w14:textId="77777777" w:rsidR="00776154" w:rsidRDefault="00776154" w:rsidP="00776154">
      <w:pPr>
        <w:rPr>
          <w:lang w:val="en-AU" w:bidi="ar-SA"/>
        </w:rPr>
      </w:pPr>
    </w:p>
    <w:p w14:paraId="57A26429" w14:textId="462D3CF9" w:rsidR="00776154" w:rsidRDefault="001C24DD" w:rsidP="00776154">
      <w:pPr>
        <w:pStyle w:val="Heading2"/>
      </w:pPr>
      <w:bookmarkStart w:id="456" w:name="_Toc70415495"/>
      <w:bookmarkStart w:id="457" w:name="_Toc73455660"/>
      <w:bookmarkStart w:id="458" w:name="_Toc73624933"/>
      <w:bookmarkStart w:id="459" w:name="_Toc76138301"/>
      <w:r>
        <w:t>8</w:t>
      </w:r>
      <w:r w:rsidR="00776154">
        <w:t>.4</w:t>
      </w:r>
      <w:r w:rsidR="00776154">
        <w:tab/>
        <w:t>Nucleotides</w:t>
      </w:r>
      <w:bookmarkEnd w:id="456"/>
      <w:bookmarkEnd w:id="457"/>
      <w:bookmarkEnd w:id="458"/>
      <w:bookmarkEnd w:id="459"/>
    </w:p>
    <w:p w14:paraId="0BE958CE" w14:textId="77777777" w:rsidR="00776154" w:rsidRDefault="00776154" w:rsidP="00776154">
      <w:pPr>
        <w:pStyle w:val="Heading4"/>
      </w:pPr>
      <w:r w:rsidRPr="00BA1FD9">
        <w:t>Current regulations</w:t>
      </w:r>
    </w:p>
    <w:p w14:paraId="12009D7F" w14:textId="6C6F7645" w:rsidR="00776154" w:rsidRDefault="00852D7D" w:rsidP="00776154">
      <w:r>
        <w:t>Schedule 29</w:t>
      </w:r>
      <w:r w:rsidRPr="00016E1A">
        <w:t xml:space="preserve"> </w:t>
      </w:r>
      <w:r w:rsidR="00776154" w:rsidRPr="00044912">
        <w:t>permits the optional addition of five specific nucleotides to infant formula</w:t>
      </w:r>
      <w:r w:rsidR="00776154">
        <w:t>, which</w:t>
      </w:r>
      <w:r w:rsidR="00776154" w:rsidRPr="008F59A2">
        <w:t xml:space="preserve"> </w:t>
      </w:r>
      <w:r w:rsidR="00776154">
        <w:t xml:space="preserve">outlines a </w:t>
      </w:r>
      <w:r w:rsidR="00776154" w:rsidRPr="00FB2DAC">
        <w:t>minim</w:t>
      </w:r>
      <w:r w:rsidR="00776154">
        <w:t xml:space="preserve">um </w:t>
      </w:r>
      <w:r w:rsidR="00776154" w:rsidRPr="00FB2DAC">
        <w:t>and maxim</w:t>
      </w:r>
      <w:r w:rsidR="00776154">
        <w:t>um</w:t>
      </w:r>
      <w:r w:rsidR="00776154" w:rsidRPr="00FB2DAC">
        <w:t xml:space="preserve"> for each of the permitted nucleotides. </w:t>
      </w:r>
      <w:bookmarkStart w:id="460" w:name="_Toc400032270"/>
      <w:r w:rsidR="001C3A56">
        <w:t xml:space="preserve">Standard </w:t>
      </w:r>
      <w:r w:rsidR="001C3A56" w:rsidRPr="001C3A56">
        <w:t>2.9.1—</w:t>
      </w:r>
      <w:r w:rsidR="00776154" w:rsidRPr="00FB2DAC">
        <w:t>8</w:t>
      </w:r>
      <w:r w:rsidR="001C3A56" w:rsidRPr="001C3A56">
        <w:t> </w:t>
      </w:r>
      <w:bookmarkEnd w:id="460"/>
      <w:r w:rsidR="00776154" w:rsidRPr="00FB2DAC">
        <w:t xml:space="preserve">states that </w:t>
      </w:r>
      <w:r w:rsidR="00776154">
        <w:t>“</w:t>
      </w:r>
      <w:r w:rsidR="00776154" w:rsidRPr="00FB2DAC">
        <w:t>infant formula product must contain no more than 3.8</w:t>
      </w:r>
      <w:r w:rsidR="00776154">
        <w:t xml:space="preserve"> </w:t>
      </w:r>
      <w:r w:rsidR="00776154" w:rsidRPr="00FB2DAC">
        <w:t>mg/100</w:t>
      </w:r>
      <w:r w:rsidR="00776154">
        <w:t xml:space="preserve"> </w:t>
      </w:r>
      <w:r w:rsidR="00776154" w:rsidRPr="00FB2DAC">
        <w:t>k</w:t>
      </w:r>
      <w:r w:rsidR="00776154">
        <w:t>J</w:t>
      </w:r>
      <w:r w:rsidR="00776154" w:rsidRPr="00FB2DAC">
        <w:t xml:space="preserve"> of </w:t>
      </w:r>
      <w:r w:rsidR="00776154" w:rsidRPr="002E3768">
        <w:t>n</w:t>
      </w:r>
      <w:r w:rsidR="00776154" w:rsidRPr="00EA2DA8">
        <w:t>ucleotide</w:t>
      </w:r>
      <w:r w:rsidR="009E2701">
        <w:t>-</w:t>
      </w:r>
      <w:r w:rsidR="00776154" w:rsidRPr="00EA2DA8">
        <w:t>5’</w:t>
      </w:r>
      <w:r w:rsidR="009E2701">
        <w:t>-</w:t>
      </w:r>
      <w:r w:rsidR="00776154" w:rsidRPr="00EA2DA8">
        <w:t>monophosphates</w:t>
      </w:r>
      <w:r w:rsidR="00776154" w:rsidRPr="00F72A83">
        <w:rPr>
          <w:iCs/>
        </w:rPr>
        <w:t>”</w:t>
      </w:r>
      <w:r w:rsidR="00776154" w:rsidRPr="00F72A83">
        <w:rPr>
          <w:i/>
          <w:iCs/>
        </w:rPr>
        <w:t xml:space="preserve">. </w:t>
      </w:r>
      <w:r w:rsidR="00776154" w:rsidRPr="00975AE3">
        <w:t xml:space="preserve">Codex </w:t>
      </w:r>
      <w:r w:rsidR="00776154">
        <w:t xml:space="preserve">STAN 72-1981 </w:t>
      </w:r>
      <w:r w:rsidR="00776154" w:rsidRPr="00975AE3">
        <w:t>permits the addition of nucleotides at the discretion of national authorities.</w:t>
      </w:r>
      <w:r w:rsidR="00776154">
        <w:t xml:space="preserve"> </w:t>
      </w:r>
      <w:r w:rsidR="009E2701">
        <w:rPr>
          <w:lang w:bidi="ar-SA"/>
        </w:rPr>
        <w:t>EU 2016/127</w:t>
      </w:r>
      <w:r w:rsidR="00776154" w:rsidRPr="001C71C5">
        <w:t xml:space="preserve"> </w:t>
      </w:r>
      <w:r w:rsidR="00776154" w:rsidRPr="00044912">
        <w:t>permits the optional addition of five specific nucleotides to infant formula</w:t>
      </w:r>
      <w:r w:rsidR="00776154">
        <w:t xml:space="preserve">. </w:t>
      </w:r>
      <w:r w:rsidR="009E2701">
        <w:t>EU 2016/127</w:t>
      </w:r>
      <w:r w:rsidR="00776154">
        <w:t xml:space="preserve"> specifi</w:t>
      </w:r>
      <w:r w:rsidR="009E2701">
        <w:t>e</w:t>
      </w:r>
      <w:r w:rsidR="00776154">
        <w:t xml:space="preserve">s varying minimum levels outlined in Table </w:t>
      </w:r>
      <w:r w:rsidR="00AE7074">
        <w:t>8</w:t>
      </w:r>
      <w:r w:rsidR="00776154">
        <w:t xml:space="preserve">. </w:t>
      </w:r>
    </w:p>
    <w:p w14:paraId="3CA6CFA1" w14:textId="77777777" w:rsidR="00776154" w:rsidRPr="00975AE3" w:rsidRDefault="00776154" w:rsidP="00776154"/>
    <w:p w14:paraId="667819B2" w14:textId="77777777" w:rsidR="00776154" w:rsidRPr="00DD1E70" w:rsidRDefault="00776154" w:rsidP="00776154">
      <w:r>
        <w:t xml:space="preserve">Comparison of the permitted forms of nucleotides in each standard shows they are already aligned. </w:t>
      </w:r>
    </w:p>
    <w:p w14:paraId="287EA313" w14:textId="77777777" w:rsidR="00776154" w:rsidRDefault="00776154" w:rsidP="00776154">
      <w:pPr>
        <w:pStyle w:val="Heading4"/>
      </w:pPr>
      <w:r w:rsidRPr="00BA1FD9">
        <w:lastRenderedPageBreak/>
        <w:t>Previous consideration</w:t>
      </w:r>
    </w:p>
    <w:p w14:paraId="1D42C87A" w14:textId="76D0A109" w:rsidR="00776154" w:rsidRDefault="00776154" w:rsidP="00776154">
      <w:r>
        <w:rPr>
          <w:lang w:val="en-AU" w:bidi="ar-SA"/>
        </w:rPr>
        <w:t xml:space="preserve">In 2016 FSANZ considered </w:t>
      </w:r>
      <w:r w:rsidRPr="00736AF0">
        <w:rPr>
          <w:szCs w:val="22"/>
        </w:rPr>
        <w:t>retain</w:t>
      </w:r>
      <w:r>
        <w:rPr>
          <w:szCs w:val="22"/>
        </w:rPr>
        <w:t>ing</w:t>
      </w:r>
      <w:r w:rsidRPr="00736AF0">
        <w:rPr>
          <w:szCs w:val="22"/>
        </w:rPr>
        <w:t xml:space="preserve"> the current permission and maximum </w:t>
      </w:r>
      <w:r w:rsidRPr="00736AF0">
        <w:t>combined total limit of nucleotides.</w:t>
      </w:r>
      <w:r>
        <w:t xml:space="preserve"> FSANZ also sought feedback on the clarity of the drafting in the revised Code.</w:t>
      </w:r>
      <w:r w:rsidR="006735E9">
        <w:rPr>
          <w:rStyle w:val="FootnoteReference"/>
        </w:rPr>
        <w:footnoteReference w:id="14"/>
      </w:r>
      <w:r>
        <w:t xml:space="preserve"> </w:t>
      </w:r>
    </w:p>
    <w:p w14:paraId="2611A91E" w14:textId="003D8F81" w:rsidR="00776154" w:rsidRDefault="001312BE" w:rsidP="00776154">
      <w:pPr>
        <w:pStyle w:val="Heading4"/>
        <w:ind w:left="0" w:firstLine="0"/>
      </w:pPr>
      <w:r>
        <w:t>Submissions</w:t>
      </w:r>
    </w:p>
    <w:p w14:paraId="0E91B19A" w14:textId="34D7F88D" w:rsidR="00776154" w:rsidRDefault="00776154" w:rsidP="00776154">
      <w:pPr>
        <w:rPr>
          <w:lang w:val="en-AU" w:bidi="ar-SA"/>
        </w:rPr>
      </w:pPr>
      <w:r>
        <w:rPr>
          <w:lang w:val="en-AU" w:bidi="ar-SA"/>
        </w:rPr>
        <w:t xml:space="preserve">Four submitters </w:t>
      </w:r>
      <w:r w:rsidR="001312BE">
        <w:rPr>
          <w:lang w:val="en-AU" w:bidi="ar-SA"/>
        </w:rPr>
        <w:t xml:space="preserve">(all industry) </w:t>
      </w:r>
      <w:r>
        <w:rPr>
          <w:lang w:val="en-AU" w:bidi="ar-SA"/>
        </w:rPr>
        <w:t xml:space="preserve">commented on nucleotides current permissions. All submitters supported retaining the current permission and maximum combined total limit of nucleotides. </w:t>
      </w:r>
    </w:p>
    <w:p w14:paraId="06572249" w14:textId="77777777" w:rsidR="00776154" w:rsidRDefault="00776154" w:rsidP="00776154">
      <w:pPr>
        <w:rPr>
          <w:lang w:val="en-AU" w:bidi="ar-SA"/>
        </w:rPr>
      </w:pPr>
    </w:p>
    <w:p w14:paraId="57CB0CFB" w14:textId="00465DDB" w:rsidR="00776154" w:rsidRPr="00EC55FC" w:rsidRDefault="00776154" w:rsidP="00776154">
      <w:pPr>
        <w:rPr>
          <w:lang w:val="en-AU" w:bidi="ar-SA"/>
        </w:rPr>
      </w:pPr>
      <w:r>
        <w:rPr>
          <w:lang w:val="en-AU" w:bidi="ar-SA"/>
        </w:rPr>
        <w:t>Seven submitters (</w:t>
      </w:r>
      <w:r w:rsidR="001312BE">
        <w:rPr>
          <w:lang w:val="en-AU" w:bidi="ar-SA"/>
        </w:rPr>
        <w:t>two</w:t>
      </w:r>
      <w:r>
        <w:rPr>
          <w:lang w:val="en-AU" w:bidi="ar-SA"/>
        </w:rPr>
        <w:t xml:space="preserve"> government, </w:t>
      </w:r>
      <w:r w:rsidR="001312BE">
        <w:rPr>
          <w:lang w:val="en-AU" w:bidi="ar-SA"/>
        </w:rPr>
        <w:t>five</w:t>
      </w:r>
      <w:r>
        <w:rPr>
          <w:lang w:val="en-AU" w:bidi="ar-SA"/>
        </w:rPr>
        <w:t xml:space="preserve"> industry) commented on the clarity of the drafting for the maximum amount of nucleotides in the Code. Four industry submitters commented on considering that the combined total content should only apply when nucleotides are added to </w:t>
      </w:r>
      <w:r>
        <w:rPr>
          <w:lang w:eastAsia="en-AU" w:bidi="ar-SA"/>
        </w:rPr>
        <w:t>infant formula</w:t>
      </w:r>
      <w:r>
        <w:rPr>
          <w:lang w:val="en-AU" w:bidi="ar-SA"/>
        </w:rPr>
        <w:t>.</w:t>
      </w:r>
    </w:p>
    <w:p w14:paraId="23BDD772" w14:textId="160DDB54" w:rsidR="00776154" w:rsidRDefault="003B6F75" w:rsidP="00776154">
      <w:pPr>
        <w:pStyle w:val="Heading4"/>
      </w:pPr>
      <w:r>
        <w:t>Nutrition r</w:t>
      </w:r>
      <w:r w:rsidR="00776154" w:rsidRPr="00BA1FD9">
        <w:t>isk assessment</w:t>
      </w:r>
    </w:p>
    <w:p w14:paraId="44FEF739" w14:textId="04EC47C2" w:rsidR="00776154" w:rsidRPr="00741136" w:rsidRDefault="00776154" w:rsidP="00776154">
      <w:pPr>
        <w:autoSpaceDE w:val="0"/>
        <w:autoSpaceDN w:val="0"/>
        <w:adjustRightInd w:val="0"/>
        <w:rPr>
          <w:rFonts w:eastAsia="Arial Unicode MS"/>
        </w:rPr>
      </w:pPr>
      <w:r w:rsidRPr="00741136">
        <w:rPr>
          <w:rFonts w:eastAsia="Arial Unicode MS"/>
        </w:rPr>
        <w:t xml:space="preserve">No further </w:t>
      </w:r>
      <w:r w:rsidR="003B6F75">
        <w:rPr>
          <w:rFonts w:eastAsia="Arial Unicode MS"/>
        </w:rPr>
        <w:t xml:space="preserve">nutrition </w:t>
      </w:r>
      <w:r>
        <w:rPr>
          <w:rFonts w:eastAsia="Arial Unicode MS"/>
        </w:rPr>
        <w:t>risk assessment was considered on this issue.</w:t>
      </w:r>
    </w:p>
    <w:p w14:paraId="4E4786AE" w14:textId="77777777" w:rsidR="00776154" w:rsidRDefault="00776154" w:rsidP="00776154">
      <w:pPr>
        <w:pStyle w:val="Heading4"/>
      </w:pPr>
      <w:r w:rsidRPr="00BA1FD9">
        <w:t>Options and discussion</w:t>
      </w:r>
    </w:p>
    <w:p w14:paraId="2906A35E" w14:textId="5FD31BCC" w:rsidR="00776154" w:rsidRDefault="00776154" w:rsidP="00776154">
      <w:r>
        <w:t xml:space="preserve">Comparison of the permitted forms of nucleotides in each standard shows there is already alignment. There have also been no submissions </w:t>
      </w:r>
      <w:r w:rsidR="009E2701">
        <w:t xml:space="preserve">opposed </w:t>
      </w:r>
      <w:r>
        <w:t>to FSANZ</w:t>
      </w:r>
      <w:r w:rsidR="009E2701">
        <w:t>’s</w:t>
      </w:r>
      <w:r>
        <w:t xml:space="preserve"> original proposal in 2016. </w:t>
      </w:r>
    </w:p>
    <w:p w14:paraId="7EB62509" w14:textId="77777777" w:rsidR="00776154" w:rsidRDefault="00776154" w:rsidP="00776154"/>
    <w:p w14:paraId="2CB7CCF2" w14:textId="6110B567" w:rsidR="00776154" w:rsidRPr="00DD1E70" w:rsidRDefault="00776154" w:rsidP="00776154">
      <w:r w:rsidRPr="00736AF0">
        <w:t xml:space="preserve">FSANZ is aware that there has been confusion amongst submitters between the prescribed maximum amount for individual nucleotides, and the combined total limit of nucleotides. </w:t>
      </w:r>
      <w:r w:rsidRPr="00736AF0">
        <w:rPr>
          <w:iCs/>
        </w:rPr>
        <w:t xml:space="preserve">The revised Code clarifies </w:t>
      </w:r>
      <w:r w:rsidRPr="00736AF0">
        <w:t>that the combined total nucleotide content is intended to include naturally occurring nucleotides which means that not all</w:t>
      </w:r>
      <w:r w:rsidRPr="00736AF0">
        <w:rPr>
          <w:rFonts w:cs="Arial"/>
        </w:rPr>
        <w:t xml:space="preserve"> individual nucleotides can be present</w:t>
      </w:r>
      <w:r>
        <w:rPr>
          <w:rFonts w:cs="Arial"/>
        </w:rPr>
        <w:t xml:space="preserve"> in</w:t>
      </w:r>
      <w:r w:rsidRPr="00736AF0">
        <w:rPr>
          <w:rFonts w:cs="Arial"/>
        </w:rPr>
        <w:t xml:space="preserve"> infant formula at their individual maximum amounts</w:t>
      </w:r>
      <w:r w:rsidRPr="00195925">
        <w:rPr>
          <w:rFonts w:cs="Arial"/>
        </w:rPr>
        <w:t xml:space="preserve"> </w:t>
      </w:r>
      <w:r>
        <w:rPr>
          <w:rFonts w:cs="Arial"/>
        </w:rPr>
        <w:t>from addition alone</w:t>
      </w:r>
      <w:r w:rsidRPr="00736AF0">
        <w:rPr>
          <w:rFonts w:cs="Arial"/>
        </w:rPr>
        <w:t>.</w:t>
      </w:r>
      <w:r w:rsidRPr="00736AF0">
        <w:t xml:space="preserve"> The prescribed maximum for each nucleotide</w:t>
      </w:r>
      <w:r w:rsidR="00D033BE">
        <w:t>-</w:t>
      </w:r>
      <w:r w:rsidRPr="00736AF0">
        <w:t>5’</w:t>
      </w:r>
      <w:r w:rsidR="00D033BE">
        <w:t>-</w:t>
      </w:r>
      <w:r w:rsidRPr="00736AF0">
        <w:t>monophosphate</w:t>
      </w:r>
      <w:r w:rsidRPr="00736AF0">
        <w:rPr>
          <w:i/>
          <w:iCs/>
        </w:rPr>
        <w:t xml:space="preserve"> </w:t>
      </w:r>
      <w:r w:rsidRPr="00736AF0">
        <w:t>sums to 0.76 mg/100 kJ.</w:t>
      </w:r>
    </w:p>
    <w:p w14:paraId="223E315D" w14:textId="77777777" w:rsidR="00776154" w:rsidRDefault="00776154" w:rsidP="00776154">
      <w:pPr>
        <w:pStyle w:val="Heading4"/>
      </w:pPr>
      <w:r w:rsidRPr="00BA1FD9">
        <w:t>Prop</w:t>
      </w:r>
      <w:r>
        <w:t>o</w:t>
      </w:r>
      <w:r w:rsidRPr="00BA1FD9">
        <w:t xml:space="preserve">sed </w:t>
      </w:r>
      <w:r>
        <w:t>approach</w:t>
      </w:r>
    </w:p>
    <w:p w14:paraId="46F88145" w14:textId="5C4580F0" w:rsidR="00776154" w:rsidRDefault="00776154" w:rsidP="00776154">
      <w:pPr>
        <w:rPr>
          <w:lang w:eastAsia="en-AU" w:bidi="ar-SA"/>
        </w:rPr>
      </w:pPr>
      <w:r>
        <w:rPr>
          <w:lang w:val="en-AU" w:bidi="ar-SA"/>
        </w:rPr>
        <w:t>Based on above discussion</w:t>
      </w:r>
      <w:r w:rsidR="00222842">
        <w:rPr>
          <w:lang w:val="en-AU" w:bidi="ar-SA"/>
        </w:rPr>
        <w:t>,</w:t>
      </w:r>
      <w:r>
        <w:rPr>
          <w:lang w:val="en-AU" w:bidi="ar-SA"/>
        </w:rPr>
        <w:t xml:space="preserve"> FSANZ proposes retaining </w:t>
      </w:r>
      <w:r w:rsidR="00370498">
        <w:rPr>
          <w:lang w:val="en-AU" w:bidi="ar-SA"/>
        </w:rPr>
        <w:t xml:space="preserve">both </w:t>
      </w:r>
      <w:r>
        <w:rPr>
          <w:lang w:val="en-AU" w:bidi="ar-SA"/>
        </w:rPr>
        <w:t xml:space="preserve">the current permission </w:t>
      </w:r>
      <w:r w:rsidR="00370498">
        <w:rPr>
          <w:lang w:val="en-AU" w:bidi="ar-SA"/>
        </w:rPr>
        <w:t xml:space="preserve">in Schedule 29 </w:t>
      </w:r>
      <w:r>
        <w:rPr>
          <w:lang w:val="en-AU" w:bidi="ar-SA"/>
        </w:rPr>
        <w:t xml:space="preserve">and </w:t>
      </w:r>
      <w:r w:rsidR="00370498">
        <w:rPr>
          <w:lang w:val="en-AU" w:bidi="ar-SA"/>
        </w:rPr>
        <w:t xml:space="preserve">the </w:t>
      </w:r>
      <w:r>
        <w:rPr>
          <w:lang w:val="en-AU" w:bidi="ar-SA"/>
        </w:rPr>
        <w:t xml:space="preserve">maximum total limit of nucleotides </w:t>
      </w:r>
      <w:r w:rsidR="00370498">
        <w:t xml:space="preserve">prescribed in </w:t>
      </w:r>
      <w:r w:rsidR="00C4648B">
        <w:t>S</w:t>
      </w:r>
      <w:r w:rsidR="00370498">
        <w:t>tandard 2.9.1</w:t>
      </w:r>
      <w:r>
        <w:rPr>
          <w:lang w:eastAsia="en-AU" w:bidi="ar-SA"/>
        </w:rPr>
        <w:t xml:space="preserve">. </w:t>
      </w:r>
    </w:p>
    <w:p w14:paraId="2CB688E3" w14:textId="77777777" w:rsidR="00D62B4C" w:rsidRDefault="00D62B4C" w:rsidP="00776154">
      <w:pPr>
        <w:rPr>
          <w:lang w:eastAsia="en-AU" w:bidi="ar-SA"/>
        </w:rPr>
      </w:pPr>
    </w:p>
    <w:p w14:paraId="3BB3A7CC" w14:textId="7345700C" w:rsidR="00450004" w:rsidRDefault="00450004" w:rsidP="00776154"/>
    <w:p w14:paraId="1AB6881B" w14:textId="433865D6" w:rsidR="00450004" w:rsidRPr="0008230C" w:rsidRDefault="001C24DD" w:rsidP="00450004">
      <w:pPr>
        <w:pStyle w:val="Heading1"/>
      </w:pPr>
      <w:bookmarkStart w:id="461" w:name="_Toc438129599"/>
      <w:bookmarkStart w:id="462" w:name="_Toc443301522"/>
      <w:bookmarkStart w:id="463" w:name="_Toc73455661"/>
      <w:bookmarkStart w:id="464" w:name="_Toc73624934"/>
      <w:bookmarkStart w:id="465" w:name="_Toc76138302"/>
      <w:r>
        <w:t>9</w:t>
      </w:r>
      <w:r w:rsidR="00450004">
        <w:t>.</w:t>
      </w:r>
      <w:r w:rsidR="006607D9">
        <w:tab/>
        <w:t>List o</w:t>
      </w:r>
      <w:r w:rsidR="00450004" w:rsidRPr="0008230C">
        <w:t>f questions to submitters</w:t>
      </w:r>
      <w:bookmarkEnd w:id="461"/>
      <w:bookmarkEnd w:id="462"/>
      <w:bookmarkEnd w:id="463"/>
      <w:bookmarkEnd w:id="464"/>
      <w:bookmarkEnd w:id="465"/>
    </w:p>
    <w:p w14:paraId="67902C01" w14:textId="1632BF1A" w:rsidR="00450004" w:rsidRDefault="00450004" w:rsidP="00450004">
      <w:pPr>
        <w:ind w:right="-613"/>
      </w:pPr>
      <w:r w:rsidRPr="00644063">
        <w:rPr>
          <w:lang w:bidi="ar-SA"/>
        </w:rPr>
        <w:t>FSANZ invites s</w:t>
      </w:r>
      <w:r>
        <w:rPr>
          <w:lang w:bidi="ar-SA"/>
        </w:rPr>
        <w:t>takeholders</w:t>
      </w:r>
      <w:r w:rsidRPr="00644063">
        <w:t xml:space="preserve"> to provide comment on the proposed approaches as outlined in this paper. To facilitate this feedback, FSANZ has proposed a series of questions for consideration.</w:t>
      </w:r>
      <w:r>
        <w:t xml:space="preserve"> As noted in relevant sections, some of these questions pertain to a lack of information that will be needed to support proposed options in the 1</w:t>
      </w:r>
      <w:r w:rsidRPr="00575519">
        <w:rPr>
          <w:vertAlign w:val="superscript"/>
        </w:rPr>
        <w:t>st</w:t>
      </w:r>
      <w:r>
        <w:t xml:space="preserve"> Call for Submissions paper. </w:t>
      </w:r>
    </w:p>
    <w:p w14:paraId="20F5050C" w14:textId="77777777" w:rsidR="00450004" w:rsidRDefault="00450004" w:rsidP="00450004">
      <w:pPr>
        <w:ind w:right="-613"/>
      </w:pPr>
    </w:p>
    <w:p w14:paraId="72CF594D" w14:textId="77777777" w:rsidR="00450004" w:rsidRPr="00644063" w:rsidRDefault="00450004" w:rsidP="00450004">
      <w:pPr>
        <w:ind w:right="-613"/>
      </w:pPr>
      <w:r>
        <w:t>In addition, t</w:t>
      </w:r>
      <w:r w:rsidRPr="00FB2EDF">
        <w:t xml:space="preserve">he purpose of some of these questions </w:t>
      </w:r>
      <w:r>
        <w:t xml:space="preserve">will be to </w:t>
      </w:r>
      <w:r w:rsidRPr="00FB2EDF">
        <w:t>inform a CRIS</w:t>
      </w:r>
      <w:r>
        <w:t xml:space="preserve"> should one be required. Additional information </w:t>
      </w:r>
      <w:r w:rsidRPr="00FB2EDF">
        <w:t xml:space="preserve">on costs and benefits would also be useful to help us consider </w:t>
      </w:r>
      <w:r>
        <w:t xml:space="preserve">cost/benefit </w:t>
      </w:r>
      <w:r w:rsidRPr="00FB2EDF">
        <w:t>in accordance with</w:t>
      </w:r>
      <w:r>
        <w:t xml:space="preserve"> the FSANZ</w:t>
      </w:r>
      <w:r w:rsidRPr="00FB2EDF">
        <w:t xml:space="preserve"> Act.</w:t>
      </w:r>
      <w:r>
        <w:t xml:space="preserve"> </w:t>
      </w:r>
    </w:p>
    <w:p w14:paraId="17A1C4CE" w14:textId="77777777" w:rsidR="00450004" w:rsidRPr="0011447C" w:rsidRDefault="00450004" w:rsidP="00450004">
      <w:pPr>
        <w:rPr>
          <w:lang w:bidi="ar-SA"/>
        </w:rPr>
      </w:pPr>
    </w:p>
    <w:tbl>
      <w:tblPr>
        <w:tblStyle w:val="TableGrid"/>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List of questions for submitters"/>
        <w:tblDescription w:val="This table summaries a list of questions for submitters."/>
      </w:tblPr>
      <w:tblGrid>
        <w:gridCol w:w="9639"/>
      </w:tblGrid>
      <w:tr w:rsidR="00450004" w:rsidRPr="003A235F" w14:paraId="28754691" w14:textId="77777777" w:rsidTr="00401B83">
        <w:trPr>
          <w:tblHeader/>
        </w:trPr>
        <w:tc>
          <w:tcPr>
            <w:tcW w:w="9639" w:type="dxa"/>
            <w:shd w:val="clear" w:color="auto" w:fill="DDD9C3" w:themeFill="background2" w:themeFillShade="E6"/>
          </w:tcPr>
          <w:p w14:paraId="3407C09E" w14:textId="77777777" w:rsidR="00450004" w:rsidRPr="003A235F" w:rsidRDefault="00450004" w:rsidP="00297132">
            <w:pPr>
              <w:spacing w:before="120" w:after="120"/>
              <w:jc w:val="center"/>
              <w:rPr>
                <w:b/>
                <w:color w:val="FFFFFF" w:themeColor="background1"/>
                <w:szCs w:val="20"/>
                <w:lang w:bidi="ar-SA"/>
              </w:rPr>
            </w:pPr>
            <w:bookmarkStart w:id="466" w:name="_Toc67393523"/>
            <w:r w:rsidRPr="00401B83">
              <w:rPr>
                <w:b/>
                <w:sz w:val="24"/>
                <w:szCs w:val="20"/>
                <w:lang w:bidi="ar-SA"/>
              </w:rPr>
              <w:lastRenderedPageBreak/>
              <w:t>Questions for submitters</w:t>
            </w:r>
          </w:p>
        </w:tc>
      </w:tr>
      <w:tr w:rsidR="006607D9" w:rsidRPr="003A235F" w14:paraId="458734AD" w14:textId="77777777" w:rsidTr="006607D9">
        <w:tc>
          <w:tcPr>
            <w:tcW w:w="9639" w:type="dxa"/>
            <w:shd w:val="clear" w:color="auto" w:fill="E5DFEC" w:themeFill="accent4" w:themeFillTint="33"/>
          </w:tcPr>
          <w:p w14:paraId="6B9EC8B8" w14:textId="6AC386EE" w:rsidR="006607D9" w:rsidRDefault="006607D9" w:rsidP="008C5792">
            <w:pPr>
              <w:spacing w:before="120" w:after="120"/>
              <w:jc w:val="center"/>
              <w:rPr>
                <w:i/>
                <w:szCs w:val="20"/>
              </w:rPr>
            </w:pPr>
            <w:r>
              <w:rPr>
                <w:i/>
                <w:szCs w:val="20"/>
              </w:rPr>
              <w:t>General question related to the Consultation paper</w:t>
            </w:r>
          </w:p>
        </w:tc>
      </w:tr>
      <w:tr w:rsidR="006607D9" w:rsidRPr="003A235F" w14:paraId="71C2F0C0" w14:textId="77777777" w:rsidTr="006607D9">
        <w:tc>
          <w:tcPr>
            <w:tcW w:w="9639" w:type="dxa"/>
            <w:shd w:val="clear" w:color="auto" w:fill="FFFFFF" w:themeFill="background1"/>
          </w:tcPr>
          <w:p w14:paraId="73DFB511" w14:textId="77777777" w:rsidR="006607D9" w:rsidRPr="006607D9" w:rsidRDefault="006607D9" w:rsidP="00774FC6">
            <w:pPr>
              <w:pStyle w:val="ListParagraph"/>
              <w:widowControl w:val="0"/>
              <w:numPr>
                <w:ilvl w:val="0"/>
                <w:numId w:val="18"/>
              </w:numPr>
              <w:spacing w:before="120" w:after="120"/>
              <w:rPr>
                <w:i/>
                <w:szCs w:val="20"/>
              </w:rPr>
            </w:pPr>
            <w:r w:rsidRPr="006607D9">
              <w:rPr>
                <w:szCs w:val="20"/>
                <w:lang w:eastAsia="en-AU"/>
              </w:rPr>
              <w:t>In addition to your submissions from previous Consultations for this Proposal, do you have any further comments on how any of our proposed options in this paper would affect market opportunities for infant f</w:t>
            </w:r>
            <w:r>
              <w:rPr>
                <w:szCs w:val="20"/>
                <w:lang w:eastAsia="en-AU"/>
              </w:rPr>
              <w:t xml:space="preserve">ormula? Please provide evidence of practical barriers </w:t>
            </w:r>
            <w:r w:rsidRPr="006607D9">
              <w:rPr>
                <w:szCs w:val="20"/>
                <w:lang w:eastAsia="en-AU"/>
              </w:rPr>
              <w:t>and quantify impacts where possible.</w:t>
            </w:r>
          </w:p>
          <w:p w14:paraId="25C42B6E" w14:textId="2FD4D2E0" w:rsidR="006607D9" w:rsidRPr="006607D9" w:rsidRDefault="000F1668" w:rsidP="00774FC6">
            <w:pPr>
              <w:pStyle w:val="ListParagraph"/>
              <w:widowControl w:val="0"/>
              <w:numPr>
                <w:ilvl w:val="0"/>
                <w:numId w:val="18"/>
              </w:numPr>
              <w:rPr>
                <w:szCs w:val="20"/>
                <w:lang w:eastAsia="en-AU"/>
              </w:rPr>
            </w:pPr>
            <w:r>
              <w:rPr>
                <w:szCs w:val="20"/>
                <w:lang w:eastAsia="en-AU"/>
              </w:rPr>
              <w:t xml:space="preserve">With the proposed approaches for </w:t>
            </w:r>
            <w:r w:rsidR="006607D9">
              <w:rPr>
                <w:szCs w:val="20"/>
                <w:lang w:eastAsia="en-AU"/>
              </w:rPr>
              <w:t xml:space="preserve">Standard 2.9.1 or Schedule 29 in this Consultation paper, will small or large businesses be disproportionately impacted if a new permission </w:t>
            </w:r>
            <w:r w:rsidR="00ED0F7B">
              <w:rPr>
                <w:szCs w:val="20"/>
                <w:lang w:eastAsia="en-AU"/>
              </w:rPr>
              <w:t xml:space="preserve">or restriction </w:t>
            </w:r>
            <w:r w:rsidR="006607D9">
              <w:rPr>
                <w:szCs w:val="20"/>
                <w:lang w:eastAsia="en-AU"/>
              </w:rPr>
              <w:t xml:space="preserve">does not align with international regulations or standards? </w:t>
            </w:r>
            <w:r w:rsidR="006607D9" w:rsidRPr="00FB2EDF">
              <w:rPr>
                <w:szCs w:val="20"/>
                <w:lang w:eastAsia="en-AU"/>
              </w:rPr>
              <w:t>?</w:t>
            </w:r>
            <w:r w:rsidR="006607D9">
              <w:rPr>
                <w:szCs w:val="20"/>
                <w:lang w:eastAsia="en-AU"/>
              </w:rPr>
              <w:t xml:space="preserve">  If so can you specify how by providing quantitative evidence where possible?</w:t>
            </w:r>
          </w:p>
        </w:tc>
      </w:tr>
      <w:tr w:rsidR="00450004" w:rsidRPr="003A235F" w14:paraId="268ACBC1" w14:textId="77777777" w:rsidTr="00401B83">
        <w:tc>
          <w:tcPr>
            <w:tcW w:w="9639" w:type="dxa"/>
            <w:shd w:val="clear" w:color="auto" w:fill="EAF1DD" w:themeFill="accent3" w:themeFillTint="33"/>
          </w:tcPr>
          <w:p w14:paraId="3620E1FF" w14:textId="06E6ECA0" w:rsidR="00450004" w:rsidRPr="008078A7" w:rsidRDefault="00450004" w:rsidP="008C5792">
            <w:pPr>
              <w:spacing w:before="120" w:after="120"/>
              <w:jc w:val="center"/>
              <w:rPr>
                <w:szCs w:val="20"/>
                <w:lang w:bidi="ar-SA"/>
              </w:rPr>
            </w:pPr>
            <w:r w:rsidRPr="008078A7">
              <w:rPr>
                <w:i/>
                <w:szCs w:val="20"/>
              </w:rPr>
              <w:t xml:space="preserve">Questions about </w:t>
            </w:r>
            <w:r w:rsidR="008C5792" w:rsidRPr="008078A7">
              <w:rPr>
                <w:i/>
                <w:szCs w:val="20"/>
              </w:rPr>
              <w:t>the minimum LA requirement. (Section 5.3)</w:t>
            </w:r>
          </w:p>
        </w:tc>
      </w:tr>
      <w:tr w:rsidR="00450004" w:rsidRPr="003A235F" w14:paraId="341ECBD0" w14:textId="77777777" w:rsidTr="00297132">
        <w:tc>
          <w:tcPr>
            <w:tcW w:w="9639" w:type="dxa"/>
            <w:shd w:val="clear" w:color="auto" w:fill="auto"/>
          </w:tcPr>
          <w:p w14:paraId="7FE2F749" w14:textId="77777777" w:rsidR="00450004" w:rsidRPr="00401B83" w:rsidRDefault="008C5792" w:rsidP="00774FC6">
            <w:pPr>
              <w:pStyle w:val="ListParagraph"/>
              <w:widowControl w:val="0"/>
              <w:numPr>
                <w:ilvl w:val="0"/>
                <w:numId w:val="18"/>
              </w:numPr>
              <w:spacing w:before="120" w:after="120"/>
              <w:rPr>
                <w:szCs w:val="20"/>
                <w:lang w:eastAsia="en-AU"/>
              </w:rPr>
            </w:pPr>
            <w:r w:rsidRPr="00401B83">
              <w:rPr>
                <w:szCs w:val="20"/>
                <w:lang w:eastAsia="en-AU"/>
              </w:rPr>
              <w:t>Do you support retaining the current minimum requirement for LA (9% total fatty acids) in infant formula? Please provide your rationale and any supporting evidence.</w:t>
            </w:r>
            <w:r w:rsidR="00450004" w:rsidRPr="00401B83">
              <w:rPr>
                <w:szCs w:val="20"/>
                <w:lang w:eastAsia="en-AU"/>
              </w:rPr>
              <w:t xml:space="preserve"> </w:t>
            </w:r>
          </w:p>
          <w:p w14:paraId="6E578CF7" w14:textId="3096748F" w:rsidR="008C5792" w:rsidRPr="00401B83" w:rsidRDefault="008C5792" w:rsidP="00774FC6">
            <w:pPr>
              <w:pStyle w:val="ListParagraph"/>
              <w:widowControl w:val="0"/>
              <w:numPr>
                <w:ilvl w:val="0"/>
                <w:numId w:val="18"/>
              </w:numPr>
              <w:spacing w:before="120" w:after="120"/>
              <w:rPr>
                <w:szCs w:val="20"/>
                <w:lang w:eastAsia="en-AU"/>
              </w:rPr>
            </w:pPr>
            <w:r w:rsidRPr="00401B83">
              <w:rPr>
                <w:szCs w:val="20"/>
                <w:lang w:eastAsia="en-AU"/>
              </w:rPr>
              <w:t xml:space="preserve">Are there any technical issues </w:t>
            </w:r>
            <w:r w:rsidR="00D77F83">
              <w:rPr>
                <w:szCs w:val="20"/>
                <w:lang w:eastAsia="en-AU"/>
              </w:rPr>
              <w:t>related to increasing the LA minimum in</w:t>
            </w:r>
            <w:r w:rsidRPr="00401B83">
              <w:rPr>
                <w:szCs w:val="20"/>
                <w:lang w:eastAsia="en-AU"/>
              </w:rPr>
              <w:t xml:space="preserve"> Standard 2.9.1 </w:t>
            </w:r>
            <w:r w:rsidR="00D77F83">
              <w:rPr>
                <w:szCs w:val="20"/>
                <w:lang w:eastAsia="en-AU"/>
              </w:rPr>
              <w:t>to align with</w:t>
            </w:r>
            <w:r w:rsidRPr="00401B83">
              <w:rPr>
                <w:szCs w:val="20"/>
                <w:lang w:eastAsia="en-AU"/>
              </w:rPr>
              <w:t xml:space="preserve"> the higher EU 2016/127 level of 120 mg/100 kJ?</w:t>
            </w:r>
          </w:p>
          <w:p w14:paraId="4F1D5A52" w14:textId="63B85B5A" w:rsidR="008078A7" w:rsidRPr="008078A7" w:rsidRDefault="008C5792" w:rsidP="00774FC6">
            <w:pPr>
              <w:pStyle w:val="ListParagraph"/>
              <w:widowControl w:val="0"/>
              <w:numPr>
                <w:ilvl w:val="0"/>
                <w:numId w:val="18"/>
              </w:numPr>
              <w:spacing w:before="120" w:after="120"/>
              <w:rPr>
                <w:color w:val="0070C0"/>
                <w:sz w:val="16"/>
              </w:rPr>
            </w:pPr>
            <w:r w:rsidRPr="00401B83">
              <w:rPr>
                <w:szCs w:val="20"/>
                <w:lang w:eastAsia="en-AU"/>
              </w:rPr>
              <w:t>Can you provide data on the LA levels in commercially available infant formula internationally? This information can be provided as ‘Commercial in confidence’ if required.</w:t>
            </w:r>
          </w:p>
        </w:tc>
      </w:tr>
      <w:tr w:rsidR="00450004" w:rsidRPr="003A235F" w14:paraId="1FD8F59C" w14:textId="77777777" w:rsidTr="00401B83">
        <w:trPr>
          <w:trHeight w:val="361"/>
        </w:trPr>
        <w:tc>
          <w:tcPr>
            <w:tcW w:w="9639" w:type="dxa"/>
            <w:shd w:val="clear" w:color="auto" w:fill="DBE5F1" w:themeFill="accent1" w:themeFillTint="33"/>
          </w:tcPr>
          <w:p w14:paraId="1C7DC41B" w14:textId="140082F4" w:rsidR="00450004" w:rsidRPr="00FB2EDF" w:rsidRDefault="00450004" w:rsidP="008C5792">
            <w:pPr>
              <w:spacing w:before="120" w:after="120"/>
              <w:jc w:val="center"/>
              <w:rPr>
                <w:i/>
                <w:szCs w:val="20"/>
              </w:rPr>
            </w:pPr>
            <w:r w:rsidRPr="009422F1">
              <w:rPr>
                <w:i/>
                <w:szCs w:val="20"/>
              </w:rPr>
              <w:t>Questions about</w:t>
            </w:r>
            <w:r w:rsidR="008C5792">
              <w:rPr>
                <w:i/>
                <w:szCs w:val="20"/>
              </w:rPr>
              <w:t xml:space="preserve"> setting</w:t>
            </w:r>
            <w:r w:rsidRPr="009422F1">
              <w:rPr>
                <w:i/>
                <w:szCs w:val="20"/>
              </w:rPr>
              <w:t xml:space="preserve"> </w:t>
            </w:r>
            <w:r w:rsidR="008C5792" w:rsidRPr="008C5792">
              <w:rPr>
                <w:i/>
                <w:szCs w:val="20"/>
              </w:rPr>
              <w:t xml:space="preserve">separate maximum iron levels for soy-based infant formula. </w:t>
            </w:r>
            <w:r w:rsidRPr="009422F1">
              <w:rPr>
                <w:i/>
                <w:szCs w:val="20"/>
              </w:rPr>
              <w:t xml:space="preserve">(Section </w:t>
            </w:r>
            <w:r w:rsidR="008C5792" w:rsidRPr="00BA537C">
              <w:rPr>
                <w:i/>
              </w:rPr>
              <w:t>7.3.3.5</w:t>
            </w:r>
            <w:r w:rsidRPr="00ED336C">
              <w:rPr>
                <w:i/>
                <w:szCs w:val="20"/>
              </w:rPr>
              <w:t>)</w:t>
            </w:r>
          </w:p>
        </w:tc>
      </w:tr>
      <w:tr w:rsidR="00450004" w:rsidRPr="003A235F" w14:paraId="4DC648CD" w14:textId="77777777" w:rsidTr="008078A7">
        <w:trPr>
          <w:trHeight w:val="675"/>
        </w:trPr>
        <w:tc>
          <w:tcPr>
            <w:tcW w:w="9639" w:type="dxa"/>
            <w:shd w:val="clear" w:color="auto" w:fill="FFFFFF" w:themeFill="background1"/>
          </w:tcPr>
          <w:p w14:paraId="6153252E" w14:textId="1DA674BE" w:rsidR="00450004" w:rsidRPr="009422F1" w:rsidRDefault="00450004" w:rsidP="00774FC6">
            <w:pPr>
              <w:pStyle w:val="ListParagraph"/>
              <w:widowControl w:val="0"/>
              <w:numPr>
                <w:ilvl w:val="0"/>
                <w:numId w:val="18"/>
              </w:numPr>
              <w:spacing w:before="120" w:after="120"/>
              <w:rPr>
                <w:i/>
                <w:szCs w:val="20"/>
              </w:rPr>
            </w:pPr>
            <w:r w:rsidRPr="00FB2EDF">
              <w:rPr>
                <w:szCs w:val="20"/>
                <w:lang w:eastAsia="en-AU"/>
              </w:rPr>
              <w:t xml:space="preserve"> </w:t>
            </w:r>
            <w:r w:rsidR="008C5792" w:rsidRPr="008C5792">
              <w:rPr>
                <w:szCs w:val="20"/>
                <w:lang w:eastAsia="en-AU"/>
              </w:rPr>
              <w:t>Do you support setting a separate iron maximum for soy-based infant formula? Please provide your rationale and evidence to support your answer.</w:t>
            </w:r>
          </w:p>
        </w:tc>
      </w:tr>
      <w:tr w:rsidR="00450004" w:rsidRPr="003A235F" w14:paraId="1D6F60BD" w14:textId="77777777" w:rsidTr="00401B83">
        <w:trPr>
          <w:trHeight w:val="283"/>
        </w:trPr>
        <w:tc>
          <w:tcPr>
            <w:tcW w:w="9639" w:type="dxa"/>
            <w:shd w:val="clear" w:color="auto" w:fill="DAEEF3" w:themeFill="accent5" w:themeFillTint="33"/>
          </w:tcPr>
          <w:p w14:paraId="4AE3BA50" w14:textId="2248D26B" w:rsidR="00450004" w:rsidRDefault="008C5792" w:rsidP="008C5792">
            <w:pPr>
              <w:spacing w:before="120" w:after="120"/>
              <w:jc w:val="center"/>
              <w:rPr>
                <w:i/>
                <w:szCs w:val="20"/>
                <w:lang w:bidi="ar-SA"/>
              </w:rPr>
            </w:pPr>
            <w:r w:rsidRPr="009422F1">
              <w:rPr>
                <w:i/>
                <w:szCs w:val="20"/>
              </w:rPr>
              <w:t>Questions about</w:t>
            </w:r>
            <w:r>
              <w:rPr>
                <w:i/>
                <w:szCs w:val="20"/>
              </w:rPr>
              <w:t xml:space="preserve"> setting</w:t>
            </w:r>
            <w:r w:rsidRPr="009422F1">
              <w:rPr>
                <w:i/>
                <w:szCs w:val="20"/>
              </w:rPr>
              <w:t xml:space="preserve"> </w:t>
            </w:r>
            <w:r>
              <w:rPr>
                <w:i/>
                <w:szCs w:val="20"/>
              </w:rPr>
              <w:t>a separate</w:t>
            </w:r>
            <w:r w:rsidRPr="008C5792">
              <w:rPr>
                <w:i/>
                <w:szCs w:val="20"/>
              </w:rPr>
              <w:t xml:space="preserve"> </w:t>
            </w:r>
            <w:r>
              <w:rPr>
                <w:i/>
                <w:szCs w:val="20"/>
              </w:rPr>
              <w:t>phosphorus range</w:t>
            </w:r>
            <w:r w:rsidRPr="008C5792">
              <w:rPr>
                <w:i/>
                <w:szCs w:val="20"/>
              </w:rPr>
              <w:t xml:space="preserve"> for soy-based infant formula. </w:t>
            </w:r>
            <w:r w:rsidRPr="009422F1">
              <w:rPr>
                <w:i/>
                <w:szCs w:val="20"/>
              </w:rPr>
              <w:t>(Section</w:t>
            </w:r>
            <w:r w:rsidR="00ED336C">
              <w:rPr>
                <w:i/>
                <w:szCs w:val="20"/>
              </w:rPr>
              <w:t xml:space="preserve"> </w:t>
            </w:r>
            <w:r w:rsidRPr="008C5792">
              <w:rPr>
                <w:i/>
                <w:szCs w:val="20"/>
              </w:rPr>
              <w:t>7.4.1</w:t>
            </w:r>
            <w:r w:rsidRPr="009422F1">
              <w:rPr>
                <w:i/>
                <w:szCs w:val="20"/>
              </w:rPr>
              <w:t xml:space="preserve"> </w:t>
            </w:r>
            <w:r>
              <w:rPr>
                <w:i/>
                <w:szCs w:val="20"/>
              </w:rPr>
              <w:t>)</w:t>
            </w:r>
          </w:p>
        </w:tc>
      </w:tr>
      <w:tr w:rsidR="00450004" w:rsidRPr="003A235F" w14:paraId="061E5F2B" w14:textId="77777777" w:rsidTr="008078A7">
        <w:trPr>
          <w:trHeight w:val="742"/>
        </w:trPr>
        <w:tc>
          <w:tcPr>
            <w:tcW w:w="9639" w:type="dxa"/>
            <w:shd w:val="clear" w:color="auto" w:fill="FFFFFF" w:themeFill="background1"/>
          </w:tcPr>
          <w:p w14:paraId="54DEE5AF" w14:textId="2E7973A0" w:rsidR="00450004" w:rsidRPr="00A31301" w:rsidRDefault="008C5792" w:rsidP="00774FC6">
            <w:pPr>
              <w:pStyle w:val="ListParagraph"/>
              <w:widowControl w:val="0"/>
              <w:numPr>
                <w:ilvl w:val="0"/>
                <w:numId w:val="18"/>
              </w:numPr>
              <w:spacing w:before="120" w:after="120"/>
              <w:rPr>
                <w:szCs w:val="20"/>
              </w:rPr>
            </w:pPr>
            <w:r w:rsidRPr="008C5792">
              <w:rPr>
                <w:szCs w:val="20"/>
                <w:lang w:eastAsia="en-AU"/>
              </w:rPr>
              <w:t>Do you support setting a separate phosphorus range for soy-based infant formula? Please provide your rationale and evidence to support your answer.</w:t>
            </w:r>
          </w:p>
        </w:tc>
      </w:tr>
      <w:bookmarkEnd w:id="466"/>
    </w:tbl>
    <w:p w14:paraId="46840EA8" w14:textId="4527C414" w:rsidR="00776154" w:rsidRPr="00183A95" w:rsidRDefault="00776154" w:rsidP="00776154">
      <w:pPr>
        <w:rPr>
          <w:lang w:val="en-AU" w:bidi="ar-SA"/>
        </w:rPr>
      </w:pPr>
    </w:p>
    <w:p w14:paraId="77991354" w14:textId="77777777" w:rsidR="00776154" w:rsidRDefault="00776154" w:rsidP="00776154">
      <w:pPr>
        <w:pStyle w:val="Heading1"/>
        <w:pageBreakBefore/>
      </w:pPr>
      <w:bookmarkStart w:id="467" w:name="_Toc442097360"/>
      <w:bookmarkStart w:id="468" w:name="_Toc442101333"/>
      <w:bookmarkStart w:id="469" w:name="_Toc427310839"/>
      <w:bookmarkStart w:id="470" w:name="_Toc431488498"/>
      <w:bookmarkStart w:id="471" w:name="_Toc432434676"/>
      <w:bookmarkStart w:id="472" w:name="_Toc437858809"/>
      <w:bookmarkStart w:id="473" w:name="_Toc440462486"/>
      <w:bookmarkStart w:id="474" w:name="_Toc440470883"/>
      <w:bookmarkStart w:id="475" w:name="_Toc70415497"/>
      <w:bookmarkStart w:id="476" w:name="_Toc73455662"/>
      <w:bookmarkStart w:id="477" w:name="_Toc73624935"/>
      <w:bookmarkStart w:id="478" w:name="_Toc76138303"/>
      <w:bookmarkStart w:id="479" w:name="_Toc412794143"/>
      <w:bookmarkStart w:id="480" w:name="_Toc419280175"/>
      <w:bookmarkEnd w:id="440"/>
      <w:bookmarkEnd w:id="441"/>
      <w:bookmarkEnd w:id="442"/>
      <w:bookmarkEnd w:id="467"/>
      <w:bookmarkEnd w:id="468"/>
      <w:r>
        <w:lastRenderedPageBreak/>
        <w:t>References</w:t>
      </w:r>
      <w:bookmarkEnd w:id="469"/>
      <w:bookmarkEnd w:id="470"/>
      <w:bookmarkEnd w:id="471"/>
      <w:bookmarkEnd w:id="472"/>
      <w:bookmarkEnd w:id="473"/>
      <w:bookmarkEnd w:id="474"/>
      <w:bookmarkEnd w:id="475"/>
      <w:bookmarkEnd w:id="476"/>
      <w:bookmarkEnd w:id="477"/>
      <w:bookmarkEnd w:id="478"/>
      <w:r>
        <w:t xml:space="preserve"> </w:t>
      </w:r>
    </w:p>
    <w:bookmarkEnd w:id="479"/>
    <w:bookmarkEnd w:id="480"/>
    <w:p w14:paraId="2F41C229" w14:textId="1B69049F" w:rsidR="00C4648B" w:rsidRPr="008D1F24" w:rsidRDefault="00C4648B" w:rsidP="00C4648B">
      <w:pPr>
        <w:rPr>
          <w:rFonts w:cs="Arial"/>
          <w:sz w:val="20"/>
          <w:szCs w:val="20"/>
        </w:rPr>
      </w:pPr>
      <w:r w:rsidRPr="008D1F24">
        <w:rPr>
          <w:rFonts w:cs="Arial"/>
          <w:sz w:val="20"/>
          <w:szCs w:val="20"/>
        </w:rPr>
        <w:t>Agostoni C, Axelsson I, Goulet O, Koletzko B, Michaelsen KF, Puntis J, Rieu D, Rigo J, Shamir R, Szajewska H, Turck D (2006) ESPGHAN Committee on Nutrition: Soy Protein Infant For</w:t>
      </w:r>
      <w:r w:rsidR="00C94F23">
        <w:rPr>
          <w:rFonts w:cs="Arial"/>
          <w:sz w:val="20"/>
          <w:szCs w:val="20"/>
        </w:rPr>
        <w:t xml:space="preserve">mulae and Follow-On Formulae. J. </w:t>
      </w:r>
      <w:r w:rsidRPr="008D1F24">
        <w:rPr>
          <w:rFonts w:cs="Arial"/>
          <w:sz w:val="20"/>
          <w:szCs w:val="20"/>
        </w:rPr>
        <w:t>Pediatr</w:t>
      </w:r>
      <w:r w:rsidR="00C94F23">
        <w:rPr>
          <w:rFonts w:cs="Arial"/>
          <w:sz w:val="20"/>
          <w:szCs w:val="20"/>
        </w:rPr>
        <w:t>.</w:t>
      </w:r>
      <w:r w:rsidRPr="008D1F24">
        <w:rPr>
          <w:rFonts w:cs="Arial"/>
          <w:sz w:val="20"/>
          <w:szCs w:val="20"/>
        </w:rPr>
        <w:t xml:space="preserve"> Gastroenterol</w:t>
      </w:r>
      <w:r w:rsidR="00C94F23">
        <w:rPr>
          <w:rFonts w:cs="Arial"/>
          <w:sz w:val="20"/>
          <w:szCs w:val="20"/>
        </w:rPr>
        <w:t>.</w:t>
      </w:r>
      <w:r w:rsidRPr="008D1F24">
        <w:rPr>
          <w:rFonts w:cs="Arial"/>
          <w:sz w:val="20"/>
          <w:szCs w:val="20"/>
        </w:rPr>
        <w:t xml:space="preserve"> Nutr</w:t>
      </w:r>
      <w:r w:rsidR="00C94F23">
        <w:rPr>
          <w:rFonts w:cs="Arial"/>
          <w:sz w:val="20"/>
          <w:szCs w:val="20"/>
        </w:rPr>
        <w:t>.</w:t>
      </w:r>
      <w:r w:rsidRPr="008D1F24">
        <w:rPr>
          <w:rFonts w:cs="Arial"/>
          <w:sz w:val="20"/>
          <w:szCs w:val="20"/>
        </w:rPr>
        <w:t xml:space="preserve"> 42(4): 352-361.</w:t>
      </w:r>
    </w:p>
    <w:p w14:paraId="08C26495" w14:textId="4F2E864D" w:rsidR="00C4648B" w:rsidRDefault="00C4648B" w:rsidP="00C4648B">
      <w:pPr>
        <w:rPr>
          <w:rFonts w:cs="Arial"/>
          <w:sz w:val="20"/>
          <w:szCs w:val="20"/>
        </w:rPr>
      </w:pPr>
      <w:r w:rsidRPr="008D1F24">
        <w:rPr>
          <w:rFonts w:cs="Arial"/>
          <w:sz w:val="20"/>
          <w:szCs w:val="20"/>
        </w:rPr>
        <w:t>doi: 10.1097/01.mpg.0000189358.38427.cd</w:t>
      </w:r>
    </w:p>
    <w:p w14:paraId="46E328BD" w14:textId="77777777" w:rsidR="00C4648B" w:rsidRPr="008D1F24" w:rsidRDefault="00C4648B" w:rsidP="00C4648B">
      <w:pPr>
        <w:rPr>
          <w:rFonts w:cs="Arial"/>
          <w:sz w:val="20"/>
          <w:szCs w:val="20"/>
        </w:rPr>
      </w:pPr>
    </w:p>
    <w:p w14:paraId="1F22B922" w14:textId="006BFDE0" w:rsidR="00ED6A3F" w:rsidRPr="008D1F24" w:rsidRDefault="00ED6A3F" w:rsidP="00ED6A3F">
      <w:pPr>
        <w:rPr>
          <w:rFonts w:cs="Arial"/>
          <w:sz w:val="20"/>
          <w:szCs w:val="20"/>
        </w:rPr>
      </w:pPr>
      <w:r w:rsidRPr="008D1F24">
        <w:rPr>
          <w:rFonts w:cs="Arial"/>
          <w:sz w:val="20"/>
          <w:szCs w:val="20"/>
        </w:rPr>
        <w:t>Ahmed M, Khaleeq A, Munir R, Huma R, Muddassae M, and Naseem S (2017) Determination of macronutrients, micronutrients, non-essential elements in milk based-infant formulas by atomic absorption and inductively coupled plasma-optical emission spectroscopy after microwave and ultrasound assisted digestion. Spectroscopy Lett. 50(2):88-95.</w:t>
      </w:r>
    </w:p>
    <w:p w14:paraId="6A359206" w14:textId="77777777" w:rsidR="00ED6A3F" w:rsidRPr="008D1F24" w:rsidRDefault="00ED6A3F" w:rsidP="00ED6A3F">
      <w:pPr>
        <w:rPr>
          <w:rFonts w:cs="Arial"/>
          <w:sz w:val="20"/>
          <w:szCs w:val="20"/>
        </w:rPr>
      </w:pPr>
    </w:p>
    <w:p w14:paraId="242FEB4A" w14:textId="77777777" w:rsidR="00ED6A3F" w:rsidRPr="008D1F24" w:rsidRDefault="00ED6A3F" w:rsidP="00ED6A3F">
      <w:pPr>
        <w:rPr>
          <w:rFonts w:cs="Arial"/>
          <w:sz w:val="20"/>
          <w:szCs w:val="20"/>
        </w:rPr>
      </w:pPr>
      <w:r w:rsidRPr="008D1F24">
        <w:rPr>
          <w:rFonts w:cs="Arial"/>
          <w:sz w:val="20"/>
          <w:szCs w:val="20"/>
        </w:rPr>
        <w:t>ANZFA (1999a) Preliminary Inquiry Report. Proposal P93 – Infant Formula. Australia New Zealand Food Authority, Canberra.</w:t>
      </w:r>
    </w:p>
    <w:p w14:paraId="5D623A11" w14:textId="77777777" w:rsidR="00ED6A3F" w:rsidRPr="008D1F24" w:rsidRDefault="001938AB" w:rsidP="00ED6A3F">
      <w:pPr>
        <w:rPr>
          <w:rStyle w:val="Hyperlink"/>
          <w:rFonts w:cs="Arial"/>
          <w:sz w:val="20"/>
          <w:szCs w:val="20"/>
        </w:rPr>
      </w:pPr>
      <w:hyperlink r:id="rId48" w:history="1">
        <w:r w:rsidR="00ED6A3F" w:rsidRPr="008D1F24">
          <w:rPr>
            <w:rStyle w:val="Hyperlink"/>
            <w:rFonts w:cs="Arial"/>
            <w:sz w:val="20"/>
            <w:szCs w:val="20"/>
          </w:rPr>
          <w:t>http://www.foodstandards.gov.au/code/proposals/Pages/proposalp93reviewofinfantformula/Default.aspx</w:t>
        </w:r>
      </w:hyperlink>
    </w:p>
    <w:p w14:paraId="1C5A8342" w14:textId="77777777" w:rsidR="00ED6A3F" w:rsidRPr="008D1F24" w:rsidRDefault="00ED6A3F" w:rsidP="00ED6A3F">
      <w:pPr>
        <w:rPr>
          <w:rStyle w:val="Hyperlink"/>
          <w:rFonts w:cs="Arial"/>
          <w:sz w:val="20"/>
          <w:szCs w:val="20"/>
        </w:rPr>
      </w:pPr>
    </w:p>
    <w:p w14:paraId="1FB5C79E" w14:textId="4FEDF127" w:rsidR="00ED6A3F" w:rsidRPr="008D1F24" w:rsidRDefault="00ED6A3F" w:rsidP="00ED6A3F">
      <w:pPr>
        <w:rPr>
          <w:rStyle w:val="Hyperlink"/>
          <w:rFonts w:cs="Arial"/>
          <w:sz w:val="20"/>
          <w:szCs w:val="20"/>
        </w:rPr>
      </w:pPr>
      <w:r w:rsidRPr="008D1F24">
        <w:rPr>
          <w:rFonts w:cs="Arial"/>
          <w:sz w:val="20"/>
          <w:szCs w:val="20"/>
        </w:rPr>
        <w:t>ANZFA (1999b) Preliminary Inquiry Report - Explanatory notes. Proposal P93 – Infant Formula Products. Australia New Z</w:t>
      </w:r>
      <w:r w:rsidR="0032361A">
        <w:rPr>
          <w:rFonts w:cs="Arial"/>
          <w:sz w:val="20"/>
          <w:szCs w:val="20"/>
        </w:rPr>
        <w:t xml:space="preserve">ealand Food Authority, Canberra </w:t>
      </w:r>
      <w:hyperlink r:id="rId49" w:history="1">
        <w:r w:rsidRPr="008D1F24">
          <w:rPr>
            <w:rStyle w:val="Hyperlink"/>
            <w:rFonts w:cs="Arial"/>
            <w:sz w:val="20"/>
            <w:szCs w:val="20"/>
          </w:rPr>
          <w:t>http://www.foodstandards.gov.au/code/proposals/Pages/proposalp93reviewofinfantformula/Default.aspx</w:t>
        </w:r>
      </w:hyperlink>
      <w:r w:rsidRPr="008D1F24">
        <w:rPr>
          <w:rStyle w:val="Hyperlink"/>
          <w:rFonts w:cs="Arial"/>
          <w:sz w:val="20"/>
          <w:szCs w:val="20"/>
        </w:rPr>
        <w:t xml:space="preserve"> </w:t>
      </w:r>
    </w:p>
    <w:p w14:paraId="1BB7B219" w14:textId="77777777" w:rsidR="00ED6A3F" w:rsidRPr="008D1F24" w:rsidRDefault="00ED6A3F" w:rsidP="00ED6A3F">
      <w:pPr>
        <w:rPr>
          <w:rFonts w:cs="Arial"/>
          <w:sz w:val="20"/>
          <w:szCs w:val="20"/>
        </w:rPr>
      </w:pPr>
    </w:p>
    <w:p w14:paraId="7138174F" w14:textId="77777777" w:rsidR="00ED6A3F" w:rsidRPr="008D1F24" w:rsidRDefault="00ED6A3F" w:rsidP="00ED6A3F">
      <w:pPr>
        <w:rPr>
          <w:rFonts w:cs="Arial"/>
          <w:sz w:val="20"/>
          <w:szCs w:val="20"/>
        </w:rPr>
      </w:pPr>
      <w:r w:rsidRPr="008D1F24">
        <w:rPr>
          <w:rFonts w:cs="Arial"/>
          <w:sz w:val="20"/>
          <w:szCs w:val="20"/>
        </w:rPr>
        <w:t>ANZFA (2002) Supplementary Final Assessment (Inquiry – S.24) Report. Proposal P93 – Review of Infant Formula. Australia New Zealand Food Authority, Canberra.</w:t>
      </w:r>
    </w:p>
    <w:p w14:paraId="0FE334AD" w14:textId="77777777" w:rsidR="00ED6A3F" w:rsidRPr="008D1F24" w:rsidRDefault="001938AB" w:rsidP="00ED6A3F">
      <w:pPr>
        <w:rPr>
          <w:rStyle w:val="Hyperlink"/>
          <w:rFonts w:cs="Arial"/>
          <w:sz w:val="20"/>
          <w:szCs w:val="20"/>
        </w:rPr>
      </w:pPr>
      <w:hyperlink r:id="rId50" w:history="1">
        <w:r w:rsidR="00ED6A3F" w:rsidRPr="008D1F24">
          <w:rPr>
            <w:rStyle w:val="Hyperlink"/>
            <w:rFonts w:cs="Arial"/>
            <w:sz w:val="20"/>
            <w:szCs w:val="20"/>
          </w:rPr>
          <w:t>http://www.foodstandards.gov.au/code/proposals/pages/proposalp93reviewofinfantformula/p93finalassessreport1397.aspx</w:t>
        </w:r>
      </w:hyperlink>
    </w:p>
    <w:p w14:paraId="1A6897CF" w14:textId="77777777" w:rsidR="00ED6A3F" w:rsidRPr="008D1F24" w:rsidRDefault="00ED6A3F" w:rsidP="00ED6A3F">
      <w:pPr>
        <w:rPr>
          <w:rFonts w:cs="Arial"/>
          <w:sz w:val="20"/>
          <w:szCs w:val="20"/>
        </w:rPr>
      </w:pPr>
    </w:p>
    <w:p w14:paraId="39949433" w14:textId="77777777" w:rsidR="00ED6A3F" w:rsidRPr="008D1F24" w:rsidRDefault="00ED6A3F" w:rsidP="00ED6A3F">
      <w:pPr>
        <w:rPr>
          <w:rFonts w:cs="Arial"/>
          <w:sz w:val="20"/>
          <w:szCs w:val="20"/>
        </w:rPr>
      </w:pPr>
      <w:r w:rsidRPr="008D1F24">
        <w:rPr>
          <w:rFonts w:ascii="Helvetica" w:hAnsi="Helvetica" w:cs="Helvetica"/>
          <w:color w:val="2A2A2A"/>
          <w:sz w:val="20"/>
          <w:szCs w:val="20"/>
          <w:shd w:val="clear" w:color="auto" w:fill="FFFFFF"/>
        </w:rPr>
        <w:t>Bohn T (2019). Determinants and Determination of Carotenoid Bioavailability from Infant Food Formulas and Adult Nutritionals Including Liquid Dairy Products. </w:t>
      </w:r>
      <w:r w:rsidRPr="00C94F23">
        <w:rPr>
          <w:rStyle w:val="Emphasis"/>
          <w:rFonts w:ascii="Helvetica" w:eastAsiaTheme="majorEastAsia" w:hAnsi="Helvetica" w:cs="Helvetica"/>
          <w:i w:val="0"/>
          <w:color w:val="2A2A2A"/>
          <w:sz w:val="20"/>
          <w:szCs w:val="20"/>
          <w:bdr w:val="none" w:sz="0" w:space="0" w:color="auto" w:frame="1"/>
          <w:shd w:val="clear" w:color="auto" w:fill="FFFFFF"/>
        </w:rPr>
        <w:t>Journal of AOAC INTERNATIONAL</w:t>
      </w:r>
      <w:r w:rsidRPr="008D1F24">
        <w:rPr>
          <w:rFonts w:ascii="Helvetica" w:hAnsi="Helvetica" w:cs="Helvetica"/>
          <w:color w:val="2A2A2A"/>
          <w:sz w:val="20"/>
          <w:szCs w:val="20"/>
          <w:shd w:val="clear" w:color="auto" w:fill="FFFFFF"/>
        </w:rPr>
        <w:t xml:space="preserve"> 102(4) 1044–1058. </w:t>
      </w:r>
      <w:hyperlink r:id="rId51" w:history="1">
        <w:r w:rsidRPr="008D1F24">
          <w:rPr>
            <w:rStyle w:val="Hyperlink"/>
            <w:rFonts w:ascii="Helvetica" w:eastAsiaTheme="majorEastAsia" w:hAnsi="Helvetica" w:cs="Helvetica"/>
            <w:color w:val="006FB7"/>
            <w:sz w:val="20"/>
            <w:szCs w:val="20"/>
            <w:bdr w:val="none" w:sz="0" w:space="0" w:color="auto" w:frame="1"/>
            <w:shd w:val="clear" w:color="auto" w:fill="FFFFFF"/>
          </w:rPr>
          <w:t>https://doi.org/10.5740/jaoacint.19-0015</w:t>
        </w:r>
      </w:hyperlink>
    </w:p>
    <w:p w14:paraId="1406449E" w14:textId="77777777" w:rsidR="00ED6A3F" w:rsidRPr="008D1F24" w:rsidRDefault="00ED6A3F" w:rsidP="00ED6A3F">
      <w:pPr>
        <w:rPr>
          <w:rFonts w:cs="Arial"/>
          <w:sz w:val="20"/>
          <w:szCs w:val="20"/>
        </w:rPr>
      </w:pPr>
    </w:p>
    <w:p w14:paraId="010CDDD0" w14:textId="6A98EE23" w:rsidR="00C4648B" w:rsidRPr="008D1F24" w:rsidRDefault="00C4648B" w:rsidP="00C4648B">
      <w:pPr>
        <w:rPr>
          <w:rFonts w:cs="Arial"/>
          <w:sz w:val="20"/>
          <w:szCs w:val="20"/>
        </w:rPr>
      </w:pPr>
      <w:r w:rsidRPr="008D1F24">
        <w:rPr>
          <w:rFonts w:cs="Arial"/>
          <w:sz w:val="20"/>
          <w:szCs w:val="20"/>
        </w:rPr>
        <w:t>Campos-Giménez E, Bénet S, Oguey Y, Martin F, Redeuil K (2018) The contribution of minor folates to the total vitamin B9 content of Infant formula and clinica</w:t>
      </w:r>
      <w:r w:rsidR="00C94F23">
        <w:rPr>
          <w:rFonts w:cs="Arial"/>
          <w:sz w:val="20"/>
          <w:szCs w:val="20"/>
        </w:rPr>
        <w:t xml:space="preserve">l nutrition products. Food Chem. </w:t>
      </w:r>
      <w:r w:rsidRPr="008D1F24">
        <w:rPr>
          <w:rFonts w:cs="Arial"/>
          <w:sz w:val="20"/>
          <w:szCs w:val="20"/>
        </w:rPr>
        <w:t xml:space="preserve">249: 91-97. </w:t>
      </w:r>
      <w:hyperlink r:id="rId52" w:history="1">
        <w:r w:rsidRPr="008D1F24">
          <w:rPr>
            <w:rStyle w:val="Hyperlink"/>
            <w:rFonts w:cs="Arial"/>
            <w:sz w:val="20"/>
            <w:szCs w:val="20"/>
          </w:rPr>
          <w:t>https://doi.org/10.1016/j.foodchem.2017.12.061</w:t>
        </w:r>
      </w:hyperlink>
      <w:r w:rsidRPr="008D1F24">
        <w:rPr>
          <w:rFonts w:cs="Arial"/>
          <w:sz w:val="20"/>
          <w:szCs w:val="20"/>
        </w:rPr>
        <w:t>.</w:t>
      </w:r>
    </w:p>
    <w:p w14:paraId="45810FFE" w14:textId="77777777" w:rsidR="00C4648B" w:rsidRDefault="00C4648B" w:rsidP="00ED6A3F">
      <w:pPr>
        <w:rPr>
          <w:rFonts w:cs="Arial"/>
          <w:sz w:val="20"/>
          <w:szCs w:val="20"/>
        </w:rPr>
      </w:pPr>
    </w:p>
    <w:p w14:paraId="4F831DF1" w14:textId="41469AC6" w:rsidR="00ED6A3F" w:rsidRPr="008D1F24" w:rsidRDefault="00ED6A3F" w:rsidP="00ED6A3F">
      <w:pPr>
        <w:rPr>
          <w:rFonts w:cs="Arial"/>
          <w:sz w:val="20"/>
          <w:szCs w:val="20"/>
        </w:rPr>
      </w:pPr>
      <w:r w:rsidRPr="008D1F24">
        <w:rPr>
          <w:rFonts w:cs="Arial"/>
          <w:sz w:val="20"/>
          <w:szCs w:val="20"/>
        </w:rPr>
        <w:t>Canfield LM, Clandinin MT, Davies DP, Fernandez MC, Jackson J, Hawkes J, Goldman WJ, Pramuk K, Reyes H, Sablan B, Sonobe T, Bo X (2003) Multinational study of major breast milk carotenoids of healthy mothers. Eur</w:t>
      </w:r>
      <w:r w:rsidR="00C94F23">
        <w:rPr>
          <w:rFonts w:cs="Arial"/>
          <w:sz w:val="20"/>
          <w:szCs w:val="20"/>
        </w:rPr>
        <w:t>.</w:t>
      </w:r>
      <w:r w:rsidRPr="008D1F24">
        <w:rPr>
          <w:rFonts w:cs="Arial"/>
          <w:sz w:val="20"/>
          <w:szCs w:val="20"/>
        </w:rPr>
        <w:t xml:space="preserve"> J</w:t>
      </w:r>
      <w:r w:rsidR="00C94F23">
        <w:rPr>
          <w:rFonts w:cs="Arial"/>
          <w:sz w:val="20"/>
          <w:szCs w:val="20"/>
        </w:rPr>
        <w:t>.</w:t>
      </w:r>
      <w:r w:rsidRPr="008D1F24">
        <w:rPr>
          <w:rFonts w:cs="Arial"/>
          <w:sz w:val="20"/>
          <w:szCs w:val="20"/>
        </w:rPr>
        <w:t xml:space="preserve"> Nutr</w:t>
      </w:r>
      <w:r w:rsidR="00C94F23">
        <w:rPr>
          <w:rFonts w:cs="Arial"/>
          <w:sz w:val="20"/>
          <w:szCs w:val="20"/>
        </w:rPr>
        <w:t>.</w:t>
      </w:r>
      <w:r w:rsidRPr="008D1F24">
        <w:rPr>
          <w:rFonts w:cs="Arial"/>
          <w:sz w:val="20"/>
          <w:szCs w:val="20"/>
        </w:rPr>
        <w:t xml:space="preserve"> 42(3):133–141.</w:t>
      </w:r>
    </w:p>
    <w:p w14:paraId="0FBD8CAA" w14:textId="77777777" w:rsidR="00ED6A3F" w:rsidRPr="008D1F24" w:rsidRDefault="00ED6A3F" w:rsidP="00ED6A3F">
      <w:pPr>
        <w:rPr>
          <w:rFonts w:cs="Arial"/>
          <w:sz w:val="20"/>
          <w:szCs w:val="20"/>
        </w:rPr>
      </w:pPr>
    </w:p>
    <w:p w14:paraId="75CA04F6" w14:textId="77777777" w:rsidR="00ED6A3F" w:rsidRPr="008D1F24" w:rsidRDefault="00ED6A3F" w:rsidP="00ED6A3F">
      <w:pPr>
        <w:rPr>
          <w:rFonts w:cs="Arial"/>
          <w:sz w:val="20"/>
          <w:szCs w:val="20"/>
        </w:rPr>
      </w:pPr>
      <w:r w:rsidRPr="008D1F24">
        <w:rPr>
          <w:rFonts w:cs="Arial"/>
          <w:sz w:val="20"/>
          <w:szCs w:val="20"/>
        </w:rPr>
        <w:t>Casey CE, Smitt A, Zhang P (1995) Microminerals in human and animal milks. In: Jensen RG (ed) Handbook of Milk Composition. Academic Press, New York, NY, p. 622–674</w:t>
      </w:r>
    </w:p>
    <w:p w14:paraId="622D3BD7" w14:textId="77777777" w:rsidR="00ED6A3F" w:rsidRPr="008D1F24" w:rsidRDefault="00ED6A3F" w:rsidP="00ED6A3F">
      <w:pPr>
        <w:rPr>
          <w:rStyle w:val="Hyperlink"/>
          <w:rFonts w:cs="Arial"/>
          <w:sz w:val="20"/>
          <w:szCs w:val="20"/>
        </w:rPr>
      </w:pPr>
      <w:r w:rsidRPr="008D1F24">
        <w:rPr>
          <w:rFonts w:cs="Arial"/>
          <w:sz w:val="20"/>
          <w:szCs w:val="20"/>
        </w:rPr>
        <w:t xml:space="preserve">CCNFSDU (2015) </w:t>
      </w:r>
      <w:r w:rsidRPr="008D1F24">
        <w:rPr>
          <w:rFonts w:cs="Arial"/>
          <w:bCs/>
          <w:sz w:val="20"/>
          <w:szCs w:val="20"/>
          <w:lang w:eastAsia="en-GB" w:bidi="ar-SA"/>
        </w:rPr>
        <w:t xml:space="preserve">Report of the Thirty Seventh Session of the Codex Committee On Nutrition And Foods For Special Dietary Uses </w:t>
      </w:r>
      <w:r w:rsidRPr="008D1F24">
        <w:rPr>
          <w:rFonts w:cs="Arial"/>
          <w:sz w:val="20"/>
          <w:szCs w:val="20"/>
        </w:rPr>
        <w:t xml:space="preserve">(REP16/NFSDU). Codex </w:t>
      </w:r>
      <w:r w:rsidRPr="008D1F24">
        <w:rPr>
          <w:rFonts w:cs="Arial"/>
          <w:bCs/>
          <w:sz w:val="20"/>
          <w:szCs w:val="20"/>
          <w:lang w:eastAsia="en-GB" w:bidi="ar-SA"/>
        </w:rPr>
        <w:t>Alimentarius Commission</w:t>
      </w:r>
      <w:r w:rsidRPr="008D1F24">
        <w:rPr>
          <w:rFonts w:cs="Arial"/>
          <w:sz w:val="20"/>
          <w:szCs w:val="20"/>
        </w:rPr>
        <w:t xml:space="preserve">, Rome. </w:t>
      </w:r>
      <w:hyperlink r:id="rId53" w:history="1">
        <w:r w:rsidRPr="008D1F24">
          <w:rPr>
            <w:rStyle w:val="Hyperlink"/>
            <w:rFonts w:cs="Arial"/>
            <w:sz w:val="20"/>
            <w:szCs w:val="20"/>
          </w:rPr>
          <w:t>http://www.fao.org/fao-who-codexalimentarius/sh-proxy/en/?lnk=1&amp;url=https%253A%252F%252Fworkspace.fao.org%252Fsites%252Fcodex%252FMeetings%252FCX-720-37%252FREP16_NFSDUe.pdf</w:t>
        </w:r>
      </w:hyperlink>
    </w:p>
    <w:p w14:paraId="7C5D8549" w14:textId="77777777" w:rsidR="00ED6A3F" w:rsidRPr="008D1F24" w:rsidRDefault="00ED6A3F" w:rsidP="00ED6A3F">
      <w:pPr>
        <w:rPr>
          <w:rFonts w:cs="Arial"/>
          <w:sz w:val="20"/>
          <w:szCs w:val="20"/>
        </w:rPr>
      </w:pPr>
    </w:p>
    <w:p w14:paraId="2ACF4E16" w14:textId="40F9D990" w:rsidR="00ED6A3F" w:rsidRPr="008D1F24" w:rsidRDefault="00ED6A3F" w:rsidP="00ED6A3F">
      <w:pPr>
        <w:rPr>
          <w:rFonts w:cs="Arial"/>
          <w:sz w:val="20"/>
          <w:szCs w:val="20"/>
        </w:rPr>
      </w:pPr>
      <w:r w:rsidRPr="008D1F24">
        <w:rPr>
          <w:rFonts w:cs="Arial"/>
          <w:sz w:val="20"/>
          <w:szCs w:val="20"/>
        </w:rPr>
        <w:t>Cho WI, Yu HW, Chung HR, Shin CH, Yang SW, Choi CW, Kim BI (2015) Clinical and laboratory characteristics of neonatal hypocalcemia. Ann</w:t>
      </w:r>
      <w:r w:rsidR="00C94F23">
        <w:rPr>
          <w:rFonts w:cs="Arial"/>
          <w:sz w:val="20"/>
          <w:szCs w:val="20"/>
        </w:rPr>
        <w:t>.</w:t>
      </w:r>
      <w:r w:rsidRPr="008D1F24">
        <w:rPr>
          <w:rFonts w:cs="Arial"/>
          <w:sz w:val="20"/>
          <w:szCs w:val="20"/>
        </w:rPr>
        <w:t xml:space="preserve"> Pediatr</w:t>
      </w:r>
      <w:r w:rsidR="00C94F23">
        <w:rPr>
          <w:rFonts w:cs="Arial"/>
          <w:sz w:val="20"/>
          <w:szCs w:val="20"/>
        </w:rPr>
        <w:t>.</w:t>
      </w:r>
      <w:r w:rsidRPr="008D1F24">
        <w:rPr>
          <w:rFonts w:cs="Arial"/>
          <w:sz w:val="20"/>
          <w:szCs w:val="20"/>
        </w:rPr>
        <w:t xml:space="preserve"> Endocrin</w:t>
      </w:r>
      <w:r w:rsidR="00C94F23">
        <w:rPr>
          <w:rFonts w:cs="Arial"/>
          <w:sz w:val="20"/>
          <w:szCs w:val="20"/>
        </w:rPr>
        <w:t>.</w:t>
      </w:r>
      <w:r w:rsidRPr="008D1F24">
        <w:rPr>
          <w:rFonts w:cs="Arial"/>
          <w:sz w:val="20"/>
          <w:szCs w:val="20"/>
        </w:rPr>
        <w:t xml:space="preserve"> Metab</w:t>
      </w:r>
      <w:r w:rsidR="00C94F23">
        <w:rPr>
          <w:rFonts w:cs="Arial"/>
          <w:sz w:val="20"/>
          <w:szCs w:val="20"/>
        </w:rPr>
        <w:t>.</w:t>
      </w:r>
      <w:r w:rsidRPr="008D1F24">
        <w:rPr>
          <w:rFonts w:cs="Arial"/>
          <w:sz w:val="20"/>
          <w:szCs w:val="20"/>
        </w:rPr>
        <w:t xml:space="preserve"> 20(2): 86–91.</w:t>
      </w:r>
    </w:p>
    <w:p w14:paraId="6DF3728A" w14:textId="77777777" w:rsidR="00ED6A3F" w:rsidRPr="008D1F24" w:rsidRDefault="00ED6A3F" w:rsidP="00ED6A3F">
      <w:pPr>
        <w:rPr>
          <w:rFonts w:cs="Arial"/>
          <w:sz w:val="20"/>
          <w:szCs w:val="20"/>
        </w:rPr>
      </w:pPr>
    </w:p>
    <w:p w14:paraId="2F7DFC17" w14:textId="77777777" w:rsidR="00ED6A3F" w:rsidRPr="008D1F24" w:rsidRDefault="00ED6A3F" w:rsidP="00ED6A3F">
      <w:pPr>
        <w:rPr>
          <w:rFonts w:cs="Arial"/>
          <w:sz w:val="20"/>
          <w:szCs w:val="20"/>
        </w:rPr>
      </w:pPr>
      <w:r w:rsidRPr="008D1F24">
        <w:rPr>
          <w:rFonts w:cs="Arial"/>
          <w:sz w:val="20"/>
          <w:szCs w:val="20"/>
        </w:rPr>
        <w:t>Codex (1979) Advisory Lists of Nutrient Compounds for Use in Foods for Special Dietary Uses Intended for Infants and Young Children. Codex Alimentarius CAC/GL 10-1979. Codex Alimentarius Commission, Rome.</w:t>
      </w:r>
    </w:p>
    <w:p w14:paraId="0F3CBDD3" w14:textId="77777777" w:rsidR="00ED6A3F" w:rsidRPr="008D1F24" w:rsidRDefault="001938AB" w:rsidP="00ED6A3F">
      <w:pPr>
        <w:rPr>
          <w:rStyle w:val="Hyperlink"/>
          <w:rFonts w:cs="Arial"/>
          <w:sz w:val="20"/>
          <w:szCs w:val="20"/>
        </w:rPr>
      </w:pPr>
      <w:hyperlink r:id="rId54" w:history="1">
        <w:r w:rsidR="00ED6A3F" w:rsidRPr="008D1F24">
          <w:rPr>
            <w:rStyle w:val="Hyperlink"/>
            <w:rFonts w:cs="Arial"/>
            <w:sz w:val="20"/>
            <w:szCs w:val="20"/>
          </w:rPr>
          <w:t>www.codexalimentarius.org/input/download/standards/300/CXG_010e.pdf</w:t>
        </w:r>
      </w:hyperlink>
    </w:p>
    <w:p w14:paraId="284AF55C" w14:textId="77777777" w:rsidR="00ED6A3F" w:rsidRPr="008D1F24" w:rsidRDefault="00ED6A3F" w:rsidP="00ED6A3F">
      <w:pPr>
        <w:rPr>
          <w:rStyle w:val="Hyperlink"/>
          <w:rFonts w:cs="Arial"/>
          <w:sz w:val="20"/>
          <w:szCs w:val="20"/>
        </w:rPr>
      </w:pPr>
    </w:p>
    <w:p w14:paraId="5EB39C9E" w14:textId="77777777" w:rsidR="00ED6A3F" w:rsidRPr="008D1F24" w:rsidRDefault="00ED6A3F" w:rsidP="00ED6A3F">
      <w:pPr>
        <w:rPr>
          <w:rFonts w:cs="Arial"/>
          <w:sz w:val="20"/>
          <w:szCs w:val="20"/>
        </w:rPr>
      </w:pPr>
      <w:r w:rsidRPr="008D1F24">
        <w:rPr>
          <w:rFonts w:cs="Arial"/>
          <w:sz w:val="20"/>
          <w:szCs w:val="20"/>
        </w:rPr>
        <w:t>Codex (1981) Standard for Infant Formula and Formulas for Special Medical Purposes Intended for Infants. Codex Alimentarius CODEX STAN 72-1981. Codex Alimentarius Commission, Rome.</w:t>
      </w:r>
    </w:p>
    <w:p w14:paraId="2B8C3D34" w14:textId="77777777" w:rsidR="00ED6A3F" w:rsidRPr="008D1F24" w:rsidRDefault="001938AB" w:rsidP="00ED6A3F">
      <w:pPr>
        <w:rPr>
          <w:rStyle w:val="Hyperlink"/>
          <w:rFonts w:cs="Arial"/>
          <w:sz w:val="20"/>
          <w:szCs w:val="20"/>
        </w:rPr>
      </w:pPr>
      <w:hyperlink r:id="rId55" w:history="1">
        <w:r w:rsidR="00ED6A3F" w:rsidRPr="008D1F24">
          <w:rPr>
            <w:rStyle w:val="Hyperlink"/>
            <w:rFonts w:cs="Arial"/>
            <w:sz w:val="20"/>
            <w:szCs w:val="20"/>
          </w:rPr>
          <w:t>www.codexalimentarius.org/input/download/</w:t>
        </w:r>
        <w:r w:rsidR="00ED6A3F" w:rsidRPr="008D1F24">
          <w:rPr>
            <w:rStyle w:val="Hyperlink"/>
            <w:rFonts w:cs="Arial"/>
            <w:bCs/>
            <w:sz w:val="20"/>
            <w:szCs w:val="20"/>
          </w:rPr>
          <w:t>stan</w:t>
        </w:r>
        <w:r w:rsidR="00ED6A3F" w:rsidRPr="008D1F24">
          <w:rPr>
            <w:rStyle w:val="Hyperlink"/>
            <w:rFonts w:cs="Arial"/>
            <w:sz w:val="20"/>
            <w:szCs w:val="20"/>
          </w:rPr>
          <w:t>dards/288/CXS_072e_2015.pdf</w:t>
        </w:r>
      </w:hyperlink>
    </w:p>
    <w:p w14:paraId="3E14CBA2" w14:textId="77777777" w:rsidR="00ED6A3F" w:rsidRPr="008D1F24" w:rsidRDefault="00ED6A3F" w:rsidP="00ED6A3F">
      <w:pPr>
        <w:rPr>
          <w:rFonts w:cs="Arial"/>
          <w:color w:val="000000"/>
          <w:sz w:val="20"/>
          <w:szCs w:val="20"/>
        </w:rPr>
      </w:pPr>
    </w:p>
    <w:p w14:paraId="3ED4D43A" w14:textId="77777777" w:rsidR="00ED6A3F" w:rsidRPr="008D1F24" w:rsidRDefault="00ED6A3F" w:rsidP="00ED6A3F">
      <w:pPr>
        <w:rPr>
          <w:rFonts w:cs="Arial"/>
          <w:sz w:val="20"/>
          <w:szCs w:val="20"/>
        </w:rPr>
      </w:pPr>
      <w:r w:rsidRPr="008D1F24">
        <w:rPr>
          <w:rFonts w:cs="Arial"/>
          <w:sz w:val="20"/>
          <w:szCs w:val="20"/>
        </w:rPr>
        <w:lastRenderedPageBreak/>
        <w:t>Codex (1985) Guidelines on Nutrition Labelling. Codex Alimentarius CAC/GL 2-1985. Codex Alimentarius Commission, Rome.</w:t>
      </w:r>
    </w:p>
    <w:p w14:paraId="05DE8EC3" w14:textId="77777777" w:rsidR="00ED6A3F" w:rsidRPr="008D1F24" w:rsidRDefault="00ED6A3F" w:rsidP="00ED6A3F">
      <w:pPr>
        <w:rPr>
          <w:rFonts w:cs="Arial"/>
          <w:sz w:val="20"/>
          <w:szCs w:val="20"/>
        </w:rPr>
      </w:pPr>
    </w:p>
    <w:p w14:paraId="46179293" w14:textId="77777777" w:rsidR="00ED6A3F" w:rsidRPr="008D1F24" w:rsidRDefault="00ED6A3F" w:rsidP="00ED6A3F">
      <w:pPr>
        <w:rPr>
          <w:rFonts w:cs="Arial"/>
          <w:bCs/>
          <w:sz w:val="20"/>
          <w:szCs w:val="20"/>
        </w:rPr>
      </w:pPr>
      <w:r w:rsidRPr="008D1F24">
        <w:rPr>
          <w:rFonts w:cs="Arial"/>
          <w:sz w:val="20"/>
          <w:szCs w:val="20"/>
        </w:rPr>
        <w:t xml:space="preserve">Codex (2016) </w:t>
      </w:r>
      <w:r w:rsidRPr="008D1F24">
        <w:rPr>
          <w:rFonts w:cs="Arial"/>
          <w:bCs/>
          <w:sz w:val="20"/>
          <w:szCs w:val="20"/>
        </w:rPr>
        <w:t>Nitrogen conversion factor for soy protein.</w:t>
      </w:r>
      <w:r w:rsidRPr="008D1F24">
        <w:rPr>
          <w:rFonts w:cs="Arial"/>
          <w:b/>
          <w:bCs/>
          <w:sz w:val="20"/>
          <w:szCs w:val="20"/>
        </w:rPr>
        <w:t xml:space="preserve"> </w:t>
      </w:r>
      <w:r w:rsidRPr="008D1F24">
        <w:rPr>
          <w:rFonts w:cs="Arial"/>
          <w:sz w:val="20"/>
          <w:szCs w:val="20"/>
        </w:rPr>
        <w:t>37</w:t>
      </w:r>
      <w:r w:rsidRPr="008D1F24">
        <w:rPr>
          <w:rFonts w:cs="Arial"/>
          <w:sz w:val="20"/>
          <w:szCs w:val="20"/>
          <w:vertAlign w:val="superscript"/>
        </w:rPr>
        <w:t>th</w:t>
      </w:r>
      <w:r w:rsidRPr="008D1F24">
        <w:rPr>
          <w:rFonts w:cs="Arial"/>
          <w:sz w:val="20"/>
          <w:szCs w:val="20"/>
        </w:rPr>
        <w:t xml:space="preserve"> Session of the </w:t>
      </w:r>
      <w:r w:rsidRPr="008D1F24">
        <w:rPr>
          <w:rFonts w:cs="Arial"/>
          <w:bCs/>
          <w:sz w:val="20"/>
          <w:szCs w:val="20"/>
        </w:rPr>
        <w:t>Codex Committee on Methods of Analysis Sampling. Budapest, Hungary. Item 107. CRD7-Agenda 2 (Information provided by AOCS).  Available online at</w:t>
      </w:r>
    </w:p>
    <w:p w14:paraId="115EF309" w14:textId="77777777" w:rsidR="00ED6A3F" w:rsidRPr="008D1F24" w:rsidRDefault="001938AB" w:rsidP="00ED6A3F">
      <w:pPr>
        <w:rPr>
          <w:rFonts w:cs="Arial"/>
          <w:sz w:val="20"/>
          <w:szCs w:val="20"/>
        </w:rPr>
      </w:pPr>
      <w:hyperlink r:id="rId56" w:history="1">
        <w:r w:rsidR="00ED6A3F" w:rsidRPr="008D1F24">
          <w:rPr>
            <w:rStyle w:val="Hyperlink"/>
            <w:rFonts w:cs="Arial"/>
            <w:sz w:val="20"/>
            <w:szCs w:val="20"/>
          </w:rPr>
          <w:t>http://www.fao.org/fao-who-codexalimentarius/meetings/detail/en/?meeting=CCMAS&amp;session=37</w:t>
        </w:r>
      </w:hyperlink>
    </w:p>
    <w:p w14:paraId="029E6DC0" w14:textId="77777777" w:rsidR="00ED6A3F" w:rsidRPr="008D1F24" w:rsidRDefault="00ED6A3F" w:rsidP="00ED6A3F">
      <w:pPr>
        <w:rPr>
          <w:rFonts w:cs="Arial"/>
          <w:sz w:val="20"/>
          <w:szCs w:val="20"/>
          <w:shd w:val="clear" w:color="auto" w:fill="FFFFFF"/>
        </w:rPr>
      </w:pPr>
    </w:p>
    <w:p w14:paraId="12E50B30" w14:textId="4711E253" w:rsidR="00ED6A3F" w:rsidRPr="008D1F24" w:rsidRDefault="00ED6A3F" w:rsidP="00ED6A3F">
      <w:pPr>
        <w:rPr>
          <w:rFonts w:cs="Arial"/>
          <w:sz w:val="20"/>
          <w:szCs w:val="20"/>
          <w:shd w:val="clear" w:color="auto" w:fill="FFFFFF"/>
        </w:rPr>
      </w:pPr>
      <w:r w:rsidRPr="008D1F24">
        <w:rPr>
          <w:rFonts w:cs="Arial"/>
          <w:sz w:val="20"/>
          <w:szCs w:val="20"/>
          <w:shd w:val="clear" w:color="auto" w:fill="FFFFFF"/>
        </w:rPr>
        <w:t>Daoud S, Bou-Maroun E, Waschatko G, Horemans B, Mestdagh R, Billecke N, Cayot P.</w:t>
      </w:r>
      <w:r w:rsidR="009B24CA">
        <w:rPr>
          <w:rFonts w:cs="Arial"/>
          <w:sz w:val="20"/>
          <w:szCs w:val="20"/>
          <w:shd w:val="clear" w:color="auto" w:fill="FFFFFF"/>
        </w:rPr>
        <w:t xml:space="preserve"> (2020)</w:t>
      </w:r>
      <w:r w:rsidRPr="008D1F24">
        <w:rPr>
          <w:rFonts w:cs="Arial"/>
          <w:sz w:val="20"/>
          <w:szCs w:val="20"/>
          <w:shd w:val="clear" w:color="auto" w:fill="FFFFFF"/>
        </w:rPr>
        <w:t xml:space="preserve"> Detection of Lipid Oxidation in Infant Formulas: Application of Infrared Spectroscopy to Complex Food Sys</w:t>
      </w:r>
      <w:r w:rsidR="009B24CA">
        <w:rPr>
          <w:rFonts w:cs="Arial"/>
          <w:sz w:val="20"/>
          <w:szCs w:val="20"/>
          <w:shd w:val="clear" w:color="auto" w:fill="FFFFFF"/>
        </w:rPr>
        <w:t xml:space="preserve">tems. Foods </w:t>
      </w:r>
      <w:r w:rsidRPr="008D1F24">
        <w:rPr>
          <w:rFonts w:cs="Arial"/>
          <w:sz w:val="20"/>
          <w:szCs w:val="20"/>
          <w:shd w:val="clear" w:color="auto" w:fill="FFFFFF"/>
        </w:rPr>
        <w:t>9(10):1432. https://doi.org/10.3390/foods9101432</w:t>
      </w:r>
    </w:p>
    <w:p w14:paraId="77EAD8E6" w14:textId="77777777" w:rsidR="00ED6A3F" w:rsidRPr="008D1F24" w:rsidRDefault="00ED6A3F" w:rsidP="00ED6A3F">
      <w:pPr>
        <w:rPr>
          <w:rFonts w:cs="Arial"/>
          <w:sz w:val="20"/>
          <w:szCs w:val="20"/>
          <w:shd w:val="clear" w:color="auto" w:fill="FFFFFF"/>
        </w:rPr>
      </w:pPr>
    </w:p>
    <w:p w14:paraId="078FE3B3" w14:textId="0DBADAFB" w:rsidR="00ED6A3F" w:rsidRPr="008D1F24" w:rsidRDefault="00ED6A3F" w:rsidP="00ED6A3F">
      <w:pPr>
        <w:rPr>
          <w:rFonts w:cs="Arial"/>
          <w:sz w:val="20"/>
          <w:szCs w:val="20"/>
          <w:shd w:val="clear" w:color="auto" w:fill="FFFFFF"/>
        </w:rPr>
      </w:pPr>
      <w:r w:rsidRPr="008D1F24">
        <w:rPr>
          <w:rFonts w:cs="Arial"/>
          <w:sz w:val="20"/>
          <w:szCs w:val="20"/>
          <w:shd w:val="clear" w:color="auto" w:fill="FFFFFF"/>
        </w:rPr>
        <w:t>Da Silva SV, Mattanna P, Bizzi CA, dos Santos Richards NSP, and Barin JS (2013) Evaluation of the mineral content of infant formulas consumed in Brazil. J. Dairy Sci</w:t>
      </w:r>
      <w:r w:rsidR="00C94F23">
        <w:rPr>
          <w:rFonts w:cs="Arial"/>
          <w:sz w:val="20"/>
          <w:szCs w:val="20"/>
          <w:shd w:val="clear" w:color="auto" w:fill="FFFFFF"/>
        </w:rPr>
        <w:t>.</w:t>
      </w:r>
      <w:r w:rsidRPr="008D1F24">
        <w:rPr>
          <w:rFonts w:cs="Arial"/>
          <w:sz w:val="20"/>
          <w:szCs w:val="20"/>
          <w:shd w:val="clear" w:color="auto" w:fill="FFFFFF"/>
        </w:rPr>
        <w:t xml:space="preserve"> 96(6): 3498-3505.</w:t>
      </w:r>
    </w:p>
    <w:p w14:paraId="361EEC1F" w14:textId="77777777" w:rsidR="00ED6A3F" w:rsidRPr="008D1F24" w:rsidRDefault="00ED6A3F" w:rsidP="00ED6A3F">
      <w:pPr>
        <w:rPr>
          <w:rFonts w:cs="Arial"/>
          <w:sz w:val="20"/>
          <w:szCs w:val="20"/>
          <w:shd w:val="clear" w:color="auto" w:fill="FFFFFF"/>
        </w:rPr>
      </w:pPr>
    </w:p>
    <w:p w14:paraId="5B552D8A" w14:textId="7B8CDAB5" w:rsidR="00ED6A3F" w:rsidRPr="008D1F24" w:rsidRDefault="00ED6A3F" w:rsidP="00ED6A3F">
      <w:pPr>
        <w:rPr>
          <w:rFonts w:cs="Arial"/>
          <w:sz w:val="20"/>
          <w:szCs w:val="20"/>
        </w:rPr>
      </w:pPr>
      <w:r w:rsidRPr="008D1F24">
        <w:rPr>
          <w:rFonts w:cs="Arial"/>
          <w:sz w:val="20"/>
          <w:szCs w:val="20"/>
        </w:rPr>
        <w:t>Delplanque, B, Gibson R, Koletzko B, Lapillonne A, Strandvik Birgitta (2015) Lipid Quality in Infant Nutrition,</w:t>
      </w:r>
      <w:r w:rsidR="0032361A">
        <w:rPr>
          <w:rFonts w:cs="Arial"/>
          <w:sz w:val="20"/>
          <w:szCs w:val="20"/>
        </w:rPr>
        <w:t xml:space="preserve"> </w:t>
      </w:r>
      <w:r w:rsidR="0032361A">
        <w:rPr>
          <w:rFonts w:cs="Arial"/>
          <w:color w:val="202124"/>
          <w:sz w:val="21"/>
          <w:szCs w:val="21"/>
          <w:shd w:val="clear" w:color="auto" w:fill="FFFFFF"/>
        </w:rPr>
        <w:t>J. Pediatr. Gastroenterol. Nutr. </w:t>
      </w:r>
      <w:r w:rsidRPr="008D1F24">
        <w:rPr>
          <w:rFonts w:cs="Arial"/>
          <w:sz w:val="20"/>
          <w:szCs w:val="20"/>
        </w:rPr>
        <w:t xml:space="preserve"> 61(1):8-17. doi: 10.1097/MPG.0000000000000818</w:t>
      </w:r>
    </w:p>
    <w:p w14:paraId="6DC0DD86" w14:textId="77777777" w:rsidR="00ED6A3F" w:rsidRPr="008D1F24" w:rsidRDefault="00ED6A3F" w:rsidP="00ED6A3F">
      <w:pPr>
        <w:rPr>
          <w:rFonts w:cs="Arial"/>
          <w:sz w:val="20"/>
          <w:szCs w:val="20"/>
        </w:rPr>
      </w:pPr>
    </w:p>
    <w:p w14:paraId="1AFF4815" w14:textId="5798D6D8" w:rsidR="00ED6A3F" w:rsidRPr="008D1F24" w:rsidRDefault="00ED6A3F" w:rsidP="00ED6A3F">
      <w:pPr>
        <w:rPr>
          <w:rFonts w:cs="Arial"/>
          <w:sz w:val="20"/>
          <w:szCs w:val="20"/>
        </w:rPr>
      </w:pPr>
      <w:r w:rsidRPr="008D1F24">
        <w:rPr>
          <w:rFonts w:cs="Arial"/>
          <w:sz w:val="20"/>
          <w:szCs w:val="20"/>
        </w:rPr>
        <w:t>Do HJ, Park JS, Seo JH, Lee ES, Park CH, Woo HO, Youn HS (2014) Neonatal Late-onset Hypocalcemia: Is There Any Relationship with Maternal Hypovitaminosis D? Ped</w:t>
      </w:r>
      <w:r w:rsidR="00C94F23">
        <w:rPr>
          <w:rFonts w:cs="Arial"/>
          <w:sz w:val="20"/>
          <w:szCs w:val="20"/>
        </w:rPr>
        <w:t xml:space="preserve">iatr. Gastroenterol. Hepatol. Nutr: </w:t>
      </w:r>
      <w:r w:rsidRPr="008D1F24">
        <w:rPr>
          <w:rFonts w:cs="Arial"/>
          <w:sz w:val="20"/>
          <w:szCs w:val="20"/>
        </w:rPr>
        <w:t>17(1):47–51.</w:t>
      </w:r>
    </w:p>
    <w:p w14:paraId="4E7CFE68" w14:textId="77777777" w:rsidR="00ED6A3F" w:rsidRPr="008D1F24" w:rsidRDefault="00ED6A3F" w:rsidP="00ED6A3F">
      <w:pPr>
        <w:rPr>
          <w:rFonts w:cs="Arial"/>
          <w:sz w:val="20"/>
          <w:szCs w:val="20"/>
        </w:rPr>
      </w:pPr>
    </w:p>
    <w:p w14:paraId="2C38BF23" w14:textId="77777777" w:rsidR="00ED6A3F" w:rsidRPr="008D1F24" w:rsidRDefault="00ED6A3F" w:rsidP="00ED6A3F">
      <w:pPr>
        <w:rPr>
          <w:rStyle w:val="Hyperlink"/>
          <w:rFonts w:cs="Arial"/>
          <w:iCs/>
          <w:sz w:val="20"/>
          <w:szCs w:val="20"/>
          <w:lang w:val="en-AU" w:eastAsia="en-GB" w:bidi="ar-SA"/>
        </w:rPr>
      </w:pPr>
      <w:r w:rsidRPr="008D1F24">
        <w:rPr>
          <w:rFonts w:cs="Arial"/>
          <w:noProof/>
          <w:sz w:val="20"/>
          <w:szCs w:val="20"/>
        </w:rPr>
        <w:t xml:space="preserve">EC SCF (2003) Report of the Scientific Committee on Food on the Revision of Essential Requirements of Infant Formulae and Follow-on Formulae. European Commission, Brussels Available online at </w:t>
      </w:r>
      <w:hyperlink r:id="rId57" w:history="1">
        <w:r w:rsidRPr="008D1F24">
          <w:rPr>
            <w:rStyle w:val="Hyperlink"/>
            <w:rFonts w:cs="Arial"/>
            <w:iCs/>
            <w:sz w:val="20"/>
            <w:szCs w:val="20"/>
            <w:lang w:val="en-AU" w:eastAsia="en-GB" w:bidi="ar-SA"/>
          </w:rPr>
          <w:t>http://ec.europa.eu/food/fs/sc/scf/out199_en.pdf</w:t>
        </w:r>
      </w:hyperlink>
    </w:p>
    <w:p w14:paraId="18097603" w14:textId="77777777" w:rsidR="00ED6A3F" w:rsidRPr="008D1F24" w:rsidRDefault="00ED6A3F" w:rsidP="00ED6A3F">
      <w:pPr>
        <w:rPr>
          <w:rStyle w:val="Hyperlink"/>
          <w:rFonts w:cs="Arial"/>
          <w:iCs/>
          <w:sz w:val="20"/>
          <w:szCs w:val="20"/>
          <w:lang w:val="en-AU" w:eastAsia="en-GB" w:bidi="ar-SA"/>
        </w:rPr>
      </w:pPr>
    </w:p>
    <w:p w14:paraId="3E0111D4" w14:textId="6DBB7394" w:rsidR="00ED6A3F" w:rsidRPr="008D1F24" w:rsidRDefault="00ED6A3F" w:rsidP="00ED6A3F">
      <w:pPr>
        <w:rPr>
          <w:sz w:val="20"/>
          <w:szCs w:val="20"/>
        </w:rPr>
      </w:pPr>
      <w:r w:rsidRPr="008D1F24">
        <w:rPr>
          <w:rFonts w:cs="Arial"/>
          <w:noProof/>
          <w:sz w:val="20"/>
          <w:szCs w:val="20"/>
        </w:rPr>
        <w:t xml:space="preserve">EFSA (2012) Scientific opinion on dietary reference values for protein. EFSA Panel on Dietetic Products, Nutrition, and Allergies. </w:t>
      </w:r>
      <w:r w:rsidR="00C94F23">
        <w:rPr>
          <w:rFonts w:cs="Arial"/>
          <w:noProof/>
          <w:sz w:val="20"/>
          <w:szCs w:val="20"/>
        </w:rPr>
        <w:t xml:space="preserve">The </w:t>
      </w:r>
      <w:r w:rsidRPr="008D1F24">
        <w:rPr>
          <w:rFonts w:cs="Arial"/>
          <w:noProof/>
          <w:sz w:val="20"/>
          <w:szCs w:val="20"/>
        </w:rPr>
        <w:t>EFSA Journal 10(2):2557–2613.</w:t>
      </w:r>
      <w:r w:rsidRPr="008D1F24">
        <w:rPr>
          <w:sz w:val="20"/>
          <w:szCs w:val="20"/>
        </w:rPr>
        <w:t xml:space="preserve"> </w:t>
      </w:r>
    </w:p>
    <w:p w14:paraId="4A15C975" w14:textId="77777777" w:rsidR="00ED6A3F" w:rsidRPr="008D1F24" w:rsidRDefault="001938AB" w:rsidP="00ED6A3F">
      <w:pPr>
        <w:rPr>
          <w:rStyle w:val="Hyperlink"/>
          <w:rFonts w:cs="Arial"/>
          <w:iCs/>
          <w:sz w:val="20"/>
          <w:szCs w:val="20"/>
          <w:lang w:val="en-AU" w:eastAsia="en-GB" w:bidi="ar-SA"/>
        </w:rPr>
      </w:pPr>
      <w:hyperlink r:id="rId58" w:history="1">
        <w:r w:rsidR="00ED6A3F" w:rsidRPr="008D1F24">
          <w:rPr>
            <w:rStyle w:val="Hyperlink"/>
            <w:rFonts w:cs="Arial"/>
            <w:iCs/>
            <w:sz w:val="20"/>
            <w:szCs w:val="20"/>
            <w:lang w:val="en-AU" w:eastAsia="en-GB" w:bidi="ar-SA"/>
          </w:rPr>
          <w:t>https://www.efsa.europa.eu/en/efsajournal/pub/2557</w:t>
        </w:r>
      </w:hyperlink>
    </w:p>
    <w:p w14:paraId="40DE665E" w14:textId="77777777" w:rsidR="00ED6A3F" w:rsidRPr="008D1F24" w:rsidRDefault="00ED6A3F" w:rsidP="00ED6A3F">
      <w:pPr>
        <w:rPr>
          <w:rFonts w:cs="Arial"/>
          <w:sz w:val="20"/>
          <w:szCs w:val="20"/>
          <w:lang w:val="en-AU" w:eastAsia="en-GB" w:bidi="ar-SA"/>
        </w:rPr>
      </w:pPr>
    </w:p>
    <w:p w14:paraId="2F0A0E53" w14:textId="77777777" w:rsidR="00ED6A3F" w:rsidRPr="008D1F24" w:rsidRDefault="00ED6A3F" w:rsidP="00ED6A3F">
      <w:pPr>
        <w:autoSpaceDE w:val="0"/>
        <w:autoSpaceDN w:val="0"/>
        <w:adjustRightInd w:val="0"/>
        <w:rPr>
          <w:rFonts w:cs="Arial"/>
          <w:sz w:val="20"/>
          <w:szCs w:val="20"/>
        </w:rPr>
      </w:pPr>
      <w:r w:rsidRPr="008D1F24">
        <w:rPr>
          <w:rFonts w:cs="Arial"/>
          <w:sz w:val="20"/>
          <w:szCs w:val="20"/>
        </w:rPr>
        <w:t xml:space="preserve">EFSA (2014a) NDA Panel (EFSA Panel on Dietetic Products, Nutrition and Allergies), Scientific Opinion on Dietary Reference Values for folate. The EFSA Journal 2014;12(11):3893. </w:t>
      </w:r>
      <w:hyperlink r:id="rId59" w:history="1">
        <w:r w:rsidRPr="008D1F24">
          <w:rPr>
            <w:rStyle w:val="Hyperlink"/>
            <w:rFonts w:cs="Arial"/>
            <w:sz w:val="20"/>
            <w:szCs w:val="20"/>
          </w:rPr>
          <w:t>https://www.efsa.europa.eu/en/efsajournal/pub/3893</w:t>
        </w:r>
      </w:hyperlink>
    </w:p>
    <w:p w14:paraId="2FD44864" w14:textId="77777777" w:rsidR="00ED6A3F" w:rsidRPr="008D1F24" w:rsidRDefault="00ED6A3F" w:rsidP="00ED6A3F">
      <w:pPr>
        <w:autoSpaceDE w:val="0"/>
        <w:autoSpaceDN w:val="0"/>
        <w:adjustRightInd w:val="0"/>
        <w:rPr>
          <w:rFonts w:cs="Arial"/>
          <w:sz w:val="20"/>
          <w:szCs w:val="20"/>
        </w:rPr>
      </w:pPr>
    </w:p>
    <w:p w14:paraId="7DE9EDAE" w14:textId="77777777" w:rsidR="00ED6A3F" w:rsidRPr="008D1F24" w:rsidRDefault="00ED6A3F" w:rsidP="00ED6A3F">
      <w:pPr>
        <w:autoSpaceDE w:val="0"/>
        <w:autoSpaceDN w:val="0"/>
        <w:adjustRightInd w:val="0"/>
        <w:rPr>
          <w:rStyle w:val="Hyperlink"/>
          <w:rFonts w:eastAsia="Arial Unicode MS" w:cs="Arial"/>
          <w:sz w:val="20"/>
          <w:szCs w:val="20"/>
          <w:lang w:val="en-AU" w:bidi="ar-SA"/>
        </w:rPr>
      </w:pPr>
      <w:r w:rsidRPr="008D1F24">
        <w:rPr>
          <w:rFonts w:eastAsia="Arial Unicode MS" w:cs="Arial"/>
          <w:sz w:val="20"/>
          <w:szCs w:val="20"/>
          <w:lang w:val="en-AU" w:bidi="ar-SA"/>
        </w:rPr>
        <w:t xml:space="preserve">EFSA (2014b) Scientific Opinion of the Panel on Dietetic Products, Nutrition and Allergies (NDA) on the essential composition of infant and follow-on formula. The EFSA Journal 12(7):3760. </w:t>
      </w:r>
      <w:hyperlink r:id="rId60" w:history="1">
        <w:r w:rsidRPr="008D1F24">
          <w:rPr>
            <w:rStyle w:val="Hyperlink"/>
            <w:rFonts w:eastAsia="Arial Unicode MS" w:cs="Arial"/>
            <w:sz w:val="20"/>
            <w:szCs w:val="20"/>
            <w:lang w:val="en-AU" w:bidi="ar-SA"/>
          </w:rPr>
          <w:t>http://www.efsa.europa.eu/en/efsajournal/pub/3760</w:t>
        </w:r>
      </w:hyperlink>
    </w:p>
    <w:p w14:paraId="125025BF" w14:textId="77777777" w:rsidR="00ED6A3F" w:rsidRPr="008D1F24" w:rsidRDefault="00ED6A3F" w:rsidP="00ED6A3F">
      <w:pPr>
        <w:autoSpaceDE w:val="0"/>
        <w:autoSpaceDN w:val="0"/>
        <w:adjustRightInd w:val="0"/>
        <w:rPr>
          <w:rStyle w:val="Hyperlink"/>
          <w:rFonts w:eastAsia="Arial Unicode MS" w:cs="Arial"/>
          <w:sz w:val="20"/>
          <w:szCs w:val="20"/>
          <w:lang w:val="en-AU" w:bidi="ar-SA"/>
        </w:rPr>
      </w:pPr>
    </w:p>
    <w:p w14:paraId="7B4E9149" w14:textId="0F3324A2" w:rsidR="00B75B6B" w:rsidRDefault="00B75B6B" w:rsidP="00ED6A3F">
      <w:pPr>
        <w:rPr>
          <w:sz w:val="20"/>
          <w:szCs w:val="20"/>
          <w:shd w:val="clear" w:color="auto" w:fill="FFFFFF"/>
        </w:rPr>
      </w:pPr>
      <w:r>
        <w:rPr>
          <w:sz w:val="20"/>
          <w:szCs w:val="20"/>
          <w:shd w:val="clear" w:color="auto" w:fill="FFFFFF"/>
        </w:rPr>
        <w:t>EFSA (2018) Scienti</w:t>
      </w:r>
      <w:r w:rsidRPr="00B75B6B">
        <w:rPr>
          <w:sz w:val="20"/>
          <w:szCs w:val="20"/>
          <w:shd w:val="clear" w:color="auto" w:fill="FFFFFF"/>
        </w:rPr>
        <w:t xml:space="preserve">fic opinion on the update of the tolerable upper intake level for vitamin D for infants. </w:t>
      </w:r>
      <w:r w:rsidR="00C94F23">
        <w:rPr>
          <w:sz w:val="20"/>
          <w:szCs w:val="20"/>
          <w:shd w:val="clear" w:color="auto" w:fill="FFFFFF"/>
        </w:rPr>
        <w:t xml:space="preserve">The </w:t>
      </w:r>
      <w:r w:rsidRPr="00B75B6B">
        <w:rPr>
          <w:sz w:val="20"/>
          <w:szCs w:val="20"/>
          <w:shd w:val="clear" w:color="auto" w:fill="FFFFFF"/>
        </w:rPr>
        <w:t>EFSA Journal 2018;16(8):5365</w:t>
      </w:r>
    </w:p>
    <w:p w14:paraId="300FD53A" w14:textId="76A9C092" w:rsidR="00B75B6B" w:rsidRDefault="001938AB" w:rsidP="00ED6A3F">
      <w:pPr>
        <w:rPr>
          <w:sz w:val="20"/>
          <w:szCs w:val="20"/>
          <w:shd w:val="clear" w:color="auto" w:fill="FFFFFF"/>
        </w:rPr>
      </w:pPr>
      <w:hyperlink r:id="rId61" w:history="1">
        <w:r w:rsidR="004E7B81" w:rsidRPr="00F85FE9">
          <w:rPr>
            <w:rStyle w:val="Hyperlink"/>
            <w:sz w:val="20"/>
            <w:szCs w:val="20"/>
            <w:shd w:val="clear" w:color="auto" w:fill="FFFFFF"/>
          </w:rPr>
          <w:t>https://efsa.onlinelibrary.wiley.com/doi/pdf/10.2903/j.efsa.2018.5365</w:t>
        </w:r>
      </w:hyperlink>
    </w:p>
    <w:p w14:paraId="7829C449" w14:textId="77777777" w:rsidR="00B75B6B" w:rsidRDefault="00B75B6B" w:rsidP="00ED6A3F">
      <w:pPr>
        <w:rPr>
          <w:sz w:val="20"/>
          <w:szCs w:val="20"/>
          <w:shd w:val="clear" w:color="auto" w:fill="FFFFFF"/>
        </w:rPr>
      </w:pPr>
    </w:p>
    <w:p w14:paraId="2380AC28" w14:textId="38A6EE25" w:rsidR="0031608E" w:rsidRPr="00607978" w:rsidRDefault="0031608E" w:rsidP="00ED6A3F">
      <w:pPr>
        <w:rPr>
          <w:sz w:val="20"/>
          <w:szCs w:val="20"/>
          <w:shd w:val="clear" w:color="auto" w:fill="FFFFFF"/>
        </w:rPr>
      </w:pPr>
      <w:r w:rsidRPr="00607978">
        <w:rPr>
          <w:sz w:val="20"/>
          <w:szCs w:val="20"/>
          <w:shd w:val="clear" w:color="auto" w:fill="FFFFFF"/>
        </w:rPr>
        <w:t>EFSA (2020</w:t>
      </w:r>
      <w:r w:rsidR="00ED6A3F" w:rsidRPr="00607978">
        <w:rPr>
          <w:sz w:val="20"/>
          <w:szCs w:val="20"/>
          <w:shd w:val="clear" w:color="auto" w:fill="FFFFFF"/>
        </w:rPr>
        <w:t>)</w:t>
      </w:r>
      <w:r w:rsidRPr="00607978">
        <w:rPr>
          <w:rFonts w:cs="Arial"/>
          <w:color w:val="1C1D1E"/>
          <w:sz w:val="20"/>
          <w:szCs w:val="20"/>
          <w:shd w:val="clear" w:color="auto" w:fill="FFFFFF"/>
        </w:rPr>
        <w:t> </w:t>
      </w:r>
      <w:r w:rsidRPr="00607978">
        <w:rPr>
          <w:rStyle w:val="articletitle"/>
          <w:rFonts w:eastAsiaTheme="majorEastAsia" w:cs="Arial"/>
          <w:color w:val="1C1D1E"/>
          <w:sz w:val="20"/>
          <w:szCs w:val="20"/>
          <w:shd w:val="clear" w:color="auto" w:fill="FFFFFF"/>
        </w:rPr>
        <w:t>Scientific Opinion on the re-evaluation of lecithins (E 322) as a food additive in foods for infants below 16 weeks of age and follow-up of its re-evaluation as food additive for uses in foods for all population groups</w:t>
      </w:r>
      <w:r w:rsidRPr="00607978">
        <w:rPr>
          <w:rFonts w:cs="Arial"/>
          <w:color w:val="1C1D1E"/>
          <w:sz w:val="20"/>
          <w:szCs w:val="20"/>
          <w:shd w:val="clear" w:color="auto" w:fill="FFFFFF"/>
        </w:rPr>
        <w:t>. </w:t>
      </w:r>
      <w:r w:rsidR="00C94F23">
        <w:rPr>
          <w:rFonts w:cs="Arial"/>
          <w:color w:val="1C1D1E"/>
          <w:sz w:val="20"/>
          <w:szCs w:val="20"/>
          <w:shd w:val="clear" w:color="auto" w:fill="FFFFFF"/>
        </w:rPr>
        <w:t xml:space="preserve">The </w:t>
      </w:r>
      <w:r w:rsidRPr="0032361A">
        <w:rPr>
          <w:rFonts w:cs="Arial"/>
          <w:iCs/>
          <w:color w:val="1C1D1E"/>
          <w:sz w:val="20"/>
          <w:szCs w:val="20"/>
          <w:shd w:val="clear" w:color="auto" w:fill="FFFFFF"/>
        </w:rPr>
        <w:t>EFSA Journal</w:t>
      </w:r>
      <w:r w:rsidRPr="00607978">
        <w:rPr>
          <w:rFonts w:cs="Arial"/>
          <w:color w:val="1C1D1E"/>
          <w:sz w:val="20"/>
          <w:szCs w:val="20"/>
          <w:shd w:val="clear" w:color="auto" w:fill="FFFFFF"/>
        </w:rPr>
        <w:t> 2020;18(11):6266.</w:t>
      </w:r>
      <w:r w:rsidRPr="00607978">
        <w:rPr>
          <w:sz w:val="20"/>
          <w:szCs w:val="20"/>
        </w:rPr>
        <w:t xml:space="preserve"> </w:t>
      </w:r>
      <w:hyperlink r:id="rId62" w:history="1">
        <w:r w:rsidRPr="00607978">
          <w:rPr>
            <w:rStyle w:val="Hyperlink"/>
            <w:rFonts w:eastAsiaTheme="majorEastAsia" w:cs="Arial"/>
            <w:color w:val="002596"/>
            <w:sz w:val="20"/>
            <w:szCs w:val="20"/>
            <w:shd w:val="clear" w:color="auto" w:fill="FFFFFF"/>
          </w:rPr>
          <w:t>https://doi.org/10.2903/j.efsa.2020.6266</w:t>
        </w:r>
      </w:hyperlink>
    </w:p>
    <w:p w14:paraId="0BB334E8" w14:textId="77777777" w:rsidR="0031608E" w:rsidRDefault="0031608E" w:rsidP="00ED6A3F">
      <w:pPr>
        <w:rPr>
          <w:sz w:val="20"/>
          <w:szCs w:val="20"/>
          <w:shd w:val="clear" w:color="auto" w:fill="FFFFFF"/>
        </w:rPr>
      </w:pPr>
    </w:p>
    <w:p w14:paraId="6EE896DA" w14:textId="77777777" w:rsidR="00607978" w:rsidRDefault="00607978" w:rsidP="00B75B6B">
      <w:pPr>
        <w:rPr>
          <w:sz w:val="20"/>
          <w:szCs w:val="20"/>
        </w:rPr>
      </w:pPr>
      <w:r w:rsidRPr="00607978">
        <w:rPr>
          <w:rFonts w:cs="Arial"/>
          <w:sz w:val="20"/>
          <w:szCs w:val="20"/>
          <w:shd w:val="clear" w:color="auto" w:fill="FFFFFF"/>
        </w:rPr>
        <w:t xml:space="preserve">European Commission (2006) </w:t>
      </w:r>
      <w:r w:rsidRPr="00607978">
        <w:rPr>
          <w:sz w:val="20"/>
          <w:szCs w:val="20"/>
        </w:rPr>
        <w:t>Commission Directive 2006/141/EC on infant formulae and follow-on formulae. Official Journal of the European Union L 401:1–33</w:t>
      </w:r>
      <w:r>
        <w:rPr>
          <w:sz w:val="20"/>
          <w:szCs w:val="20"/>
        </w:rPr>
        <w:t>.</w:t>
      </w:r>
    </w:p>
    <w:p w14:paraId="496409BE" w14:textId="48BBD8B6" w:rsidR="00607978" w:rsidRDefault="001938AB" w:rsidP="00B75B6B">
      <w:pPr>
        <w:rPr>
          <w:sz w:val="20"/>
          <w:szCs w:val="20"/>
        </w:rPr>
      </w:pPr>
      <w:hyperlink r:id="rId63" w:history="1">
        <w:r w:rsidR="00607978" w:rsidRPr="003E07C2">
          <w:rPr>
            <w:rStyle w:val="Hyperlink"/>
            <w:sz w:val="20"/>
            <w:szCs w:val="20"/>
          </w:rPr>
          <w:t>https://eur-lex.europa.eu/legal-content/EN/ALL/?uri=CELEX%3A32006L0141</w:t>
        </w:r>
      </w:hyperlink>
    </w:p>
    <w:p w14:paraId="4BF488D9" w14:textId="77777777" w:rsidR="00607978" w:rsidRDefault="00607978" w:rsidP="00B75B6B">
      <w:pPr>
        <w:rPr>
          <w:rFonts w:cs="Arial"/>
          <w:sz w:val="20"/>
          <w:szCs w:val="20"/>
          <w:shd w:val="clear" w:color="auto" w:fill="FFFFFF"/>
        </w:rPr>
      </w:pPr>
    </w:p>
    <w:p w14:paraId="1ED3DB68" w14:textId="39D1EB9B" w:rsidR="00ED6A3F" w:rsidRPr="00B75B6B" w:rsidRDefault="00ED6A3F" w:rsidP="00ED6A3F">
      <w:pPr>
        <w:rPr>
          <w:rFonts w:cs="Arial"/>
          <w:sz w:val="20"/>
          <w:szCs w:val="20"/>
          <w:shd w:val="clear" w:color="auto" w:fill="FFFFFF"/>
        </w:rPr>
      </w:pPr>
      <w:r w:rsidRPr="008D1F24">
        <w:rPr>
          <w:rFonts w:cs="Arial"/>
          <w:sz w:val="20"/>
          <w:szCs w:val="20"/>
          <w:shd w:val="clear" w:color="auto" w:fill="FFFFFF"/>
        </w:rPr>
        <w:t>E</w:t>
      </w:r>
      <w:r w:rsidR="00607978">
        <w:rPr>
          <w:rFonts w:cs="Arial"/>
          <w:sz w:val="20"/>
          <w:szCs w:val="20"/>
          <w:shd w:val="clear" w:color="auto" w:fill="FFFFFF"/>
        </w:rPr>
        <w:t xml:space="preserve">uropean Commission </w:t>
      </w:r>
      <w:r w:rsidRPr="008D1F24">
        <w:rPr>
          <w:rFonts w:cs="Arial"/>
          <w:sz w:val="20"/>
          <w:szCs w:val="20"/>
          <w:shd w:val="clear" w:color="auto" w:fill="FFFFFF"/>
        </w:rPr>
        <w:t xml:space="preserve"> (2016) Commission Delegated Regulation (EU) 2016/127 of 25 September 2015 supplementing Regulation (EU) No 609/2013 of the European Parliament and of the Council as regards the specific compositional and information requirements for infant formulae and follow-on formulae and as regards requirements on information relating to infant and young child feeding. Official Journal of the European Union. </w:t>
      </w:r>
      <w:r w:rsidR="00B75B6B" w:rsidRPr="008D1F24">
        <w:rPr>
          <w:rFonts w:cs="Arial"/>
          <w:sz w:val="20"/>
          <w:szCs w:val="20"/>
          <w:shd w:val="clear" w:color="auto" w:fill="FFFFFF"/>
        </w:rPr>
        <w:t>59: 1-29.</w:t>
      </w:r>
      <w:r w:rsidR="00C4648B">
        <w:rPr>
          <w:rFonts w:cs="Arial"/>
          <w:sz w:val="20"/>
          <w:szCs w:val="20"/>
          <w:shd w:val="clear" w:color="auto" w:fill="FFFFFF"/>
        </w:rPr>
        <w:t xml:space="preserve"> </w:t>
      </w:r>
      <w:hyperlink r:id="rId64" w:history="1">
        <w:r w:rsidR="00B75B6B" w:rsidRPr="00B75B6B">
          <w:rPr>
            <w:rStyle w:val="Hyperlink"/>
            <w:rFonts w:eastAsiaTheme="majorEastAsia"/>
            <w:sz w:val="20"/>
            <w:szCs w:val="20"/>
          </w:rPr>
          <w:t>EUR-Lex - 32016R0127 - EN - EUR-Lex (europa.eu)</w:t>
        </w:r>
      </w:hyperlink>
    </w:p>
    <w:p w14:paraId="62920E07" w14:textId="58CCD391" w:rsidR="00B75B6B" w:rsidRDefault="00B75B6B" w:rsidP="00ED6A3F">
      <w:pPr>
        <w:rPr>
          <w:sz w:val="20"/>
          <w:szCs w:val="20"/>
        </w:rPr>
      </w:pPr>
    </w:p>
    <w:p w14:paraId="197FCE98" w14:textId="771C6A49" w:rsidR="00087219" w:rsidRPr="00B75B6B" w:rsidRDefault="00B75B6B" w:rsidP="00ED6A3F">
      <w:pPr>
        <w:rPr>
          <w:sz w:val="20"/>
          <w:szCs w:val="20"/>
        </w:rPr>
      </w:pPr>
      <w:r>
        <w:rPr>
          <w:sz w:val="20"/>
          <w:szCs w:val="20"/>
        </w:rPr>
        <w:t>E</w:t>
      </w:r>
      <w:r w:rsidR="00607978">
        <w:rPr>
          <w:sz w:val="20"/>
          <w:szCs w:val="20"/>
        </w:rPr>
        <w:t xml:space="preserve">uropean Commission </w:t>
      </w:r>
      <w:r>
        <w:rPr>
          <w:sz w:val="20"/>
          <w:szCs w:val="20"/>
        </w:rPr>
        <w:t xml:space="preserve">(2019) </w:t>
      </w:r>
      <w:r w:rsidRPr="00B75B6B">
        <w:rPr>
          <w:sz w:val="20"/>
          <w:szCs w:val="20"/>
        </w:rPr>
        <w:t>Commission Delegated Regulation (EU) 2019/828 of 14 March 2019 amending Delegated Regulation (EU) 2016/127 with regard to vitamin D requirements for infant formula and erucic acid requirements for infan</w:t>
      </w:r>
      <w:r>
        <w:rPr>
          <w:sz w:val="20"/>
          <w:szCs w:val="20"/>
        </w:rPr>
        <w:t xml:space="preserve">t formula and follow-on formula. </w:t>
      </w:r>
      <w:r w:rsidRPr="008D1F24">
        <w:rPr>
          <w:rFonts w:cs="Arial"/>
          <w:sz w:val="20"/>
          <w:szCs w:val="20"/>
          <w:shd w:val="clear" w:color="auto" w:fill="FFFFFF"/>
        </w:rPr>
        <w:t xml:space="preserve">Official Journal of the European Union. </w:t>
      </w:r>
      <w:r>
        <w:rPr>
          <w:rFonts w:cs="Arial"/>
          <w:sz w:val="20"/>
          <w:szCs w:val="20"/>
          <w:shd w:val="clear" w:color="auto" w:fill="FFFFFF"/>
        </w:rPr>
        <w:t>62:12-14.</w:t>
      </w:r>
      <w:r w:rsidR="00C4648B">
        <w:rPr>
          <w:rFonts w:cs="Arial"/>
          <w:sz w:val="20"/>
          <w:szCs w:val="20"/>
          <w:shd w:val="clear" w:color="auto" w:fill="FFFFFF"/>
        </w:rPr>
        <w:t xml:space="preserve"> </w:t>
      </w:r>
      <w:hyperlink r:id="rId65" w:history="1">
        <w:r w:rsidRPr="00B75B6B">
          <w:rPr>
            <w:rStyle w:val="Hyperlink"/>
            <w:rFonts w:eastAsiaTheme="majorEastAsia"/>
            <w:sz w:val="20"/>
            <w:szCs w:val="20"/>
          </w:rPr>
          <w:t>EUR-Lex - 32019R0828 - EN - EUR-Lex (europa.eu)</w:t>
        </w:r>
      </w:hyperlink>
    </w:p>
    <w:p w14:paraId="24EEEA41" w14:textId="11359F13" w:rsidR="00ED6A3F" w:rsidRDefault="00ED6A3F" w:rsidP="00ED6A3F">
      <w:pPr>
        <w:rPr>
          <w:sz w:val="20"/>
          <w:szCs w:val="20"/>
        </w:rPr>
      </w:pPr>
      <w:r w:rsidRPr="008D1F24">
        <w:rPr>
          <w:sz w:val="20"/>
          <w:szCs w:val="20"/>
        </w:rPr>
        <w:lastRenderedPageBreak/>
        <w:t>FAO/WHO (2018) Report of the Fortieth Session of the Codex Committee on Nutrition and Foods for Special Dietary Uses. Berlin, Germany, November 2018.</w:t>
      </w:r>
      <w:r w:rsidR="00C4648B">
        <w:rPr>
          <w:sz w:val="20"/>
          <w:szCs w:val="20"/>
        </w:rPr>
        <w:t xml:space="preserve"> </w:t>
      </w:r>
      <w:hyperlink r:id="rId66" w:history="1">
        <w:r w:rsidRPr="008D1F24">
          <w:rPr>
            <w:rStyle w:val="Hyperlink"/>
            <w:sz w:val="20"/>
            <w:szCs w:val="20"/>
          </w:rPr>
          <w:t>REP19/NFSDU Appendix II</w:t>
        </w:r>
      </w:hyperlink>
      <w:r w:rsidRPr="008D1F24">
        <w:rPr>
          <w:sz w:val="20"/>
          <w:szCs w:val="20"/>
        </w:rPr>
        <w:t>. Accessed June 2021.</w:t>
      </w:r>
    </w:p>
    <w:p w14:paraId="71ECF26E" w14:textId="77777777" w:rsidR="00C4648B" w:rsidRPr="008D1F24" w:rsidRDefault="00C4648B" w:rsidP="00ED6A3F">
      <w:pPr>
        <w:rPr>
          <w:sz w:val="20"/>
          <w:szCs w:val="20"/>
        </w:rPr>
      </w:pPr>
    </w:p>
    <w:p w14:paraId="45038997" w14:textId="77777777" w:rsidR="00ED6A3F" w:rsidRPr="008D1F24" w:rsidRDefault="00ED6A3F" w:rsidP="00ED6A3F">
      <w:pPr>
        <w:rPr>
          <w:rFonts w:cs="Arial"/>
          <w:sz w:val="20"/>
          <w:szCs w:val="20"/>
        </w:rPr>
      </w:pPr>
      <w:r w:rsidRPr="008D1F24">
        <w:rPr>
          <w:rFonts w:cs="Arial"/>
          <w:sz w:val="20"/>
          <w:szCs w:val="20"/>
        </w:rPr>
        <w:t xml:space="preserve">FDA (U.S. Department of Health and Human Services, Food and Drug Administration, Center for Food Safety and Applied Nutrition) (2019) Converting Units of Measure for Folate, Niacin, and Vitamins A, D, and E on the Nutrition and Supplement Facts Labels: Guidance for Industry. FDA-2016-D-4484. United States, Maryland. </w:t>
      </w:r>
    </w:p>
    <w:p w14:paraId="33C2319C" w14:textId="77777777" w:rsidR="00ED6A3F" w:rsidRPr="008D1F24" w:rsidRDefault="00ED6A3F" w:rsidP="00ED6A3F">
      <w:pPr>
        <w:rPr>
          <w:rFonts w:cs="Arial"/>
          <w:sz w:val="20"/>
          <w:szCs w:val="20"/>
        </w:rPr>
      </w:pPr>
    </w:p>
    <w:p w14:paraId="3BF5F9A6" w14:textId="1AAB19DB" w:rsidR="00ED6A3F" w:rsidRPr="008D1F24" w:rsidRDefault="00ED6A3F" w:rsidP="00ED6A3F">
      <w:pPr>
        <w:rPr>
          <w:rFonts w:cs="Arial"/>
          <w:sz w:val="20"/>
          <w:szCs w:val="20"/>
        </w:rPr>
      </w:pPr>
      <w:r w:rsidRPr="008D1F24">
        <w:rPr>
          <w:rFonts w:cs="Arial"/>
          <w:sz w:val="20"/>
          <w:szCs w:val="20"/>
        </w:rPr>
        <w:t xml:space="preserve">Ferreira I. </w:t>
      </w:r>
      <w:r w:rsidR="009B24CA">
        <w:rPr>
          <w:rFonts w:cs="Arial"/>
          <w:sz w:val="20"/>
          <w:szCs w:val="20"/>
        </w:rPr>
        <w:t xml:space="preserve">(2003) </w:t>
      </w:r>
      <w:r w:rsidRPr="008D1F24">
        <w:rPr>
          <w:rFonts w:cs="Arial"/>
          <w:sz w:val="20"/>
          <w:szCs w:val="20"/>
        </w:rPr>
        <w:t>Quantification of non-protein nitrogen components of infant formulae and follow-up milks: comparison with cows' and human milk. Br</w:t>
      </w:r>
      <w:r w:rsidR="00C94F23">
        <w:rPr>
          <w:rFonts w:cs="Arial"/>
          <w:sz w:val="20"/>
          <w:szCs w:val="20"/>
        </w:rPr>
        <w:t>.</w:t>
      </w:r>
      <w:r w:rsidRPr="008D1F24">
        <w:rPr>
          <w:rFonts w:cs="Arial"/>
          <w:sz w:val="20"/>
          <w:szCs w:val="20"/>
        </w:rPr>
        <w:t xml:space="preserve"> J</w:t>
      </w:r>
      <w:r w:rsidR="00C94F23">
        <w:rPr>
          <w:rFonts w:cs="Arial"/>
          <w:sz w:val="20"/>
          <w:szCs w:val="20"/>
        </w:rPr>
        <w:t>.</w:t>
      </w:r>
      <w:r w:rsidR="009B24CA">
        <w:rPr>
          <w:rFonts w:cs="Arial"/>
          <w:sz w:val="20"/>
          <w:szCs w:val="20"/>
        </w:rPr>
        <w:t xml:space="preserve"> Nutr. </w:t>
      </w:r>
      <w:r w:rsidRPr="008D1F24">
        <w:rPr>
          <w:rFonts w:cs="Arial"/>
          <w:sz w:val="20"/>
          <w:szCs w:val="20"/>
        </w:rPr>
        <w:t>90(01):127.</w:t>
      </w:r>
    </w:p>
    <w:p w14:paraId="6677362F" w14:textId="77777777" w:rsidR="00ED6A3F" w:rsidRPr="008D1F24" w:rsidRDefault="00ED6A3F" w:rsidP="00ED6A3F">
      <w:pPr>
        <w:rPr>
          <w:rFonts w:cs="Arial"/>
          <w:sz w:val="20"/>
          <w:szCs w:val="20"/>
        </w:rPr>
      </w:pPr>
    </w:p>
    <w:p w14:paraId="0666A3F6" w14:textId="77777777" w:rsidR="00ED6A3F" w:rsidRPr="008D1F24" w:rsidRDefault="00ED6A3F" w:rsidP="00ED6A3F">
      <w:pPr>
        <w:rPr>
          <w:rFonts w:cs="Arial"/>
          <w:sz w:val="20"/>
          <w:szCs w:val="20"/>
        </w:rPr>
      </w:pPr>
      <w:r w:rsidRPr="008D1F24">
        <w:rPr>
          <w:rFonts w:cs="Arial"/>
          <w:sz w:val="20"/>
          <w:szCs w:val="20"/>
        </w:rPr>
        <w:t>FSANZ (2005) Final Assessment Report. Application A500 – Fortification of Cereal-based Beverages. Food Standards Australia New Zealand, Canberra.</w:t>
      </w:r>
    </w:p>
    <w:p w14:paraId="2AACC3A6" w14:textId="77777777" w:rsidR="00ED6A3F" w:rsidRPr="008D1F24" w:rsidRDefault="001938AB" w:rsidP="00ED6A3F">
      <w:pPr>
        <w:rPr>
          <w:rStyle w:val="Hyperlink"/>
          <w:rFonts w:cs="Arial"/>
          <w:sz w:val="20"/>
          <w:szCs w:val="20"/>
        </w:rPr>
      </w:pPr>
      <w:hyperlink r:id="rId67" w:history="1">
        <w:r w:rsidR="00ED6A3F" w:rsidRPr="008D1F24">
          <w:rPr>
            <w:rStyle w:val="Hyperlink"/>
            <w:rFonts w:cs="Arial"/>
            <w:sz w:val="20"/>
            <w:szCs w:val="20"/>
          </w:rPr>
          <w:t>http://www.foodstandards.gov.au/code/applications/Pages/applicationa500addit2480.aspx</w:t>
        </w:r>
      </w:hyperlink>
    </w:p>
    <w:p w14:paraId="40DA8262" w14:textId="77777777" w:rsidR="00ED6A3F" w:rsidRPr="008D1F24" w:rsidRDefault="00ED6A3F" w:rsidP="00ED6A3F">
      <w:pPr>
        <w:rPr>
          <w:rFonts w:cs="Arial"/>
          <w:sz w:val="20"/>
          <w:szCs w:val="20"/>
        </w:rPr>
      </w:pPr>
    </w:p>
    <w:p w14:paraId="19C8C398" w14:textId="77777777" w:rsidR="00ED6A3F" w:rsidRPr="008D1F24" w:rsidRDefault="00ED6A3F" w:rsidP="00ED6A3F">
      <w:pPr>
        <w:rPr>
          <w:rFonts w:cs="Arial"/>
          <w:sz w:val="20"/>
          <w:szCs w:val="20"/>
        </w:rPr>
      </w:pPr>
      <w:r w:rsidRPr="008D1F24">
        <w:rPr>
          <w:rFonts w:eastAsia="Arial Unicode MS" w:cs="Arial"/>
          <w:sz w:val="20"/>
          <w:szCs w:val="20"/>
        </w:rPr>
        <w:t>FSANZ (2006) Final Assessment Report.</w:t>
      </w:r>
      <w:r w:rsidRPr="008D1F24">
        <w:rPr>
          <w:sz w:val="20"/>
          <w:szCs w:val="20"/>
        </w:rPr>
        <w:t xml:space="preserve"> </w:t>
      </w:r>
      <w:r w:rsidRPr="008D1F24">
        <w:rPr>
          <w:rFonts w:eastAsia="Arial Unicode MS" w:cs="Arial"/>
          <w:sz w:val="20"/>
          <w:szCs w:val="20"/>
        </w:rPr>
        <w:t xml:space="preserve">Application A563 - Medium chain Triglycerides in infant formula products. </w:t>
      </w:r>
      <w:r w:rsidRPr="008D1F24">
        <w:rPr>
          <w:rFonts w:cs="Arial"/>
          <w:sz w:val="20"/>
          <w:szCs w:val="20"/>
        </w:rPr>
        <w:t>Food Standards Australia New Zealand, Canberra.</w:t>
      </w:r>
    </w:p>
    <w:p w14:paraId="46045777" w14:textId="77777777" w:rsidR="00ED6A3F" w:rsidRPr="008D1F24" w:rsidRDefault="001938AB" w:rsidP="00ED6A3F">
      <w:pPr>
        <w:rPr>
          <w:rFonts w:eastAsia="Arial Unicode MS" w:cs="Arial"/>
          <w:sz w:val="20"/>
          <w:szCs w:val="20"/>
        </w:rPr>
      </w:pPr>
      <w:hyperlink r:id="rId68" w:history="1">
        <w:r w:rsidR="00ED6A3F" w:rsidRPr="008D1F24">
          <w:rPr>
            <w:rStyle w:val="Hyperlink"/>
            <w:rFonts w:eastAsia="Arial Unicode MS" w:cs="Arial"/>
            <w:sz w:val="20"/>
            <w:szCs w:val="20"/>
          </w:rPr>
          <w:t>https://www.foodstandards.gov.au/code/applications/Pages/applicationa563mediu3018.aspx</w:t>
        </w:r>
      </w:hyperlink>
    </w:p>
    <w:p w14:paraId="2F9C4161" w14:textId="77777777" w:rsidR="00ED6A3F" w:rsidRPr="008D1F24" w:rsidRDefault="00ED6A3F" w:rsidP="00ED6A3F">
      <w:pPr>
        <w:rPr>
          <w:rFonts w:eastAsia="Arial Unicode MS" w:cs="Arial"/>
          <w:sz w:val="20"/>
          <w:szCs w:val="20"/>
        </w:rPr>
      </w:pPr>
    </w:p>
    <w:p w14:paraId="1884F537" w14:textId="77777777" w:rsidR="00ED6A3F" w:rsidRPr="008D1F24" w:rsidRDefault="00ED6A3F" w:rsidP="00ED6A3F">
      <w:pPr>
        <w:rPr>
          <w:rFonts w:eastAsia="Arial Unicode MS" w:cs="Arial"/>
          <w:sz w:val="20"/>
          <w:szCs w:val="20"/>
        </w:rPr>
      </w:pPr>
      <w:r w:rsidRPr="008D1F24">
        <w:rPr>
          <w:rFonts w:eastAsia="Arial Unicode MS" w:cs="Arial"/>
          <w:sz w:val="20"/>
          <w:szCs w:val="20"/>
        </w:rPr>
        <w:t>FSANZ (2008) 22nd Australian Total Diet Survey. Food Standards Australia New Zealand Canberra.</w:t>
      </w:r>
    </w:p>
    <w:p w14:paraId="3FC003B1" w14:textId="77777777" w:rsidR="00ED6A3F" w:rsidRPr="008D1F24" w:rsidRDefault="001938AB" w:rsidP="00ED6A3F">
      <w:pPr>
        <w:rPr>
          <w:rStyle w:val="Hyperlink"/>
          <w:rFonts w:cs="Arial"/>
          <w:sz w:val="20"/>
          <w:szCs w:val="20"/>
        </w:rPr>
      </w:pPr>
      <w:hyperlink r:id="rId69" w:history="1">
        <w:r w:rsidR="00ED6A3F" w:rsidRPr="008D1F24">
          <w:rPr>
            <w:rStyle w:val="Hyperlink"/>
            <w:rFonts w:cs="Arial"/>
            <w:sz w:val="20"/>
            <w:szCs w:val="20"/>
          </w:rPr>
          <w:t>http://www.foodstandards.gov.au/publications/Pages/22ndaustraliantotaldietstudy/Default.aspx</w:t>
        </w:r>
      </w:hyperlink>
    </w:p>
    <w:p w14:paraId="445A666E" w14:textId="77777777" w:rsidR="00ED6A3F" w:rsidRPr="008D1F24" w:rsidRDefault="00ED6A3F" w:rsidP="00ED6A3F">
      <w:pPr>
        <w:rPr>
          <w:rStyle w:val="Hyperlink"/>
          <w:rFonts w:cs="Arial"/>
          <w:sz w:val="20"/>
          <w:szCs w:val="20"/>
        </w:rPr>
      </w:pPr>
    </w:p>
    <w:p w14:paraId="5B186E97" w14:textId="77777777" w:rsidR="00ED6A3F" w:rsidRPr="008D1F24" w:rsidRDefault="00ED6A3F" w:rsidP="00ED6A3F">
      <w:pPr>
        <w:rPr>
          <w:rFonts w:cs="Arial"/>
          <w:sz w:val="20"/>
          <w:szCs w:val="20"/>
        </w:rPr>
      </w:pPr>
      <w:r w:rsidRPr="008D1F24">
        <w:rPr>
          <w:rFonts w:cs="Arial"/>
          <w:sz w:val="20"/>
          <w:szCs w:val="20"/>
        </w:rPr>
        <w:t>FSANZ (2009) Final Assessment Report. Application A588 – Voluntary Addition of Fluoride to Packaged Water. Food Standards Australia New Zealand, Canberra</w:t>
      </w:r>
    </w:p>
    <w:p w14:paraId="53576E85" w14:textId="77777777" w:rsidR="00ED6A3F" w:rsidRPr="008D1F24" w:rsidRDefault="001938AB" w:rsidP="00ED6A3F">
      <w:pPr>
        <w:rPr>
          <w:rStyle w:val="Hyperlink"/>
          <w:rFonts w:cs="Arial"/>
          <w:sz w:val="20"/>
          <w:szCs w:val="20"/>
        </w:rPr>
      </w:pPr>
      <w:hyperlink r:id="rId70" w:history="1">
        <w:r w:rsidR="00ED6A3F" w:rsidRPr="008D1F24">
          <w:rPr>
            <w:rStyle w:val="Hyperlink"/>
            <w:rFonts w:cs="Arial"/>
            <w:sz w:val="20"/>
            <w:szCs w:val="20"/>
          </w:rPr>
          <w:t>https://www.foodstandards.gov.au/code/applications/pages/applicationa588volun3872.aspx</w:t>
        </w:r>
      </w:hyperlink>
    </w:p>
    <w:p w14:paraId="5C37D216" w14:textId="77777777" w:rsidR="00ED6A3F" w:rsidRPr="008D1F24" w:rsidRDefault="00ED6A3F" w:rsidP="00ED6A3F">
      <w:pPr>
        <w:rPr>
          <w:rFonts w:cs="Arial"/>
          <w:sz w:val="20"/>
          <w:szCs w:val="20"/>
        </w:rPr>
      </w:pPr>
    </w:p>
    <w:p w14:paraId="648373CD" w14:textId="77777777" w:rsidR="00ED6A3F" w:rsidRPr="008D1F24" w:rsidRDefault="00ED6A3F" w:rsidP="00ED6A3F">
      <w:pPr>
        <w:rPr>
          <w:rFonts w:cs="Arial"/>
          <w:sz w:val="20"/>
          <w:szCs w:val="20"/>
        </w:rPr>
      </w:pPr>
      <w:r w:rsidRPr="008D1F24">
        <w:rPr>
          <w:rFonts w:cs="Arial"/>
          <w:noProof/>
          <w:sz w:val="20"/>
          <w:szCs w:val="20"/>
        </w:rPr>
        <w:t>FSANZ (2010) Nutrient Reference Values in the Australia New Zealand Food Standards Code – Potential Revision Consultation Paper.</w:t>
      </w:r>
      <w:r w:rsidRPr="008D1F24">
        <w:rPr>
          <w:rFonts w:cs="Arial"/>
          <w:sz w:val="20"/>
          <w:szCs w:val="20"/>
        </w:rPr>
        <w:t xml:space="preserve"> Food Standards Australia New Zealand, Canberra.</w:t>
      </w:r>
    </w:p>
    <w:p w14:paraId="21FE6933" w14:textId="77777777" w:rsidR="00ED6A3F" w:rsidRPr="008D1F24" w:rsidRDefault="001938AB" w:rsidP="00ED6A3F">
      <w:pPr>
        <w:rPr>
          <w:rFonts w:cs="Arial"/>
          <w:sz w:val="20"/>
          <w:szCs w:val="20"/>
        </w:rPr>
      </w:pPr>
      <w:hyperlink r:id="rId71" w:history="1">
        <w:r w:rsidR="00ED6A3F" w:rsidRPr="008D1F24">
          <w:rPr>
            <w:rStyle w:val="Hyperlink"/>
            <w:rFonts w:cs="Arial"/>
            <w:sz w:val="20"/>
            <w:szCs w:val="20"/>
          </w:rPr>
          <w:t>Regulatory nutrient reference values (foodstandards.gov.au)</w:t>
        </w:r>
      </w:hyperlink>
      <w:r w:rsidR="00ED6A3F" w:rsidRPr="008D1F24">
        <w:rPr>
          <w:rFonts w:cs="Arial"/>
          <w:sz w:val="20"/>
          <w:szCs w:val="20"/>
        </w:rPr>
        <w:t xml:space="preserve"> Accessed June 2021.</w:t>
      </w:r>
    </w:p>
    <w:p w14:paraId="38168851" w14:textId="77777777" w:rsidR="00ED6A3F" w:rsidRPr="008D1F24" w:rsidRDefault="00ED6A3F" w:rsidP="00ED6A3F">
      <w:pPr>
        <w:rPr>
          <w:rFonts w:cs="Arial"/>
          <w:noProof/>
          <w:sz w:val="20"/>
          <w:szCs w:val="20"/>
        </w:rPr>
      </w:pPr>
    </w:p>
    <w:p w14:paraId="53786D82" w14:textId="77777777" w:rsidR="00ED6A3F" w:rsidRPr="008D1F24" w:rsidRDefault="00ED6A3F" w:rsidP="00ED6A3F">
      <w:pPr>
        <w:rPr>
          <w:rFonts w:cs="Arial"/>
          <w:noProof/>
          <w:sz w:val="20"/>
          <w:szCs w:val="20"/>
        </w:rPr>
      </w:pPr>
      <w:r w:rsidRPr="008D1F24">
        <w:rPr>
          <w:rFonts w:cs="Arial"/>
          <w:noProof/>
          <w:sz w:val="20"/>
          <w:szCs w:val="20"/>
        </w:rPr>
        <w:t>FSANZ (2011) 23rd Australian Total Diet Survey. Food Standards Australia New Zealand, Canberra.</w:t>
      </w:r>
    </w:p>
    <w:p w14:paraId="4E0DE526" w14:textId="77777777" w:rsidR="00ED6A3F" w:rsidRPr="008D1F24" w:rsidRDefault="001938AB" w:rsidP="00ED6A3F">
      <w:pPr>
        <w:rPr>
          <w:rStyle w:val="Hyperlink"/>
          <w:rFonts w:cs="Arial"/>
          <w:noProof/>
          <w:sz w:val="20"/>
          <w:szCs w:val="20"/>
        </w:rPr>
      </w:pPr>
      <w:hyperlink r:id="rId72" w:history="1">
        <w:r w:rsidR="00ED6A3F" w:rsidRPr="008D1F24">
          <w:rPr>
            <w:rStyle w:val="Hyperlink"/>
            <w:rFonts w:cs="Arial"/>
            <w:noProof/>
            <w:sz w:val="20"/>
            <w:szCs w:val="20"/>
          </w:rPr>
          <w:t>http://www.foodstandards.gov.au/publications/pages/23rdaustraliantotald5367.aspx</w:t>
        </w:r>
      </w:hyperlink>
    </w:p>
    <w:p w14:paraId="061CC33E" w14:textId="77777777" w:rsidR="00ED6A3F" w:rsidRPr="008D1F24" w:rsidRDefault="00ED6A3F" w:rsidP="00ED6A3F">
      <w:pPr>
        <w:rPr>
          <w:rFonts w:cs="Arial"/>
          <w:noProof/>
          <w:sz w:val="20"/>
          <w:szCs w:val="20"/>
        </w:rPr>
      </w:pPr>
    </w:p>
    <w:p w14:paraId="187ACC3C" w14:textId="77777777" w:rsidR="00ED6A3F" w:rsidRPr="008D1F24" w:rsidRDefault="00ED6A3F" w:rsidP="00ED6A3F">
      <w:pPr>
        <w:pStyle w:val="CitaviBibliographyEntry"/>
        <w:rPr>
          <w:rFonts w:cs="Arial"/>
          <w:sz w:val="20"/>
          <w:szCs w:val="20"/>
          <w:lang w:val="en-GB"/>
        </w:rPr>
      </w:pPr>
      <w:r w:rsidRPr="008D1F24">
        <w:rPr>
          <w:rFonts w:cs="Arial"/>
          <w:sz w:val="20"/>
          <w:szCs w:val="20"/>
        </w:rPr>
        <w:t xml:space="preserve">FSANZ (2012) Consultation Paper – </w:t>
      </w:r>
      <w:r w:rsidRPr="008D1F24">
        <w:rPr>
          <w:rFonts w:cs="Arial"/>
          <w:sz w:val="20"/>
          <w:szCs w:val="20"/>
          <w:lang w:val="en-GB"/>
        </w:rPr>
        <w:t>Regulation of Infant Formula Products in the</w:t>
      </w:r>
    </w:p>
    <w:p w14:paraId="39F9E1CE" w14:textId="77777777" w:rsidR="00ED6A3F" w:rsidRPr="008D1F24" w:rsidRDefault="00ED6A3F" w:rsidP="00ED6A3F">
      <w:pPr>
        <w:pStyle w:val="CitaviBibliographyEntry"/>
        <w:ind w:left="0" w:firstLine="0"/>
        <w:rPr>
          <w:rFonts w:cs="Arial"/>
          <w:sz w:val="20"/>
          <w:szCs w:val="20"/>
        </w:rPr>
      </w:pPr>
      <w:r w:rsidRPr="008D1F24">
        <w:rPr>
          <w:rFonts w:cs="Arial"/>
          <w:i/>
          <w:iCs/>
          <w:sz w:val="20"/>
          <w:szCs w:val="20"/>
          <w:lang w:val="en-GB"/>
        </w:rPr>
        <w:t>Australia New Zealand Food Standards Code</w:t>
      </w:r>
      <w:r w:rsidRPr="008D1F24">
        <w:rPr>
          <w:rFonts w:cs="Arial"/>
          <w:sz w:val="20"/>
          <w:szCs w:val="20"/>
        </w:rPr>
        <w:t xml:space="preserve">. FSANZ, Canberra. Available online at </w:t>
      </w:r>
      <w:hyperlink r:id="rId73" w:history="1">
        <w:r w:rsidRPr="008D1F24">
          <w:rPr>
            <w:rStyle w:val="Hyperlink"/>
            <w:rFonts w:cs="Arial"/>
            <w:sz w:val="20"/>
            <w:szCs w:val="20"/>
          </w:rPr>
          <w:t>https://www.foodstandards.gov.au/code/infant/Pages/default.aspx</w:t>
        </w:r>
      </w:hyperlink>
    </w:p>
    <w:p w14:paraId="425864AB" w14:textId="77777777" w:rsidR="00ED6A3F" w:rsidRPr="008D1F24" w:rsidRDefault="00ED6A3F" w:rsidP="00ED6A3F">
      <w:pPr>
        <w:rPr>
          <w:rFonts w:cs="Arial"/>
          <w:sz w:val="20"/>
          <w:szCs w:val="20"/>
        </w:rPr>
      </w:pPr>
    </w:p>
    <w:p w14:paraId="541ABCE0" w14:textId="77777777" w:rsidR="00ED6A3F" w:rsidRPr="008D1F24" w:rsidRDefault="00ED6A3F" w:rsidP="00ED6A3F">
      <w:pPr>
        <w:pStyle w:val="CitaviBibliographyEntry"/>
        <w:ind w:left="0" w:firstLine="0"/>
        <w:rPr>
          <w:rFonts w:cs="Arial"/>
          <w:sz w:val="20"/>
          <w:szCs w:val="20"/>
        </w:rPr>
      </w:pPr>
      <w:r w:rsidRPr="008D1F24">
        <w:rPr>
          <w:rFonts w:cs="Arial"/>
          <w:sz w:val="20"/>
          <w:szCs w:val="20"/>
        </w:rPr>
        <w:t xml:space="preserve">FSANZ (2016a): Consultation Paper – Proposal P1028 (amended 4 May 2016). Infant formula. FSANZ, Canberra. Available online at </w:t>
      </w:r>
      <w:hyperlink r:id="rId74" w:history="1">
        <w:r w:rsidRPr="008D1F24">
          <w:rPr>
            <w:rStyle w:val="Hyperlink"/>
            <w:rFonts w:cs="Arial"/>
            <w:sz w:val="20"/>
            <w:szCs w:val="20"/>
          </w:rPr>
          <w:t>www.foodstandards.gov.au/code/proposals/Pages/P1028.aspx</w:t>
        </w:r>
      </w:hyperlink>
      <w:r w:rsidRPr="008D1F24">
        <w:rPr>
          <w:rFonts w:cs="Arial"/>
          <w:sz w:val="20"/>
          <w:szCs w:val="20"/>
        </w:rPr>
        <w:t>.</w:t>
      </w:r>
    </w:p>
    <w:p w14:paraId="20CCC587" w14:textId="77777777" w:rsidR="00ED6A3F" w:rsidRPr="008D1F24" w:rsidRDefault="00ED6A3F" w:rsidP="00ED6A3F">
      <w:pPr>
        <w:pStyle w:val="CitaviBibliographyEntry"/>
        <w:rPr>
          <w:rFonts w:cs="Arial"/>
          <w:sz w:val="20"/>
          <w:szCs w:val="20"/>
        </w:rPr>
      </w:pPr>
    </w:p>
    <w:p w14:paraId="6AC291F3" w14:textId="77777777" w:rsidR="00ED6A3F" w:rsidRPr="008D1F24" w:rsidRDefault="00ED6A3F" w:rsidP="00ED6A3F">
      <w:pPr>
        <w:rPr>
          <w:rStyle w:val="Hyperlink"/>
          <w:rFonts w:cs="Arial"/>
          <w:sz w:val="20"/>
          <w:szCs w:val="20"/>
        </w:rPr>
      </w:pPr>
      <w:r w:rsidRPr="008D1F24">
        <w:rPr>
          <w:rFonts w:cs="Arial"/>
          <w:noProof/>
          <w:sz w:val="20"/>
          <w:szCs w:val="20"/>
        </w:rPr>
        <w:t xml:space="preserve">FSANZ (2016b) Consultation paper – Proposal P1028. Supporting Document 1, Attachment A1.1 - Nutrition Assessment. FSANZ, Canberra. Available online at </w:t>
      </w:r>
      <w:hyperlink r:id="rId75" w:history="1">
        <w:r w:rsidRPr="008D1F24">
          <w:rPr>
            <w:rStyle w:val="Hyperlink"/>
            <w:rFonts w:cs="Arial"/>
            <w:sz w:val="20"/>
            <w:szCs w:val="20"/>
          </w:rPr>
          <w:t>https://www.foodstandards.gov.au/code/proposals/Documents/P1028-Consult-SD1-Attach-A1.pdf</w:t>
        </w:r>
      </w:hyperlink>
    </w:p>
    <w:p w14:paraId="4566032D" w14:textId="77777777" w:rsidR="00ED6A3F" w:rsidRPr="008D1F24" w:rsidRDefault="00ED6A3F" w:rsidP="00ED6A3F">
      <w:pPr>
        <w:rPr>
          <w:rStyle w:val="Hyperlink"/>
          <w:rFonts w:cs="Arial"/>
          <w:sz w:val="20"/>
          <w:szCs w:val="20"/>
        </w:rPr>
      </w:pPr>
    </w:p>
    <w:p w14:paraId="75949E66" w14:textId="77777777" w:rsidR="00ED6A3F" w:rsidRPr="008D1F24" w:rsidRDefault="00ED6A3F" w:rsidP="00ED6A3F">
      <w:pPr>
        <w:rPr>
          <w:sz w:val="20"/>
          <w:szCs w:val="20"/>
        </w:rPr>
      </w:pPr>
      <w:r w:rsidRPr="008D1F24">
        <w:rPr>
          <w:sz w:val="20"/>
          <w:szCs w:val="20"/>
        </w:rPr>
        <w:t xml:space="preserve">FSANZ (2016c) Consultation paper – Proposal P1028. Supporting Document 1: Definitions and Nutrient Composition – Proposal P1028 Infant Formula. FSANZ, Canberra. </w:t>
      </w:r>
    </w:p>
    <w:p w14:paraId="141BE235" w14:textId="10BC6B69" w:rsidR="00ED6A3F" w:rsidRPr="008D1F24" w:rsidRDefault="00ED6A3F" w:rsidP="00ED6A3F">
      <w:pPr>
        <w:rPr>
          <w:sz w:val="20"/>
          <w:szCs w:val="20"/>
        </w:rPr>
      </w:pPr>
      <w:r w:rsidRPr="008D1F24">
        <w:rPr>
          <w:rFonts w:cs="Arial"/>
          <w:noProof/>
          <w:sz w:val="20"/>
          <w:szCs w:val="20"/>
        </w:rPr>
        <w:t>Available online at</w:t>
      </w:r>
      <w:r w:rsidR="00C4648B">
        <w:rPr>
          <w:rFonts w:cs="Arial"/>
          <w:noProof/>
          <w:sz w:val="20"/>
          <w:szCs w:val="20"/>
        </w:rPr>
        <w:t xml:space="preserve"> </w:t>
      </w:r>
      <w:hyperlink r:id="rId76" w:history="1">
        <w:r w:rsidRPr="008D1F24">
          <w:rPr>
            <w:rStyle w:val="Hyperlink"/>
            <w:sz w:val="20"/>
            <w:szCs w:val="20"/>
          </w:rPr>
          <w:t>https://www.foodstandards.gov.au/code/proposals/Pages/P1028.aspx</w:t>
        </w:r>
      </w:hyperlink>
    </w:p>
    <w:p w14:paraId="0CC1B9DD" w14:textId="77777777" w:rsidR="00ED6A3F" w:rsidRPr="008D1F24" w:rsidRDefault="00ED6A3F" w:rsidP="00ED6A3F">
      <w:pPr>
        <w:rPr>
          <w:rStyle w:val="Hyperlink"/>
          <w:rFonts w:cs="Arial"/>
          <w:sz w:val="20"/>
          <w:szCs w:val="20"/>
        </w:rPr>
      </w:pPr>
    </w:p>
    <w:p w14:paraId="7F040602" w14:textId="77777777" w:rsidR="00ED6A3F" w:rsidRPr="008D1F24" w:rsidRDefault="00ED6A3F" w:rsidP="00ED6A3F">
      <w:pPr>
        <w:rPr>
          <w:rFonts w:cs="Arial"/>
          <w:sz w:val="20"/>
          <w:szCs w:val="20"/>
        </w:rPr>
      </w:pPr>
      <w:r w:rsidRPr="008D1F24">
        <w:rPr>
          <w:rFonts w:cs="Arial"/>
          <w:sz w:val="20"/>
          <w:szCs w:val="20"/>
        </w:rPr>
        <w:t>FSANZ (2017): Consultation Paper – Proposal P1028. Regulation of Infant formula – Infant formula products for special dietary use. FSANZ, Canberra. Available online at</w:t>
      </w:r>
    </w:p>
    <w:p w14:paraId="586779CE" w14:textId="77777777" w:rsidR="00ED6A3F" w:rsidRPr="008D1F24" w:rsidRDefault="001938AB" w:rsidP="00ED6A3F">
      <w:pPr>
        <w:rPr>
          <w:rStyle w:val="Hyperlink"/>
          <w:rFonts w:cs="Arial"/>
          <w:sz w:val="20"/>
          <w:szCs w:val="20"/>
        </w:rPr>
      </w:pPr>
      <w:hyperlink r:id="rId77" w:history="1">
        <w:r w:rsidR="00ED6A3F" w:rsidRPr="008D1F24">
          <w:rPr>
            <w:rStyle w:val="Hyperlink"/>
            <w:rFonts w:cs="Arial"/>
            <w:sz w:val="20"/>
            <w:szCs w:val="20"/>
          </w:rPr>
          <w:t>https://www.foodstandards.gov.au/code/proposals/Pages/P1028.aspx</w:t>
        </w:r>
      </w:hyperlink>
    </w:p>
    <w:p w14:paraId="14B8B013" w14:textId="77777777" w:rsidR="00ED6A3F" w:rsidRPr="008D1F24" w:rsidRDefault="00ED6A3F" w:rsidP="00ED6A3F">
      <w:pPr>
        <w:rPr>
          <w:rFonts w:cs="Arial"/>
          <w:sz w:val="20"/>
          <w:szCs w:val="20"/>
        </w:rPr>
      </w:pPr>
    </w:p>
    <w:p w14:paraId="0C479362" w14:textId="77777777" w:rsidR="00ED6A3F" w:rsidRPr="008D1F24" w:rsidRDefault="00ED6A3F" w:rsidP="00ED6A3F">
      <w:pPr>
        <w:rPr>
          <w:rStyle w:val="Hyperlink"/>
          <w:rFonts w:cs="Arial"/>
          <w:sz w:val="20"/>
          <w:szCs w:val="20"/>
        </w:rPr>
      </w:pPr>
      <w:r w:rsidRPr="008D1F24">
        <w:rPr>
          <w:rFonts w:cs="Arial"/>
          <w:sz w:val="20"/>
          <w:szCs w:val="20"/>
        </w:rPr>
        <w:t xml:space="preserve">FSANZ (2019a) Approval Report – Application A1173 – Minimum protein in follow-on formula.  Food Standards Australia New Zealand, Canberra. </w:t>
      </w:r>
      <w:hyperlink r:id="rId78" w:history="1">
        <w:r w:rsidRPr="008D1F24">
          <w:rPr>
            <w:rStyle w:val="Hyperlink"/>
            <w:rFonts w:cs="Arial"/>
            <w:sz w:val="20"/>
            <w:szCs w:val="20"/>
          </w:rPr>
          <w:t>https://www.foodstandards.gov.au/code/applications/Documents/A1173%20Approval%20Report.pdf</w:t>
        </w:r>
      </w:hyperlink>
    </w:p>
    <w:p w14:paraId="30EDDF35" w14:textId="77777777" w:rsidR="00ED6A3F" w:rsidRPr="008D1F24" w:rsidRDefault="00ED6A3F" w:rsidP="00ED6A3F">
      <w:pPr>
        <w:rPr>
          <w:rStyle w:val="Hyperlink"/>
          <w:rFonts w:cs="Arial"/>
          <w:sz w:val="20"/>
          <w:szCs w:val="20"/>
        </w:rPr>
      </w:pPr>
    </w:p>
    <w:p w14:paraId="3098CE78" w14:textId="555F7667" w:rsidR="00ED6A3F" w:rsidRPr="008D1F24" w:rsidRDefault="00ED6A3F" w:rsidP="00ED6A3F">
      <w:pPr>
        <w:rPr>
          <w:rFonts w:cs="Arial"/>
          <w:sz w:val="20"/>
          <w:szCs w:val="20"/>
        </w:rPr>
      </w:pPr>
      <w:r w:rsidRPr="008D1F24">
        <w:rPr>
          <w:rFonts w:cs="Arial"/>
          <w:sz w:val="20"/>
          <w:szCs w:val="20"/>
        </w:rPr>
        <w:t xml:space="preserve">FSANZ (2019b) Supporting document 1: Risk and technical assessment. Application A1102 – L-carnitine in Food. Food Standards Australia New Zealand, Canberra. </w:t>
      </w:r>
    </w:p>
    <w:p w14:paraId="71359FBE" w14:textId="77777777" w:rsidR="00ED6A3F" w:rsidRPr="008D1F24" w:rsidRDefault="001938AB" w:rsidP="00ED6A3F">
      <w:pPr>
        <w:rPr>
          <w:rFonts w:cs="Arial"/>
          <w:sz w:val="20"/>
          <w:szCs w:val="20"/>
        </w:rPr>
      </w:pPr>
      <w:hyperlink r:id="rId79" w:history="1">
        <w:r w:rsidR="00ED6A3F" w:rsidRPr="008D1F24">
          <w:rPr>
            <w:rStyle w:val="Hyperlink"/>
            <w:rFonts w:cs="Arial"/>
            <w:sz w:val="20"/>
            <w:szCs w:val="20"/>
          </w:rPr>
          <w:t>https://www.foodstandards.gov.au/code/applications/Pages/A1102-L-carnitineInFood.aspx</w:t>
        </w:r>
      </w:hyperlink>
    </w:p>
    <w:p w14:paraId="313E272C" w14:textId="77777777" w:rsidR="00ED6A3F" w:rsidRPr="008D1F24" w:rsidRDefault="00ED6A3F" w:rsidP="00ED6A3F">
      <w:pPr>
        <w:rPr>
          <w:rFonts w:cs="Arial"/>
          <w:sz w:val="20"/>
          <w:szCs w:val="20"/>
        </w:rPr>
      </w:pPr>
    </w:p>
    <w:p w14:paraId="3871933C" w14:textId="77777777" w:rsidR="00ED6A3F" w:rsidRPr="008D1F24" w:rsidRDefault="00ED6A3F" w:rsidP="00ED6A3F">
      <w:pPr>
        <w:tabs>
          <w:tab w:val="left" w:pos="0"/>
        </w:tabs>
        <w:rPr>
          <w:rFonts w:cs="Arial"/>
          <w:sz w:val="20"/>
          <w:szCs w:val="20"/>
        </w:rPr>
      </w:pPr>
      <w:r w:rsidRPr="008D1F24">
        <w:rPr>
          <w:noProof/>
          <w:sz w:val="20"/>
          <w:szCs w:val="20"/>
        </w:rPr>
        <w:t xml:space="preserve">FSANZ (2020) Application A1155 – 2’-FL and LNnT in infant formula and other products. </w:t>
      </w:r>
      <w:r w:rsidRPr="008D1F24">
        <w:rPr>
          <w:rFonts w:cs="Arial"/>
          <w:sz w:val="20"/>
          <w:szCs w:val="20"/>
        </w:rPr>
        <w:t xml:space="preserve">Food Standards Australia New Zealand, Canberra. </w:t>
      </w:r>
      <w:hyperlink r:id="rId80" w:history="1">
        <w:r w:rsidRPr="008D1F24">
          <w:rPr>
            <w:rStyle w:val="Hyperlink"/>
            <w:rFonts w:cs="Arial"/>
            <w:sz w:val="20"/>
            <w:szCs w:val="20"/>
          </w:rPr>
          <w:t>https://www.foodstandards.gov.au/code/applications/Pages/A1155.aspx</w:t>
        </w:r>
      </w:hyperlink>
    </w:p>
    <w:p w14:paraId="782A2CE0" w14:textId="77777777" w:rsidR="00ED6A3F" w:rsidRPr="008D1F24" w:rsidRDefault="00ED6A3F" w:rsidP="00ED6A3F">
      <w:pPr>
        <w:tabs>
          <w:tab w:val="left" w:pos="0"/>
        </w:tabs>
        <w:rPr>
          <w:rFonts w:cs="Arial"/>
          <w:noProof/>
          <w:sz w:val="20"/>
          <w:szCs w:val="20"/>
        </w:rPr>
      </w:pPr>
    </w:p>
    <w:p w14:paraId="0508838A" w14:textId="77777777" w:rsidR="00ED6A3F" w:rsidRPr="008D1F24" w:rsidRDefault="00ED6A3F" w:rsidP="00ED6A3F">
      <w:pPr>
        <w:tabs>
          <w:tab w:val="left" w:pos="0"/>
        </w:tabs>
        <w:rPr>
          <w:rFonts w:cs="Arial"/>
          <w:noProof/>
          <w:sz w:val="20"/>
          <w:szCs w:val="20"/>
        </w:rPr>
      </w:pPr>
      <w:r w:rsidRPr="008D1F24">
        <w:rPr>
          <w:rFonts w:cs="Arial"/>
          <w:noProof/>
          <w:sz w:val="20"/>
          <w:szCs w:val="20"/>
        </w:rPr>
        <w:t xml:space="preserve">Greenfield H, Southgate DAT (2003) Food Composition Data. Food and Agriculture Organization of the United Nations, Rome </w:t>
      </w:r>
      <w:hyperlink r:id="rId81" w:history="1">
        <w:r w:rsidRPr="008D1F24">
          <w:rPr>
            <w:rStyle w:val="Hyperlink"/>
            <w:rFonts w:cs="Arial"/>
            <w:noProof/>
            <w:sz w:val="20"/>
            <w:szCs w:val="20"/>
          </w:rPr>
          <w:t>http://www.fao.org/documents/card/en/c/7a6877a2-86b5-588c-a55c-c6a1e63f19c9/</w:t>
        </w:r>
      </w:hyperlink>
    </w:p>
    <w:p w14:paraId="32AB09D8" w14:textId="77777777" w:rsidR="00ED6A3F" w:rsidRPr="008D1F24" w:rsidRDefault="00ED6A3F" w:rsidP="00ED6A3F">
      <w:pPr>
        <w:tabs>
          <w:tab w:val="left" w:pos="0"/>
        </w:tabs>
        <w:rPr>
          <w:rFonts w:cs="Arial"/>
          <w:noProof/>
          <w:sz w:val="20"/>
          <w:szCs w:val="20"/>
        </w:rPr>
      </w:pPr>
    </w:p>
    <w:p w14:paraId="66A56C99" w14:textId="59D30B7A" w:rsidR="00ED6A3F" w:rsidRPr="008D1F24" w:rsidRDefault="00ED6A3F" w:rsidP="00ED6A3F">
      <w:pPr>
        <w:tabs>
          <w:tab w:val="left" w:pos="0"/>
        </w:tabs>
        <w:rPr>
          <w:rFonts w:cs="Arial"/>
          <w:noProof/>
          <w:sz w:val="20"/>
          <w:szCs w:val="20"/>
        </w:rPr>
      </w:pPr>
      <w:r w:rsidRPr="008D1F24">
        <w:rPr>
          <w:rFonts w:cs="Arial"/>
          <w:noProof/>
          <w:sz w:val="20"/>
          <w:szCs w:val="20"/>
        </w:rPr>
        <w:t>Hanson C, Lyden E, Furtado J, Van Ormer M, Anderson-Berry A.</w:t>
      </w:r>
      <w:r w:rsidR="009B24CA">
        <w:rPr>
          <w:rFonts w:cs="Arial"/>
          <w:noProof/>
          <w:sz w:val="20"/>
          <w:szCs w:val="20"/>
        </w:rPr>
        <w:t xml:space="preserve"> (2016)</w:t>
      </w:r>
      <w:r w:rsidRPr="008D1F24">
        <w:rPr>
          <w:rFonts w:cs="Arial"/>
          <w:noProof/>
          <w:sz w:val="20"/>
          <w:szCs w:val="20"/>
        </w:rPr>
        <w:t xml:space="preserve"> A Comparison of Nutritional Antioxidant Content in Breast Milk, Donor Milk, </w:t>
      </w:r>
      <w:r w:rsidR="009B24CA">
        <w:rPr>
          <w:rFonts w:cs="Arial"/>
          <w:noProof/>
          <w:sz w:val="20"/>
          <w:szCs w:val="20"/>
        </w:rPr>
        <w:t>and Infant Formulas. Nutrients.</w:t>
      </w:r>
      <w:r w:rsidRPr="008D1F24">
        <w:rPr>
          <w:rFonts w:cs="Arial"/>
          <w:noProof/>
          <w:sz w:val="20"/>
          <w:szCs w:val="20"/>
        </w:rPr>
        <w:t xml:space="preserve"> 8(11):681. https://doi.org/10.3390/nu8110681</w:t>
      </w:r>
    </w:p>
    <w:p w14:paraId="73440E35" w14:textId="77777777" w:rsidR="00ED6A3F" w:rsidRPr="008D1F24" w:rsidRDefault="00ED6A3F" w:rsidP="00ED6A3F">
      <w:pPr>
        <w:tabs>
          <w:tab w:val="left" w:pos="0"/>
        </w:tabs>
        <w:rPr>
          <w:rFonts w:cs="Arial"/>
          <w:noProof/>
          <w:sz w:val="20"/>
          <w:szCs w:val="20"/>
        </w:rPr>
      </w:pPr>
    </w:p>
    <w:p w14:paraId="14E20549" w14:textId="14741CE6" w:rsidR="00ED6A3F" w:rsidRPr="008D1F24" w:rsidRDefault="00ED6A3F" w:rsidP="00ED6A3F">
      <w:pPr>
        <w:tabs>
          <w:tab w:val="left" w:pos="0"/>
        </w:tabs>
        <w:rPr>
          <w:rFonts w:cs="Arial"/>
          <w:noProof/>
          <w:sz w:val="20"/>
          <w:szCs w:val="20"/>
        </w:rPr>
      </w:pPr>
      <w:r w:rsidRPr="008D1F24">
        <w:rPr>
          <w:rFonts w:cs="Arial"/>
          <w:noProof/>
          <w:sz w:val="20"/>
          <w:szCs w:val="20"/>
        </w:rPr>
        <w:t xml:space="preserve">Holmes-McNary MQ, Cheng WL, Mar MH, Fussell S, Zeisel SH (1996) Choline and choline esters in human and rat </w:t>
      </w:r>
      <w:r w:rsidR="009B24CA">
        <w:rPr>
          <w:rFonts w:cs="Arial"/>
          <w:noProof/>
          <w:sz w:val="20"/>
          <w:szCs w:val="20"/>
        </w:rPr>
        <w:t xml:space="preserve">milk and in infant formulas. Am. J. </w:t>
      </w:r>
      <w:r w:rsidRPr="008D1F24">
        <w:rPr>
          <w:rFonts w:cs="Arial"/>
          <w:noProof/>
          <w:sz w:val="20"/>
          <w:szCs w:val="20"/>
        </w:rPr>
        <w:t>Clin</w:t>
      </w:r>
      <w:r w:rsidR="009B24CA">
        <w:rPr>
          <w:rFonts w:cs="Arial"/>
          <w:noProof/>
          <w:sz w:val="20"/>
          <w:szCs w:val="20"/>
        </w:rPr>
        <w:t>.</w:t>
      </w:r>
      <w:r w:rsidRPr="008D1F24">
        <w:rPr>
          <w:rFonts w:cs="Arial"/>
          <w:noProof/>
          <w:sz w:val="20"/>
          <w:szCs w:val="20"/>
        </w:rPr>
        <w:t xml:space="preserve"> Nutr</w:t>
      </w:r>
      <w:r w:rsidR="009B24CA">
        <w:rPr>
          <w:rFonts w:cs="Arial"/>
          <w:noProof/>
          <w:sz w:val="20"/>
          <w:szCs w:val="20"/>
        </w:rPr>
        <w:t>.</w:t>
      </w:r>
      <w:r w:rsidRPr="008D1F24">
        <w:rPr>
          <w:rFonts w:cs="Arial"/>
          <w:noProof/>
          <w:sz w:val="20"/>
          <w:szCs w:val="20"/>
        </w:rPr>
        <w:t xml:space="preserve"> 64(4):</w:t>
      </w:r>
      <w:r w:rsidRPr="009B24CA">
        <w:rPr>
          <w:rFonts w:cs="Arial"/>
          <w:noProof/>
          <w:sz w:val="20"/>
          <w:szCs w:val="20"/>
        </w:rPr>
        <w:t>572–576</w:t>
      </w:r>
      <w:r w:rsidR="009B24CA">
        <w:rPr>
          <w:rFonts w:cs="Arial"/>
          <w:noProof/>
          <w:sz w:val="20"/>
          <w:szCs w:val="20"/>
        </w:rPr>
        <w:t>.</w:t>
      </w:r>
    </w:p>
    <w:p w14:paraId="3DF18914" w14:textId="77777777" w:rsidR="00ED6A3F" w:rsidRPr="008D1F24" w:rsidRDefault="001938AB" w:rsidP="00ED6A3F">
      <w:pPr>
        <w:tabs>
          <w:tab w:val="left" w:pos="0"/>
        </w:tabs>
        <w:rPr>
          <w:rStyle w:val="Hyperlink"/>
          <w:rFonts w:cs="Arial"/>
          <w:sz w:val="20"/>
          <w:szCs w:val="20"/>
        </w:rPr>
      </w:pPr>
      <w:hyperlink r:id="rId82" w:history="1">
        <w:r w:rsidR="00ED6A3F" w:rsidRPr="008D1F24">
          <w:rPr>
            <w:rStyle w:val="Hyperlink"/>
            <w:rFonts w:cs="Arial"/>
            <w:noProof/>
            <w:sz w:val="20"/>
            <w:szCs w:val="20"/>
          </w:rPr>
          <w:t>http://</w:t>
        </w:r>
        <w:r w:rsidR="00ED6A3F" w:rsidRPr="008D1F24">
          <w:rPr>
            <w:rStyle w:val="Hyperlink"/>
            <w:rFonts w:cs="Arial"/>
            <w:sz w:val="20"/>
            <w:szCs w:val="20"/>
          </w:rPr>
          <w:t>ajcn.nutrition.org/content/64/4/572.full.pdf+html</w:t>
        </w:r>
      </w:hyperlink>
    </w:p>
    <w:p w14:paraId="762489A5" w14:textId="77777777" w:rsidR="00ED6A3F" w:rsidRPr="008D1F24" w:rsidRDefault="00ED6A3F" w:rsidP="00ED6A3F">
      <w:pPr>
        <w:tabs>
          <w:tab w:val="left" w:pos="0"/>
        </w:tabs>
        <w:rPr>
          <w:rStyle w:val="Hyperlink"/>
          <w:rFonts w:cs="Arial"/>
          <w:sz w:val="20"/>
          <w:szCs w:val="20"/>
        </w:rPr>
      </w:pPr>
    </w:p>
    <w:p w14:paraId="72C186C9" w14:textId="77777777" w:rsidR="00ED6A3F" w:rsidRPr="008D1F24" w:rsidRDefault="00ED6A3F" w:rsidP="00ED6A3F">
      <w:pPr>
        <w:rPr>
          <w:rFonts w:cs="Arial"/>
          <w:sz w:val="20"/>
          <w:szCs w:val="20"/>
        </w:rPr>
      </w:pPr>
      <w:r w:rsidRPr="008D1F24">
        <w:rPr>
          <w:rFonts w:cs="Arial"/>
          <w:sz w:val="20"/>
          <w:szCs w:val="20"/>
        </w:rPr>
        <w:t xml:space="preserve">Hurrell RF, Juillerat MA, Reddy MB, Lynch SR, Dassenko SA, Cook JD (1992) Soy protein, phytate, and iron absorption in humans. Am J Clin Nutr  56(3): 573-578. </w:t>
      </w:r>
    </w:p>
    <w:p w14:paraId="055CB300" w14:textId="77777777" w:rsidR="00ED6A3F" w:rsidRPr="008D1F24" w:rsidRDefault="00ED6A3F" w:rsidP="00ED6A3F">
      <w:pPr>
        <w:tabs>
          <w:tab w:val="left" w:pos="0"/>
        </w:tabs>
        <w:rPr>
          <w:rStyle w:val="Hyperlink"/>
          <w:rFonts w:cs="Arial"/>
          <w:sz w:val="20"/>
          <w:szCs w:val="20"/>
        </w:rPr>
      </w:pPr>
    </w:p>
    <w:p w14:paraId="504BC2B8" w14:textId="77777777" w:rsidR="00ED6A3F" w:rsidRPr="008D1F24" w:rsidRDefault="00ED6A3F" w:rsidP="00ED6A3F">
      <w:pPr>
        <w:rPr>
          <w:rFonts w:cs="Arial"/>
          <w:sz w:val="20"/>
          <w:szCs w:val="20"/>
        </w:rPr>
      </w:pPr>
      <w:r w:rsidRPr="008D1F24">
        <w:rPr>
          <w:rFonts w:cs="Arial"/>
          <w:sz w:val="20"/>
          <w:szCs w:val="20"/>
        </w:rPr>
        <w:t>Huynh, D, Condo, D, Gibson, R, Muhlhausler, B, Ryan, P, Skeaff, S, Zhou, S. (2017) Iodine status of postpartum women and their infants in Australia after the introduction of mandatory iodine fortification. </w:t>
      </w:r>
      <w:r w:rsidRPr="008D1F24">
        <w:rPr>
          <w:rFonts w:cs="Arial"/>
          <w:sz w:val="20"/>
          <w:szCs w:val="20"/>
          <w:bdr w:val="none" w:sz="0" w:space="0" w:color="auto" w:frame="1"/>
        </w:rPr>
        <w:t>British Journal of Nutrition,</w:t>
      </w:r>
      <w:r w:rsidRPr="008D1F24">
        <w:rPr>
          <w:rFonts w:cs="Arial"/>
          <w:sz w:val="20"/>
          <w:szCs w:val="20"/>
        </w:rPr>
        <w:t> </w:t>
      </w:r>
      <w:r w:rsidRPr="008D1F24">
        <w:rPr>
          <w:rFonts w:cs="Arial"/>
          <w:sz w:val="20"/>
          <w:szCs w:val="20"/>
          <w:bdr w:val="none" w:sz="0" w:space="0" w:color="auto" w:frame="1"/>
        </w:rPr>
        <w:t>117</w:t>
      </w:r>
      <w:r w:rsidRPr="008D1F24">
        <w:rPr>
          <w:rFonts w:cs="Arial"/>
          <w:sz w:val="20"/>
          <w:szCs w:val="20"/>
        </w:rPr>
        <w:t>(12), 1656-1662. doi:10.1017/S0007114517001775</w:t>
      </w:r>
    </w:p>
    <w:p w14:paraId="0579DDC5" w14:textId="77777777" w:rsidR="00ED6A3F" w:rsidRPr="008D1F24" w:rsidRDefault="00ED6A3F" w:rsidP="00ED6A3F">
      <w:pPr>
        <w:tabs>
          <w:tab w:val="left" w:pos="0"/>
        </w:tabs>
        <w:rPr>
          <w:rFonts w:cs="Arial"/>
          <w:color w:val="3333FF"/>
          <w:sz w:val="20"/>
          <w:szCs w:val="20"/>
          <w:u w:val="single"/>
        </w:rPr>
      </w:pPr>
    </w:p>
    <w:p w14:paraId="2F3D88A3" w14:textId="77777777" w:rsidR="00ED6A3F" w:rsidRPr="008D1F24" w:rsidRDefault="00ED6A3F" w:rsidP="00ED6A3F">
      <w:pPr>
        <w:rPr>
          <w:rFonts w:cs="Arial"/>
          <w:sz w:val="20"/>
          <w:szCs w:val="20"/>
        </w:rPr>
      </w:pPr>
      <w:r w:rsidRPr="008D1F24">
        <w:rPr>
          <w:rFonts w:cs="Arial"/>
          <w:sz w:val="20"/>
          <w:szCs w:val="20"/>
        </w:rPr>
        <w:t>IOM (1998) Dietary Reference Intakes for Thiamin, Riboflavin, Niacin, Vitamin B</w:t>
      </w:r>
      <w:r w:rsidRPr="008D1F24">
        <w:rPr>
          <w:rFonts w:cs="Arial"/>
          <w:sz w:val="20"/>
          <w:szCs w:val="20"/>
          <w:vertAlign w:val="subscript"/>
        </w:rPr>
        <w:t xml:space="preserve">6, </w:t>
      </w:r>
      <w:r w:rsidRPr="008D1F24">
        <w:rPr>
          <w:rFonts w:cs="Arial"/>
          <w:sz w:val="20"/>
          <w:szCs w:val="20"/>
        </w:rPr>
        <w:t xml:space="preserve">Folate, vitamin B12, pantothenic acid, biotin and choline: a report of Standing Committee on the Scientific Evaluation on Dietary Reference Intakes and its Panel on Folate, Other B Vitamins, and Choline and Subcommittee on Upper Reference Levels of Nutrients. National Academy Press, Washington D.C. </w:t>
      </w:r>
    </w:p>
    <w:p w14:paraId="66AFA649" w14:textId="77777777" w:rsidR="00ED6A3F" w:rsidRPr="008D1F24" w:rsidRDefault="00ED6A3F" w:rsidP="00ED6A3F">
      <w:pPr>
        <w:rPr>
          <w:rFonts w:cs="Arial"/>
          <w:sz w:val="20"/>
          <w:szCs w:val="20"/>
        </w:rPr>
      </w:pPr>
    </w:p>
    <w:p w14:paraId="7B8B2CE3" w14:textId="77777777" w:rsidR="00ED6A3F" w:rsidRPr="008D1F24" w:rsidRDefault="00ED6A3F" w:rsidP="00ED6A3F">
      <w:pPr>
        <w:rPr>
          <w:rFonts w:cs="Arial"/>
          <w:sz w:val="20"/>
          <w:szCs w:val="20"/>
        </w:rPr>
      </w:pPr>
      <w:r w:rsidRPr="008D1F24">
        <w:rPr>
          <w:rFonts w:cs="Arial"/>
          <w:sz w:val="20"/>
          <w:szCs w:val="20"/>
        </w:rPr>
        <w:t xml:space="preserve">IOM (2000) Dietary Reference Intakes for vitamin C, Vitamin E, Selenium and Carotenoids: a report of the Panel on Dietary Antioxidants and Related Compounds, Subcommittees on Upper Reference Levels of Nutrients and Interpretation and Uses of Dietary Reference Intakes, and the Standing Committee on the Scientific Evaluation on Dietary Reference Intakes. National Academy Press, Washington D.C. </w:t>
      </w:r>
    </w:p>
    <w:p w14:paraId="2545EFA9" w14:textId="77777777" w:rsidR="00ED6A3F" w:rsidRPr="008D1F24" w:rsidRDefault="00ED6A3F" w:rsidP="00ED6A3F">
      <w:pPr>
        <w:rPr>
          <w:rFonts w:cs="Arial"/>
          <w:sz w:val="20"/>
          <w:szCs w:val="20"/>
        </w:rPr>
      </w:pPr>
    </w:p>
    <w:p w14:paraId="0707EF27" w14:textId="34B6CB0C" w:rsidR="00ED6A3F" w:rsidRPr="008D1F24" w:rsidRDefault="00ED6A3F" w:rsidP="00ED6A3F">
      <w:pPr>
        <w:rPr>
          <w:rStyle w:val="Hyperlink"/>
          <w:rFonts w:cs="Arial"/>
          <w:sz w:val="20"/>
          <w:szCs w:val="20"/>
        </w:rPr>
      </w:pPr>
      <w:r w:rsidRPr="008D1F24">
        <w:rPr>
          <w:rFonts w:cs="Arial"/>
          <w:sz w:val="20"/>
          <w:szCs w:val="20"/>
        </w:rPr>
        <w:t>Jo, B. W., Shim, Y. J., Choi, J. H., Kim, J. S., Lee, H. J., &amp; Kim, H. S. (2015). Formula fed twin infants with recurrent hypocalcemic seizures with vitamin D deficient rickets and hyperphosphatemia. Ann</w:t>
      </w:r>
      <w:r w:rsidR="009B24CA">
        <w:rPr>
          <w:rFonts w:cs="Arial"/>
          <w:sz w:val="20"/>
          <w:szCs w:val="20"/>
        </w:rPr>
        <w:t>.</w:t>
      </w:r>
      <w:r w:rsidRPr="008D1F24">
        <w:rPr>
          <w:rFonts w:cs="Arial"/>
          <w:sz w:val="20"/>
          <w:szCs w:val="20"/>
        </w:rPr>
        <w:t xml:space="preserve"> Pediatric</w:t>
      </w:r>
      <w:r w:rsidR="009B24CA">
        <w:rPr>
          <w:rFonts w:cs="Arial"/>
          <w:sz w:val="20"/>
          <w:szCs w:val="20"/>
        </w:rPr>
        <w:t>.</w:t>
      </w:r>
      <w:r w:rsidRPr="008D1F24">
        <w:rPr>
          <w:rFonts w:cs="Arial"/>
          <w:sz w:val="20"/>
          <w:szCs w:val="20"/>
        </w:rPr>
        <w:t xml:space="preserve"> Endocrin</w:t>
      </w:r>
      <w:r w:rsidR="009B24CA">
        <w:rPr>
          <w:rFonts w:cs="Arial"/>
          <w:sz w:val="20"/>
          <w:szCs w:val="20"/>
        </w:rPr>
        <w:t>.</w:t>
      </w:r>
      <w:r w:rsidRPr="008D1F24">
        <w:rPr>
          <w:rFonts w:cs="Arial"/>
          <w:sz w:val="20"/>
          <w:szCs w:val="20"/>
        </w:rPr>
        <w:t xml:space="preserve"> Metab,</w:t>
      </w:r>
      <w:r w:rsidR="009B24CA">
        <w:rPr>
          <w:rFonts w:cs="Arial"/>
          <w:sz w:val="20"/>
          <w:szCs w:val="20"/>
        </w:rPr>
        <w:t>.</w:t>
      </w:r>
      <w:r w:rsidRPr="008D1F24">
        <w:rPr>
          <w:rFonts w:cs="Arial"/>
          <w:sz w:val="20"/>
          <w:szCs w:val="20"/>
        </w:rPr>
        <w:t xml:space="preserve"> 20(2), 102–105. </w:t>
      </w:r>
      <w:hyperlink r:id="rId83" w:history="1">
        <w:r w:rsidRPr="008D1F24">
          <w:rPr>
            <w:rStyle w:val="Hyperlink"/>
            <w:rFonts w:cs="Arial"/>
            <w:sz w:val="20"/>
            <w:szCs w:val="20"/>
          </w:rPr>
          <w:t>https://doi.org/10.6065/apem.2015.20.2.102</w:t>
        </w:r>
      </w:hyperlink>
    </w:p>
    <w:p w14:paraId="566E6CF4" w14:textId="77777777" w:rsidR="00ED6A3F" w:rsidRPr="008D1F24" w:rsidRDefault="00ED6A3F" w:rsidP="00ED6A3F">
      <w:pPr>
        <w:rPr>
          <w:rFonts w:cs="Arial"/>
          <w:sz w:val="20"/>
          <w:szCs w:val="20"/>
        </w:rPr>
      </w:pPr>
    </w:p>
    <w:p w14:paraId="6556B8E9" w14:textId="68AF22C9" w:rsidR="00ED6A3F" w:rsidRPr="008D1F24" w:rsidRDefault="00ED6A3F" w:rsidP="00ED6A3F">
      <w:pPr>
        <w:rPr>
          <w:rFonts w:cs="Arial"/>
          <w:sz w:val="20"/>
          <w:szCs w:val="20"/>
        </w:rPr>
      </w:pPr>
      <w:r w:rsidRPr="008D1F24">
        <w:rPr>
          <w:rFonts w:cs="Arial"/>
          <w:sz w:val="20"/>
          <w:szCs w:val="20"/>
        </w:rPr>
        <w:t>Koeth RA, Wang Z, Levison BS, Buffa JA, Org E, Sheehy BT, Britt EB, Fu X, Wu Y, Li L, Smith JD, DiDonato JA, Chen J, Li H, Wu GD, Lewis JD, Warrier M, Brown JM, Krauss RM, Tang WH, Bushman FD, Lusis AJ, Hazen SL (2013) Intestinal microbiota metabolism of L-carnitine, a nutrient in red meat, promotes atherosclerosis. Nat</w:t>
      </w:r>
      <w:r w:rsidR="009B24CA">
        <w:rPr>
          <w:rFonts w:cs="Arial"/>
          <w:sz w:val="20"/>
          <w:szCs w:val="20"/>
        </w:rPr>
        <w:t>.</w:t>
      </w:r>
      <w:r w:rsidRPr="008D1F24">
        <w:rPr>
          <w:rFonts w:cs="Arial"/>
          <w:sz w:val="20"/>
          <w:szCs w:val="20"/>
        </w:rPr>
        <w:t xml:space="preserve"> Med</w:t>
      </w:r>
      <w:r w:rsidR="009B24CA">
        <w:rPr>
          <w:rFonts w:cs="Arial"/>
          <w:sz w:val="20"/>
          <w:szCs w:val="20"/>
        </w:rPr>
        <w:t>.</w:t>
      </w:r>
      <w:r w:rsidRPr="008D1F24">
        <w:rPr>
          <w:rFonts w:cs="Arial"/>
          <w:sz w:val="20"/>
          <w:szCs w:val="20"/>
        </w:rPr>
        <w:t xml:space="preserve"> 19(5):576–585</w:t>
      </w:r>
    </w:p>
    <w:p w14:paraId="4B00AE8A" w14:textId="77777777" w:rsidR="00ED6A3F" w:rsidRPr="008D1F24" w:rsidRDefault="00ED6A3F" w:rsidP="00ED6A3F">
      <w:pPr>
        <w:rPr>
          <w:rFonts w:cs="Arial"/>
          <w:sz w:val="20"/>
          <w:szCs w:val="20"/>
        </w:rPr>
      </w:pPr>
    </w:p>
    <w:p w14:paraId="7434D38C" w14:textId="0539AE7B" w:rsidR="00ED6A3F" w:rsidRPr="008D1F24" w:rsidRDefault="00ED6A3F" w:rsidP="00ED6A3F">
      <w:pPr>
        <w:rPr>
          <w:rFonts w:cs="Arial"/>
          <w:noProof/>
          <w:sz w:val="20"/>
          <w:szCs w:val="20"/>
        </w:rPr>
      </w:pPr>
      <w:r w:rsidRPr="008D1F24">
        <w:rPr>
          <w:rFonts w:cs="Arial"/>
          <w:noProof/>
          <w:sz w:val="20"/>
          <w:szCs w:val="20"/>
        </w:rPr>
        <w:t>Koletzko B, Baker S, Cleghorn G, Neto UF, Gopalan S, Hernell O, Hock QS, Jirapinyo P, Lonnerdal B, Pencharz P, Pzyrembel H, Ramirez-Mayans J, Shamir R, Turck D, Yamashiro Y, Zong-Yi D (2005) Global standard for the composition of infant formula: recommendations of an ESPGHAN coordinated international expert group. J</w:t>
      </w:r>
      <w:r w:rsidR="009B24CA">
        <w:rPr>
          <w:rFonts w:cs="Arial"/>
          <w:noProof/>
          <w:sz w:val="20"/>
          <w:szCs w:val="20"/>
        </w:rPr>
        <w:t>.</w:t>
      </w:r>
      <w:r w:rsidRPr="008D1F24">
        <w:rPr>
          <w:rFonts w:cs="Arial"/>
          <w:noProof/>
          <w:sz w:val="20"/>
          <w:szCs w:val="20"/>
        </w:rPr>
        <w:t xml:space="preserve"> Pediatr</w:t>
      </w:r>
      <w:r w:rsidR="009B24CA">
        <w:rPr>
          <w:rFonts w:cs="Arial"/>
          <w:noProof/>
          <w:sz w:val="20"/>
          <w:szCs w:val="20"/>
        </w:rPr>
        <w:t>.</w:t>
      </w:r>
      <w:r w:rsidRPr="008D1F24">
        <w:rPr>
          <w:rFonts w:cs="Arial"/>
          <w:noProof/>
          <w:sz w:val="20"/>
          <w:szCs w:val="20"/>
        </w:rPr>
        <w:t xml:space="preserve"> Gastroenterol</w:t>
      </w:r>
      <w:r w:rsidR="009B24CA">
        <w:rPr>
          <w:rFonts w:cs="Arial"/>
          <w:noProof/>
          <w:sz w:val="20"/>
          <w:szCs w:val="20"/>
        </w:rPr>
        <w:t>.</w:t>
      </w:r>
      <w:r w:rsidRPr="008D1F24">
        <w:rPr>
          <w:rFonts w:cs="Arial"/>
          <w:noProof/>
          <w:sz w:val="20"/>
          <w:szCs w:val="20"/>
        </w:rPr>
        <w:t xml:space="preserve"> Nutr</w:t>
      </w:r>
      <w:r w:rsidR="009B24CA">
        <w:rPr>
          <w:rFonts w:cs="Arial"/>
          <w:noProof/>
          <w:sz w:val="20"/>
          <w:szCs w:val="20"/>
        </w:rPr>
        <w:t>.</w:t>
      </w:r>
      <w:r w:rsidRPr="008D1F24">
        <w:rPr>
          <w:rFonts w:cs="Arial"/>
          <w:noProof/>
          <w:sz w:val="20"/>
          <w:szCs w:val="20"/>
        </w:rPr>
        <w:t xml:space="preserve"> 41(5):584–599.</w:t>
      </w:r>
    </w:p>
    <w:p w14:paraId="29A4A5E2" w14:textId="77777777" w:rsidR="00ED6A3F" w:rsidRPr="008D1F24" w:rsidRDefault="00ED6A3F" w:rsidP="00ED6A3F">
      <w:pPr>
        <w:rPr>
          <w:rFonts w:cs="Arial"/>
          <w:sz w:val="20"/>
          <w:szCs w:val="20"/>
        </w:rPr>
      </w:pPr>
    </w:p>
    <w:p w14:paraId="2C7CAB0A" w14:textId="7DF048BE" w:rsidR="00ED6A3F" w:rsidRPr="008D1F24" w:rsidRDefault="00ED6A3F" w:rsidP="00ED6A3F">
      <w:pPr>
        <w:rPr>
          <w:rFonts w:cs="Arial"/>
          <w:sz w:val="20"/>
          <w:szCs w:val="20"/>
        </w:rPr>
      </w:pPr>
      <w:r w:rsidRPr="008D1F24">
        <w:rPr>
          <w:rFonts w:cs="Arial"/>
          <w:sz w:val="20"/>
          <w:szCs w:val="20"/>
        </w:rPr>
        <w:t xml:space="preserve">Koletzko </w:t>
      </w:r>
      <w:r w:rsidR="009B24CA">
        <w:rPr>
          <w:rFonts w:cs="Arial"/>
          <w:sz w:val="20"/>
          <w:szCs w:val="20"/>
        </w:rPr>
        <w:t xml:space="preserve">B (2016): Human Milk Lipids.  </w:t>
      </w:r>
      <w:r w:rsidR="009B24CA">
        <w:rPr>
          <w:rFonts w:cs="Arial"/>
          <w:color w:val="202124"/>
          <w:sz w:val="21"/>
          <w:szCs w:val="21"/>
          <w:shd w:val="clear" w:color="auto" w:fill="FFFFFF"/>
        </w:rPr>
        <w:t>Ann. Nutr. Metab. </w:t>
      </w:r>
      <w:r w:rsidR="009B24CA" w:rsidRPr="008D1F24">
        <w:rPr>
          <w:rFonts w:cs="Arial"/>
          <w:sz w:val="20"/>
          <w:szCs w:val="20"/>
        </w:rPr>
        <w:t xml:space="preserve"> </w:t>
      </w:r>
      <w:r w:rsidR="009B24CA">
        <w:rPr>
          <w:rFonts w:cs="Arial"/>
          <w:sz w:val="20"/>
          <w:szCs w:val="20"/>
        </w:rPr>
        <w:t>69</w:t>
      </w:r>
      <w:r w:rsidRPr="008D1F24">
        <w:rPr>
          <w:rFonts w:cs="Arial"/>
          <w:sz w:val="20"/>
          <w:szCs w:val="20"/>
        </w:rPr>
        <w:t>(S2): 28-40. DOI: 10.1159/000452819</w:t>
      </w:r>
    </w:p>
    <w:p w14:paraId="45BA739A" w14:textId="77777777" w:rsidR="00ED6A3F" w:rsidRPr="008D1F24" w:rsidRDefault="00ED6A3F" w:rsidP="00ED6A3F">
      <w:pPr>
        <w:rPr>
          <w:rFonts w:cs="Arial"/>
          <w:sz w:val="20"/>
          <w:szCs w:val="20"/>
        </w:rPr>
      </w:pPr>
    </w:p>
    <w:p w14:paraId="1CF1B40A" w14:textId="3C7F4E9D" w:rsidR="00ED6A3F" w:rsidRPr="008D1F24" w:rsidRDefault="00ED6A3F" w:rsidP="00ED6A3F">
      <w:pPr>
        <w:rPr>
          <w:rFonts w:cs="Arial"/>
          <w:noProof/>
          <w:sz w:val="20"/>
          <w:szCs w:val="20"/>
        </w:rPr>
      </w:pPr>
      <w:r w:rsidRPr="008D1F24">
        <w:rPr>
          <w:rFonts w:cs="Arial"/>
          <w:noProof/>
          <w:sz w:val="20"/>
          <w:szCs w:val="20"/>
        </w:rPr>
        <w:t>Koletzko B, von KR, Closa R, Escribano J, Scaglioni S, Giovannini M, Beyer J, Demmelmair H, Anton B, Gruszfeld D, Dobrzanska A, Sengier A, Langhendries JP, Rolland Cachera MF, Grote V (2009) Can infant feeding choices modulate later obesity risk? Am</w:t>
      </w:r>
      <w:r w:rsidR="009B24CA">
        <w:rPr>
          <w:rFonts w:cs="Arial"/>
          <w:noProof/>
          <w:sz w:val="20"/>
          <w:szCs w:val="20"/>
        </w:rPr>
        <w:t>.</w:t>
      </w:r>
      <w:r w:rsidRPr="008D1F24">
        <w:rPr>
          <w:rFonts w:cs="Arial"/>
          <w:noProof/>
          <w:sz w:val="20"/>
          <w:szCs w:val="20"/>
        </w:rPr>
        <w:t xml:space="preserve"> J</w:t>
      </w:r>
      <w:r w:rsidR="009B24CA">
        <w:rPr>
          <w:rFonts w:cs="Arial"/>
          <w:noProof/>
          <w:sz w:val="20"/>
          <w:szCs w:val="20"/>
        </w:rPr>
        <w:t>.</w:t>
      </w:r>
      <w:r w:rsidRPr="008D1F24">
        <w:rPr>
          <w:rFonts w:cs="Arial"/>
          <w:noProof/>
          <w:sz w:val="20"/>
          <w:szCs w:val="20"/>
        </w:rPr>
        <w:t xml:space="preserve"> Clin</w:t>
      </w:r>
      <w:r w:rsidR="009B24CA">
        <w:rPr>
          <w:rFonts w:cs="Arial"/>
          <w:noProof/>
          <w:sz w:val="20"/>
          <w:szCs w:val="20"/>
        </w:rPr>
        <w:t>.</w:t>
      </w:r>
      <w:r w:rsidRPr="008D1F24">
        <w:rPr>
          <w:rFonts w:cs="Arial"/>
          <w:noProof/>
          <w:sz w:val="20"/>
          <w:szCs w:val="20"/>
        </w:rPr>
        <w:t xml:space="preserve"> Nutr</w:t>
      </w:r>
      <w:r w:rsidR="009B24CA">
        <w:rPr>
          <w:rFonts w:cs="Arial"/>
          <w:noProof/>
          <w:sz w:val="20"/>
          <w:szCs w:val="20"/>
        </w:rPr>
        <w:t>.</w:t>
      </w:r>
      <w:r w:rsidRPr="008D1F24">
        <w:rPr>
          <w:rFonts w:cs="Arial"/>
          <w:noProof/>
          <w:sz w:val="20"/>
          <w:szCs w:val="20"/>
        </w:rPr>
        <w:t xml:space="preserve"> 89(5):1502S–1508S.</w:t>
      </w:r>
    </w:p>
    <w:p w14:paraId="7F9495FB" w14:textId="77777777" w:rsidR="00ED6A3F" w:rsidRPr="008D1F24" w:rsidRDefault="00ED6A3F" w:rsidP="00ED6A3F">
      <w:pPr>
        <w:rPr>
          <w:rFonts w:cs="Arial"/>
          <w:noProof/>
          <w:sz w:val="20"/>
          <w:szCs w:val="20"/>
        </w:rPr>
      </w:pPr>
    </w:p>
    <w:p w14:paraId="024AC0CA" w14:textId="77777777" w:rsidR="00ED6A3F" w:rsidRPr="008D1F24" w:rsidRDefault="00ED6A3F" w:rsidP="00ED6A3F">
      <w:pPr>
        <w:rPr>
          <w:rFonts w:cs="Arial"/>
          <w:noProof/>
          <w:sz w:val="20"/>
          <w:szCs w:val="20"/>
        </w:rPr>
      </w:pPr>
      <w:r w:rsidRPr="008D1F24">
        <w:rPr>
          <w:rFonts w:cs="Arial"/>
          <w:noProof/>
          <w:sz w:val="20"/>
          <w:szCs w:val="20"/>
        </w:rPr>
        <w:t>Koletzko B, Bergmann K, Brenna JT, Calder PC, Campoy C, Clandinin MT, Colombo J, Daly M, Decsi T, Demmelmair H (2020) Should formula for infants provide arachidonic acid along with DHA? A position paper of the European Academy of Paediatrics and the Child Health Foundation. Am. J Clin. Nutr. 2020, 111, 10–16.</w:t>
      </w:r>
    </w:p>
    <w:p w14:paraId="08D2A994" w14:textId="77777777" w:rsidR="00ED6A3F" w:rsidRPr="008D1F24" w:rsidRDefault="00ED6A3F" w:rsidP="00ED6A3F">
      <w:pPr>
        <w:rPr>
          <w:rFonts w:cs="Arial"/>
          <w:sz w:val="20"/>
          <w:szCs w:val="20"/>
        </w:rPr>
      </w:pPr>
    </w:p>
    <w:p w14:paraId="14C03BFB" w14:textId="1F39350E" w:rsidR="00ED6A3F" w:rsidRPr="008D1F24" w:rsidRDefault="00ED6A3F" w:rsidP="00ED6A3F">
      <w:pPr>
        <w:rPr>
          <w:rFonts w:cs="Arial"/>
          <w:color w:val="2A2A2A"/>
          <w:sz w:val="20"/>
          <w:szCs w:val="20"/>
          <w:lang w:val="en"/>
        </w:rPr>
      </w:pPr>
      <w:r w:rsidRPr="008D1F24">
        <w:rPr>
          <w:rFonts w:cs="Arial"/>
          <w:noProof/>
          <w:sz w:val="20"/>
          <w:szCs w:val="20"/>
        </w:rPr>
        <w:lastRenderedPageBreak/>
        <w:t>Kouwenhoven S, Finken N, Twisk J, Van der Beek E, Abrahamse-Berkeveld M, Van de Heijning B, Schierbeek H, Holdt L, B Van Goudoever J, Koletzko B</w:t>
      </w:r>
      <w:r w:rsidR="005222E9">
        <w:rPr>
          <w:rFonts w:cs="Arial"/>
          <w:noProof/>
          <w:sz w:val="20"/>
          <w:szCs w:val="20"/>
        </w:rPr>
        <w:t xml:space="preserve"> (2020)</w:t>
      </w:r>
      <w:r w:rsidRPr="008D1F24">
        <w:rPr>
          <w:rFonts w:cs="Arial"/>
          <w:noProof/>
          <w:sz w:val="20"/>
          <w:szCs w:val="20"/>
        </w:rPr>
        <w:t xml:space="preserve"> A modified low-protein infant formula supports adequate growth in healthy, term infants: a randomized, d</w:t>
      </w:r>
      <w:r w:rsidR="005222E9">
        <w:rPr>
          <w:rFonts w:cs="Arial"/>
          <w:noProof/>
          <w:sz w:val="20"/>
          <w:szCs w:val="20"/>
        </w:rPr>
        <w:t xml:space="preserve">ouble-blind, equivalence trial. </w:t>
      </w:r>
      <w:r w:rsidR="005222E9" w:rsidRPr="005222E9">
        <w:rPr>
          <w:rFonts w:cs="Arial"/>
          <w:iCs/>
          <w:noProof/>
          <w:sz w:val="20"/>
          <w:szCs w:val="20"/>
        </w:rPr>
        <w:t>Am.</w:t>
      </w:r>
      <w:r w:rsidRPr="005222E9">
        <w:rPr>
          <w:rFonts w:cs="Arial"/>
          <w:iCs/>
          <w:noProof/>
          <w:sz w:val="20"/>
          <w:szCs w:val="20"/>
        </w:rPr>
        <w:t xml:space="preserve"> J</w:t>
      </w:r>
      <w:r w:rsidR="009B24CA" w:rsidRPr="005222E9">
        <w:rPr>
          <w:rFonts w:cs="Arial"/>
          <w:iCs/>
          <w:noProof/>
          <w:sz w:val="20"/>
          <w:szCs w:val="20"/>
        </w:rPr>
        <w:t xml:space="preserve">. </w:t>
      </w:r>
      <w:r w:rsidRPr="005222E9">
        <w:rPr>
          <w:rFonts w:cs="Arial"/>
          <w:iCs/>
          <w:noProof/>
          <w:sz w:val="20"/>
          <w:szCs w:val="20"/>
        </w:rPr>
        <w:t>Clin</w:t>
      </w:r>
      <w:r w:rsidR="009B24CA" w:rsidRPr="005222E9">
        <w:rPr>
          <w:rFonts w:cs="Arial"/>
          <w:iCs/>
          <w:noProof/>
          <w:sz w:val="20"/>
          <w:szCs w:val="20"/>
        </w:rPr>
        <w:t>.</w:t>
      </w:r>
      <w:r w:rsidRPr="005222E9">
        <w:rPr>
          <w:rFonts w:cs="Arial"/>
          <w:iCs/>
          <w:noProof/>
          <w:sz w:val="20"/>
          <w:szCs w:val="20"/>
        </w:rPr>
        <w:t xml:space="preserve"> Nutr</w:t>
      </w:r>
      <w:r w:rsidR="005222E9" w:rsidRPr="005222E9">
        <w:rPr>
          <w:rFonts w:cs="Arial"/>
          <w:iCs/>
          <w:noProof/>
          <w:sz w:val="20"/>
          <w:szCs w:val="20"/>
        </w:rPr>
        <w:t>.</w:t>
      </w:r>
      <w:r w:rsidR="005222E9">
        <w:rPr>
          <w:rFonts w:cs="Arial"/>
          <w:i/>
          <w:iCs/>
          <w:noProof/>
          <w:sz w:val="20"/>
          <w:szCs w:val="20"/>
        </w:rPr>
        <w:t xml:space="preserve"> </w:t>
      </w:r>
      <w:r w:rsidRPr="008D1F24">
        <w:rPr>
          <w:rFonts w:cs="Arial"/>
          <w:noProof/>
          <w:sz w:val="20"/>
          <w:szCs w:val="20"/>
        </w:rPr>
        <w:t>111</w:t>
      </w:r>
      <w:r w:rsidR="005222E9">
        <w:rPr>
          <w:rFonts w:cs="Arial"/>
          <w:noProof/>
          <w:sz w:val="20"/>
          <w:szCs w:val="20"/>
        </w:rPr>
        <w:t>(</w:t>
      </w:r>
      <w:r w:rsidRPr="008D1F24">
        <w:rPr>
          <w:rFonts w:cs="Arial"/>
          <w:noProof/>
          <w:sz w:val="20"/>
          <w:szCs w:val="20"/>
        </w:rPr>
        <w:t>5</w:t>
      </w:r>
      <w:r w:rsidR="005222E9">
        <w:rPr>
          <w:rFonts w:cs="Arial"/>
          <w:noProof/>
          <w:sz w:val="20"/>
          <w:szCs w:val="20"/>
        </w:rPr>
        <w:t>):</w:t>
      </w:r>
      <w:r w:rsidRPr="008D1F24">
        <w:rPr>
          <w:rFonts w:cs="Arial"/>
          <w:noProof/>
          <w:sz w:val="20"/>
          <w:szCs w:val="20"/>
        </w:rPr>
        <w:t xml:space="preserve"> 962–974</w:t>
      </w:r>
      <w:r w:rsidRPr="008D1F24">
        <w:rPr>
          <w:rFonts w:cs="Arial"/>
          <w:color w:val="2A2A2A"/>
          <w:sz w:val="20"/>
          <w:szCs w:val="20"/>
          <w:lang w:val="en"/>
        </w:rPr>
        <w:t xml:space="preserve">, </w:t>
      </w:r>
      <w:hyperlink r:id="rId84" w:history="1">
        <w:r w:rsidRPr="008D1F24">
          <w:rPr>
            <w:rStyle w:val="Hyperlink"/>
            <w:rFonts w:eastAsiaTheme="majorEastAsia" w:cs="Arial"/>
            <w:sz w:val="20"/>
            <w:szCs w:val="20"/>
            <w:lang w:val="en"/>
          </w:rPr>
          <w:t>https://doi.org/10.1093/ajcn/nqz308</w:t>
        </w:r>
      </w:hyperlink>
    </w:p>
    <w:p w14:paraId="2DC9D2E8" w14:textId="77777777" w:rsidR="00ED6A3F" w:rsidRPr="008D1F24" w:rsidRDefault="00ED6A3F" w:rsidP="00ED6A3F">
      <w:pPr>
        <w:tabs>
          <w:tab w:val="left" w:pos="0"/>
        </w:tabs>
        <w:rPr>
          <w:rFonts w:cs="Arial"/>
          <w:noProof/>
          <w:sz w:val="20"/>
          <w:szCs w:val="20"/>
        </w:rPr>
      </w:pPr>
    </w:p>
    <w:p w14:paraId="32ACEADB" w14:textId="4A7FB647" w:rsidR="00ED6A3F" w:rsidRPr="008D1F24" w:rsidRDefault="00ED6A3F" w:rsidP="00ED6A3F">
      <w:pPr>
        <w:tabs>
          <w:tab w:val="left" w:pos="0"/>
        </w:tabs>
        <w:rPr>
          <w:rFonts w:cs="Arial"/>
          <w:noProof/>
          <w:sz w:val="20"/>
          <w:szCs w:val="20"/>
        </w:rPr>
      </w:pPr>
      <w:r w:rsidRPr="008D1F24">
        <w:rPr>
          <w:rFonts w:cs="Arial"/>
          <w:noProof/>
          <w:sz w:val="20"/>
          <w:szCs w:val="20"/>
        </w:rPr>
        <w:t>LSRO (1998) Assessment of nutrient requirements for infant formulas. Life Sciences Research Office.  J</w:t>
      </w:r>
      <w:r w:rsidR="005222E9">
        <w:rPr>
          <w:rFonts w:cs="Arial"/>
          <w:noProof/>
          <w:sz w:val="20"/>
          <w:szCs w:val="20"/>
        </w:rPr>
        <w:t>.</w:t>
      </w:r>
      <w:r w:rsidRPr="008D1F24">
        <w:rPr>
          <w:rFonts w:cs="Arial"/>
          <w:noProof/>
          <w:sz w:val="20"/>
          <w:szCs w:val="20"/>
        </w:rPr>
        <w:t xml:space="preserve"> Nutr</w:t>
      </w:r>
      <w:r w:rsidR="005222E9">
        <w:rPr>
          <w:rFonts w:cs="Arial"/>
          <w:noProof/>
          <w:sz w:val="20"/>
          <w:szCs w:val="20"/>
        </w:rPr>
        <w:t>.</w:t>
      </w:r>
      <w:r w:rsidRPr="008D1F24">
        <w:rPr>
          <w:rFonts w:cs="Arial"/>
          <w:noProof/>
          <w:sz w:val="20"/>
          <w:szCs w:val="20"/>
        </w:rPr>
        <w:t xml:space="preserve"> 128(11S):2059S–2294S. </w:t>
      </w:r>
    </w:p>
    <w:p w14:paraId="2EBAAA37" w14:textId="77777777" w:rsidR="00ED6A3F" w:rsidRPr="008D1F24" w:rsidRDefault="00ED6A3F" w:rsidP="00ED6A3F">
      <w:pPr>
        <w:tabs>
          <w:tab w:val="left" w:pos="0"/>
        </w:tabs>
        <w:rPr>
          <w:rFonts w:cs="Arial"/>
          <w:noProof/>
          <w:sz w:val="20"/>
          <w:szCs w:val="20"/>
        </w:rPr>
      </w:pPr>
    </w:p>
    <w:p w14:paraId="4A20C939" w14:textId="0E6F8E91" w:rsidR="00ED6A3F" w:rsidRPr="008D1F24" w:rsidRDefault="00ED6A3F" w:rsidP="00ED6A3F">
      <w:pPr>
        <w:pStyle w:val="CitaviBibliographyEntry"/>
        <w:ind w:left="0" w:firstLine="0"/>
        <w:rPr>
          <w:rFonts w:cs="Arial"/>
          <w:noProof/>
          <w:sz w:val="20"/>
          <w:szCs w:val="20"/>
        </w:rPr>
      </w:pPr>
      <w:r w:rsidRPr="008D1F24">
        <w:rPr>
          <w:rFonts w:cs="Arial"/>
          <w:sz w:val="20"/>
          <w:szCs w:val="20"/>
        </w:rPr>
        <w:t xml:space="preserve">Lönnerdal B (1998): </w:t>
      </w:r>
      <w:r w:rsidRPr="008D1F24">
        <w:rPr>
          <w:rFonts w:cs="Arial"/>
          <w:bCs/>
          <w:kern w:val="36"/>
          <w:sz w:val="20"/>
          <w:szCs w:val="20"/>
          <w:lang w:val="en"/>
        </w:rPr>
        <w:t xml:space="preserve">Copper nutrition during infancy and childhood. </w:t>
      </w:r>
      <w:r w:rsidRPr="008D1F24">
        <w:rPr>
          <w:rFonts w:cs="Arial"/>
          <w:noProof/>
          <w:sz w:val="20"/>
          <w:szCs w:val="20"/>
        </w:rPr>
        <w:t>Am</w:t>
      </w:r>
      <w:r w:rsidR="005222E9">
        <w:rPr>
          <w:rFonts w:cs="Arial"/>
          <w:noProof/>
          <w:sz w:val="20"/>
          <w:szCs w:val="20"/>
        </w:rPr>
        <w:t xml:space="preserve">. </w:t>
      </w:r>
      <w:r w:rsidRPr="008D1F24">
        <w:rPr>
          <w:rFonts w:cs="Arial"/>
          <w:noProof/>
          <w:sz w:val="20"/>
          <w:szCs w:val="20"/>
        </w:rPr>
        <w:t>J</w:t>
      </w:r>
      <w:r w:rsidR="005222E9">
        <w:rPr>
          <w:rFonts w:cs="Arial"/>
          <w:noProof/>
          <w:sz w:val="20"/>
          <w:szCs w:val="20"/>
        </w:rPr>
        <w:t>.</w:t>
      </w:r>
      <w:r w:rsidRPr="008D1F24">
        <w:rPr>
          <w:rFonts w:cs="Arial"/>
          <w:noProof/>
          <w:sz w:val="20"/>
          <w:szCs w:val="20"/>
        </w:rPr>
        <w:t xml:space="preserve"> Clin</w:t>
      </w:r>
      <w:r w:rsidR="005222E9">
        <w:rPr>
          <w:rFonts w:cs="Arial"/>
          <w:noProof/>
          <w:sz w:val="20"/>
          <w:szCs w:val="20"/>
        </w:rPr>
        <w:t>.</w:t>
      </w:r>
      <w:r w:rsidRPr="008D1F24">
        <w:rPr>
          <w:rFonts w:cs="Arial"/>
          <w:noProof/>
          <w:sz w:val="20"/>
          <w:szCs w:val="20"/>
        </w:rPr>
        <w:t xml:space="preserve"> Nutr</w:t>
      </w:r>
      <w:r w:rsidR="005222E9">
        <w:rPr>
          <w:rFonts w:cs="Arial"/>
          <w:noProof/>
          <w:sz w:val="20"/>
          <w:szCs w:val="20"/>
        </w:rPr>
        <w:t xml:space="preserve">. </w:t>
      </w:r>
      <w:r w:rsidRPr="008D1F24">
        <w:rPr>
          <w:rFonts w:cs="Arial"/>
          <w:noProof/>
          <w:sz w:val="20"/>
          <w:szCs w:val="20"/>
        </w:rPr>
        <w:t>67(5): 1046S-1053S. DOI: 10.1093/ajcn/67.5.1046S</w:t>
      </w:r>
    </w:p>
    <w:p w14:paraId="66D46B9B" w14:textId="77777777" w:rsidR="00ED6A3F" w:rsidRPr="008D1F24" w:rsidRDefault="00ED6A3F" w:rsidP="00ED6A3F">
      <w:pPr>
        <w:pStyle w:val="CitaviBibliographyEntry"/>
        <w:ind w:left="0" w:firstLine="0"/>
        <w:rPr>
          <w:rFonts w:cs="Arial"/>
          <w:noProof/>
          <w:sz w:val="20"/>
          <w:szCs w:val="20"/>
        </w:rPr>
      </w:pPr>
    </w:p>
    <w:p w14:paraId="7E30FE02" w14:textId="2F563C6E" w:rsidR="00ED6A3F" w:rsidRPr="008D1F24" w:rsidRDefault="00ED6A3F" w:rsidP="00ED6A3F">
      <w:pPr>
        <w:pStyle w:val="CitaviBibliographyEntry"/>
        <w:ind w:left="0" w:firstLine="0"/>
        <w:rPr>
          <w:rFonts w:cs="Arial"/>
          <w:sz w:val="20"/>
          <w:szCs w:val="20"/>
        </w:rPr>
      </w:pPr>
      <w:r w:rsidRPr="008D1F24">
        <w:rPr>
          <w:rFonts w:cs="Arial"/>
          <w:sz w:val="20"/>
          <w:szCs w:val="20"/>
        </w:rPr>
        <w:t>Lönnerdal B (2008) Intestinal regulation of copper homeostasis: a developmental perspective. Am</w:t>
      </w:r>
      <w:r w:rsidR="005222E9">
        <w:rPr>
          <w:rFonts w:cs="Arial"/>
          <w:sz w:val="20"/>
          <w:szCs w:val="20"/>
        </w:rPr>
        <w:t>.</w:t>
      </w:r>
      <w:r w:rsidRPr="008D1F24">
        <w:rPr>
          <w:rFonts w:cs="Arial"/>
          <w:sz w:val="20"/>
          <w:szCs w:val="20"/>
        </w:rPr>
        <w:t xml:space="preserve"> J</w:t>
      </w:r>
      <w:r w:rsidR="005222E9">
        <w:rPr>
          <w:rFonts w:cs="Arial"/>
          <w:sz w:val="20"/>
          <w:szCs w:val="20"/>
        </w:rPr>
        <w:t>.</w:t>
      </w:r>
      <w:r w:rsidRPr="008D1F24">
        <w:rPr>
          <w:rFonts w:cs="Arial"/>
          <w:sz w:val="20"/>
          <w:szCs w:val="20"/>
        </w:rPr>
        <w:t xml:space="preserve"> Clin</w:t>
      </w:r>
      <w:r w:rsidR="005222E9">
        <w:rPr>
          <w:rFonts w:cs="Arial"/>
          <w:sz w:val="20"/>
          <w:szCs w:val="20"/>
        </w:rPr>
        <w:t>.</w:t>
      </w:r>
      <w:r w:rsidRPr="008D1F24">
        <w:rPr>
          <w:rFonts w:cs="Arial"/>
          <w:sz w:val="20"/>
          <w:szCs w:val="20"/>
        </w:rPr>
        <w:t xml:space="preserve"> Nutr</w:t>
      </w:r>
      <w:r w:rsidR="005222E9">
        <w:rPr>
          <w:rFonts w:cs="Arial"/>
          <w:sz w:val="20"/>
          <w:szCs w:val="20"/>
        </w:rPr>
        <w:t>.</w:t>
      </w:r>
      <w:r w:rsidRPr="008D1F24">
        <w:rPr>
          <w:rFonts w:cs="Arial"/>
          <w:sz w:val="20"/>
          <w:szCs w:val="20"/>
        </w:rPr>
        <w:t xml:space="preserve"> 88(3):846S–850S.</w:t>
      </w:r>
    </w:p>
    <w:p w14:paraId="388D97BA" w14:textId="77777777" w:rsidR="00ED6A3F" w:rsidRPr="008D1F24" w:rsidRDefault="00ED6A3F" w:rsidP="00ED6A3F">
      <w:pPr>
        <w:pStyle w:val="CitaviBibliographyEntry"/>
        <w:ind w:left="0" w:firstLine="0"/>
        <w:rPr>
          <w:rFonts w:cs="Arial"/>
          <w:b/>
          <w:bCs/>
          <w:sz w:val="20"/>
          <w:szCs w:val="20"/>
          <w:bdr w:val="single" w:sz="6" w:space="9" w:color="B4BACA" w:frame="1"/>
          <w:shd w:val="clear" w:color="auto" w:fill="FFFFFF"/>
          <w:lang w:val="en"/>
        </w:rPr>
      </w:pPr>
    </w:p>
    <w:p w14:paraId="2B027DEF" w14:textId="096C4CFD" w:rsidR="00ED6A3F" w:rsidRPr="008D1F24" w:rsidRDefault="00ED6A3F" w:rsidP="00ED6A3F">
      <w:pPr>
        <w:rPr>
          <w:rFonts w:cs="Arial"/>
          <w:sz w:val="20"/>
          <w:szCs w:val="20"/>
        </w:rPr>
      </w:pPr>
      <w:r w:rsidRPr="008D1F24">
        <w:rPr>
          <w:rFonts w:cs="Arial"/>
          <w:sz w:val="20"/>
          <w:szCs w:val="20"/>
        </w:rPr>
        <w:t>Lönnerdal B, Georgieff MK, Hernell O (2015): Developmental Physiology of Iron Absorption, Homeostasis, and Metabolism in the Healthy Term Infant. J</w:t>
      </w:r>
      <w:r w:rsidR="005222E9">
        <w:rPr>
          <w:rFonts w:cs="Arial"/>
          <w:sz w:val="20"/>
          <w:szCs w:val="20"/>
        </w:rPr>
        <w:t>.</w:t>
      </w:r>
      <w:r w:rsidRPr="008D1F24">
        <w:rPr>
          <w:rFonts w:cs="Arial"/>
          <w:sz w:val="20"/>
          <w:szCs w:val="20"/>
        </w:rPr>
        <w:t xml:space="preserve"> Pediatr</w:t>
      </w:r>
      <w:r w:rsidR="005222E9">
        <w:rPr>
          <w:rFonts w:cs="Arial"/>
          <w:sz w:val="20"/>
          <w:szCs w:val="20"/>
        </w:rPr>
        <w:t>. 167</w:t>
      </w:r>
      <w:r w:rsidRPr="008D1F24">
        <w:rPr>
          <w:rFonts w:cs="Arial"/>
          <w:sz w:val="20"/>
          <w:szCs w:val="20"/>
        </w:rPr>
        <w:t>(4): S8-S14. DOI: 1-.1016/j.peds.2015.07.014</w:t>
      </w:r>
    </w:p>
    <w:p w14:paraId="19A5F89E" w14:textId="77777777" w:rsidR="00ED6A3F" w:rsidRPr="008D1F24" w:rsidRDefault="00ED6A3F" w:rsidP="00ED6A3F">
      <w:pPr>
        <w:tabs>
          <w:tab w:val="left" w:pos="0"/>
        </w:tabs>
        <w:rPr>
          <w:rFonts w:cs="Arial"/>
          <w:noProof/>
          <w:sz w:val="20"/>
          <w:szCs w:val="20"/>
        </w:rPr>
      </w:pPr>
    </w:p>
    <w:p w14:paraId="0F3F811F" w14:textId="2A0AF021" w:rsidR="00ED6A3F" w:rsidRPr="008D1F24" w:rsidRDefault="00ED6A3F" w:rsidP="00ED6A3F">
      <w:pPr>
        <w:tabs>
          <w:tab w:val="left" w:pos="0"/>
        </w:tabs>
        <w:rPr>
          <w:rFonts w:cs="Arial"/>
          <w:noProof/>
          <w:sz w:val="20"/>
          <w:szCs w:val="20"/>
        </w:rPr>
      </w:pPr>
      <w:r w:rsidRPr="008D1F24">
        <w:rPr>
          <w:rFonts w:cs="Arial"/>
          <w:noProof/>
          <w:sz w:val="20"/>
          <w:szCs w:val="20"/>
        </w:rPr>
        <w:t>MacLean J, Van Dael P, Clemens R, Davies J, Underwood E, Risky L, Rooney D, Schrijver J (2010) Upper levels of nutrients in infant formulas: Comparison of analytical data with the revised Codex infant formula standard. J</w:t>
      </w:r>
      <w:r w:rsidR="005222E9">
        <w:rPr>
          <w:rFonts w:cs="Arial"/>
          <w:noProof/>
          <w:sz w:val="20"/>
          <w:szCs w:val="20"/>
        </w:rPr>
        <w:t>. Food Comp.</w:t>
      </w:r>
      <w:r w:rsidRPr="008D1F24">
        <w:rPr>
          <w:rFonts w:cs="Arial"/>
          <w:noProof/>
          <w:sz w:val="20"/>
          <w:szCs w:val="20"/>
        </w:rPr>
        <w:t xml:space="preserve"> Anal</w:t>
      </w:r>
      <w:r w:rsidR="005222E9">
        <w:rPr>
          <w:rFonts w:cs="Arial"/>
          <w:noProof/>
          <w:sz w:val="20"/>
          <w:szCs w:val="20"/>
        </w:rPr>
        <w:t>.</w:t>
      </w:r>
      <w:r w:rsidRPr="008D1F24">
        <w:rPr>
          <w:rFonts w:cs="Arial"/>
          <w:noProof/>
          <w:sz w:val="20"/>
          <w:szCs w:val="20"/>
        </w:rPr>
        <w:t xml:space="preserve"> 23(1):44–53.</w:t>
      </w:r>
    </w:p>
    <w:p w14:paraId="12492CD3" w14:textId="77777777" w:rsidR="00ED6A3F" w:rsidRPr="008D1F24" w:rsidRDefault="00ED6A3F" w:rsidP="00ED6A3F">
      <w:pPr>
        <w:tabs>
          <w:tab w:val="left" w:pos="0"/>
        </w:tabs>
        <w:rPr>
          <w:rFonts w:cs="Arial"/>
          <w:noProof/>
          <w:sz w:val="20"/>
          <w:szCs w:val="20"/>
        </w:rPr>
      </w:pPr>
    </w:p>
    <w:p w14:paraId="1C4954B9" w14:textId="28159816" w:rsidR="00ED6A3F" w:rsidRPr="008D1F24" w:rsidRDefault="00ED6A3F" w:rsidP="00ED6A3F">
      <w:pPr>
        <w:rPr>
          <w:rFonts w:cs="Arial"/>
          <w:sz w:val="20"/>
          <w:szCs w:val="20"/>
        </w:rPr>
      </w:pPr>
      <w:r w:rsidRPr="008D1F24">
        <w:rPr>
          <w:rFonts w:cs="Arial"/>
          <w:sz w:val="20"/>
          <w:szCs w:val="20"/>
        </w:rPr>
        <w:t>Maubois JL, Lorient D (2016) Dairy proteins and soy proteins in infant foods nitrogen-to-protein conversion factors. Dairy Sci</w:t>
      </w:r>
      <w:r w:rsidR="005222E9">
        <w:rPr>
          <w:rFonts w:cs="Arial"/>
          <w:sz w:val="20"/>
          <w:szCs w:val="20"/>
        </w:rPr>
        <w:t>.</w:t>
      </w:r>
      <w:r w:rsidRPr="008D1F24">
        <w:rPr>
          <w:rFonts w:cs="Arial"/>
          <w:sz w:val="20"/>
          <w:szCs w:val="20"/>
        </w:rPr>
        <w:t xml:space="preserve"> Technol</w:t>
      </w:r>
      <w:r w:rsidR="005222E9">
        <w:rPr>
          <w:rFonts w:cs="Arial"/>
          <w:sz w:val="20"/>
          <w:szCs w:val="20"/>
        </w:rPr>
        <w:t xml:space="preserve">. </w:t>
      </w:r>
      <w:r w:rsidRPr="008D1F24">
        <w:rPr>
          <w:rFonts w:cs="Arial"/>
          <w:sz w:val="20"/>
          <w:szCs w:val="20"/>
        </w:rPr>
        <w:t>1–11.</w:t>
      </w:r>
    </w:p>
    <w:p w14:paraId="44440E48" w14:textId="77777777" w:rsidR="00ED6A3F" w:rsidRPr="008D1F24" w:rsidRDefault="00ED6A3F" w:rsidP="00ED6A3F">
      <w:pPr>
        <w:rPr>
          <w:rFonts w:cs="Arial"/>
          <w:sz w:val="20"/>
          <w:szCs w:val="20"/>
        </w:rPr>
      </w:pPr>
    </w:p>
    <w:p w14:paraId="01E4A82B" w14:textId="77777777" w:rsidR="00ED6A3F" w:rsidRPr="008D1F24" w:rsidRDefault="00ED6A3F" w:rsidP="00ED6A3F">
      <w:pPr>
        <w:rPr>
          <w:rFonts w:cs="Arial"/>
          <w:sz w:val="20"/>
          <w:szCs w:val="20"/>
        </w:rPr>
      </w:pPr>
      <w:r w:rsidRPr="008D1F24">
        <w:rPr>
          <w:rFonts w:cs="Arial"/>
          <w:sz w:val="20"/>
          <w:szCs w:val="20"/>
        </w:rPr>
        <w:t>McSweeney S, O'Regan J, O'Callaghan D (2013) Nutritional formulae for infants and young children. Ch 21 In: Park YW, Haenlein GFW (eds) Milk and dairy products in human nutrition: production, composition and health. John Wiley &amp; Sons Ltd, Chichester, 458-476.</w:t>
      </w:r>
    </w:p>
    <w:p w14:paraId="3C141C17" w14:textId="77777777" w:rsidR="00ED6A3F" w:rsidRPr="008D1F24" w:rsidRDefault="00ED6A3F" w:rsidP="00ED6A3F">
      <w:pPr>
        <w:rPr>
          <w:rFonts w:cs="Arial"/>
          <w:sz w:val="20"/>
          <w:szCs w:val="20"/>
          <w:shd w:val="clear" w:color="auto" w:fill="FFFFFF"/>
        </w:rPr>
      </w:pPr>
    </w:p>
    <w:p w14:paraId="6A86671C" w14:textId="77777777" w:rsidR="00ED6A3F" w:rsidRPr="008D1F24" w:rsidRDefault="00ED6A3F" w:rsidP="00ED6A3F">
      <w:pPr>
        <w:rPr>
          <w:rFonts w:cs="Arial"/>
          <w:sz w:val="20"/>
          <w:szCs w:val="20"/>
          <w:shd w:val="clear" w:color="auto" w:fill="FFFFFF"/>
        </w:rPr>
      </w:pPr>
      <w:r w:rsidRPr="008D1F24">
        <w:rPr>
          <w:rFonts w:cs="Arial"/>
          <w:sz w:val="20"/>
          <w:szCs w:val="20"/>
          <w:shd w:val="clear" w:color="auto" w:fill="FFFFFF"/>
        </w:rPr>
        <w:t xml:space="preserve">Mendonça MA, Araújo WMC, Borgo LA, Alencar EdR (2017) Lipid profile of different infant formulas for infants. PLoS ONE 12(6): e0177812. </w:t>
      </w:r>
      <w:hyperlink r:id="rId85" w:history="1">
        <w:r w:rsidRPr="008D1F24">
          <w:rPr>
            <w:rStyle w:val="Hyperlink"/>
            <w:rFonts w:cs="Arial"/>
            <w:sz w:val="20"/>
            <w:szCs w:val="20"/>
            <w:shd w:val="clear" w:color="auto" w:fill="FFFFFF"/>
          </w:rPr>
          <w:t>https://doi.org/10.1371/journal.pone.0177812</w:t>
        </w:r>
      </w:hyperlink>
    </w:p>
    <w:p w14:paraId="412E9C53" w14:textId="77777777" w:rsidR="00ED6A3F" w:rsidRPr="008D1F24" w:rsidRDefault="00ED6A3F" w:rsidP="00ED6A3F">
      <w:pPr>
        <w:rPr>
          <w:rFonts w:cs="Arial"/>
          <w:sz w:val="20"/>
          <w:szCs w:val="20"/>
          <w:shd w:val="clear" w:color="auto" w:fill="FFFFFF"/>
        </w:rPr>
      </w:pPr>
    </w:p>
    <w:p w14:paraId="342FFF5C" w14:textId="77777777" w:rsidR="00ED6A3F" w:rsidRPr="008D1F24" w:rsidRDefault="00ED6A3F" w:rsidP="00ED6A3F">
      <w:pPr>
        <w:rPr>
          <w:rFonts w:cs="Arial"/>
          <w:sz w:val="20"/>
          <w:szCs w:val="20"/>
          <w:shd w:val="clear" w:color="auto" w:fill="FFFFFF"/>
        </w:rPr>
      </w:pPr>
      <w:r w:rsidRPr="008D1F24">
        <w:rPr>
          <w:rFonts w:cs="Arial"/>
          <w:sz w:val="20"/>
          <w:szCs w:val="20"/>
          <w:shd w:val="clear" w:color="auto" w:fill="FFFFFF"/>
        </w:rPr>
        <w:t>Ministry of Health (2008) Food and Nutrition Guidelines for Healthy Infants and Toddlers (Aged 0–2): A background paper - Partially revised December 2012. Wellington: Ministry of Health.</w:t>
      </w:r>
    </w:p>
    <w:p w14:paraId="306432C8" w14:textId="77777777" w:rsidR="00ED6A3F" w:rsidRPr="008D1F24" w:rsidRDefault="00ED6A3F" w:rsidP="00ED6A3F">
      <w:pPr>
        <w:rPr>
          <w:rFonts w:cs="Arial"/>
          <w:sz w:val="20"/>
          <w:szCs w:val="20"/>
          <w:shd w:val="clear" w:color="auto" w:fill="FFFFFF"/>
        </w:rPr>
      </w:pPr>
    </w:p>
    <w:p w14:paraId="0EFCEBA4" w14:textId="77777777" w:rsidR="00ED6A3F" w:rsidRPr="008D1F24" w:rsidRDefault="00ED6A3F" w:rsidP="00ED6A3F">
      <w:pPr>
        <w:rPr>
          <w:rFonts w:cs="Arial"/>
          <w:sz w:val="20"/>
          <w:szCs w:val="20"/>
          <w:shd w:val="clear" w:color="auto" w:fill="FFFFFF"/>
        </w:rPr>
      </w:pPr>
      <w:r w:rsidRPr="008D1F24">
        <w:rPr>
          <w:rFonts w:cs="Arial"/>
          <w:sz w:val="20"/>
          <w:szCs w:val="20"/>
          <w:shd w:val="clear" w:color="auto" w:fill="FFFFFF"/>
        </w:rPr>
        <w:t>Ministry of Health (2018) Drinking-water Standards for New Zealand 2005 (revised 2018). Wellington: Ministry of Health.</w:t>
      </w:r>
    </w:p>
    <w:p w14:paraId="17E8A2E9" w14:textId="77777777" w:rsidR="00ED6A3F" w:rsidRPr="008D1F24" w:rsidRDefault="00ED6A3F" w:rsidP="00ED6A3F">
      <w:pPr>
        <w:rPr>
          <w:rFonts w:cs="Arial"/>
          <w:sz w:val="20"/>
          <w:szCs w:val="20"/>
          <w:shd w:val="clear" w:color="auto" w:fill="FFFFFF"/>
        </w:rPr>
      </w:pPr>
    </w:p>
    <w:p w14:paraId="52BE7E30" w14:textId="77777777" w:rsidR="00ED6A3F" w:rsidRPr="008D1F24" w:rsidRDefault="00ED6A3F" w:rsidP="00ED6A3F">
      <w:pPr>
        <w:rPr>
          <w:sz w:val="20"/>
          <w:szCs w:val="20"/>
        </w:rPr>
      </w:pPr>
      <w:r w:rsidRPr="008D1F24">
        <w:rPr>
          <w:rFonts w:cs="Arial"/>
          <w:sz w:val="20"/>
          <w:szCs w:val="20"/>
          <w:shd w:val="clear" w:color="auto" w:fill="FFFFFF"/>
        </w:rPr>
        <w:t xml:space="preserve">Ministry for Primary Industries (2016) 2016 New Zealand Total Diet Study. </w:t>
      </w:r>
      <w:r w:rsidRPr="008D1F24">
        <w:rPr>
          <w:sz w:val="20"/>
          <w:szCs w:val="20"/>
        </w:rPr>
        <w:t xml:space="preserve">Ministry for Primary Industries, Wellington. </w:t>
      </w:r>
    </w:p>
    <w:p w14:paraId="70FBE475" w14:textId="77777777" w:rsidR="00ED6A3F" w:rsidRPr="008D1F24" w:rsidRDefault="001938AB" w:rsidP="00ED6A3F">
      <w:pPr>
        <w:rPr>
          <w:sz w:val="20"/>
          <w:szCs w:val="20"/>
        </w:rPr>
      </w:pPr>
      <w:hyperlink r:id="rId86" w:history="1">
        <w:r w:rsidR="00ED6A3F" w:rsidRPr="008D1F24">
          <w:rPr>
            <w:rStyle w:val="Hyperlink"/>
            <w:sz w:val="20"/>
            <w:szCs w:val="20"/>
          </w:rPr>
          <w:t>https://apo.org.au/sites/default/files/resource-files/2018-05/apo-nid173731.pdf</w:t>
        </w:r>
      </w:hyperlink>
    </w:p>
    <w:p w14:paraId="0A78415C" w14:textId="77777777" w:rsidR="00ED6A3F" w:rsidRPr="008D1F24" w:rsidRDefault="00ED6A3F" w:rsidP="00ED6A3F">
      <w:pPr>
        <w:rPr>
          <w:rFonts w:cs="Arial"/>
          <w:sz w:val="20"/>
          <w:szCs w:val="20"/>
        </w:rPr>
      </w:pPr>
    </w:p>
    <w:p w14:paraId="42702CC8" w14:textId="31A609ED" w:rsidR="00ED6A3F" w:rsidRDefault="00ED6A3F" w:rsidP="00ED6A3F">
      <w:pPr>
        <w:tabs>
          <w:tab w:val="left" w:pos="0"/>
        </w:tabs>
        <w:rPr>
          <w:rFonts w:cs="Arial"/>
          <w:sz w:val="20"/>
          <w:szCs w:val="20"/>
        </w:rPr>
      </w:pPr>
      <w:r w:rsidRPr="008D1F24">
        <w:rPr>
          <w:rFonts w:cs="Arial"/>
          <w:sz w:val="20"/>
          <w:szCs w:val="20"/>
        </w:rPr>
        <w:t>National Health and Medical Research Council (2011) Australian Drinking Water Guidelines, Paper 6 National Water Quality Management Strategy. National Resource Management Ministerial Council, Commonwealth of Australia, Canberra.</w:t>
      </w:r>
    </w:p>
    <w:p w14:paraId="49D78591" w14:textId="77777777" w:rsidR="00C4648B" w:rsidRPr="008D1F24" w:rsidRDefault="00C4648B" w:rsidP="00ED6A3F">
      <w:pPr>
        <w:tabs>
          <w:tab w:val="left" w:pos="0"/>
        </w:tabs>
        <w:rPr>
          <w:rFonts w:cs="Arial"/>
          <w:sz w:val="20"/>
          <w:szCs w:val="20"/>
        </w:rPr>
      </w:pPr>
    </w:p>
    <w:p w14:paraId="6472BDA2" w14:textId="77777777" w:rsidR="00ED6A3F" w:rsidRPr="008D1F24" w:rsidRDefault="00ED6A3F" w:rsidP="00ED6A3F">
      <w:pPr>
        <w:tabs>
          <w:tab w:val="left" w:pos="0"/>
        </w:tabs>
        <w:rPr>
          <w:rFonts w:cs="Arial"/>
          <w:sz w:val="20"/>
          <w:szCs w:val="20"/>
        </w:rPr>
      </w:pPr>
      <w:r w:rsidRPr="008D1F24">
        <w:rPr>
          <w:rFonts w:cs="Arial"/>
          <w:sz w:val="20"/>
          <w:szCs w:val="20"/>
        </w:rPr>
        <w:t>National Health and Medical Research Council (2013) Australian Dietary Guidelines. Canberra: National Health and Medical Research Council.</w:t>
      </w:r>
    </w:p>
    <w:p w14:paraId="20E1ECE9" w14:textId="77777777" w:rsidR="00ED6A3F" w:rsidRPr="008D1F24" w:rsidRDefault="00ED6A3F" w:rsidP="00ED6A3F">
      <w:pPr>
        <w:tabs>
          <w:tab w:val="left" w:pos="0"/>
        </w:tabs>
        <w:rPr>
          <w:rFonts w:cs="Arial"/>
          <w:sz w:val="20"/>
          <w:szCs w:val="20"/>
        </w:rPr>
      </w:pPr>
    </w:p>
    <w:p w14:paraId="164A6031" w14:textId="77777777" w:rsidR="00ED6A3F" w:rsidRPr="008D1F24" w:rsidRDefault="00ED6A3F" w:rsidP="00ED6A3F">
      <w:pPr>
        <w:tabs>
          <w:tab w:val="left" w:pos="0"/>
        </w:tabs>
        <w:rPr>
          <w:rStyle w:val="Hyperlink"/>
          <w:rFonts w:cs="Arial"/>
          <w:noProof/>
          <w:sz w:val="20"/>
          <w:szCs w:val="20"/>
        </w:rPr>
      </w:pPr>
      <w:r w:rsidRPr="008D1F24">
        <w:rPr>
          <w:rFonts w:cs="Arial"/>
          <w:noProof/>
          <w:sz w:val="20"/>
          <w:szCs w:val="20"/>
        </w:rPr>
        <w:t xml:space="preserve">NHMRC and NZ MOH (2006) Nutrient Reference Values for Australia and New Zealand. Commonwealth of Australia, Canberra. </w:t>
      </w:r>
      <w:hyperlink r:id="rId87" w:history="1">
        <w:r w:rsidRPr="008D1F24">
          <w:rPr>
            <w:rStyle w:val="Hyperlink"/>
            <w:rFonts w:cs="Arial"/>
            <w:noProof/>
            <w:sz w:val="20"/>
            <w:szCs w:val="20"/>
          </w:rPr>
          <w:t>http://www.nrv.gov.au/</w:t>
        </w:r>
      </w:hyperlink>
    </w:p>
    <w:p w14:paraId="3E58FE75" w14:textId="77777777" w:rsidR="00ED6A3F" w:rsidRPr="008D1F24" w:rsidRDefault="00ED6A3F" w:rsidP="00ED6A3F">
      <w:pPr>
        <w:tabs>
          <w:tab w:val="left" w:pos="0"/>
        </w:tabs>
        <w:rPr>
          <w:rStyle w:val="Hyperlink"/>
          <w:rFonts w:cs="Arial"/>
          <w:noProof/>
          <w:sz w:val="20"/>
          <w:szCs w:val="20"/>
        </w:rPr>
      </w:pPr>
    </w:p>
    <w:p w14:paraId="7726B35B" w14:textId="77777777" w:rsidR="00ED6A3F" w:rsidRPr="008D1F24" w:rsidRDefault="00ED6A3F" w:rsidP="00ED6A3F">
      <w:pPr>
        <w:tabs>
          <w:tab w:val="left" w:pos="0"/>
        </w:tabs>
        <w:rPr>
          <w:rFonts w:cs="Arial"/>
          <w:noProof/>
          <w:sz w:val="20"/>
          <w:szCs w:val="20"/>
        </w:rPr>
      </w:pPr>
      <w:r w:rsidRPr="008D1F24">
        <w:rPr>
          <w:rFonts w:cs="Arial"/>
          <w:noProof/>
          <w:sz w:val="20"/>
          <w:szCs w:val="20"/>
        </w:rPr>
        <w:t>NHMRC and NZ MOH (2017) Australia and New Zealand Nutrient Reference Values for Fluoride. Commonwealth of Australia, Canberra.</w:t>
      </w:r>
      <w:r w:rsidRPr="008D1F24">
        <w:rPr>
          <w:rFonts w:cs="Arial"/>
          <w:sz w:val="20"/>
          <w:szCs w:val="20"/>
        </w:rPr>
        <w:t xml:space="preserve"> </w:t>
      </w:r>
      <w:hyperlink r:id="rId88" w:history="1">
        <w:r w:rsidRPr="008D1F24">
          <w:rPr>
            <w:rStyle w:val="Hyperlink"/>
            <w:rFonts w:cs="Arial"/>
            <w:noProof/>
            <w:sz w:val="20"/>
            <w:szCs w:val="20"/>
          </w:rPr>
          <w:t>https://www.nrv.gov.au/sites/default/files/content/resources/2017%20NRV%20Fluoride%20Report.pdf</w:t>
        </w:r>
      </w:hyperlink>
    </w:p>
    <w:p w14:paraId="22BB96A2" w14:textId="77777777" w:rsidR="00ED6A3F" w:rsidRPr="008D1F24" w:rsidRDefault="00ED6A3F" w:rsidP="00ED6A3F">
      <w:pPr>
        <w:tabs>
          <w:tab w:val="left" w:pos="0"/>
        </w:tabs>
        <w:rPr>
          <w:rStyle w:val="Hyperlink"/>
          <w:rFonts w:cs="Arial"/>
          <w:noProof/>
          <w:sz w:val="20"/>
          <w:szCs w:val="20"/>
        </w:rPr>
      </w:pPr>
    </w:p>
    <w:p w14:paraId="118E7FF9" w14:textId="47B55BEF" w:rsidR="00ED6A3F" w:rsidRPr="008D1F24" w:rsidRDefault="00ED6A3F" w:rsidP="00ED6A3F">
      <w:pPr>
        <w:rPr>
          <w:rFonts w:cs="Arial"/>
          <w:color w:val="000000"/>
          <w:sz w:val="20"/>
          <w:szCs w:val="20"/>
          <w:lang w:eastAsia="en-GB" w:bidi="ar-SA"/>
        </w:rPr>
      </w:pPr>
      <w:r w:rsidRPr="008D1F24">
        <w:rPr>
          <w:rFonts w:cs="Arial"/>
          <w:color w:val="000000"/>
          <w:sz w:val="20"/>
          <w:szCs w:val="20"/>
          <w:lang w:eastAsia="en-GB" w:bidi="ar-SA"/>
        </w:rPr>
        <w:t>Nommsen LA, Lovelady CA, Heinig MJ, Lonnerdal B, Dewey KG (1991) Determinants of energy, protein, lipid, and lactose concentrations in human milk during the first 12 mo of lactation: the DARLING Study. Am</w:t>
      </w:r>
      <w:r w:rsidR="005222E9">
        <w:rPr>
          <w:rFonts w:cs="Arial"/>
          <w:color w:val="000000"/>
          <w:sz w:val="20"/>
          <w:szCs w:val="20"/>
          <w:lang w:eastAsia="en-GB" w:bidi="ar-SA"/>
        </w:rPr>
        <w:t>.</w:t>
      </w:r>
      <w:r w:rsidRPr="008D1F24">
        <w:rPr>
          <w:rFonts w:cs="Arial"/>
          <w:color w:val="000000"/>
          <w:sz w:val="20"/>
          <w:szCs w:val="20"/>
          <w:lang w:eastAsia="en-GB" w:bidi="ar-SA"/>
        </w:rPr>
        <w:t xml:space="preserve"> J</w:t>
      </w:r>
      <w:r w:rsidR="005222E9">
        <w:rPr>
          <w:rFonts w:cs="Arial"/>
          <w:color w:val="000000"/>
          <w:sz w:val="20"/>
          <w:szCs w:val="20"/>
          <w:lang w:eastAsia="en-GB" w:bidi="ar-SA"/>
        </w:rPr>
        <w:t>.</w:t>
      </w:r>
      <w:r w:rsidRPr="008D1F24">
        <w:rPr>
          <w:rFonts w:cs="Arial"/>
          <w:color w:val="000000"/>
          <w:sz w:val="20"/>
          <w:szCs w:val="20"/>
          <w:lang w:eastAsia="en-GB" w:bidi="ar-SA"/>
        </w:rPr>
        <w:t xml:space="preserve"> Clin</w:t>
      </w:r>
      <w:r w:rsidR="005222E9">
        <w:rPr>
          <w:rFonts w:cs="Arial"/>
          <w:color w:val="000000"/>
          <w:sz w:val="20"/>
          <w:szCs w:val="20"/>
          <w:lang w:eastAsia="en-GB" w:bidi="ar-SA"/>
        </w:rPr>
        <w:t>.</w:t>
      </w:r>
      <w:r w:rsidRPr="008D1F24">
        <w:rPr>
          <w:rFonts w:cs="Arial"/>
          <w:color w:val="000000"/>
          <w:sz w:val="20"/>
          <w:szCs w:val="20"/>
          <w:lang w:eastAsia="en-GB" w:bidi="ar-SA"/>
        </w:rPr>
        <w:t xml:space="preserve"> Nutr</w:t>
      </w:r>
      <w:r w:rsidR="005222E9">
        <w:rPr>
          <w:rFonts w:cs="Arial"/>
          <w:color w:val="000000"/>
          <w:sz w:val="20"/>
          <w:szCs w:val="20"/>
          <w:lang w:eastAsia="en-GB" w:bidi="ar-SA"/>
        </w:rPr>
        <w:t>.</w:t>
      </w:r>
      <w:r w:rsidRPr="008D1F24">
        <w:rPr>
          <w:rFonts w:cs="Arial"/>
          <w:color w:val="000000"/>
          <w:sz w:val="20"/>
          <w:szCs w:val="20"/>
          <w:lang w:eastAsia="en-GB" w:bidi="ar-SA"/>
        </w:rPr>
        <w:t xml:space="preserve"> 53(2):457–465.</w:t>
      </w:r>
    </w:p>
    <w:p w14:paraId="22D03300" w14:textId="77777777" w:rsidR="00ED6A3F" w:rsidRPr="008D1F24" w:rsidRDefault="00ED6A3F" w:rsidP="00ED6A3F">
      <w:pPr>
        <w:rPr>
          <w:rFonts w:cs="Arial"/>
          <w:color w:val="000000"/>
          <w:sz w:val="20"/>
          <w:szCs w:val="20"/>
          <w:lang w:eastAsia="en-GB" w:bidi="ar-SA"/>
        </w:rPr>
      </w:pPr>
    </w:p>
    <w:p w14:paraId="28413BAD" w14:textId="77777777" w:rsidR="00ED6A3F" w:rsidRPr="008D1F24" w:rsidRDefault="00ED6A3F" w:rsidP="00ED6A3F">
      <w:pPr>
        <w:rPr>
          <w:rFonts w:cs="Arial"/>
          <w:color w:val="000000"/>
          <w:sz w:val="20"/>
          <w:szCs w:val="20"/>
          <w:lang w:eastAsia="en-GB" w:bidi="ar-SA"/>
        </w:rPr>
      </w:pPr>
      <w:r w:rsidRPr="008D1F24">
        <w:rPr>
          <w:rFonts w:cs="Arial"/>
          <w:color w:val="000000"/>
          <w:sz w:val="20"/>
          <w:szCs w:val="20"/>
          <w:lang w:eastAsia="en-GB" w:bidi="ar-SA"/>
        </w:rPr>
        <w:lastRenderedPageBreak/>
        <w:t xml:space="preserve">Papachristodoulou C, Tsiamou MC, Sakkas H, and Papadopoulou (2018) </w:t>
      </w:r>
      <w:r w:rsidRPr="008D1F24">
        <w:rPr>
          <w:rFonts w:cs="Arial"/>
          <w:color w:val="000000"/>
          <w:sz w:val="20"/>
          <w:szCs w:val="20"/>
          <w:lang w:val="en" w:eastAsia="en-GB" w:bidi="ar-SA"/>
        </w:rPr>
        <w:t>Determination of minerals in infant milk formulae by energy dispersive X-ray fluorescence spectrometry. J. Food Comp. Anal. 72:39-47.</w:t>
      </w:r>
    </w:p>
    <w:p w14:paraId="699B29EC" w14:textId="77777777" w:rsidR="00ED6A3F" w:rsidRPr="008D1F24" w:rsidRDefault="00ED6A3F" w:rsidP="00ED6A3F">
      <w:pPr>
        <w:rPr>
          <w:rFonts w:cs="Arial"/>
          <w:color w:val="000000"/>
          <w:sz w:val="20"/>
          <w:szCs w:val="20"/>
          <w:lang w:eastAsia="en-GB" w:bidi="ar-SA"/>
        </w:rPr>
      </w:pPr>
    </w:p>
    <w:p w14:paraId="00A426EB" w14:textId="7E2A3814" w:rsidR="00ED6A3F" w:rsidRPr="008D1F24" w:rsidRDefault="00ED6A3F" w:rsidP="00ED6A3F">
      <w:pPr>
        <w:rPr>
          <w:rFonts w:cs="Arial"/>
          <w:color w:val="000000"/>
          <w:sz w:val="20"/>
          <w:szCs w:val="20"/>
          <w:lang w:eastAsia="en-GB" w:bidi="ar-SA"/>
        </w:rPr>
      </w:pPr>
      <w:r w:rsidRPr="008D1F24">
        <w:rPr>
          <w:rFonts w:cs="Arial"/>
          <w:color w:val="000000"/>
          <w:sz w:val="20"/>
          <w:szCs w:val="20"/>
          <w:lang w:eastAsia="en-GB" w:bidi="ar-SA"/>
        </w:rPr>
        <w:t xml:space="preserve">Pehrsson PR, Patterson KY, Khan MA (2014) </w:t>
      </w:r>
      <w:r w:rsidRPr="008D1F24">
        <w:rPr>
          <w:rFonts w:cs="Arial"/>
          <w:color w:val="000000"/>
          <w:sz w:val="20"/>
          <w:szCs w:val="20"/>
          <w:lang w:val="en" w:eastAsia="en-GB" w:bidi="ar-SA"/>
        </w:rPr>
        <w:t>Selected vitamins, minerals and fatty acids in infant formulas in the United States. J. Food Comp. Anal</w:t>
      </w:r>
      <w:r w:rsidR="005222E9">
        <w:rPr>
          <w:rFonts w:cs="Arial"/>
          <w:color w:val="000000"/>
          <w:sz w:val="20"/>
          <w:szCs w:val="20"/>
          <w:lang w:val="en" w:eastAsia="en-GB" w:bidi="ar-SA"/>
        </w:rPr>
        <w:t>.</w:t>
      </w:r>
      <w:r w:rsidRPr="008D1F24">
        <w:rPr>
          <w:rFonts w:cs="Arial"/>
          <w:color w:val="000000"/>
          <w:sz w:val="20"/>
          <w:szCs w:val="20"/>
          <w:lang w:val="en" w:eastAsia="en-GB" w:bidi="ar-SA"/>
        </w:rPr>
        <w:t xml:space="preserve"> 36 (1-2): 66-71.</w:t>
      </w:r>
    </w:p>
    <w:p w14:paraId="3475B33A" w14:textId="77777777" w:rsidR="00ED6A3F" w:rsidRPr="008D1F24" w:rsidRDefault="00ED6A3F" w:rsidP="00ED6A3F">
      <w:pPr>
        <w:rPr>
          <w:rFonts w:cs="Arial"/>
          <w:color w:val="000000"/>
          <w:sz w:val="20"/>
          <w:szCs w:val="20"/>
          <w:lang w:eastAsia="en-GB" w:bidi="ar-SA"/>
        </w:rPr>
      </w:pPr>
    </w:p>
    <w:p w14:paraId="22699835" w14:textId="77777777" w:rsidR="00ED6A3F" w:rsidRPr="008D1F24" w:rsidRDefault="00ED6A3F" w:rsidP="00ED6A3F">
      <w:pPr>
        <w:rPr>
          <w:rFonts w:cs="Arial"/>
          <w:color w:val="000000"/>
          <w:sz w:val="20"/>
          <w:szCs w:val="20"/>
          <w:lang w:eastAsia="en-GB" w:bidi="ar-SA"/>
        </w:rPr>
      </w:pPr>
      <w:r w:rsidRPr="008D1F24">
        <w:rPr>
          <w:rFonts w:cs="Arial"/>
          <w:color w:val="000000"/>
          <w:sz w:val="20"/>
          <w:szCs w:val="20"/>
          <w:lang w:eastAsia="en-GB" w:bidi="ar-SA"/>
        </w:rPr>
        <w:t>Penn D, Dolderer M, Schmidt-Sommerfeld E (1987) Carnitine concentrations in the milk of different species and infant formulas. Neonatology. 52(2):70-79.</w:t>
      </w:r>
    </w:p>
    <w:p w14:paraId="4800E9F4" w14:textId="77777777" w:rsidR="00ED6A3F" w:rsidRPr="008D1F24" w:rsidRDefault="00ED6A3F" w:rsidP="00ED6A3F">
      <w:pPr>
        <w:rPr>
          <w:rFonts w:cs="Arial"/>
          <w:color w:val="000000"/>
          <w:sz w:val="20"/>
          <w:szCs w:val="20"/>
          <w:lang w:eastAsia="en-GB" w:bidi="ar-SA"/>
        </w:rPr>
      </w:pPr>
    </w:p>
    <w:p w14:paraId="661C1CC7" w14:textId="22E5E7BB" w:rsidR="00ED6A3F" w:rsidRPr="008D1F24" w:rsidRDefault="00ED6A3F" w:rsidP="00ED6A3F">
      <w:pPr>
        <w:rPr>
          <w:rFonts w:cs="Arial"/>
          <w:sz w:val="20"/>
          <w:szCs w:val="20"/>
        </w:rPr>
      </w:pPr>
      <w:r w:rsidRPr="008D1F24">
        <w:rPr>
          <w:rFonts w:cs="Arial"/>
          <w:sz w:val="20"/>
          <w:szCs w:val="20"/>
        </w:rPr>
        <w:t xml:space="preserve">Qureshi UA, Bhat AS, Jan M, Qureshi U (2020) Late Onset Hypocalcemic Seizures in Formula-Fed, Vitamin D Deficient Babies: Revisited. </w:t>
      </w:r>
      <w:r w:rsidRPr="008D1F24">
        <w:rPr>
          <w:rFonts w:cs="Arial"/>
          <w:iCs/>
          <w:sz w:val="20"/>
          <w:szCs w:val="20"/>
        </w:rPr>
        <w:t>J</w:t>
      </w:r>
      <w:r w:rsidR="005222E9">
        <w:rPr>
          <w:rFonts w:cs="Arial"/>
          <w:iCs/>
          <w:sz w:val="20"/>
          <w:szCs w:val="20"/>
        </w:rPr>
        <w:t>.</w:t>
      </w:r>
      <w:r w:rsidRPr="008D1F24">
        <w:rPr>
          <w:rFonts w:cs="Arial"/>
          <w:iCs/>
          <w:sz w:val="20"/>
          <w:szCs w:val="20"/>
        </w:rPr>
        <w:t xml:space="preserve"> Neonatol</w:t>
      </w:r>
      <w:r w:rsidRPr="008D1F24">
        <w:rPr>
          <w:rFonts w:cs="Arial"/>
          <w:sz w:val="20"/>
          <w:szCs w:val="20"/>
        </w:rPr>
        <w:t xml:space="preserve">. 34(1-2):15-18. </w:t>
      </w:r>
    </w:p>
    <w:p w14:paraId="5F88EC70" w14:textId="77777777" w:rsidR="00ED6A3F" w:rsidRPr="008D1F24" w:rsidRDefault="00ED6A3F" w:rsidP="00ED6A3F">
      <w:pPr>
        <w:rPr>
          <w:rFonts w:cs="Arial"/>
          <w:sz w:val="20"/>
          <w:szCs w:val="20"/>
        </w:rPr>
      </w:pPr>
    </w:p>
    <w:p w14:paraId="22E35EFA" w14:textId="77777777" w:rsidR="00ED6A3F" w:rsidRPr="008D1F24" w:rsidRDefault="00ED6A3F" w:rsidP="00ED6A3F">
      <w:pPr>
        <w:rPr>
          <w:rFonts w:cs="Arial"/>
          <w:sz w:val="20"/>
          <w:szCs w:val="20"/>
        </w:rPr>
      </w:pPr>
      <w:r w:rsidRPr="008D1F24">
        <w:rPr>
          <w:rFonts w:cs="Arial"/>
          <w:sz w:val="20"/>
          <w:szCs w:val="20"/>
        </w:rPr>
        <w:t>Riordan, P.J (1995) Fluorosis: Diagnosis, Epidemiology, Risk Factors and Prevention. Health Department Of Western Australia, Dental Services. Como, Western Australia.</w:t>
      </w:r>
    </w:p>
    <w:p w14:paraId="07BF71F1" w14:textId="77777777" w:rsidR="00ED6A3F" w:rsidRPr="008D1F24" w:rsidRDefault="00ED6A3F" w:rsidP="00ED6A3F">
      <w:pPr>
        <w:rPr>
          <w:rFonts w:cs="Arial"/>
          <w:sz w:val="20"/>
          <w:szCs w:val="20"/>
        </w:rPr>
      </w:pPr>
    </w:p>
    <w:p w14:paraId="5682EB36" w14:textId="48E9F6FB" w:rsidR="00ED6A3F" w:rsidRPr="008D1F24" w:rsidRDefault="00ED6A3F" w:rsidP="00ED6A3F">
      <w:pPr>
        <w:rPr>
          <w:rFonts w:cs="Arial"/>
          <w:sz w:val="20"/>
          <w:szCs w:val="20"/>
        </w:rPr>
      </w:pPr>
      <w:r w:rsidRPr="008D1F24">
        <w:rPr>
          <w:rFonts w:cs="Arial"/>
          <w:sz w:val="20"/>
          <w:szCs w:val="20"/>
        </w:rPr>
        <w:t>Sandor A, Pecsuvac K, Kerner J, Alkonyi I.</w:t>
      </w:r>
      <w:r w:rsidR="005222E9">
        <w:rPr>
          <w:rFonts w:cs="Arial"/>
          <w:sz w:val="20"/>
          <w:szCs w:val="20"/>
        </w:rPr>
        <w:t xml:space="preserve"> (1982)</w:t>
      </w:r>
      <w:r w:rsidRPr="008D1F24">
        <w:rPr>
          <w:rFonts w:cs="Arial"/>
          <w:sz w:val="20"/>
          <w:szCs w:val="20"/>
        </w:rPr>
        <w:t xml:space="preserve"> On carnitine content of the human breast milk. Pediatr</w:t>
      </w:r>
      <w:r w:rsidR="005222E9">
        <w:rPr>
          <w:rFonts w:cs="Arial"/>
          <w:sz w:val="20"/>
          <w:szCs w:val="20"/>
        </w:rPr>
        <w:t xml:space="preserve">. Res. </w:t>
      </w:r>
      <w:r w:rsidRPr="008D1F24">
        <w:rPr>
          <w:rFonts w:cs="Arial"/>
          <w:sz w:val="20"/>
          <w:szCs w:val="20"/>
        </w:rPr>
        <w:t>16(2):89-91.</w:t>
      </w:r>
    </w:p>
    <w:p w14:paraId="77866D73" w14:textId="77777777" w:rsidR="00ED6A3F" w:rsidRPr="008D1F24" w:rsidRDefault="00ED6A3F" w:rsidP="00ED6A3F">
      <w:pPr>
        <w:rPr>
          <w:rFonts w:cs="Arial"/>
          <w:sz w:val="20"/>
          <w:szCs w:val="20"/>
        </w:rPr>
      </w:pPr>
    </w:p>
    <w:p w14:paraId="7B21D820" w14:textId="338FE127" w:rsidR="00ED6A3F" w:rsidRPr="008D1F24" w:rsidRDefault="00ED6A3F" w:rsidP="00ED6A3F">
      <w:pPr>
        <w:rPr>
          <w:rFonts w:cs="Arial"/>
          <w:sz w:val="20"/>
          <w:szCs w:val="20"/>
          <w:shd w:val="clear" w:color="auto" w:fill="FFFFFF"/>
        </w:rPr>
      </w:pPr>
      <w:r w:rsidRPr="008D1F24">
        <w:rPr>
          <w:rFonts w:cs="Arial"/>
          <w:sz w:val="20"/>
          <w:szCs w:val="20"/>
          <w:shd w:val="clear" w:color="auto" w:fill="FFFFFF"/>
        </w:rPr>
        <w:t>Sommerburg O, Meissner K, Nelle M, Lenhartz H, Leichsenring M. (2000) Carotenoid supply in breast-fed and formula-fed neonates. Eur</w:t>
      </w:r>
      <w:r w:rsidR="005222E9">
        <w:rPr>
          <w:rFonts w:cs="Arial"/>
          <w:sz w:val="20"/>
          <w:szCs w:val="20"/>
          <w:shd w:val="clear" w:color="auto" w:fill="FFFFFF"/>
        </w:rPr>
        <w:t>.</w:t>
      </w:r>
      <w:r w:rsidRPr="008D1F24">
        <w:rPr>
          <w:rFonts w:cs="Arial"/>
          <w:sz w:val="20"/>
          <w:szCs w:val="20"/>
          <w:shd w:val="clear" w:color="auto" w:fill="FFFFFF"/>
        </w:rPr>
        <w:t xml:space="preserve"> J</w:t>
      </w:r>
      <w:r w:rsidR="005222E9">
        <w:rPr>
          <w:rFonts w:cs="Arial"/>
          <w:sz w:val="20"/>
          <w:szCs w:val="20"/>
          <w:shd w:val="clear" w:color="auto" w:fill="FFFFFF"/>
        </w:rPr>
        <w:t>.</w:t>
      </w:r>
      <w:r w:rsidRPr="008D1F24">
        <w:rPr>
          <w:rFonts w:cs="Arial"/>
          <w:sz w:val="20"/>
          <w:szCs w:val="20"/>
          <w:shd w:val="clear" w:color="auto" w:fill="FFFFFF"/>
        </w:rPr>
        <w:t xml:space="preserve"> Pediatr</w:t>
      </w:r>
      <w:r w:rsidR="005222E9">
        <w:rPr>
          <w:rFonts w:cs="Arial"/>
          <w:sz w:val="20"/>
          <w:szCs w:val="20"/>
          <w:shd w:val="clear" w:color="auto" w:fill="FFFFFF"/>
        </w:rPr>
        <w:t>.</w:t>
      </w:r>
      <w:r w:rsidRPr="008D1F24">
        <w:rPr>
          <w:rFonts w:cs="Arial"/>
          <w:sz w:val="20"/>
          <w:szCs w:val="20"/>
          <w:shd w:val="clear" w:color="auto" w:fill="FFFFFF"/>
        </w:rPr>
        <w:t xml:space="preserve"> 159, 86–90. https://doi.org/10.1007/PL00013811</w:t>
      </w:r>
    </w:p>
    <w:p w14:paraId="5C6D2D7F" w14:textId="77777777" w:rsidR="00ED6A3F" w:rsidRPr="008D1F24" w:rsidRDefault="00ED6A3F" w:rsidP="00ED6A3F">
      <w:pPr>
        <w:rPr>
          <w:rFonts w:cs="Arial"/>
          <w:sz w:val="20"/>
          <w:szCs w:val="20"/>
          <w:shd w:val="clear" w:color="auto" w:fill="FFFFFF"/>
        </w:rPr>
      </w:pPr>
    </w:p>
    <w:p w14:paraId="62A9B46B" w14:textId="75B42543" w:rsidR="00C4648B" w:rsidRPr="008D1F24" w:rsidRDefault="00C4648B" w:rsidP="00C4648B">
      <w:pPr>
        <w:rPr>
          <w:rFonts w:cs="Arial"/>
          <w:sz w:val="20"/>
          <w:szCs w:val="20"/>
        </w:rPr>
      </w:pPr>
      <w:r w:rsidRPr="008D1F24">
        <w:rPr>
          <w:rFonts w:cs="Arial"/>
          <w:sz w:val="20"/>
          <w:szCs w:val="20"/>
        </w:rPr>
        <w:t>Stephen A, Champ M, Cloran S, Fleith M, Van Lieshout L, Mejborn H, Burley V (2017) Dietary fibre in Europe: Current state of knowledge on definitions, sources, recommendations, intakes and relationships to health. Nutr</w:t>
      </w:r>
      <w:r w:rsidR="005222E9">
        <w:rPr>
          <w:rFonts w:cs="Arial"/>
          <w:sz w:val="20"/>
          <w:szCs w:val="20"/>
        </w:rPr>
        <w:t>.</w:t>
      </w:r>
      <w:r w:rsidRPr="008D1F24">
        <w:rPr>
          <w:rFonts w:cs="Arial"/>
          <w:sz w:val="20"/>
          <w:szCs w:val="20"/>
        </w:rPr>
        <w:t xml:space="preserve"> Res</w:t>
      </w:r>
      <w:r w:rsidR="005222E9">
        <w:rPr>
          <w:rFonts w:cs="Arial"/>
          <w:sz w:val="20"/>
          <w:szCs w:val="20"/>
        </w:rPr>
        <w:t>.</w:t>
      </w:r>
      <w:r w:rsidRPr="008D1F24">
        <w:rPr>
          <w:rFonts w:cs="Arial"/>
          <w:sz w:val="20"/>
          <w:szCs w:val="20"/>
        </w:rPr>
        <w:t xml:space="preserve"> Rev</w:t>
      </w:r>
      <w:r w:rsidR="005222E9">
        <w:rPr>
          <w:rFonts w:cs="Arial"/>
          <w:sz w:val="20"/>
          <w:szCs w:val="20"/>
        </w:rPr>
        <w:t>.</w:t>
      </w:r>
      <w:r w:rsidRPr="008D1F24">
        <w:rPr>
          <w:rFonts w:cs="Arial"/>
          <w:sz w:val="20"/>
          <w:szCs w:val="20"/>
        </w:rPr>
        <w:t xml:space="preserve"> 30(2), 149-190. doi:10.1017/S095442241700004X.</w:t>
      </w:r>
    </w:p>
    <w:p w14:paraId="237B5267" w14:textId="77777777" w:rsidR="00C4648B" w:rsidRPr="008D1F24" w:rsidRDefault="00C4648B" w:rsidP="00C4648B">
      <w:pPr>
        <w:rPr>
          <w:rFonts w:cs="Arial"/>
          <w:sz w:val="20"/>
          <w:szCs w:val="20"/>
        </w:rPr>
      </w:pPr>
    </w:p>
    <w:p w14:paraId="6377544D" w14:textId="2CEEC644" w:rsidR="00ED6A3F" w:rsidRPr="008D1F24" w:rsidRDefault="00ED6A3F" w:rsidP="00ED6A3F">
      <w:pPr>
        <w:rPr>
          <w:rStyle w:val="Hyperlink"/>
          <w:rFonts w:eastAsiaTheme="majorEastAsia" w:cs="Arial"/>
          <w:sz w:val="20"/>
          <w:szCs w:val="20"/>
        </w:rPr>
      </w:pPr>
      <w:r w:rsidRPr="008D1F24">
        <w:rPr>
          <w:rFonts w:cs="Arial"/>
          <w:sz w:val="20"/>
          <w:szCs w:val="20"/>
          <w:shd w:val="clear" w:color="auto" w:fill="FFFFFF"/>
        </w:rPr>
        <w:t xml:space="preserve">Stokes A, Campbell K, Yu H, Szymlek-Gay E, Abbott G, He Q, Zheng M (2021) Protein Intake from Birth to 2 Years and Obesity Outcomes in Later Childhood and Adolescence: A Systematic Review of Prospective Cohort Studies. </w:t>
      </w:r>
      <w:r w:rsidRPr="005222E9">
        <w:rPr>
          <w:rStyle w:val="Emphasis"/>
          <w:rFonts w:eastAsiaTheme="majorEastAsia" w:cs="Arial"/>
          <w:i w:val="0"/>
          <w:sz w:val="20"/>
          <w:szCs w:val="20"/>
          <w:bdr w:val="none" w:sz="0" w:space="0" w:color="auto" w:frame="1"/>
          <w:shd w:val="clear" w:color="auto" w:fill="FFFFFF"/>
        </w:rPr>
        <w:t>Adv</w:t>
      </w:r>
      <w:r w:rsidR="005222E9" w:rsidRPr="005222E9">
        <w:rPr>
          <w:rStyle w:val="Emphasis"/>
          <w:rFonts w:eastAsiaTheme="majorEastAsia" w:cs="Arial"/>
          <w:i w:val="0"/>
          <w:sz w:val="20"/>
          <w:szCs w:val="20"/>
          <w:bdr w:val="none" w:sz="0" w:space="0" w:color="auto" w:frame="1"/>
          <w:shd w:val="clear" w:color="auto" w:fill="FFFFFF"/>
        </w:rPr>
        <w:t xml:space="preserve">. </w:t>
      </w:r>
      <w:r w:rsidRPr="005222E9">
        <w:rPr>
          <w:rStyle w:val="Emphasis"/>
          <w:rFonts w:eastAsiaTheme="majorEastAsia" w:cs="Arial"/>
          <w:i w:val="0"/>
          <w:sz w:val="20"/>
          <w:szCs w:val="20"/>
          <w:bdr w:val="none" w:sz="0" w:space="0" w:color="auto" w:frame="1"/>
          <w:shd w:val="clear" w:color="auto" w:fill="FFFFFF"/>
        </w:rPr>
        <w:t>Nutr</w:t>
      </w:r>
      <w:r w:rsidR="005222E9">
        <w:rPr>
          <w:rStyle w:val="Emphasis"/>
          <w:rFonts w:eastAsiaTheme="majorEastAsia" w:cs="Arial"/>
          <w:sz w:val="20"/>
          <w:szCs w:val="20"/>
          <w:bdr w:val="none" w:sz="0" w:space="0" w:color="auto" w:frame="1"/>
          <w:shd w:val="clear" w:color="auto" w:fill="FFFFFF"/>
        </w:rPr>
        <w:t>.</w:t>
      </w:r>
      <w:r w:rsidRPr="008D1F24">
        <w:rPr>
          <w:rFonts w:cs="Arial"/>
          <w:sz w:val="20"/>
          <w:szCs w:val="20"/>
          <w:shd w:val="clear" w:color="auto" w:fill="FFFFFF"/>
        </w:rPr>
        <w:t xml:space="preserve"> 2021 nmab034. </w:t>
      </w:r>
      <w:hyperlink r:id="rId89" w:history="1">
        <w:r w:rsidRPr="008D1F24">
          <w:rPr>
            <w:rStyle w:val="Hyperlink"/>
            <w:rFonts w:eastAsiaTheme="majorEastAsia" w:cs="Arial"/>
            <w:sz w:val="20"/>
            <w:szCs w:val="20"/>
          </w:rPr>
          <w:t>https://doi.org/10.1093/advances/nmab034</w:t>
        </w:r>
      </w:hyperlink>
    </w:p>
    <w:p w14:paraId="73E9EEC7" w14:textId="77777777" w:rsidR="00ED6A3F" w:rsidRPr="008D1F24" w:rsidRDefault="00ED6A3F" w:rsidP="00ED6A3F">
      <w:pPr>
        <w:rPr>
          <w:rStyle w:val="Hyperlink"/>
          <w:rFonts w:eastAsiaTheme="majorEastAsia" w:cs="Arial"/>
          <w:sz w:val="20"/>
          <w:szCs w:val="20"/>
        </w:rPr>
      </w:pPr>
    </w:p>
    <w:p w14:paraId="5A054577" w14:textId="06FFFC9B" w:rsidR="00ED6A3F" w:rsidRPr="008D1F24" w:rsidRDefault="00ED6A3F" w:rsidP="00ED6A3F">
      <w:pPr>
        <w:rPr>
          <w:rFonts w:cs="Arial"/>
          <w:sz w:val="20"/>
          <w:szCs w:val="20"/>
        </w:rPr>
      </w:pPr>
      <w:r w:rsidRPr="008D1F24">
        <w:rPr>
          <w:rFonts w:cs="Arial"/>
          <w:sz w:val="20"/>
          <w:szCs w:val="20"/>
        </w:rPr>
        <w:t>Tang WH, Hazen SL (2014) The contributory role of gut microbiota in cardiovascular disease. J</w:t>
      </w:r>
      <w:r w:rsidR="005222E9">
        <w:rPr>
          <w:rFonts w:cs="Arial"/>
          <w:sz w:val="20"/>
          <w:szCs w:val="20"/>
        </w:rPr>
        <w:t>.</w:t>
      </w:r>
      <w:r w:rsidRPr="008D1F24">
        <w:rPr>
          <w:rFonts w:cs="Arial"/>
          <w:sz w:val="20"/>
          <w:szCs w:val="20"/>
        </w:rPr>
        <w:t xml:space="preserve"> Clin</w:t>
      </w:r>
      <w:r w:rsidR="005222E9">
        <w:rPr>
          <w:rFonts w:cs="Arial"/>
          <w:sz w:val="20"/>
          <w:szCs w:val="20"/>
        </w:rPr>
        <w:t>.</w:t>
      </w:r>
      <w:r w:rsidRPr="008D1F24">
        <w:rPr>
          <w:rFonts w:cs="Arial"/>
          <w:sz w:val="20"/>
          <w:szCs w:val="20"/>
        </w:rPr>
        <w:t xml:space="preserve"> Invest</w:t>
      </w:r>
      <w:r w:rsidR="005222E9">
        <w:rPr>
          <w:rFonts w:cs="Arial"/>
          <w:sz w:val="20"/>
          <w:szCs w:val="20"/>
        </w:rPr>
        <w:t>ig.</w:t>
      </w:r>
      <w:r w:rsidRPr="008D1F24">
        <w:rPr>
          <w:rFonts w:cs="Arial"/>
          <w:sz w:val="20"/>
          <w:szCs w:val="20"/>
        </w:rPr>
        <w:t xml:space="preserve"> 124(10):4204–4211.</w:t>
      </w:r>
    </w:p>
    <w:p w14:paraId="1746C697" w14:textId="77777777" w:rsidR="00ED6A3F" w:rsidRPr="008D1F24" w:rsidRDefault="00ED6A3F" w:rsidP="00ED6A3F">
      <w:pPr>
        <w:rPr>
          <w:rFonts w:cs="Arial"/>
          <w:sz w:val="20"/>
          <w:szCs w:val="20"/>
        </w:rPr>
      </w:pPr>
    </w:p>
    <w:p w14:paraId="113D58F6" w14:textId="77777777" w:rsidR="00ED6A3F" w:rsidRPr="008D1F24" w:rsidRDefault="00ED6A3F" w:rsidP="00ED6A3F">
      <w:pPr>
        <w:rPr>
          <w:rFonts w:cs="Arial"/>
          <w:sz w:val="20"/>
          <w:szCs w:val="20"/>
        </w:rPr>
      </w:pPr>
      <w:r w:rsidRPr="008D1F24">
        <w:rPr>
          <w:rFonts w:cs="Arial"/>
          <w:sz w:val="20"/>
          <w:szCs w:val="20"/>
        </w:rPr>
        <w:t>Thomas TC, Smith JM, White PC, Adhikari S (2012) Transient neonatal hypocalcemia: presentation and outcomes. Pediatrics 129(6):e1461–e1467.</w:t>
      </w:r>
    </w:p>
    <w:p w14:paraId="798AA17E" w14:textId="77777777" w:rsidR="00ED6A3F" w:rsidRPr="008D1F24" w:rsidRDefault="00ED6A3F" w:rsidP="00ED6A3F">
      <w:pPr>
        <w:rPr>
          <w:rFonts w:cs="Arial"/>
          <w:sz w:val="20"/>
          <w:szCs w:val="20"/>
        </w:rPr>
      </w:pPr>
    </w:p>
    <w:p w14:paraId="56624D97" w14:textId="77777777" w:rsidR="00ED6A3F" w:rsidRPr="008D1F24" w:rsidRDefault="00ED6A3F" w:rsidP="00ED6A3F">
      <w:pPr>
        <w:rPr>
          <w:rFonts w:cs="Arial"/>
          <w:sz w:val="20"/>
          <w:szCs w:val="20"/>
        </w:rPr>
      </w:pPr>
      <w:r w:rsidRPr="008D1F24">
        <w:rPr>
          <w:rFonts w:cs="Arial"/>
          <w:sz w:val="20"/>
          <w:szCs w:val="20"/>
        </w:rPr>
        <w:t xml:space="preserve">US FDA (2015) Final Rule. Infant formula: the addition of minimum and maximum levels of selenium to infant formula and related labelling requirements. 21 CFR Part 107. Available online at: </w:t>
      </w:r>
      <w:hyperlink r:id="rId90" w:history="1">
        <w:r w:rsidRPr="008D1F24">
          <w:rPr>
            <w:rStyle w:val="Hyperlink"/>
            <w:rFonts w:cs="Arial"/>
            <w:sz w:val="20"/>
            <w:szCs w:val="20"/>
          </w:rPr>
          <w:t>https://www.federalregister.gov/articles/2015/06/23/2015-15394/infant-formula-the-addition-of-minimum-and-maximum-levels-of-selenium-to-infant-formula-and-related</w:t>
        </w:r>
      </w:hyperlink>
      <w:r w:rsidRPr="008D1F24">
        <w:rPr>
          <w:rFonts w:cs="Arial"/>
          <w:sz w:val="20"/>
          <w:szCs w:val="20"/>
        </w:rPr>
        <w:t>.</w:t>
      </w:r>
    </w:p>
    <w:p w14:paraId="14478C93" w14:textId="77777777" w:rsidR="00ED6A3F" w:rsidRPr="008D1F24" w:rsidRDefault="00ED6A3F" w:rsidP="00ED6A3F">
      <w:pPr>
        <w:rPr>
          <w:rFonts w:cs="Arial"/>
          <w:sz w:val="20"/>
          <w:szCs w:val="20"/>
        </w:rPr>
      </w:pPr>
    </w:p>
    <w:p w14:paraId="17E89A67" w14:textId="77777777" w:rsidR="00ED6A3F" w:rsidRPr="008D1F24" w:rsidRDefault="00ED6A3F" w:rsidP="00ED6A3F">
      <w:pPr>
        <w:rPr>
          <w:rFonts w:cs="Arial"/>
          <w:sz w:val="20"/>
          <w:szCs w:val="20"/>
        </w:rPr>
      </w:pPr>
      <w:r w:rsidRPr="008D1F24">
        <w:rPr>
          <w:rFonts w:cs="Arial"/>
          <w:sz w:val="20"/>
          <w:szCs w:val="20"/>
        </w:rPr>
        <w:t xml:space="preserve">WHO/FAO (2019) Nitrogen and protein content measurement and nitrogen to protein </w:t>
      </w:r>
    </w:p>
    <w:p w14:paraId="51782155" w14:textId="77777777" w:rsidR="00ED6A3F" w:rsidRPr="008D1F24" w:rsidRDefault="00ED6A3F" w:rsidP="00ED6A3F">
      <w:pPr>
        <w:rPr>
          <w:rFonts w:cs="Arial"/>
          <w:sz w:val="20"/>
          <w:szCs w:val="20"/>
        </w:rPr>
      </w:pPr>
      <w:r w:rsidRPr="008D1F24">
        <w:rPr>
          <w:rFonts w:cs="Arial"/>
          <w:sz w:val="20"/>
          <w:szCs w:val="20"/>
        </w:rPr>
        <w:t>conversion factors for dairy and soy protein-based foods: a systematic review and modelling analysis. World Health Organization. </w:t>
      </w:r>
      <w:hyperlink r:id="rId91" w:history="1">
        <w:r w:rsidRPr="008D1F24">
          <w:rPr>
            <w:rStyle w:val="Hyperlink"/>
            <w:rFonts w:cs="Arial"/>
            <w:sz w:val="20"/>
            <w:szCs w:val="20"/>
          </w:rPr>
          <w:t>https://apps.who.int/iris/handle/10665/331206</w:t>
        </w:r>
      </w:hyperlink>
      <w:r w:rsidRPr="008D1F24">
        <w:rPr>
          <w:rFonts w:cs="Arial"/>
          <w:sz w:val="20"/>
          <w:szCs w:val="20"/>
        </w:rPr>
        <w:t>. License: CC BY-NC-SA 3.0 IGO</w:t>
      </w:r>
    </w:p>
    <w:p w14:paraId="08A39166" w14:textId="77777777" w:rsidR="00ED6A3F" w:rsidRPr="008D1F24" w:rsidRDefault="00ED6A3F" w:rsidP="00ED6A3F">
      <w:pPr>
        <w:rPr>
          <w:rFonts w:cs="Arial"/>
          <w:sz w:val="20"/>
          <w:szCs w:val="20"/>
        </w:rPr>
      </w:pPr>
    </w:p>
    <w:p w14:paraId="060DAF87" w14:textId="377ECBEC" w:rsidR="00ED6A3F" w:rsidRPr="008D1F24" w:rsidRDefault="00ED6A3F" w:rsidP="00ED6A3F">
      <w:pPr>
        <w:rPr>
          <w:rFonts w:cs="Arial"/>
          <w:sz w:val="20"/>
          <w:szCs w:val="20"/>
        </w:rPr>
      </w:pPr>
      <w:r w:rsidRPr="008D1F24">
        <w:rPr>
          <w:rFonts w:cs="Arial"/>
          <w:sz w:val="20"/>
          <w:szCs w:val="20"/>
        </w:rPr>
        <w:t>Yamawaki N, Yamada M, Kan-no T, Kojima T, Kaneko T, Yonekubo A (2005) Macronutrient, mineral and trace element composition of bre</w:t>
      </w:r>
      <w:r w:rsidR="005222E9">
        <w:rPr>
          <w:rFonts w:cs="Arial"/>
          <w:sz w:val="20"/>
          <w:szCs w:val="20"/>
        </w:rPr>
        <w:t xml:space="preserve">ast milk from Japanese women. J. </w:t>
      </w:r>
      <w:r w:rsidRPr="008D1F24">
        <w:rPr>
          <w:rFonts w:cs="Arial"/>
          <w:sz w:val="20"/>
          <w:szCs w:val="20"/>
        </w:rPr>
        <w:t>Trace Elem</w:t>
      </w:r>
      <w:r w:rsidR="005222E9">
        <w:rPr>
          <w:rFonts w:cs="Arial"/>
          <w:sz w:val="20"/>
          <w:szCs w:val="20"/>
        </w:rPr>
        <w:t>.</w:t>
      </w:r>
      <w:r w:rsidRPr="008D1F24">
        <w:rPr>
          <w:rFonts w:cs="Arial"/>
          <w:sz w:val="20"/>
          <w:szCs w:val="20"/>
        </w:rPr>
        <w:t xml:space="preserve"> Med</w:t>
      </w:r>
      <w:r w:rsidR="005222E9">
        <w:rPr>
          <w:rFonts w:cs="Arial"/>
          <w:sz w:val="20"/>
          <w:szCs w:val="20"/>
        </w:rPr>
        <w:t>.</w:t>
      </w:r>
      <w:r w:rsidRPr="008D1F24">
        <w:rPr>
          <w:rFonts w:cs="Arial"/>
          <w:sz w:val="20"/>
          <w:szCs w:val="20"/>
        </w:rPr>
        <w:t xml:space="preserve"> Biol</w:t>
      </w:r>
      <w:r w:rsidR="005222E9">
        <w:rPr>
          <w:rFonts w:cs="Arial"/>
          <w:sz w:val="20"/>
          <w:szCs w:val="20"/>
        </w:rPr>
        <w:t>.</w:t>
      </w:r>
      <w:r w:rsidRPr="008D1F24">
        <w:rPr>
          <w:rFonts w:cs="Arial"/>
          <w:sz w:val="20"/>
          <w:szCs w:val="20"/>
        </w:rPr>
        <w:t xml:space="preserve"> 19(2-3):171–181.</w:t>
      </w:r>
    </w:p>
    <w:p w14:paraId="56138DBB" w14:textId="77777777" w:rsidR="00ED6A3F" w:rsidRPr="008D1F24" w:rsidRDefault="00ED6A3F" w:rsidP="00ED6A3F">
      <w:pPr>
        <w:rPr>
          <w:rFonts w:cs="Arial"/>
          <w:sz w:val="20"/>
          <w:szCs w:val="20"/>
        </w:rPr>
      </w:pPr>
    </w:p>
    <w:p w14:paraId="473127E8" w14:textId="309DDA45" w:rsidR="00ED6A3F" w:rsidRPr="008D1F24" w:rsidRDefault="00ED6A3F" w:rsidP="00ED6A3F">
      <w:pPr>
        <w:rPr>
          <w:rFonts w:cs="Arial"/>
          <w:sz w:val="20"/>
          <w:szCs w:val="20"/>
        </w:rPr>
      </w:pPr>
      <w:r w:rsidRPr="008D1F24">
        <w:rPr>
          <w:rFonts w:cs="Arial"/>
          <w:sz w:val="20"/>
          <w:szCs w:val="20"/>
        </w:rPr>
        <w:t>Zeisel SH and Blusztajn JK (1994) Choline and Human Nutrition. Ann</w:t>
      </w:r>
      <w:r w:rsidR="005222E9">
        <w:rPr>
          <w:rFonts w:cs="Arial"/>
          <w:sz w:val="20"/>
          <w:szCs w:val="20"/>
        </w:rPr>
        <w:t>.</w:t>
      </w:r>
      <w:r w:rsidRPr="008D1F24">
        <w:rPr>
          <w:rFonts w:cs="Arial"/>
          <w:sz w:val="20"/>
          <w:szCs w:val="20"/>
        </w:rPr>
        <w:t xml:space="preserve"> Rev</w:t>
      </w:r>
      <w:r w:rsidR="005222E9">
        <w:rPr>
          <w:rFonts w:cs="Arial"/>
          <w:sz w:val="20"/>
          <w:szCs w:val="20"/>
        </w:rPr>
        <w:t>.</w:t>
      </w:r>
      <w:r w:rsidRPr="008D1F24">
        <w:rPr>
          <w:rFonts w:cs="Arial"/>
          <w:sz w:val="20"/>
          <w:szCs w:val="20"/>
        </w:rPr>
        <w:t xml:space="preserve"> Nutr</w:t>
      </w:r>
      <w:r w:rsidR="005222E9">
        <w:rPr>
          <w:rFonts w:cs="Arial"/>
          <w:sz w:val="20"/>
          <w:szCs w:val="20"/>
        </w:rPr>
        <w:t>.</w:t>
      </w:r>
      <w:r w:rsidRPr="008D1F24">
        <w:rPr>
          <w:rFonts w:cs="Arial"/>
          <w:sz w:val="20"/>
          <w:szCs w:val="20"/>
        </w:rPr>
        <w:t xml:space="preserve"> 14:1, 269-296.</w:t>
      </w:r>
    </w:p>
    <w:p w14:paraId="43D4DB7A" w14:textId="77777777" w:rsidR="00ED6A3F" w:rsidRPr="008D1F24" w:rsidRDefault="00ED6A3F" w:rsidP="00ED6A3F">
      <w:pPr>
        <w:rPr>
          <w:rFonts w:cs="Arial"/>
          <w:sz w:val="20"/>
          <w:szCs w:val="20"/>
        </w:rPr>
      </w:pPr>
    </w:p>
    <w:p w14:paraId="57F4BC3F" w14:textId="77777777" w:rsidR="00ED6A3F" w:rsidRPr="008D1F24" w:rsidRDefault="00ED6A3F" w:rsidP="00ED6A3F">
      <w:pPr>
        <w:rPr>
          <w:rFonts w:cs="Arial"/>
          <w:sz w:val="20"/>
          <w:szCs w:val="20"/>
        </w:rPr>
      </w:pPr>
      <w:r w:rsidRPr="008D1F24">
        <w:rPr>
          <w:rFonts w:cs="Arial"/>
          <w:sz w:val="20"/>
          <w:szCs w:val="20"/>
        </w:rPr>
        <w:t xml:space="preserve">Zhang Z, Adelman AS, Rai D, Boettcher J, Lonnerdal B (2013) Amino acid profiles in term and preterm human milk through lactation: a systematic review. Nutrients 5(12):4800–4821. </w:t>
      </w:r>
    </w:p>
    <w:p w14:paraId="62E6B06D" w14:textId="77777777" w:rsidR="00ED6A3F" w:rsidRPr="008D1F24" w:rsidRDefault="00ED6A3F" w:rsidP="00ED6A3F">
      <w:pPr>
        <w:rPr>
          <w:sz w:val="20"/>
          <w:szCs w:val="20"/>
        </w:rPr>
      </w:pPr>
    </w:p>
    <w:p w14:paraId="16A8A697" w14:textId="77777777" w:rsidR="004F0F0A" w:rsidRPr="008D1F24" w:rsidRDefault="004F0F0A" w:rsidP="00F265B9">
      <w:pPr>
        <w:rPr>
          <w:rFonts w:cs="Arial"/>
          <w:sz w:val="20"/>
          <w:szCs w:val="20"/>
        </w:rPr>
      </w:pPr>
    </w:p>
    <w:p w14:paraId="4BA85B76" w14:textId="3C1898BF" w:rsidR="008D1246" w:rsidRPr="00F265B9" w:rsidRDefault="00D77F83" w:rsidP="00F265B9">
      <w:pPr>
        <w:rPr>
          <w:sz w:val="20"/>
          <w:szCs w:val="20"/>
        </w:rPr>
        <w:sectPr w:rsidR="008D1246" w:rsidRPr="00F265B9" w:rsidSect="00297132">
          <w:footerReference w:type="default" r:id="rId92"/>
          <w:pgSz w:w="11906" w:h="16838" w:code="9"/>
          <w:pgMar w:top="1440" w:right="1440" w:bottom="1440" w:left="1440" w:header="709" w:footer="709" w:gutter="0"/>
          <w:cols w:space="708"/>
          <w:docGrid w:linePitch="360"/>
        </w:sectPr>
      </w:pPr>
      <w:r>
        <w:rPr>
          <w:rFonts w:cs="Arial"/>
          <w:sz w:val="20"/>
          <w:szCs w:val="20"/>
        </w:rPr>
        <w:br w:type="page"/>
      </w:r>
    </w:p>
    <w:p w14:paraId="19A1DEFA" w14:textId="587D1B08" w:rsidR="00561BD5" w:rsidRDefault="00125BF5" w:rsidP="00C377DD">
      <w:pPr>
        <w:pStyle w:val="Heading1"/>
        <w:ind w:left="0" w:firstLine="0"/>
      </w:pPr>
      <w:bookmarkStart w:id="481" w:name="_Toc73455663"/>
      <w:bookmarkStart w:id="482" w:name="_Toc73624936"/>
      <w:bookmarkStart w:id="483" w:name="_Toc76138304"/>
      <w:r>
        <w:lastRenderedPageBreak/>
        <w:t>Appendix 1</w:t>
      </w:r>
      <w:r w:rsidR="00776154">
        <w:t xml:space="preserve">: </w:t>
      </w:r>
      <w:r w:rsidR="00561BD5">
        <w:t>Summary of submitter comments and FSANZ proposed approach</w:t>
      </w:r>
      <w:bookmarkEnd w:id="481"/>
      <w:bookmarkEnd w:id="482"/>
      <w:bookmarkEnd w:id="483"/>
    </w:p>
    <w:p w14:paraId="21D258BE" w14:textId="2C885929" w:rsidR="00F46AB9" w:rsidRDefault="00F46AB9" w:rsidP="00F46AB9">
      <w:r>
        <w:t>Compilation of submitter comments to 2016 Consultation paper and FSANZ response. See relevant section in CP for explanation and reasoning for FSANZ’s proposed option.</w:t>
      </w:r>
    </w:p>
    <w:p w14:paraId="1DA334C3" w14:textId="77777777" w:rsidR="00F46AB9" w:rsidRDefault="00F46AB9" w:rsidP="00F46AB9"/>
    <w:tbl>
      <w:tblPr>
        <w:tblStyle w:val="MediumShading1-Accent31"/>
        <w:tblW w:w="1398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ummary of submitter comments and FSANZ proposed approach"/>
        <w:tblDescription w:val="This table summarises submitter comments and FSANZs proposed approach. "/>
      </w:tblPr>
      <w:tblGrid>
        <w:gridCol w:w="874"/>
        <w:gridCol w:w="2515"/>
        <w:gridCol w:w="1290"/>
        <w:gridCol w:w="4525"/>
        <w:gridCol w:w="4783"/>
      </w:tblGrid>
      <w:tr w:rsidR="00F46AB9" w:rsidRPr="008C25D1" w14:paraId="69807A43" w14:textId="77777777" w:rsidTr="00E62112">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000" w:firstRow="0" w:lastRow="0" w:firstColumn="1" w:lastColumn="0" w:oddVBand="0" w:evenVBand="0" w:oddHBand="0" w:evenHBand="0" w:firstRowFirstColumn="0" w:firstRowLastColumn="0" w:lastRowFirstColumn="0" w:lastRowLastColumn="0"/>
            <w:tcW w:w="874"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192BD81C" w14:textId="77777777" w:rsidR="00F46AB9" w:rsidRPr="00840653" w:rsidRDefault="00F46AB9" w:rsidP="00BC5468">
            <w:pPr>
              <w:pStyle w:val="FSTableColumnRowheading"/>
              <w:spacing w:before="0" w:after="0"/>
              <w:jc w:val="center"/>
              <w:rPr>
                <w:rFonts w:asciiTheme="minorHAnsi" w:hAnsiTheme="minorHAnsi" w:cstheme="minorHAnsi"/>
                <w:b/>
                <w:color w:val="auto"/>
                <w:sz w:val="22"/>
                <w:szCs w:val="18"/>
              </w:rPr>
            </w:pPr>
            <w:r w:rsidRPr="00840653">
              <w:rPr>
                <w:rFonts w:asciiTheme="minorHAnsi" w:hAnsiTheme="minorHAnsi" w:cstheme="minorHAnsi"/>
                <w:b/>
                <w:color w:val="auto"/>
                <w:sz w:val="22"/>
                <w:szCs w:val="18"/>
              </w:rPr>
              <w:t>CP section</w:t>
            </w:r>
          </w:p>
        </w:tc>
        <w:tc>
          <w:tcPr>
            <w:tcW w:w="251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20E77A6" w14:textId="77777777" w:rsidR="00F46AB9" w:rsidRPr="00840653" w:rsidRDefault="00F46AB9" w:rsidP="00BC5468">
            <w:pPr>
              <w:pStyle w:val="FSTableColumnRowheading"/>
              <w:spacing w:before="0" w:after="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color w:val="auto"/>
                <w:sz w:val="22"/>
                <w:szCs w:val="18"/>
              </w:rPr>
            </w:pPr>
            <w:r w:rsidRPr="00840653">
              <w:rPr>
                <w:rFonts w:asciiTheme="minorHAnsi" w:hAnsiTheme="minorHAnsi" w:cstheme="minorHAnsi"/>
                <w:b/>
                <w:color w:val="auto"/>
                <w:sz w:val="22"/>
                <w:szCs w:val="18"/>
              </w:rPr>
              <w:t>Issue</w:t>
            </w:r>
          </w:p>
        </w:tc>
        <w:tc>
          <w:tcPr>
            <w:tcW w:w="1290"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4010EE1A" w14:textId="77777777" w:rsidR="00F46AB9" w:rsidRPr="00840653" w:rsidRDefault="00F46AB9" w:rsidP="00BC5468">
            <w:pPr>
              <w:pStyle w:val="FSTableColumnRowheading"/>
              <w:spacing w:before="0" w:after="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color w:val="auto"/>
                <w:sz w:val="22"/>
                <w:szCs w:val="18"/>
              </w:rPr>
            </w:pPr>
            <w:r w:rsidRPr="00840653">
              <w:rPr>
                <w:rFonts w:asciiTheme="minorHAnsi" w:hAnsiTheme="minorHAnsi" w:cstheme="minorHAnsi"/>
                <w:b/>
                <w:color w:val="auto"/>
                <w:sz w:val="22"/>
                <w:szCs w:val="18"/>
              </w:rPr>
              <w:t>Submitters</w:t>
            </w:r>
            <w:r w:rsidRPr="00840653">
              <w:rPr>
                <w:rFonts w:asciiTheme="minorHAnsi" w:hAnsiTheme="minorHAnsi" w:cstheme="minorHAnsi"/>
                <w:b/>
                <w:color w:val="auto"/>
                <w:sz w:val="22"/>
                <w:szCs w:val="18"/>
                <w:vertAlign w:val="superscript"/>
              </w:rPr>
              <w:t>1</w:t>
            </w:r>
          </w:p>
        </w:tc>
        <w:tc>
          <w:tcPr>
            <w:tcW w:w="4525"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648B2A45" w14:textId="77777777" w:rsidR="00F46AB9" w:rsidRPr="00840653" w:rsidRDefault="00F46AB9" w:rsidP="00BC5468">
            <w:pPr>
              <w:pStyle w:val="FSTableColumnRowheading"/>
              <w:spacing w:before="0" w:after="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color w:val="auto"/>
                <w:sz w:val="22"/>
                <w:szCs w:val="18"/>
              </w:rPr>
            </w:pPr>
            <w:r w:rsidRPr="00840653">
              <w:rPr>
                <w:rFonts w:asciiTheme="minorHAnsi" w:hAnsiTheme="minorHAnsi" w:cstheme="minorHAnsi"/>
                <w:b/>
                <w:color w:val="auto"/>
                <w:sz w:val="22"/>
                <w:szCs w:val="18"/>
              </w:rPr>
              <w:t>Submitter comments</w:t>
            </w:r>
          </w:p>
        </w:tc>
        <w:tc>
          <w:tcPr>
            <w:tcW w:w="478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49E17634" w14:textId="77777777" w:rsidR="00F46AB9" w:rsidRPr="00840653" w:rsidRDefault="00F46AB9" w:rsidP="00BC5468">
            <w:pPr>
              <w:pStyle w:val="FSTableColumnRowheading"/>
              <w:spacing w:before="0" w:after="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color w:val="auto"/>
                <w:sz w:val="22"/>
                <w:szCs w:val="18"/>
              </w:rPr>
            </w:pPr>
            <w:r w:rsidRPr="00840653">
              <w:rPr>
                <w:rFonts w:asciiTheme="minorHAnsi" w:hAnsiTheme="minorHAnsi" w:cstheme="minorHAnsi"/>
                <w:b/>
                <w:color w:val="auto"/>
                <w:sz w:val="22"/>
                <w:szCs w:val="18"/>
              </w:rPr>
              <w:t>FSANZ proposed option</w:t>
            </w:r>
          </w:p>
        </w:tc>
      </w:tr>
      <w:tr w:rsidR="00F46AB9" w:rsidRPr="008C25D1" w14:paraId="0FAF830E" w14:textId="77777777" w:rsidTr="00BC5468">
        <w:trPr>
          <w:cnfStyle w:val="000000100000" w:firstRow="0" w:lastRow="0" w:firstColumn="0" w:lastColumn="0" w:oddVBand="0" w:evenVBand="0" w:oddHBand="1" w:evenHBand="0" w:firstRowFirstColumn="0" w:firstRowLastColumn="0" w:lastRowFirstColumn="0" w:lastRowLastColumn="0"/>
          <w:cantSplit/>
          <w:trHeight w:val="340"/>
        </w:trPr>
        <w:tc>
          <w:tcPr>
            <w:cnfStyle w:val="001000000000" w:firstRow="0" w:lastRow="0" w:firstColumn="1" w:lastColumn="0" w:oddVBand="0" w:evenVBand="0" w:oddHBand="0" w:evenHBand="0" w:firstRowFirstColumn="0" w:firstRowLastColumn="0" w:lastRowFirstColumn="0" w:lastRowLastColumn="0"/>
            <w:tcW w:w="13987" w:type="dxa"/>
            <w:gridSpan w:val="5"/>
            <w:tcBorders>
              <w:bottom w:val="single" w:sz="4" w:space="0" w:color="auto"/>
            </w:tcBorders>
            <w:shd w:val="clear" w:color="auto" w:fill="F2F2F2" w:themeFill="background1" w:themeFillShade="F2"/>
            <w:vAlign w:val="center"/>
          </w:tcPr>
          <w:p w14:paraId="00DF4039" w14:textId="77777777" w:rsidR="00F46AB9" w:rsidRPr="008C25D1" w:rsidRDefault="00F46AB9" w:rsidP="00BC5468">
            <w:pPr>
              <w:rPr>
                <w:rFonts w:asciiTheme="minorHAnsi" w:hAnsiTheme="minorHAnsi" w:cstheme="minorHAnsi"/>
                <w:i/>
                <w:szCs w:val="18"/>
              </w:rPr>
            </w:pPr>
            <w:r w:rsidRPr="008C25D1">
              <w:rPr>
                <w:rFonts w:asciiTheme="minorHAnsi" w:hAnsiTheme="minorHAnsi" w:cstheme="minorHAnsi"/>
                <w:i/>
                <w:szCs w:val="18"/>
              </w:rPr>
              <w:t xml:space="preserve">GENERAL COMPOSITION </w:t>
            </w:r>
          </w:p>
        </w:tc>
      </w:tr>
      <w:tr w:rsidR="00F46AB9" w:rsidRPr="008C25D1" w14:paraId="3D0A0721" w14:textId="77777777" w:rsidTr="00E62112">
        <w:trPr>
          <w:cnfStyle w:val="000000010000" w:firstRow="0" w:lastRow="0" w:firstColumn="0" w:lastColumn="0" w:oddVBand="0" w:evenVBand="0" w:oddHBand="0" w:evenHBand="1" w:firstRowFirstColumn="0" w:firstRowLastColumn="0" w:lastRowFirstColumn="0" w:lastRowLastColumn="0"/>
          <w:cantSplit/>
          <w:trHeight w:val="340"/>
        </w:trPr>
        <w:tc>
          <w:tcPr>
            <w:cnfStyle w:val="001000000000" w:firstRow="0" w:lastRow="0" w:firstColumn="1" w:lastColumn="0" w:oddVBand="0" w:evenVBand="0" w:oddHBand="0" w:evenHBand="0" w:firstRowFirstColumn="0" w:firstRowLastColumn="0" w:lastRowFirstColumn="0" w:lastRowLastColumn="0"/>
            <w:tcW w:w="874" w:type="dxa"/>
            <w:tcBorders>
              <w:right w:val="single" w:sz="4" w:space="0" w:color="auto"/>
            </w:tcBorders>
            <w:shd w:val="clear" w:color="auto" w:fill="FFFFFF" w:themeFill="background1"/>
            <w:vAlign w:val="center"/>
          </w:tcPr>
          <w:p w14:paraId="5B437A57" w14:textId="77777777" w:rsidR="00F46AB9" w:rsidRPr="005F6A27" w:rsidRDefault="00F46AB9" w:rsidP="00BC5468">
            <w:pPr>
              <w:ind w:left="142"/>
              <w:rPr>
                <w:rFonts w:asciiTheme="minorHAnsi" w:hAnsiTheme="minorHAnsi" w:cstheme="minorHAnsi"/>
                <w:bCs w:val="0"/>
                <w:i/>
                <w:sz w:val="18"/>
                <w:szCs w:val="18"/>
              </w:rPr>
            </w:pPr>
            <w:r w:rsidRPr="005F6A27">
              <w:rPr>
                <w:rFonts w:asciiTheme="minorHAnsi" w:hAnsiTheme="minorHAnsi" w:cstheme="minorHAnsi"/>
                <w:bCs w:val="0"/>
                <w:i/>
                <w:sz w:val="18"/>
                <w:szCs w:val="18"/>
              </w:rPr>
              <w:t>2</w:t>
            </w:r>
          </w:p>
          <w:p w14:paraId="46B9412C" w14:textId="77777777" w:rsidR="00F46AB9" w:rsidRPr="008C25D1" w:rsidRDefault="00F46AB9" w:rsidP="00BC5468">
            <w:pPr>
              <w:ind w:left="159"/>
              <w:rPr>
                <w:rFonts w:asciiTheme="minorHAnsi" w:hAnsiTheme="minorHAnsi" w:cstheme="minorHAnsi"/>
                <w:b w:val="0"/>
                <w:bCs w:val="0"/>
                <w:i/>
                <w:sz w:val="18"/>
                <w:szCs w:val="18"/>
              </w:rPr>
            </w:pPr>
          </w:p>
          <w:p w14:paraId="4C0603CF" w14:textId="77777777" w:rsidR="00F46AB9" w:rsidRPr="008C25D1" w:rsidRDefault="00F46AB9" w:rsidP="00BC5468">
            <w:pPr>
              <w:ind w:left="159"/>
              <w:rPr>
                <w:rFonts w:asciiTheme="minorHAnsi" w:hAnsiTheme="minorHAnsi" w:cstheme="minorHAnsi"/>
                <w:b w:val="0"/>
                <w:bCs w:val="0"/>
                <w:i/>
                <w:sz w:val="18"/>
                <w:szCs w:val="18"/>
              </w:rPr>
            </w:pPr>
          </w:p>
          <w:p w14:paraId="1DCCF956" w14:textId="77777777" w:rsidR="00F46AB9" w:rsidRPr="008C25D1" w:rsidRDefault="00F46AB9" w:rsidP="00BC5468">
            <w:pPr>
              <w:ind w:left="159"/>
              <w:rPr>
                <w:rFonts w:asciiTheme="minorHAnsi" w:hAnsiTheme="minorHAnsi" w:cstheme="minorHAnsi"/>
                <w:b w:val="0"/>
                <w:bCs w:val="0"/>
                <w:i/>
                <w:sz w:val="18"/>
                <w:szCs w:val="18"/>
              </w:rPr>
            </w:pPr>
          </w:p>
          <w:p w14:paraId="5B86299D" w14:textId="77777777" w:rsidR="00F46AB9" w:rsidRPr="008C25D1" w:rsidRDefault="00F46AB9" w:rsidP="00BC5468">
            <w:pPr>
              <w:ind w:left="159"/>
              <w:rPr>
                <w:rFonts w:asciiTheme="minorHAnsi" w:hAnsiTheme="minorHAnsi" w:cstheme="minorHAnsi"/>
                <w:i/>
                <w:sz w:val="18"/>
                <w:szCs w:val="18"/>
              </w:rPr>
            </w:pPr>
          </w:p>
        </w:tc>
        <w:tc>
          <w:tcPr>
            <w:tcW w:w="2515" w:type="dxa"/>
            <w:tcBorders>
              <w:left w:val="single" w:sz="4" w:space="0" w:color="auto"/>
              <w:right w:val="single" w:sz="4" w:space="0" w:color="auto"/>
            </w:tcBorders>
            <w:shd w:val="clear" w:color="auto" w:fill="FFFFFF" w:themeFill="background1"/>
          </w:tcPr>
          <w:p w14:paraId="44F74FEA" w14:textId="77777777" w:rsidR="00F46AB9" w:rsidRPr="008C25D1" w:rsidRDefault="00F46AB9" w:rsidP="00BC5468">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lang w:val="en-AU"/>
              </w:rPr>
            </w:pPr>
            <w:r w:rsidRPr="008C25D1">
              <w:rPr>
                <w:rFonts w:asciiTheme="minorHAnsi" w:hAnsiTheme="minorHAnsi" w:cstheme="minorHAnsi"/>
                <w:bCs/>
                <w:sz w:val="18"/>
                <w:szCs w:val="18"/>
              </w:rPr>
              <w:t>General compositional issues, including addition of nutrients and substances, minimum and maximum levels of nutrients, technological calculation errors and use of factor 4.81 to convert kcal to kJ.</w:t>
            </w:r>
            <w:r w:rsidRPr="008C25D1">
              <w:rPr>
                <w:rFonts w:asciiTheme="minorHAnsi" w:hAnsiTheme="minorHAnsi" w:cstheme="minorHAnsi"/>
                <w:sz w:val="18"/>
                <w:szCs w:val="18"/>
                <w:lang w:val="en-AU"/>
              </w:rPr>
              <w:t xml:space="preserve"> </w:t>
            </w:r>
          </w:p>
        </w:tc>
        <w:tc>
          <w:tcPr>
            <w:tcW w:w="1290" w:type="dxa"/>
            <w:tcBorders>
              <w:left w:val="single" w:sz="4" w:space="0" w:color="auto"/>
              <w:right w:val="single" w:sz="4" w:space="0" w:color="auto"/>
            </w:tcBorders>
            <w:shd w:val="clear" w:color="auto" w:fill="FFFFFF" w:themeFill="background1"/>
          </w:tcPr>
          <w:p w14:paraId="5EC1A2B7" w14:textId="77777777" w:rsidR="00F46AB9" w:rsidRPr="008C25D1" w:rsidRDefault="00F46AB9" w:rsidP="00BC5468">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lang w:val="en-AU"/>
              </w:rPr>
            </w:pPr>
            <w:r w:rsidRPr="008C25D1">
              <w:rPr>
                <w:rFonts w:asciiTheme="minorHAnsi" w:hAnsiTheme="minorHAnsi" w:cstheme="minorHAnsi"/>
                <w:sz w:val="18"/>
                <w:szCs w:val="18"/>
                <w:lang w:val="en-AU"/>
              </w:rPr>
              <w:t>5</w:t>
            </w:r>
          </w:p>
          <w:p w14:paraId="458C3719" w14:textId="77777777" w:rsidR="00F46AB9" w:rsidRPr="008C25D1" w:rsidRDefault="00F46AB9" w:rsidP="00BC5468">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lang w:val="en-AU"/>
              </w:rPr>
            </w:pPr>
            <w:r w:rsidRPr="008C25D1">
              <w:rPr>
                <w:rFonts w:asciiTheme="minorHAnsi" w:hAnsiTheme="minorHAnsi" w:cstheme="minorHAnsi"/>
                <w:sz w:val="18"/>
                <w:szCs w:val="18"/>
                <w:lang w:val="en-AU"/>
              </w:rPr>
              <w:t>(3G, 2I)</w:t>
            </w:r>
          </w:p>
        </w:tc>
        <w:tc>
          <w:tcPr>
            <w:tcW w:w="4525" w:type="dxa"/>
            <w:tcBorders>
              <w:left w:val="single" w:sz="4" w:space="0" w:color="auto"/>
              <w:right w:val="single" w:sz="4" w:space="0" w:color="auto"/>
            </w:tcBorders>
            <w:shd w:val="clear" w:color="auto" w:fill="FFFFFF" w:themeFill="background1"/>
          </w:tcPr>
          <w:p w14:paraId="2F2A9426" w14:textId="77777777" w:rsidR="00F46AB9" w:rsidRPr="008C25D1" w:rsidRDefault="00F46AB9" w:rsidP="00774FC6">
            <w:pPr>
              <w:pStyle w:val="ListParagraph"/>
              <w:numPr>
                <w:ilvl w:val="0"/>
                <w:numId w:val="19"/>
              </w:num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lang w:val="en-AU"/>
              </w:rPr>
            </w:pPr>
            <w:r w:rsidRPr="008C25D1">
              <w:rPr>
                <w:rFonts w:asciiTheme="minorHAnsi" w:hAnsiTheme="minorHAnsi" w:cstheme="minorHAnsi"/>
                <w:sz w:val="18"/>
                <w:szCs w:val="18"/>
                <w:lang w:val="en-AU"/>
              </w:rPr>
              <w:t xml:space="preserve">Nutrients and substances should only be added in amounts that serve a nutritional function or other benefit. </w:t>
            </w:r>
          </w:p>
          <w:p w14:paraId="0F823606" w14:textId="77777777" w:rsidR="00F46AB9" w:rsidRPr="008C25D1" w:rsidRDefault="00F46AB9" w:rsidP="00774FC6">
            <w:pPr>
              <w:pStyle w:val="ListParagraph"/>
              <w:numPr>
                <w:ilvl w:val="0"/>
                <w:numId w:val="19"/>
              </w:num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lang w:val="en-AU"/>
              </w:rPr>
            </w:pPr>
            <w:r w:rsidRPr="008C25D1">
              <w:rPr>
                <w:rFonts w:asciiTheme="minorHAnsi" w:hAnsiTheme="minorHAnsi" w:cstheme="minorHAnsi"/>
                <w:sz w:val="18"/>
                <w:szCs w:val="18"/>
                <w:lang w:val="en-AU"/>
              </w:rPr>
              <w:t>Minimum levels of nutrients should be used as target values</w:t>
            </w:r>
            <w:r>
              <w:rPr>
                <w:rFonts w:asciiTheme="minorHAnsi" w:hAnsiTheme="minorHAnsi" w:cstheme="minorHAnsi"/>
                <w:sz w:val="18"/>
                <w:szCs w:val="18"/>
                <w:lang w:val="en-AU"/>
              </w:rPr>
              <w:t>.</w:t>
            </w:r>
          </w:p>
          <w:p w14:paraId="115F2AD9" w14:textId="77777777" w:rsidR="00F46AB9" w:rsidRPr="008C25D1" w:rsidRDefault="00F46AB9" w:rsidP="00774FC6">
            <w:pPr>
              <w:pStyle w:val="ListParagraph"/>
              <w:numPr>
                <w:ilvl w:val="0"/>
                <w:numId w:val="19"/>
              </w:num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lang w:val="en-AU"/>
              </w:rPr>
            </w:pPr>
            <w:r w:rsidRPr="008C25D1">
              <w:rPr>
                <w:rFonts w:asciiTheme="minorHAnsi" w:hAnsiTheme="minorHAnsi" w:cstheme="minorHAnsi"/>
                <w:sz w:val="18"/>
                <w:szCs w:val="18"/>
                <w:lang w:val="en-AU"/>
              </w:rPr>
              <w:t>Maximum levels should be regarded as upper limits</w:t>
            </w:r>
            <w:r>
              <w:rPr>
                <w:rFonts w:asciiTheme="minorHAnsi" w:hAnsiTheme="minorHAnsi" w:cstheme="minorHAnsi"/>
                <w:sz w:val="18"/>
                <w:szCs w:val="18"/>
                <w:lang w:val="en-AU"/>
              </w:rPr>
              <w:t>.</w:t>
            </w:r>
          </w:p>
          <w:p w14:paraId="0AFB6FD2" w14:textId="77777777" w:rsidR="00F46AB9" w:rsidRPr="008C25D1" w:rsidRDefault="00F46AB9" w:rsidP="00774FC6">
            <w:pPr>
              <w:pStyle w:val="ListParagraph"/>
              <w:numPr>
                <w:ilvl w:val="0"/>
                <w:numId w:val="19"/>
              </w:num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lang w:val="en-AU"/>
              </w:rPr>
            </w:pPr>
            <w:r w:rsidRPr="008C25D1">
              <w:rPr>
                <w:rFonts w:asciiTheme="minorHAnsi" w:hAnsiTheme="minorHAnsi" w:cstheme="minorHAnsi"/>
                <w:sz w:val="18"/>
                <w:szCs w:val="18"/>
                <w:lang w:val="en-AU"/>
              </w:rPr>
              <w:t>Technical calculation errors within the nutrient composition specified in Codex STAN 72-1981 have led to some incorrect values being applied in Standard 2.9.1.</w:t>
            </w:r>
          </w:p>
          <w:p w14:paraId="6AFD8C79" w14:textId="77777777" w:rsidR="00F46AB9" w:rsidRPr="008C25D1" w:rsidRDefault="00F46AB9" w:rsidP="00774FC6">
            <w:pPr>
              <w:pStyle w:val="ListParagraph"/>
              <w:numPr>
                <w:ilvl w:val="0"/>
                <w:numId w:val="19"/>
              </w:num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lang w:val="en-AU"/>
              </w:rPr>
            </w:pPr>
            <w:r w:rsidRPr="008C25D1">
              <w:rPr>
                <w:rFonts w:asciiTheme="minorHAnsi" w:hAnsiTheme="minorHAnsi" w:cstheme="minorHAnsi"/>
                <w:sz w:val="18"/>
                <w:szCs w:val="18"/>
                <w:lang w:val="en-AU"/>
              </w:rPr>
              <w:t>Use of 4.18 to convert kcal to kJ (main implication is for protein minimum).</w:t>
            </w:r>
          </w:p>
        </w:tc>
        <w:tc>
          <w:tcPr>
            <w:tcW w:w="4783" w:type="dxa"/>
            <w:tcBorders>
              <w:left w:val="single" w:sz="4" w:space="0" w:color="auto"/>
            </w:tcBorders>
            <w:shd w:val="clear" w:color="auto" w:fill="FFFFFF" w:themeFill="background1"/>
            <w:vAlign w:val="center"/>
          </w:tcPr>
          <w:p w14:paraId="1C02FF36" w14:textId="77777777" w:rsidR="00F46AB9" w:rsidRPr="008C25D1" w:rsidRDefault="00F46AB9" w:rsidP="00774FC6">
            <w:pPr>
              <w:pStyle w:val="ListParagraph"/>
              <w:numPr>
                <w:ilvl w:val="0"/>
                <w:numId w:val="19"/>
              </w:num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lang w:val="en-AU"/>
              </w:rPr>
            </w:pPr>
            <w:r w:rsidRPr="008C25D1">
              <w:rPr>
                <w:rFonts w:asciiTheme="minorHAnsi" w:hAnsiTheme="minorHAnsi" w:cstheme="minorHAnsi"/>
                <w:sz w:val="18"/>
                <w:szCs w:val="18"/>
                <w:lang w:val="en-AU"/>
              </w:rPr>
              <w:t>FSANZ agrees and reiterates the 2014 EFSA opinion that minimum amounts should be understood as target values and that that maximum amounts are driven by safety aspects while also taking into account technological considerations and should not be interpreted as target values but rather as upper limits of a range which should not be exceeded.</w:t>
            </w:r>
          </w:p>
          <w:p w14:paraId="3A057AD5" w14:textId="77777777" w:rsidR="00F46AB9" w:rsidRPr="008C25D1" w:rsidRDefault="00F46AB9" w:rsidP="00774FC6">
            <w:pPr>
              <w:pStyle w:val="ListParagraph"/>
              <w:numPr>
                <w:ilvl w:val="0"/>
                <w:numId w:val="19"/>
              </w:num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lang w:val="en-AU"/>
              </w:rPr>
            </w:pPr>
            <w:r w:rsidRPr="008C25D1">
              <w:rPr>
                <w:rFonts w:asciiTheme="minorHAnsi" w:hAnsiTheme="minorHAnsi" w:cstheme="minorHAnsi"/>
                <w:sz w:val="18"/>
                <w:szCs w:val="18"/>
                <w:lang w:val="en-AU"/>
              </w:rPr>
              <w:t>FSANZ to rectify these errors within Standard 2.9.1</w:t>
            </w:r>
            <w:r>
              <w:rPr>
                <w:rFonts w:asciiTheme="minorHAnsi" w:hAnsiTheme="minorHAnsi" w:cstheme="minorHAnsi"/>
                <w:sz w:val="18"/>
                <w:szCs w:val="18"/>
                <w:lang w:val="en-AU"/>
              </w:rPr>
              <w:t>.</w:t>
            </w:r>
          </w:p>
          <w:p w14:paraId="7F460A67" w14:textId="77777777" w:rsidR="00F46AB9" w:rsidRPr="008C25D1" w:rsidRDefault="00F46AB9" w:rsidP="00774FC6">
            <w:pPr>
              <w:pStyle w:val="ListParagraph"/>
              <w:numPr>
                <w:ilvl w:val="0"/>
                <w:numId w:val="19"/>
              </w:num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bCs/>
                <w:i/>
                <w:sz w:val="18"/>
                <w:szCs w:val="18"/>
              </w:rPr>
            </w:pPr>
            <w:r w:rsidRPr="008C25D1">
              <w:rPr>
                <w:rFonts w:asciiTheme="minorHAnsi" w:hAnsiTheme="minorHAnsi" w:cstheme="minorHAnsi"/>
                <w:sz w:val="18"/>
                <w:szCs w:val="18"/>
                <w:lang w:val="en-AU"/>
              </w:rPr>
              <w:t>Calculations throughout this proposal are based on 4.18</w:t>
            </w:r>
            <w:r>
              <w:rPr>
                <w:rFonts w:asciiTheme="minorHAnsi" w:hAnsiTheme="minorHAnsi" w:cstheme="minorHAnsi"/>
                <w:sz w:val="18"/>
                <w:szCs w:val="18"/>
                <w:lang w:val="en-AU"/>
              </w:rPr>
              <w:t>.</w:t>
            </w:r>
          </w:p>
        </w:tc>
      </w:tr>
      <w:tr w:rsidR="00F46AB9" w:rsidRPr="008C25D1" w14:paraId="23E0BCE5" w14:textId="77777777" w:rsidTr="00BC5468">
        <w:trPr>
          <w:cnfStyle w:val="000000100000" w:firstRow="0" w:lastRow="0" w:firstColumn="0" w:lastColumn="0" w:oddVBand="0" w:evenVBand="0" w:oddHBand="1" w:evenHBand="0" w:firstRowFirstColumn="0" w:firstRowLastColumn="0" w:lastRowFirstColumn="0" w:lastRowLastColumn="0"/>
          <w:cantSplit/>
          <w:trHeight w:val="340"/>
        </w:trPr>
        <w:tc>
          <w:tcPr>
            <w:cnfStyle w:val="001000000000" w:firstRow="0" w:lastRow="0" w:firstColumn="1" w:lastColumn="0" w:oddVBand="0" w:evenVBand="0" w:oddHBand="0" w:evenHBand="0" w:firstRowFirstColumn="0" w:firstRowLastColumn="0" w:lastRowFirstColumn="0" w:lastRowLastColumn="0"/>
            <w:tcW w:w="13987" w:type="dxa"/>
            <w:gridSpan w:val="5"/>
            <w:shd w:val="clear" w:color="auto" w:fill="F2F2F2" w:themeFill="background1" w:themeFillShade="F2"/>
            <w:vAlign w:val="center"/>
          </w:tcPr>
          <w:p w14:paraId="44C0649D" w14:textId="77777777" w:rsidR="00F46AB9" w:rsidRPr="008C25D1" w:rsidRDefault="00F46AB9" w:rsidP="00BC5468">
            <w:pPr>
              <w:rPr>
                <w:rFonts w:asciiTheme="minorHAnsi" w:hAnsiTheme="minorHAnsi" w:cstheme="minorHAnsi"/>
                <w:sz w:val="18"/>
                <w:szCs w:val="18"/>
              </w:rPr>
            </w:pPr>
            <w:r w:rsidRPr="008C25D1">
              <w:rPr>
                <w:rFonts w:asciiTheme="minorHAnsi" w:hAnsiTheme="minorHAnsi" w:cstheme="minorHAnsi"/>
                <w:bCs w:val="0"/>
                <w:i/>
                <w:szCs w:val="18"/>
              </w:rPr>
              <w:t>MACRONUTRIENTS</w:t>
            </w:r>
          </w:p>
        </w:tc>
      </w:tr>
      <w:tr w:rsidR="00F46AB9" w:rsidRPr="008C25D1" w14:paraId="52BD6A8D" w14:textId="77777777" w:rsidTr="00E62112">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74" w:type="dxa"/>
            <w:tcBorders>
              <w:right w:val="single" w:sz="4" w:space="0" w:color="auto"/>
            </w:tcBorders>
            <w:vAlign w:val="center"/>
          </w:tcPr>
          <w:p w14:paraId="7FBB5935" w14:textId="77777777" w:rsidR="00F46AB9" w:rsidRPr="009E5947" w:rsidRDefault="00F46AB9" w:rsidP="00BC5468">
            <w:pPr>
              <w:ind w:left="142"/>
              <w:rPr>
                <w:rFonts w:asciiTheme="minorHAnsi" w:hAnsiTheme="minorHAnsi" w:cstheme="minorHAnsi"/>
                <w:bCs w:val="0"/>
                <w:i/>
                <w:sz w:val="18"/>
                <w:szCs w:val="18"/>
              </w:rPr>
            </w:pPr>
            <w:r w:rsidRPr="009E5947">
              <w:rPr>
                <w:rFonts w:asciiTheme="minorHAnsi" w:hAnsiTheme="minorHAnsi" w:cstheme="minorHAnsi"/>
                <w:bCs w:val="0"/>
                <w:i/>
                <w:sz w:val="18"/>
                <w:szCs w:val="18"/>
              </w:rPr>
              <w:t xml:space="preserve">3.1 </w:t>
            </w:r>
          </w:p>
        </w:tc>
        <w:tc>
          <w:tcPr>
            <w:tcW w:w="2515" w:type="dxa"/>
            <w:tcBorders>
              <w:left w:val="none" w:sz="0" w:space="0" w:color="auto"/>
              <w:right w:val="single" w:sz="4" w:space="0" w:color="auto"/>
            </w:tcBorders>
            <w:vAlign w:val="center"/>
          </w:tcPr>
          <w:p w14:paraId="515A330D" w14:textId="77777777" w:rsidR="00F46AB9" w:rsidRPr="008C25D1" w:rsidRDefault="00F46AB9" w:rsidP="00BC5468">
            <w:pPr>
              <w:ind w:left="38"/>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Cs/>
                <w:sz w:val="18"/>
                <w:szCs w:val="18"/>
              </w:rPr>
            </w:pPr>
            <w:r>
              <w:rPr>
                <w:rFonts w:asciiTheme="minorHAnsi" w:hAnsiTheme="minorHAnsi" w:cstheme="minorHAnsi"/>
                <w:bCs/>
                <w:sz w:val="18"/>
                <w:szCs w:val="18"/>
              </w:rPr>
              <w:t xml:space="preserve">Energy: energy </w:t>
            </w:r>
            <w:r w:rsidRPr="008C25D1">
              <w:rPr>
                <w:rFonts w:asciiTheme="minorHAnsi" w:hAnsiTheme="minorHAnsi" w:cstheme="minorHAnsi"/>
                <w:bCs/>
                <w:sz w:val="18"/>
                <w:szCs w:val="18"/>
              </w:rPr>
              <w:t>content in Standard 2.9.1 is 2500–3150 kJ/L but in Codex is 2500–2950 kJ/L.</w:t>
            </w:r>
          </w:p>
        </w:tc>
        <w:tc>
          <w:tcPr>
            <w:tcW w:w="1290" w:type="dxa"/>
            <w:tcBorders>
              <w:left w:val="none" w:sz="0" w:space="0" w:color="auto"/>
              <w:right w:val="single" w:sz="4" w:space="0" w:color="auto"/>
            </w:tcBorders>
          </w:tcPr>
          <w:p w14:paraId="0C6549AD" w14:textId="77777777" w:rsidR="00F46AB9" w:rsidRPr="008C25D1" w:rsidRDefault="00F46AB9" w:rsidP="00BC5468">
            <w:pPr>
              <w:ind w:left="113" w:hanging="113"/>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8C25D1">
              <w:rPr>
                <w:rFonts w:asciiTheme="minorHAnsi" w:hAnsiTheme="minorHAnsi" w:cstheme="minorHAnsi"/>
                <w:sz w:val="18"/>
                <w:szCs w:val="18"/>
              </w:rPr>
              <w:t>6</w:t>
            </w:r>
          </w:p>
          <w:p w14:paraId="24C81E0F" w14:textId="77777777" w:rsidR="00F46AB9" w:rsidRPr="008C25D1" w:rsidRDefault="00F46AB9" w:rsidP="00BC5468">
            <w:pPr>
              <w:ind w:left="113" w:hanging="113"/>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8C25D1">
              <w:rPr>
                <w:rFonts w:asciiTheme="minorHAnsi" w:hAnsiTheme="minorHAnsi" w:cstheme="minorHAnsi"/>
                <w:sz w:val="18"/>
                <w:szCs w:val="18"/>
              </w:rPr>
              <w:t>(2G, 4I)</w:t>
            </w:r>
          </w:p>
        </w:tc>
        <w:tc>
          <w:tcPr>
            <w:tcW w:w="4525" w:type="dxa"/>
            <w:tcBorders>
              <w:left w:val="single" w:sz="4" w:space="0" w:color="auto"/>
              <w:right w:val="single" w:sz="4" w:space="0" w:color="auto"/>
            </w:tcBorders>
          </w:tcPr>
          <w:p w14:paraId="2C35DF5F" w14:textId="77777777" w:rsidR="00F46AB9" w:rsidRPr="008C25D1" w:rsidRDefault="00F46AB9" w:rsidP="00BC5468">
            <w:pPr>
              <w:ind w:left="-11"/>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8C25D1">
              <w:rPr>
                <w:rFonts w:asciiTheme="minorHAnsi" w:hAnsiTheme="minorHAnsi" w:cstheme="minorHAnsi"/>
                <w:sz w:val="18"/>
                <w:szCs w:val="18"/>
              </w:rPr>
              <w:t xml:space="preserve">All submitters </w:t>
            </w:r>
            <w:r w:rsidRPr="008C25D1">
              <w:rPr>
                <w:rFonts w:asciiTheme="minorHAnsi" w:hAnsiTheme="minorHAnsi" w:cstheme="minorHAnsi"/>
                <w:sz w:val="18"/>
                <w:szCs w:val="18"/>
                <w:lang w:val="en-AU"/>
              </w:rPr>
              <w:t>supported lowering the maximum to align with Codex STAN 72-1981.</w:t>
            </w:r>
          </w:p>
        </w:tc>
        <w:tc>
          <w:tcPr>
            <w:tcW w:w="4783" w:type="dxa"/>
            <w:tcBorders>
              <w:left w:val="single" w:sz="4" w:space="0" w:color="auto"/>
            </w:tcBorders>
          </w:tcPr>
          <w:p w14:paraId="29C702A6" w14:textId="02E2F4DA" w:rsidR="00F46AB9" w:rsidRPr="008C25D1" w:rsidRDefault="00F46AB9" w:rsidP="00087219">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8C25D1">
              <w:rPr>
                <w:rFonts w:asciiTheme="minorHAnsi" w:hAnsiTheme="minorHAnsi" w:cstheme="minorHAnsi"/>
                <w:sz w:val="18"/>
                <w:szCs w:val="18"/>
                <w:lang w:val="en-AU"/>
              </w:rPr>
              <w:t>FSANZ proposes to decrease the maximum energy</w:t>
            </w:r>
            <w:r>
              <w:rPr>
                <w:rFonts w:asciiTheme="minorHAnsi" w:hAnsiTheme="minorHAnsi" w:cstheme="minorHAnsi"/>
                <w:sz w:val="18"/>
                <w:szCs w:val="18"/>
                <w:lang w:val="en-AU"/>
              </w:rPr>
              <w:t xml:space="preserve"> </w:t>
            </w:r>
            <w:r w:rsidR="00087219">
              <w:rPr>
                <w:rFonts w:asciiTheme="minorHAnsi" w:hAnsiTheme="minorHAnsi" w:cstheme="minorHAnsi"/>
                <w:sz w:val="18"/>
                <w:szCs w:val="18"/>
                <w:lang w:val="en-AU"/>
              </w:rPr>
              <w:t xml:space="preserve">content </w:t>
            </w:r>
            <w:r>
              <w:rPr>
                <w:rFonts w:asciiTheme="minorHAnsi" w:hAnsiTheme="minorHAnsi" w:cstheme="minorHAnsi"/>
                <w:sz w:val="18"/>
                <w:szCs w:val="18"/>
                <w:lang w:val="en-AU"/>
              </w:rPr>
              <w:t xml:space="preserve">2950 kJ/L to align </w:t>
            </w:r>
            <w:r w:rsidRPr="008C25D1">
              <w:rPr>
                <w:rFonts w:asciiTheme="minorHAnsi" w:hAnsiTheme="minorHAnsi" w:cstheme="minorHAnsi"/>
                <w:sz w:val="18"/>
                <w:szCs w:val="18"/>
                <w:lang w:val="en-AU"/>
              </w:rPr>
              <w:t>with Codex STAN 72-1981</w:t>
            </w:r>
          </w:p>
        </w:tc>
      </w:tr>
      <w:tr w:rsidR="00F46AB9" w:rsidRPr="008C25D1" w14:paraId="7E9A2191" w14:textId="77777777" w:rsidTr="00E6211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74" w:type="dxa"/>
            <w:tcBorders>
              <w:bottom w:val="single" w:sz="4" w:space="0" w:color="auto"/>
              <w:right w:val="single" w:sz="4" w:space="0" w:color="auto"/>
            </w:tcBorders>
            <w:shd w:val="clear" w:color="auto" w:fill="EAF1DD" w:themeFill="accent3" w:themeFillTint="33"/>
            <w:vAlign w:val="center"/>
          </w:tcPr>
          <w:p w14:paraId="47AD91AB" w14:textId="77777777" w:rsidR="00F46AB9" w:rsidRPr="009E5947" w:rsidRDefault="00F46AB9" w:rsidP="00BC5468">
            <w:pPr>
              <w:ind w:left="142"/>
              <w:rPr>
                <w:rFonts w:asciiTheme="minorHAnsi" w:hAnsiTheme="minorHAnsi" w:cstheme="minorHAnsi"/>
                <w:bCs w:val="0"/>
                <w:i/>
                <w:sz w:val="18"/>
                <w:szCs w:val="18"/>
              </w:rPr>
            </w:pPr>
            <w:r w:rsidRPr="009E5947">
              <w:rPr>
                <w:rFonts w:asciiTheme="minorHAnsi" w:hAnsiTheme="minorHAnsi" w:cstheme="minorHAnsi"/>
                <w:bCs w:val="0"/>
                <w:i/>
                <w:sz w:val="18"/>
                <w:szCs w:val="18"/>
              </w:rPr>
              <w:t xml:space="preserve">3.2 </w:t>
            </w:r>
          </w:p>
        </w:tc>
        <w:tc>
          <w:tcPr>
            <w:tcW w:w="2515" w:type="dxa"/>
            <w:tcBorders>
              <w:left w:val="none" w:sz="0" w:space="0" w:color="auto"/>
              <w:bottom w:val="single" w:sz="4" w:space="0" w:color="auto"/>
              <w:right w:val="single" w:sz="4" w:space="0" w:color="auto"/>
            </w:tcBorders>
            <w:shd w:val="clear" w:color="auto" w:fill="EAF1DD" w:themeFill="accent3" w:themeFillTint="33"/>
          </w:tcPr>
          <w:p w14:paraId="68BA1CEB" w14:textId="77777777" w:rsidR="00F46AB9" w:rsidRPr="008C25D1" w:rsidRDefault="00F46AB9" w:rsidP="00BC5468">
            <w:pPr>
              <w:ind w:left="38"/>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18"/>
                <w:szCs w:val="18"/>
              </w:rPr>
            </w:pPr>
            <w:r>
              <w:rPr>
                <w:rFonts w:asciiTheme="minorHAnsi" w:hAnsiTheme="minorHAnsi" w:cstheme="minorHAnsi"/>
                <w:bCs/>
                <w:sz w:val="18"/>
                <w:szCs w:val="18"/>
              </w:rPr>
              <w:t>Energy: difference between Standards</w:t>
            </w:r>
            <w:r w:rsidRPr="008C25D1">
              <w:rPr>
                <w:rFonts w:asciiTheme="minorHAnsi" w:hAnsiTheme="minorHAnsi" w:cstheme="minorHAnsi"/>
                <w:bCs/>
                <w:sz w:val="18"/>
                <w:szCs w:val="18"/>
              </w:rPr>
              <w:t xml:space="preserve"> 2.9.1 and 1.2.8 in factors used to calculate energy.</w:t>
            </w:r>
          </w:p>
        </w:tc>
        <w:tc>
          <w:tcPr>
            <w:tcW w:w="1290" w:type="dxa"/>
            <w:tcBorders>
              <w:left w:val="none" w:sz="0" w:space="0" w:color="auto"/>
              <w:bottom w:val="single" w:sz="4" w:space="0" w:color="auto"/>
              <w:right w:val="single" w:sz="4" w:space="0" w:color="auto"/>
            </w:tcBorders>
            <w:shd w:val="clear" w:color="auto" w:fill="EAF1DD" w:themeFill="accent3" w:themeFillTint="33"/>
          </w:tcPr>
          <w:p w14:paraId="46F44E5E" w14:textId="77777777" w:rsidR="00F46AB9" w:rsidRPr="008C25D1" w:rsidRDefault="00F46AB9" w:rsidP="00BC546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8C25D1">
              <w:rPr>
                <w:rFonts w:asciiTheme="minorHAnsi" w:hAnsiTheme="minorHAnsi" w:cstheme="minorHAnsi"/>
                <w:sz w:val="18"/>
                <w:szCs w:val="18"/>
              </w:rPr>
              <w:t>2</w:t>
            </w:r>
          </w:p>
          <w:p w14:paraId="256F54AD" w14:textId="77777777" w:rsidR="00F46AB9" w:rsidRPr="008C25D1" w:rsidRDefault="00F46AB9" w:rsidP="00BC546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8C25D1">
              <w:rPr>
                <w:rFonts w:asciiTheme="minorHAnsi" w:hAnsiTheme="minorHAnsi" w:cstheme="minorHAnsi"/>
                <w:sz w:val="18"/>
                <w:szCs w:val="18"/>
              </w:rPr>
              <w:t xml:space="preserve">(2I) </w:t>
            </w:r>
          </w:p>
        </w:tc>
        <w:tc>
          <w:tcPr>
            <w:tcW w:w="4525" w:type="dxa"/>
            <w:tcBorders>
              <w:left w:val="single" w:sz="4" w:space="0" w:color="auto"/>
              <w:bottom w:val="single" w:sz="4" w:space="0" w:color="auto"/>
              <w:right w:val="single" w:sz="4" w:space="0" w:color="auto"/>
            </w:tcBorders>
            <w:shd w:val="clear" w:color="auto" w:fill="EAF1DD" w:themeFill="accent3" w:themeFillTint="33"/>
          </w:tcPr>
          <w:p w14:paraId="3B10333C" w14:textId="77777777" w:rsidR="00F46AB9" w:rsidRPr="008C25D1" w:rsidRDefault="00F46AB9" w:rsidP="00BC5468">
            <w:pPr>
              <w:ind w:left="-1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8C25D1">
              <w:rPr>
                <w:rFonts w:asciiTheme="minorHAnsi" w:hAnsiTheme="minorHAnsi" w:cstheme="minorHAnsi"/>
                <w:sz w:val="18"/>
                <w:szCs w:val="18"/>
              </w:rPr>
              <w:t>Submitters supported use of energy factors as prescribed in Standard 1.2.8</w:t>
            </w:r>
          </w:p>
        </w:tc>
        <w:tc>
          <w:tcPr>
            <w:tcW w:w="4783" w:type="dxa"/>
            <w:tcBorders>
              <w:left w:val="single" w:sz="4" w:space="0" w:color="auto"/>
              <w:bottom w:val="single" w:sz="4" w:space="0" w:color="auto"/>
            </w:tcBorders>
            <w:shd w:val="clear" w:color="auto" w:fill="EAF1DD" w:themeFill="accent3" w:themeFillTint="33"/>
          </w:tcPr>
          <w:p w14:paraId="778A5C16" w14:textId="77777777" w:rsidR="00F46AB9" w:rsidRPr="008C25D1" w:rsidRDefault="00F46AB9" w:rsidP="00BC546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8C25D1">
              <w:rPr>
                <w:rFonts w:asciiTheme="minorHAnsi" w:hAnsiTheme="minorHAnsi" w:cstheme="minorHAnsi"/>
                <w:sz w:val="18"/>
                <w:szCs w:val="18"/>
              </w:rPr>
              <w:t>The issue was resolved in recent Code revision (P1025).</w:t>
            </w:r>
          </w:p>
          <w:p w14:paraId="11FBA949" w14:textId="77777777" w:rsidR="00F46AB9" w:rsidRPr="008C25D1" w:rsidRDefault="00F46AB9" w:rsidP="00BC546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r>
      <w:tr w:rsidR="00F46AB9" w:rsidRPr="008C25D1" w14:paraId="62A8D77C" w14:textId="77777777" w:rsidTr="00E62112">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74" w:type="dxa"/>
            <w:tcBorders>
              <w:right w:val="single" w:sz="4" w:space="0" w:color="auto"/>
            </w:tcBorders>
            <w:vAlign w:val="center"/>
          </w:tcPr>
          <w:p w14:paraId="7A06C5E3" w14:textId="77777777" w:rsidR="00F46AB9" w:rsidRPr="009E5947" w:rsidRDefault="00F46AB9" w:rsidP="00BC5468">
            <w:pPr>
              <w:ind w:left="142"/>
              <w:rPr>
                <w:rFonts w:asciiTheme="minorHAnsi" w:hAnsiTheme="minorHAnsi" w:cstheme="minorHAnsi"/>
                <w:bCs w:val="0"/>
                <w:i/>
                <w:sz w:val="18"/>
                <w:szCs w:val="18"/>
              </w:rPr>
            </w:pPr>
            <w:r w:rsidRPr="009E5947">
              <w:rPr>
                <w:rFonts w:asciiTheme="minorHAnsi" w:hAnsiTheme="minorHAnsi" w:cstheme="minorHAnsi"/>
                <w:bCs w:val="0"/>
                <w:i/>
                <w:sz w:val="18"/>
                <w:szCs w:val="18"/>
              </w:rPr>
              <w:t>4.1</w:t>
            </w:r>
          </w:p>
        </w:tc>
        <w:tc>
          <w:tcPr>
            <w:tcW w:w="2515" w:type="dxa"/>
            <w:tcBorders>
              <w:left w:val="none" w:sz="0" w:space="0" w:color="auto"/>
              <w:right w:val="single" w:sz="4" w:space="0" w:color="auto"/>
            </w:tcBorders>
          </w:tcPr>
          <w:p w14:paraId="70E28C60" w14:textId="77777777" w:rsidR="00F46AB9" w:rsidRPr="008C25D1" w:rsidRDefault="00F46AB9" w:rsidP="00BC5468">
            <w:pPr>
              <w:ind w:left="38"/>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Cs/>
                <w:sz w:val="18"/>
                <w:szCs w:val="18"/>
              </w:rPr>
            </w:pPr>
            <w:r w:rsidRPr="008C25D1">
              <w:rPr>
                <w:rFonts w:asciiTheme="minorHAnsi" w:hAnsiTheme="minorHAnsi" w:cstheme="minorHAnsi"/>
                <w:bCs/>
                <w:sz w:val="18"/>
                <w:szCs w:val="18"/>
              </w:rPr>
              <w:t>Protein calculation: appropriate nitrogen conversion factors (NCF)</w:t>
            </w:r>
          </w:p>
        </w:tc>
        <w:tc>
          <w:tcPr>
            <w:tcW w:w="1290" w:type="dxa"/>
            <w:tcBorders>
              <w:left w:val="none" w:sz="0" w:space="0" w:color="auto"/>
              <w:right w:val="single" w:sz="4" w:space="0" w:color="auto"/>
            </w:tcBorders>
          </w:tcPr>
          <w:p w14:paraId="3E3022E8" w14:textId="77777777" w:rsidR="00F46AB9" w:rsidRPr="008C25D1" w:rsidRDefault="00F46AB9" w:rsidP="00BC5468">
            <w:pPr>
              <w:ind w:left="113" w:hanging="113"/>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8C25D1">
              <w:rPr>
                <w:rFonts w:asciiTheme="minorHAnsi" w:hAnsiTheme="minorHAnsi" w:cstheme="minorHAnsi"/>
                <w:sz w:val="18"/>
                <w:szCs w:val="18"/>
              </w:rPr>
              <w:t>13</w:t>
            </w:r>
          </w:p>
          <w:p w14:paraId="57B7E4A3" w14:textId="77777777" w:rsidR="00F46AB9" w:rsidRPr="008C25D1" w:rsidRDefault="00F46AB9" w:rsidP="00BC5468">
            <w:pPr>
              <w:ind w:left="113" w:hanging="113"/>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8C25D1">
              <w:rPr>
                <w:rFonts w:asciiTheme="minorHAnsi" w:hAnsiTheme="minorHAnsi" w:cstheme="minorHAnsi"/>
                <w:sz w:val="18"/>
                <w:szCs w:val="18"/>
              </w:rPr>
              <w:t>(1G, 12 I)</w:t>
            </w:r>
          </w:p>
        </w:tc>
        <w:tc>
          <w:tcPr>
            <w:tcW w:w="4525" w:type="dxa"/>
            <w:tcBorders>
              <w:left w:val="single" w:sz="4" w:space="0" w:color="auto"/>
              <w:right w:val="single" w:sz="4" w:space="0" w:color="auto"/>
            </w:tcBorders>
          </w:tcPr>
          <w:p w14:paraId="44CB308F" w14:textId="77777777" w:rsidR="00F46AB9" w:rsidRPr="008C25D1" w:rsidRDefault="00F46AB9" w:rsidP="00BC5468">
            <w:pPr>
              <w:ind w:left="-11"/>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8C25D1">
              <w:rPr>
                <w:rFonts w:asciiTheme="minorHAnsi" w:hAnsiTheme="minorHAnsi" w:cstheme="minorHAnsi"/>
                <w:sz w:val="18"/>
                <w:szCs w:val="18"/>
              </w:rPr>
              <w:t xml:space="preserve">Submitters had numerous views on use of 5.71, 6.25, or 6.38 as NCF for dairy- or non-dairy-based formulas. See </w:t>
            </w:r>
            <w:r w:rsidRPr="00840653">
              <w:rPr>
                <w:rFonts w:asciiTheme="minorHAnsi" w:hAnsiTheme="minorHAnsi" w:cstheme="minorHAnsi"/>
                <w:sz w:val="18"/>
                <w:szCs w:val="18"/>
              </w:rPr>
              <w:t>Table 4.1.4</w:t>
            </w:r>
            <w:r>
              <w:rPr>
                <w:rFonts w:asciiTheme="minorHAnsi" w:hAnsiTheme="minorHAnsi" w:cstheme="minorHAnsi"/>
                <w:sz w:val="18"/>
                <w:szCs w:val="18"/>
              </w:rPr>
              <w:t xml:space="preserve"> in</w:t>
            </w:r>
            <w:r w:rsidRPr="00840653">
              <w:rPr>
                <w:rFonts w:asciiTheme="minorHAnsi" w:hAnsiTheme="minorHAnsi" w:cstheme="minorHAnsi"/>
                <w:sz w:val="18"/>
                <w:szCs w:val="18"/>
              </w:rPr>
              <w:t xml:space="preserve"> CP</w:t>
            </w:r>
            <w:r>
              <w:rPr>
                <w:rFonts w:asciiTheme="minorHAnsi" w:hAnsiTheme="minorHAnsi" w:cstheme="minorHAnsi"/>
                <w:sz w:val="18"/>
                <w:szCs w:val="18"/>
              </w:rPr>
              <w:t>2</w:t>
            </w:r>
            <w:r w:rsidRPr="008C25D1">
              <w:rPr>
                <w:rFonts w:asciiTheme="minorHAnsi" w:hAnsiTheme="minorHAnsi" w:cstheme="minorHAnsi"/>
                <w:sz w:val="18"/>
                <w:szCs w:val="18"/>
              </w:rPr>
              <w:t xml:space="preserve"> for summary of comments.</w:t>
            </w:r>
          </w:p>
        </w:tc>
        <w:tc>
          <w:tcPr>
            <w:tcW w:w="4783" w:type="dxa"/>
            <w:tcBorders>
              <w:left w:val="single" w:sz="4" w:space="0" w:color="auto"/>
              <w:right w:val="single" w:sz="4" w:space="0" w:color="auto"/>
            </w:tcBorders>
          </w:tcPr>
          <w:p w14:paraId="4212B4A4" w14:textId="77777777" w:rsidR="00F46AB9" w:rsidRPr="008C25D1" w:rsidRDefault="00F46AB9" w:rsidP="00BC5468">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8C25D1">
              <w:rPr>
                <w:rFonts w:asciiTheme="minorHAnsi" w:hAnsiTheme="minorHAnsi" w:cstheme="minorHAnsi"/>
                <w:sz w:val="18"/>
                <w:szCs w:val="18"/>
              </w:rPr>
              <w:t xml:space="preserve">Based on FSANZ’s consideration of the differences between Codex STAN </w:t>
            </w:r>
            <w:r>
              <w:rPr>
                <w:rFonts w:asciiTheme="minorHAnsi" w:hAnsiTheme="minorHAnsi" w:cstheme="minorHAnsi"/>
                <w:sz w:val="18"/>
                <w:szCs w:val="18"/>
              </w:rPr>
              <w:t xml:space="preserve">72-1981 </w:t>
            </w:r>
            <w:r w:rsidRPr="008C25D1">
              <w:rPr>
                <w:rFonts w:asciiTheme="minorHAnsi" w:hAnsiTheme="minorHAnsi" w:cstheme="minorHAnsi"/>
                <w:sz w:val="18"/>
                <w:szCs w:val="18"/>
              </w:rPr>
              <w:t>and Standard 2.9.1 in defining NCF, recent reviews on NCF from Codex and JEMNU panels, and economic factors important for manufacturers, the proposed option is to adopt 6.25 as the NCF for all protein sources.</w:t>
            </w:r>
          </w:p>
        </w:tc>
      </w:tr>
      <w:tr w:rsidR="00F46AB9" w:rsidRPr="008C25D1" w14:paraId="17634535" w14:textId="77777777" w:rsidTr="00E6211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74" w:type="dxa"/>
            <w:tcBorders>
              <w:right w:val="single" w:sz="4" w:space="0" w:color="auto"/>
            </w:tcBorders>
            <w:shd w:val="clear" w:color="auto" w:fill="EAF1DD" w:themeFill="accent3" w:themeFillTint="33"/>
            <w:vAlign w:val="center"/>
          </w:tcPr>
          <w:p w14:paraId="025F9D12" w14:textId="77777777" w:rsidR="00F46AB9" w:rsidRPr="009E5947" w:rsidRDefault="00F46AB9" w:rsidP="00BC5468">
            <w:pPr>
              <w:ind w:left="159"/>
              <w:rPr>
                <w:rFonts w:asciiTheme="minorHAnsi" w:hAnsiTheme="minorHAnsi" w:cstheme="minorHAnsi"/>
                <w:bCs w:val="0"/>
                <w:i/>
                <w:sz w:val="18"/>
                <w:szCs w:val="18"/>
              </w:rPr>
            </w:pPr>
            <w:r w:rsidRPr="009E5947">
              <w:rPr>
                <w:rFonts w:asciiTheme="minorHAnsi" w:hAnsiTheme="minorHAnsi" w:cstheme="minorHAnsi"/>
                <w:bCs w:val="0"/>
                <w:i/>
                <w:sz w:val="18"/>
                <w:szCs w:val="18"/>
              </w:rPr>
              <w:lastRenderedPageBreak/>
              <w:t>4.2.1</w:t>
            </w:r>
          </w:p>
        </w:tc>
        <w:tc>
          <w:tcPr>
            <w:tcW w:w="2515" w:type="dxa"/>
            <w:tcBorders>
              <w:left w:val="none" w:sz="0" w:space="0" w:color="auto"/>
              <w:right w:val="single" w:sz="4" w:space="0" w:color="auto"/>
            </w:tcBorders>
            <w:shd w:val="clear" w:color="auto" w:fill="EAF1DD" w:themeFill="accent3" w:themeFillTint="33"/>
          </w:tcPr>
          <w:p w14:paraId="29197A08" w14:textId="61082441" w:rsidR="00F46AB9" w:rsidRPr="008C25D1" w:rsidRDefault="00F46AB9" w:rsidP="00F0473D">
            <w:pPr>
              <w:ind w:left="5"/>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18"/>
                <w:szCs w:val="18"/>
              </w:rPr>
            </w:pPr>
            <w:r>
              <w:rPr>
                <w:rFonts w:asciiTheme="minorHAnsi" w:hAnsiTheme="minorHAnsi" w:cstheme="minorHAnsi"/>
                <w:bCs/>
                <w:sz w:val="18"/>
                <w:szCs w:val="18"/>
              </w:rPr>
              <w:t xml:space="preserve">Protein: </w:t>
            </w:r>
            <w:r w:rsidRPr="008C25D1">
              <w:rPr>
                <w:rFonts w:asciiTheme="minorHAnsi" w:hAnsiTheme="minorHAnsi" w:cstheme="minorHAnsi"/>
                <w:bCs/>
                <w:sz w:val="18"/>
                <w:szCs w:val="18"/>
              </w:rPr>
              <w:t>permitted range for cow</w:t>
            </w:r>
            <w:r w:rsidR="00F0473D">
              <w:rPr>
                <w:rFonts w:asciiTheme="minorHAnsi" w:hAnsiTheme="minorHAnsi" w:cstheme="minorHAnsi"/>
                <w:bCs/>
                <w:sz w:val="18"/>
                <w:szCs w:val="18"/>
              </w:rPr>
              <w:t>’</w:t>
            </w:r>
            <w:r w:rsidRPr="008C25D1">
              <w:rPr>
                <w:rFonts w:asciiTheme="minorHAnsi" w:hAnsiTheme="minorHAnsi" w:cstheme="minorHAnsi"/>
                <w:bCs/>
                <w:sz w:val="18"/>
                <w:szCs w:val="18"/>
              </w:rPr>
              <w:t>s milk based</w:t>
            </w:r>
          </w:p>
        </w:tc>
        <w:tc>
          <w:tcPr>
            <w:tcW w:w="1290" w:type="dxa"/>
            <w:tcBorders>
              <w:left w:val="none" w:sz="0" w:space="0" w:color="auto"/>
              <w:right w:val="single" w:sz="4" w:space="0" w:color="auto"/>
            </w:tcBorders>
            <w:shd w:val="clear" w:color="auto" w:fill="EAF1DD" w:themeFill="accent3" w:themeFillTint="33"/>
          </w:tcPr>
          <w:p w14:paraId="516B4B1E" w14:textId="77777777" w:rsidR="00F46AB9" w:rsidRPr="008C25D1" w:rsidRDefault="00F46AB9" w:rsidP="00BC5468">
            <w:pPr>
              <w:ind w:left="113" w:hanging="113"/>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8C25D1">
              <w:rPr>
                <w:rFonts w:asciiTheme="minorHAnsi" w:hAnsiTheme="minorHAnsi" w:cstheme="minorHAnsi"/>
                <w:sz w:val="18"/>
                <w:szCs w:val="18"/>
              </w:rPr>
              <w:t>8</w:t>
            </w:r>
          </w:p>
          <w:p w14:paraId="1C2D8FF3" w14:textId="77777777" w:rsidR="00F46AB9" w:rsidRPr="008C25D1" w:rsidRDefault="00F46AB9" w:rsidP="00BC5468">
            <w:pPr>
              <w:ind w:left="113" w:hanging="113"/>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8C25D1">
              <w:rPr>
                <w:rFonts w:asciiTheme="minorHAnsi" w:hAnsiTheme="minorHAnsi" w:cstheme="minorHAnsi"/>
                <w:sz w:val="18"/>
                <w:szCs w:val="18"/>
              </w:rPr>
              <w:t>(2G, 6I)</w:t>
            </w:r>
          </w:p>
        </w:tc>
        <w:tc>
          <w:tcPr>
            <w:tcW w:w="4525" w:type="dxa"/>
            <w:tcBorders>
              <w:left w:val="single" w:sz="4" w:space="0" w:color="auto"/>
              <w:right w:val="single" w:sz="4" w:space="0" w:color="auto"/>
            </w:tcBorders>
            <w:shd w:val="clear" w:color="auto" w:fill="EAF1DD" w:themeFill="accent3" w:themeFillTint="33"/>
          </w:tcPr>
          <w:p w14:paraId="1AF80CC9" w14:textId="77777777" w:rsidR="00F46AB9" w:rsidRPr="008C25D1" w:rsidRDefault="00F46AB9" w:rsidP="00BC5468">
            <w:pPr>
              <w:ind w:left="-1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8C25D1">
              <w:rPr>
                <w:rFonts w:asciiTheme="minorHAnsi" w:hAnsiTheme="minorHAnsi" w:cstheme="minorHAnsi"/>
                <w:sz w:val="18"/>
                <w:szCs w:val="18"/>
              </w:rPr>
              <w:t>Only one submitter did not support FSANZ’s preliminary view to retain the current permitted range of 0.45-0.7 g/100kJ (which is aligned with Codex STAN 72-1981). Th</w:t>
            </w:r>
            <w:r>
              <w:rPr>
                <w:rFonts w:asciiTheme="minorHAnsi" w:hAnsiTheme="minorHAnsi" w:cstheme="minorHAnsi"/>
                <w:sz w:val="18"/>
                <w:szCs w:val="18"/>
              </w:rPr>
              <w:t xml:space="preserve">e submitter proposed adopting the </w:t>
            </w:r>
            <w:r>
              <w:rPr>
                <w:rFonts w:asciiTheme="minorHAnsi" w:hAnsiTheme="minorHAnsi" w:cstheme="minorHAnsi"/>
                <w:sz w:val="18"/>
                <w:szCs w:val="18"/>
                <w:lang w:val="en-AU"/>
              </w:rPr>
              <w:t>EU 2016/127</w:t>
            </w:r>
            <w:r>
              <w:rPr>
                <w:rFonts w:asciiTheme="minorHAnsi" w:hAnsiTheme="minorHAnsi" w:cstheme="minorHAnsi"/>
                <w:sz w:val="18"/>
                <w:szCs w:val="18"/>
              </w:rPr>
              <w:t xml:space="preserve"> maximum of 0.6 g/100 kJ.</w:t>
            </w:r>
          </w:p>
        </w:tc>
        <w:tc>
          <w:tcPr>
            <w:tcW w:w="4783" w:type="dxa"/>
            <w:tcBorders>
              <w:left w:val="single" w:sz="4" w:space="0" w:color="auto"/>
              <w:bottom w:val="single" w:sz="4" w:space="0" w:color="auto"/>
            </w:tcBorders>
            <w:shd w:val="clear" w:color="auto" w:fill="EAF1DD" w:themeFill="accent3" w:themeFillTint="33"/>
          </w:tcPr>
          <w:p w14:paraId="390F34A4" w14:textId="3E3547B6" w:rsidR="00F46AB9" w:rsidRPr="008C25D1" w:rsidRDefault="00F46AB9" w:rsidP="00B9654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8C25D1">
              <w:rPr>
                <w:rFonts w:asciiTheme="minorHAnsi" w:hAnsiTheme="minorHAnsi" w:cstheme="minorHAnsi"/>
                <w:sz w:val="18"/>
                <w:szCs w:val="18"/>
                <w:lang w:val="en-AU"/>
              </w:rPr>
              <w:t xml:space="preserve">The permitted protein range is proposed to be 0.43 – 0.72 g/100 kJ based on lack of evidence of harm to infant health for this range and alignment with the most recently reviewed </w:t>
            </w:r>
            <w:r w:rsidR="00B96544">
              <w:rPr>
                <w:rFonts w:asciiTheme="minorHAnsi" w:hAnsiTheme="minorHAnsi" w:cstheme="minorHAnsi"/>
                <w:sz w:val="18"/>
                <w:szCs w:val="18"/>
                <w:lang w:val="en-AU"/>
              </w:rPr>
              <w:t xml:space="preserve">the </w:t>
            </w:r>
            <w:r w:rsidR="00B96544">
              <w:t>Codex Draft Standard for FUF</w:t>
            </w:r>
            <w:r w:rsidRPr="008C25D1">
              <w:rPr>
                <w:rFonts w:asciiTheme="minorHAnsi" w:hAnsiTheme="minorHAnsi" w:cstheme="minorHAnsi"/>
                <w:sz w:val="18"/>
                <w:szCs w:val="18"/>
                <w:lang w:val="en-AU"/>
              </w:rPr>
              <w:t xml:space="preserve">. </w:t>
            </w:r>
          </w:p>
        </w:tc>
      </w:tr>
      <w:tr w:rsidR="00F46AB9" w:rsidRPr="008C25D1" w14:paraId="78BAC5B7" w14:textId="77777777" w:rsidTr="00E62112">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74" w:type="dxa"/>
            <w:tcBorders>
              <w:right w:val="single" w:sz="4" w:space="0" w:color="auto"/>
            </w:tcBorders>
            <w:vAlign w:val="center"/>
          </w:tcPr>
          <w:p w14:paraId="5662BC9F" w14:textId="77777777" w:rsidR="00F46AB9" w:rsidRPr="009E5947" w:rsidRDefault="00F46AB9" w:rsidP="00BC5468">
            <w:pPr>
              <w:ind w:left="159"/>
              <w:rPr>
                <w:rFonts w:asciiTheme="minorHAnsi" w:hAnsiTheme="minorHAnsi" w:cstheme="minorHAnsi"/>
                <w:bCs w:val="0"/>
                <w:i/>
                <w:sz w:val="18"/>
                <w:szCs w:val="18"/>
              </w:rPr>
            </w:pPr>
            <w:r w:rsidRPr="009E5947">
              <w:rPr>
                <w:rFonts w:asciiTheme="minorHAnsi" w:hAnsiTheme="minorHAnsi" w:cstheme="minorHAnsi"/>
                <w:bCs w:val="0"/>
                <w:i/>
                <w:sz w:val="18"/>
                <w:szCs w:val="18"/>
              </w:rPr>
              <w:t>4.2.2</w:t>
            </w:r>
          </w:p>
        </w:tc>
        <w:tc>
          <w:tcPr>
            <w:tcW w:w="2515" w:type="dxa"/>
            <w:tcBorders>
              <w:left w:val="none" w:sz="0" w:space="0" w:color="auto"/>
              <w:right w:val="single" w:sz="4" w:space="0" w:color="auto"/>
            </w:tcBorders>
          </w:tcPr>
          <w:p w14:paraId="24EB0CB6" w14:textId="77777777" w:rsidR="00F46AB9" w:rsidRPr="008C25D1" w:rsidRDefault="00F46AB9" w:rsidP="00BC5468">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Cs/>
                <w:sz w:val="18"/>
                <w:szCs w:val="18"/>
              </w:rPr>
            </w:pPr>
            <w:r>
              <w:rPr>
                <w:rFonts w:asciiTheme="minorHAnsi" w:hAnsiTheme="minorHAnsi" w:cstheme="minorHAnsi"/>
                <w:bCs/>
                <w:sz w:val="18"/>
                <w:szCs w:val="18"/>
              </w:rPr>
              <w:t xml:space="preserve">Protein: </w:t>
            </w:r>
            <w:r w:rsidRPr="008C25D1">
              <w:rPr>
                <w:rFonts w:asciiTheme="minorHAnsi" w:hAnsiTheme="minorHAnsi" w:cstheme="minorHAnsi"/>
                <w:bCs/>
                <w:sz w:val="18"/>
                <w:szCs w:val="18"/>
              </w:rPr>
              <w:t>minimum for soy-based formula</w:t>
            </w:r>
          </w:p>
        </w:tc>
        <w:tc>
          <w:tcPr>
            <w:tcW w:w="1290" w:type="dxa"/>
            <w:tcBorders>
              <w:left w:val="none" w:sz="0" w:space="0" w:color="auto"/>
              <w:right w:val="single" w:sz="4" w:space="0" w:color="auto"/>
            </w:tcBorders>
          </w:tcPr>
          <w:p w14:paraId="685359A3" w14:textId="77777777" w:rsidR="00F46AB9" w:rsidRPr="008C25D1" w:rsidRDefault="00F46AB9" w:rsidP="00BC5468">
            <w:pPr>
              <w:ind w:left="113" w:hanging="113"/>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8C25D1">
              <w:rPr>
                <w:rFonts w:asciiTheme="minorHAnsi" w:hAnsiTheme="minorHAnsi" w:cstheme="minorHAnsi"/>
                <w:sz w:val="18"/>
                <w:szCs w:val="18"/>
              </w:rPr>
              <w:t>7</w:t>
            </w:r>
          </w:p>
          <w:p w14:paraId="60A2B2E8" w14:textId="77777777" w:rsidR="00F46AB9" w:rsidRPr="008C25D1" w:rsidRDefault="00F46AB9" w:rsidP="00BC5468">
            <w:pPr>
              <w:ind w:left="113" w:hanging="113"/>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8C25D1">
              <w:rPr>
                <w:rFonts w:asciiTheme="minorHAnsi" w:hAnsiTheme="minorHAnsi" w:cstheme="minorHAnsi"/>
                <w:sz w:val="18"/>
                <w:szCs w:val="18"/>
              </w:rPr>
              <w:t>(4G, 3I)</w:t>
            </w:r>
          </w:p>
        </w:tc>
        <w:tc>
          <w:tcPr>
            <w:tcW w:w="4525" w:type="dxa"/>
            <w:tcBorders>
              <w:left w:val="single" w:sz="4" w:space="0" w:color="auto"/>
              <w:bottom w:val="single" w:sz="4" w:space="0" w:color="auto"/>
              <w:right w:val="single" w:sz="4" w:space="0" w:color="auto"/>
            </w:tcBorders>
          </w:tcPr>
          <w:p w14:paraId="5CB64F50" w14:textId="77777777" w:rsidR="00F46AB9" w:rsidRPr="008C25D1" w:rsidRDefault="00F46AB9" w:rsidP="00BC5468">
            <w:pPr>
              <w:ind w:left="-11"/>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lang w:val="en-AU"/>
              </w:rPr>
            </w:pPr>
            <w:r w:rsidRPr="008C25D1">
              <w:rPr>
                <w:rFonts w:asciiTheme="minorHAnsi" w:hAnsiTheme="minorHAnsi" w:cstheme="minorHAnsi"/>
                <w:sz w:val="18"/>
                <w:szCs w:val="18"/>
              </w:rPr>
              <w:t xml:space="preserve">All supported a higher minimum to be applied for soy-based formulas, noting that this needs to be considered in conjunction with the appropriate NCF for the protein source. </w:t>
            </w:r>
          </w:p>
        </w:tc>
        <w:tc>
          <w:tcPr>
            <w:tcW w:w="4783" w:type="dxa"/>
            <w:tcBorders>
              <w:left w:val="single" w:sz="4" w:space="0" w:color="auto"/>
              <w:bottom w:val="single" w:sz="4" w:space="0" w:color="auto"/>
            </w:tcBorders>
          </w:tcPr>
          <w:p w14:paraId="590D9284" w14:textId="7B7EFA8D" w:rsidR="00F46AB9" w:rsidRPr="008C25D1" w:rsidRDefault="00F46AB9" w:rsidP="00BC5468">
            <w:pPr>
              <w:ind w:left="-10" w:hanging="1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8C25D1">
              <w:rPr>
                <w:rFonts w:asciiTheme="minorHAnsi" w:hAnsiTheme="minorHAnsi" w:cstheme="minorHAnsi"/>
                <w:sz w:val="18"/>
                <w:szCs w:val="18"/>
              </w:rPr>
              <w:t xml:space="preserve">The minimum protein amount for soy-based formula is proposed to be 0.54 g/100 kJ, based on the 6.25 as the NCF. This is consistent with </w:t>
            </w:r>
            <w:r>
              <w:rPr>
                <w:rFonts w:asciiTheme="minorHAnsi" w:hAnsiTheme="minorHAnsi" w:cstheme="minorHAnsi"/>
                <w:sz w:val="18"/>
                <w:szCs w:val="18"/>
              </w:rPr>
              <w:t>the regulations set under EU</w:t>
            </w:r>
            <w:r w:rsidRPr="008C25D1">
              <w:rPr>
                <w:rFonts w:asciiTheme="minorHAnsi" w:hAnsiTheme="minorHAnsi" w:cstheme="minorHAnsi"/>
                <w:sz w:val="18"/>
                <w:szCs w:val="18"/>
              </w:rPr>
              <w:t xml:space="preserve"> 2016/127 and the </w:t>
            </w:r>
            <w:r w:rsidR="00B96544">
              <w:t>Codex Draft Standard for FUF</w:t>
            </w:r>
            <w:r w:rsidRPr="008C25D1">
              <w:rPr>
                <w:rFonts w:asciiTheme="minorHAnsi" w:hAnsiTheme="minorHAnsi" w:cstheme="minorHAnsi"/>
                <w:sz w:val="18"/>
                <w:szCs w:val="18"/>
              </w:rPr>
              <w:t>.</w:t>
            </w:r>
          </w:p>
        </w:tc>
      </w:tr>
      <w:tr w:rsidR="00F46AB9" w:rsidRPr="008C25D1" w14:paraId="37F3A174" w14:textId="77777777" w:rsidTr="00E6211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74" w:type="dxa"/>
            <w:tcBorders>
              <w:right w:val="single" w:sz="4" w:space="0" w:color="auto"/>
            </w:tcBorders>
            <w:shd w:val="clear" w:color="auto" w:fill="EAF1DD" w:themeFill="accent3" w:themeFillTint="33"/>
            <w:vAlign w:val="center"/>
          </w:tcPr>
          <w:p w14:paraId="303FEFAC" w14:textId="77777777" w:rsidR="00F46AB9" w:rsidRPr="009E5947" w:rsidRDefault="00F46AB9" w:rsidP="00BC5468">
            <w:pPr>
              <w:ind w:left="159"/>
              <w:rPr>
                <w:rFonts w:asciiTheme="minorHAnsi" w:hAnsiTheme="minorHAnsi" w:cstheme="minorHAnsi"/>
                <w:bCs w:val="0"/>
                <w:i/>
                <w:sz w:val="18"/>
                <w:szCs w:val="18"/>
              </w:rPr>
            </w:pPr>
            <w:r w:rsidRPr="009E5947">
              <w:rPr>
                <w:rFonts w:asciiTheme="minorHAnsi" w:hAnsiTheme="minorHAnsi" w:cstheme="minorHAnsi"/>
                <w:bCs w:val="0"/>
                <w:i/>
                <w:sz w:val="18"/>
                <w:szCs w:val="18"/>
              </w:rPr>
              <w:t>4.3</w:t>
            </w:r>
          </w:p>
        </w:tc>
        <w:tc>
          <w:tcPr>
            <w:tcW w:w="2515" w:type="dxa"/>
            <w:tcBorders>
              <w:left w:val="none" w:sz="0" w:space="0" w:color="auto"/>
              <w:right w:val="single" w:sz="4" w:space="0" w:color="auto"/>
            </w:tcBorders>
            <w:shd w:val="clear" w:color="auto" w:fill="EAF1DD" w:themeFill="accent3" w:themeFillTint="33"/>
          </w:tcPr>
          <w:p w14:paraId="1FDA6C6F" w14:textId="77777777" w:rsidR="00F46AB9" w:rsidRPr="008C25D1" w:rsidRDefault="00F46AB9" w:rsidP="00BC546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18"/>
                <w:szCs w:val="18"/>
              </w:rPr>
            </w:pPr>
            <w:r w:rsidRPr="008C25D1">
              <w:rPr>
                <w:rFonts w:asciiTheme="minorHAnsi" w:hAnsiTheme="minorHAnsi" w:cstheme="minorHAnsi"/>
                <w:bCs/>
                <w:sz w:val="18"/>
                <w:szCs w:val="18"/>
              </w:rPr>
              <w:t>Protein</w:t>
            </w:r>
            <w:r>
              <w:rPr>
                <w:rFonts w:asciiTheme="minorHAnsi" w:hAnsiTheme="minorHAnsi" w:cstheme="minorHAnsi"/>
                <w:bCs/>
                <w:sz w:val="18"/>
                <w:szCs w:val="18"/>
              </w:rPr>
              <w:t>:</w:t>
            </w:r>
            <w:r w:rsidRPr="008C25D1">
              <w:rPr>
                <w:rFonts w:asciiTheme="minorHAnsi" w:hAnsiTheme="minorHAnsi" w:cstheme="minorHAnsi"/>
                <w:bCs/>
                <w:sz w:val="18"/>
                <w:szCs w:val="18"/>
              </w:rPr>
              <w:t xml:space="preserve"> source</w:t>
            </w:r>
          </w:p>
        </w:tc>
        <w:tc>
          <w:tcPr>
            <w:tcW w:w="1290" w:type="dxa"/>
            <w:tcBorders>
              <w:left w:val="none" w:sz="0" w:space="0" w:color="auto"/>
              <w:right w:val="single" w:sz="4" w:space="0" w:color="auto"/>
            </w:tcBorders>
            <w:shd w:val="clear" w:color="auto" w:fill="EAF1DD" w:themeFill="accent3" w:themeFillTint="33"/>
          </w:tcPr>
          <w:p w14:paraId="197E94BA" w14:textId="77777777" w:rsidR="00F46AB9" w:rsidRPr="008C25D1" w:rsidRDefault="00F46AB9" w:rsidP="00BC5468">
            <w:pPr>
              <w:ind w:left="113" w:hanging="113"/>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8C25D1">
              <w:rPr>
                <w:rFonts w:asciiTheme="minorHAnsi" w:hAnsiTheme="minorHAnsi" w:cstheme="minorHAnsi"/>
                <w:sz w:val="18"/>
                <w:szCs w:val="18"/>
              </w:rPr>
              <w:t>6</w:t>
            </w:r>
          </w:p>
          <w:p w14:paraId="281C521A" w14:textId="77777777" w:rsidR="00F46AB9" w:rsidRPr="008C25D1" w:rsidRDefault="00F46AB9" w:rsidP="00BC5468">
            <w:pPr>
              <w:ind w:left="113" w:hanging="113"/>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8C25D1">
              <w:rPr>
                <w:rFonts w:asciiTheme="minorHAnsi" w:hAnsiTheme="minorHAnsi" w:cstheme="minorHAnsi"/>
                <w:sz w:val="18"/>
                <w:szCs w:val="18"/>
              </w:rPr>
              <w:t>(3G, 3I)</w:t>
            </w:r>
          </w:p>
        </w:tc>
        <w:tc>
          <w:tcPr>
            <w:tcW w:w="4525" w:type="dxa"/>
            <w:tcBorders>
              <w:left w:val="single" w:sz="4" w:space="0" w:color="auto"/>
              <w:right w:val="single" w:sz="4" w:space="0" w:color="auto"/>
            </w:tcBorders>
            <w:shd w:val="clear" w:color="auto" w:fill="EAF1DD" w:themeFill="accent3" w:themeFillTint="33"/>
          </w:tcPr>
          <w:p w14:paraId="61868191" w14:textId="77777777" w:rsidR="00F46AB9" w:rsidRPr="008C25D1" w:rsidRDefault="00F46AB9" w:rsidP="00BC5468">
            <w:pPr>
              <w:ind w:left="-1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8C25D1">
              <w:rPr>
                <w:rFonts w:asciiTheme="minorHAnsi" w:hAnsiTheme="minorHAnsi" w:cstheme="minorHAnsi"/>
                <w:sz w:val="18"/>
                <w:szCs w:val="18"/>
              </w:rPr>
              <w:t xml:space="preserve">Industry supported FSANZ’s preliminary the view that no change to protein source requirements (which regulate protein quantity and quality) was required. This view was opposed in government submissions. </w:t>
            </w:r>
          </w:p>
        </w:tc>
        <w:tc>
          <w:tcPr>
            <w:tcW w:w="4783" w:type="dxa"/>
            <w:tcBorders>
              <w:left w:val="single" w:sz="4" w:space="0" w:color="auto"/>
              <w:bottom w:val="single" w:sz="4" w:space="0" w:color="auto"/>
            </w:tcBorders>
            <w:shd w:val="clear" w:color="auto" w:fill="EAF1DD" w:themeFill="accent3" w:themeFillTint="33"/>
          </w:tcPr>
          <w:p w14:paraId="00257484" w14:textId="77777777" w:rsidR="00F46AB9" w:rsidRPr="008C25D1" w:rsidRDefault="00F46AB9" w:rsidP="00BC5468">
            <w:pPr>
              <w:ind w:left="-10" w:hanging="1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8C25D1">
              <w:rPr>
                <w:rFonts w:asciiTheme="minorHAnsi" w:hAnsiTheme="minorHAnsi" w:cstheme="minorHAnsi"/>
                <w:sz w:val="18"/>
                <w:szCs w:val="18"/>
              </w:rPr>
              <w:t>Based on concerns about new proteins that may not be approved through pre-market approval, FSANZ proposes that the protein source be specified to be cow’s milk protein, goat’s milk protein, protein hydrolysates of one or more proteins normally used in infant formula</w:t>
            </w:r>
            <w:r>
              <w:rPr>
                <w:rFonts w:asciiTheme="minorHAnsi" w:hAnsiTheme="minorHAnsi" w:cstheme="minorHAnsi"/>
                <w:sz w:val="18"/>
                <w:szCs w:val="18"/>
              </w:rPr>
              <w:t>, and soy protein isolate</w:t>
            </w:r>
            <w:r w:rsidRPr="008C25D1">
              <w:rPr>
                <w:rFonts w:asciiTheme="minorHAnsi" w:hAnsiTheme="minorHAnsi" w:cstheme="minorHAnsi"/>
                <w:sz w:val="18"/>
                <w:szCs w:val="18"/>
              </w:rPr>
              <w:t>.</w:t>
            </w:r>
          </w:p>
        </w:tc>
      </w:tr>
      <w:tr w:rsidR="00F46AB9" w:rsidRPr="008C25D1" w14:paraId="4D6132CD" w14:textId="77777777" w:rsidTr="00E62112">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74" w:type="dxa"/>
            <w:tcBorders>
              <w:right w:val="single" w:sz="4" w:space="0" w:color="auto"/>
            </w:tcBorders>
            <w:vAlign w:val="center"/>
          </w:tcPr>
          <w:p w14:paraId="1885AD25" w14:textId="77777777" w:rsidR="00F46AB9" w:rsidRPr="009E5947" w:rsidRDefault="00F46AB9" w:rsidP="00BC5468">
            <w:pPr>
              <w:ind w:left="159"/>
              <w:rPr>
                <w:rFonts w:asciiTheme="minorHAnsi" w:hAnsiTheme="minorHAnsi" w:cstheme="minorHAnsi"/>
                <w:bCs w:val="0"/>
                <w:i/>
                <w:sz w:val="18"/>
                <w:szCs w:val="18"/>
              </w:rPr>
            </w:pPr>
            <w:r w:rsidRPr="009E5947">
              <w:rPr>
                <w:rFonts w:asciiTheme="minorHAnsi" w:hAnsiTheme="minorHAnsi" w:cstheme="minorHAnsi"/>
                <w:bCs w:val="0"/>
                <w:i/>
                <w:sz w:val="18"/>
                <w:szCs w:val="18"/>
              </w:rPr>
              <w:t>4.4</w:t>
            </w:r>
          </w:p>
        </w:tc>
        <w:tc>
          <w:tcPr>
            <w:tcW w:w="2515" w:type="dxa"/>
            <w:tcBorders>
              <w:left w:val="none" w:sz="0" w:space="0" w:color="auto"/>
              <w:right w:val="single" w:sz="4" w:space="0" w:color="auto"/>
            </w:tcBorders>
          </w:tcPr>
          <w:p w14:paraId="5B5029AC" w14:textId="77777777" w:rsidR="00F46AB9" w:rsidRPr="008C25D1" w:rsidRDefault="00F46AB9" w:rsidP="00BC5468">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Cs/>
                <w:sz w:val="18"/>
                <w:szCs w:val="18"/>
              </w:rPr>
            </w:pPr>
            <w:r w:rsidRPr="008C25D1">
              <w:rPr>
                <w:rFonts w:asciiTheme="minorHAnsi" w:hAnsiTheme="minorHAnsi" w:cstheme="minorHAnsi"/>
                <w:bCs/>
                <w:sz w:val="18"/>
                <w:szCs w:val="18"/>
              </w:rPr>
              <w:t>Protein</w:t>
            </w:r>
            <w:r>
              <w:rPr>
                <w:rFonts w:asciiTheme="minorHAnsi" w:hAnsiTheme="minorHAnsi" w:cstheme="minorHAnsi"/>
                <w:bCs/>
                <w:sz w:val="18"/>
                <w:szCs w:val="18"/>
              </w:rPr>
              <w:t>:</w:t>
            </w:r>
            <w:r w:rsidRPr="008C25D1">
              <w:rPr>
                <w:rFonts w:asciiTheme="minorHAnsi" w:hAnsiTheme="minorHAnsi" w:cstheme="minorHAnsi"/>
                <w:bCs/>
                <w:sz w:val="18"/>
                <w:szCs w:val="18"/>
              </w:rPr>
              <w:t xml:space="preserve"> quality and use of protein scoring methods </w:t>
            </w:r>
          </w:p>
        </w:tc>
        <w:tc>
          <w:tcPr>
            <w:tcW w:w="1290" w:type="dxa"/>
            <w:tcBorders>
              <w:left w:val="none" w:sz="0" w:space="0" w:color="auto"/>
              <w:right w:val="single" w:sz="4" w:space="0" w:color="auto"/>
            </w:tcBorders>
          </w:tcPr>
          <w:p w14:paraId="2D5BA565" w14:textId="77777777" w:rsidR="00F46AB9" w:rsidRPr="008C25D1" w:rsidRDefault="00F46AB9" w:rsidP="00BC5468">
            <w:pPr>
              <w:ind w:left="113" w:hanging="113"/>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8C25D1">
              <w:rPr>
                <w:rFonts w:asciiTheme="minorHAnsi" w:hAnsiTheme="minorHAnsi" w:cstheme="minorHAnsi"/>
                <w:sz w:val="18"/>
                <w:szCs w:val="18"/>
              </w:rPr>
              <w:t>4</w:t>
            </w:r>
          </w:p>
          <w:p w14:paraId="2FE4DB79" w14:textId="77777777" w:rsidR="00F46AB9" w:rsidRPr="008C25D1" w:rsidRDefault="00F46AB9" w:rsidP="00BC5468">
            <w:pPr>
              <w:ind w:left="113" w:hanging="113"/>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8C25D1">
              <w:rPr>
                <w:rFonts w:asciiTheme="minorHAnsi" w:hAnsiTheme="minorHAnsi" w:cstheme="minorHAnsi"/>
                <w:sz w:val="18"/>
                <w:szCs w:val="18"/>
              </w:rPr>
              <w:t>(4I)</w:t>
            </w:r>
          </w:p>
        </w:tc>
        <w:tc>
          <w:tcPr>
            <w:tcW w:w="4525" w:type="dxa"/>
            <w:tcBorders>
              <w:left w:val="single" w:sz="4" w:space="0" w:color="auto"/>
              <w:bottom w:val="single" w:sz="4" w:space="0" w:color="auto"/>
              <w:right w:val="single" w:sz="4" w:space="0" w:color="auto"/>
            </w:tcBorders>
          </w:tcPr>
          <w:p w14:paraId="79C48B3E" w14:textId="77777777" w:rsidR="00F46AB9" w:rsidRPr="008C25D1" w:rsidRDefault="00F46AB9" w:rsidP="00BC5468">
            <w:pPr>
              <w:ind w:left="-11"/>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8C25D1">
              <w:rPr>
                <w:rFonts w:asciiTheme="minorHAnsi" w:hAnsiTheme="minorHAnsi" w:cstheme="minorHAnsi"/>
                <w:sz w:val="18"/>
                <w:szCs w:val="18"/>
              </w:rPr>
              <w:t xml:space="preserve">All supported FSANZ’s preliminary view that human milk amino acid composition should remain as the reference. Implementation of the DIAAS method would be appropriate once the supporting science was complete. </w:t>
            </w:r>
          </w:p>
        </w:tc>
        <w:tc>
          <w:tcPr>
            <w:tcW w:w="4783" w:type="dxa"/>
            <w:tcBorders>
              <w:left w:val="single" w:sz="4" w:space="0" w:color="auto"/>
              <w:bottom w:val="single" w:sz="4" w:space="0" w:color="auto"/>
            </w:tcBorders>
          </w:tcPr>
          <w:p w14:paraId="041EC502" w14:textId="77777777" w:rsidR="00F46AB9" w:rsidRPr="008C25D1" w:rsidRDefault="00F46AB9" w:rsidP="00BC5468">
            <w:pPr>
              <w:ind w:left="-10" w:hanging="1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8C25D1">
              <w:rPr>
                <w:rFonts w:asciiTheme="minorHAnsi" w:hAnsiTheme="minorHAnsi" w:cstheme="minorHAnsi"/>
                <w:sz w:val="18"/>
                <w:szCs w:val="18"/>
              </w:rPr>
              <w:t>FSANZ proposes to maintain the current requirements for protein quality by mandating minimum amino acid amounts.</w:t>
            </w:r>
          </w:p>
          <w:p w14:paraId="2B789E64" w14:textId="77777777" w:rsidR="00F46AB9" w:rsidRPr="008C25D1" w:rsidRDefault="00F46AB9" w:rsidP="00BC5468">
            <w:pPr>
              <w:ind w:hanging="113"/>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p>
        </w:tc>
      </w:tr>
      <w:tr w:rsidR="00F46AB9" w:rsidRPr="008C25D1" w14:paraId="0653F28D" w14:textId="77777777" w:rsidTr="00E6211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74" w:type="dxa"/>
            <w:tcBorders>
              <w:right w:val="single" w:sz="4" w:space="0" w:color="auto"/>
            </w:tcBorders>
            <w:shd w:val="clear" w:color="auto" w:fill="EAF1DD" w:themeFill="accent3" w:themeFillTint="33"/>
            <w:vAlign w:val="center"/>
          </w:tcPr>
          <w:p w14:paraId="24E6BF76" w14:textId="77777777" w:rsidR="00F46AB9" w:rsidRPr="009E5947" w:rsidRDefault="00F46AB9" w:rsidP="00BC5468">
            <w:pPr>
              <w:ind w:left="159"/>
              <w:rPr>
                <w:rFonts w:asciiTheme="minorHAnsi" w:hAnsiTheme="minorHAnsi" w:cstheme="minorHAnsi"/>
                <w:bCs w:val="0"/>
                <w:i/>
                <w:sz w:val="18"/>
                <w:szCs w:val="18"/>
              </w:rPr>
            </w:pPr>
            <w:r w:rsidRPr="009E5947">
              <w:rPr>
                <w:rFonts w:asciiTheme="minorHAnsi" w:hAnsiTheme="minorHAnsi" w:cstheme="minorHAnsi"/>
                <w:bCs w:val="0"/>
                <w:i/>
                <w:sz w:val="18"/>
                <w:szCs w:val="18"/>
              </w:rPr>
              <w:t>4.5</w:t>
            </w:r>
          </w:p>
        </w:tc>
        <w:tc>
          <w:tcPr>
            <w:tcW w:w="2515" w:type="dxa"/>
            <w:tcBorders>
              <w:left w:val="none" w:sz="0" w:space="0" w:color="auto"/>
              <w:right w:val="single" w:sz="4" w:space="0" w:color="auto"/>
            </w:tcBorders>
            <w:shd w:val="clear" w:color="auto" w:fill="EAF1DD" w:themeFill="accent3" w:themeFillTint="33"/>
          </w:tcPr>
          <w:p w14:paraId="434BD54E" w14:textId="77777777" w:rsidR="00F46AB9" w:rsidRPr="008C25D1" w:rsidRDefault="00F46AB9" w:rsidP="00BC546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18"/>
                <w:szCs w:val="18"/>
              </w:rPr>
            </w:pPr>
            <w:r>
              <w:rPr>
                <w:rFonts w:asciiTheme="minorHAnsi" w:hAnsiTheme="minorHAnsi" w:cstheme="minorHAnsi"/>
                <w:bCs/>
                <w:sz w:val="18"/>
                <w:szCs w:val="18"/>
              </w:rPr>
              <w:t>Amino acid content:</w:t>
            </w:r>
            <w:r w:rsidRPr="008C25D1">
              <w:rPr>
                <w:rFonts w:asciiTheme="minorHAnsi" w:hAnsiTheme="minorHAnsi" w:cstheme="minorHAnsi"/>
                <w:bCs/>
                <w:sz w:val="18"/>
                <w:szCs w:val="18"/>
              </w:rPr>
              <w:t xml:space="preserve"> including expression of sulphur amino acids (</w:t>
            </w:r>
            <w:r w:rsidRPr="008C25D1">
              <w:rPr>
                <w:rFonts w:asciiTheme="minorHAnsi" w:hAnsiTheme="minorHAnsi" w:cstheme="minorHAnsi"/>
                <w:sz w:val="18"/>
                <w:szCs w:val="18"/>
              </w:rPr>
              <w:t xml:space="preserve">cysteine and methionine) </w:t>
            </w:r>
            <w:r w:rsidRPr="008C25D1">
              <w:rPr>
                <w:rFonts w:asciiTheme="minorHAnsi" w:hAnsiTheme="minorHAnsi" w:cstheme="minorHAnsi"/>
                <w:bCs/>
                <w:sz w:val="18"/>
                <w:szCs w:val="18"/>
              </w:rPr>
              <w:t>and aromatic amino acids (</w:t>
            </w:r>
            <w:r w:rsidRPr="008C25D1">
              <w:rPr>
                <w:rFonts w:asciiTheme="minorHAnsi" w:hAnsiTheme="minorHAnsi" w:cstheme="minorHAnsi"/>
                <w:sz w:val="18"/>
                <w:szCs w:val="18"/>
              </w:rPr>
              <w:t>aromatic amino acids)</w:t>
            </w:r>
          </w:p>
        </w:tc>
        <w:tc>
          <w:tcPr>
            <w:tcW w:w="1290" w:type="dxa"/>
            <w:tcBorders>
              <w:left w:val="none" w:sz="0" w:space="0" w:color="auto"/>
              <w:right w:val="single" w:sz="4" w:space="0" w:color="auto"/>
            </w:tcBorders>
            <w:shd w:val="clear" w:color="auto" w:fill="EAF1DD" w:themeFill="accent3" w:themeFillTint="33"/>
          </w:tcPr>
          <w:p w14:paraId="4F42D718" w14:textId="77777777" w:rsidR="00F46AB9" w:rsidRPr="008C25D1" w:rsidRDefault="00F46AB9" w:rsidP="00BC5468">
            <w:pPr>
              <w:ind w:left="113" w:hanging="113"/>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8C25D1">
              <w:rPr>
                <w:rFonts w:asciiTheme="minorHAnsi" w:hAnsiTheme="minorHAnsi" w:cstheme="minorHAnsi"/>
                <w:sz w:val="18"/>
                <w:szCs w:val="18"/>
              </w:rPr>
              <w:t>9</w:t>
            </w:r>
          </w:p>
          <w:p w14:paraId="524291AE" w14:textId="77777777" w:rsidR="00F46AB9" w:rsidRPr="008C25D1" w:rsidRDefault="00F46AB9" w:rsidP="00BC5468">
            <w:pPr>
              <w:ind w:left="113" w:hanging="113"/>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8C25D1">
              <w:rPr>
                <w:rFonts w:asciiTheme="minorHAnsi" w:hAnsiTheme="minorHAnsi" w:cstheme="minorHAnsi"/>
                <w:sz w:val="18"/>
                <w:szCs w:val="18"/>
              </w:rPr>
              <w:t>(1G, 8 I)</w:t>
            </w:r>
          </w:p>
        </w:tc>
        <w:tc>
          <w:tcPr>
            <w:tcW w:w="4525" w:type="dxa"/>
            <w:tcBorders>
              <w:left w:val="single" w:sz="4" w:space="0" w:color="auto"/>
              <w:bottom w:val="single" w:sz="4" w:space="0" w:color="auto"/>
              <w:right w:val="single" w:sz="4" w:space="0" w:color="auto"/>
            </w:tcBorders>
            <w:shd w:val="clear" w:color="auto" w:fill="EAF1DD" w:themeFill="accent3" w:themeFillTint="33"/>
          </w:tcPr>
          <w:p w14:paraId="5EDB9182" w14:textId="77777777" w:rsidR="00F46AB9" w:rsidRPr="008C25D1" w:rsidRDefault="00F46AB9" w:rsidP="00BC546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8C25D1">
              <w:rPr>
                <w:rFonts w:asciiTheme="minorHAnsi" w:hAnsiTheme="minorHAnsi" w:cstheme="minorHAnsi"/>
                <w:sz w:val="18"/>
                <w:szCs w:val="18"/>
              </w:rPr>
              <w:t xml:space="preserve">All agreed with FSANZ’s preliminary view to align with Codex STAN 72-1981 for </w:t>
            </w:r>
            <w:r w:rsidRPr="008C25D1">
              <w:rPr>
                <w:rFonts w:asciiTheme="minorHAnsi" w:hAnsiTheme="minorHAnsi" w:cstheme="minorHAnsi"/>
                <w:sz w:val="18"/>
                <w:szCs w:val="18"/>
                <w:lang w:val="en-AU"/>
              </w:rPr>
              <w:t>isoleucine, leucine, lysine, threonine, tryptophan and valine</w:t>
            </w:r>
            <w:r w:rsidRPr="008C25D1">
              <w:rPr>
                <w:rFonts w:asciiTheme="minorHAnsi" w:hAnsiTheme="minorHAnsi" w:cstheme="minorHAnsi"/>
                <w:sz w:val="18"/>
                <w:szCs w:val="18"/>
              </w:rPr>
              <w:t xml:space="preserve">. All opposed FSANZ’s preliminary view to retain current Standard 2.9.1 requirements for expression of sulphur amino acids and aromatic amino acids.  </w:t>
            </w:r>
          </w:p>
        </w:tc>
        <w:tc>
          <w:tcPr>
            <w:tcW w:w="4783" w:type="dxa"/>
            <w:tcBorders>
              <w:left w:val="single" w:sz="4" w:space="0" w:color="auto"/>
              <w:bottom w:val="single" w:sz="4" w:space="0" w:color="auto"/>
            </w:tcBorders>
            <w:shd w:val="clear" w:color="auto" w:fill="EAF1DD" w:themeFill="accent3" w:themeFillTint="33"/>
          </w:tcPr>
          <w:p w14:paraId="286A0524" w14:textId="77777777" w:rsidR="00F46AB9" w:rsidRPr="008C25D1" w:rsidRDefault="00F46AB9" w:rsidP="00BC546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8C25D1">
              <w:rPr>
                <w:rFonts w:asciiTheme="minorHAnsi" w:hAnsiTheme="minorHAnsi" w:cstheme="minorHAnsi"/>
                <w:sz w:val="18"/>
                <w:szCs w:val="18"/>
              </w:rPr>
              <w:t>FSANZ proposes to align all amino acid minimum amounts with Codex STAN 72-1981. The ratios of Methionine:Cystine  and Tyrosine:Phenyalanine consistent with the EU 2016/127 regulation will be listed as a condition in S</w:t>
            </w:r>
            <w:r>
              <w:rPr>
                <w:rFonts w:asciiTheme="minorHAnsi" w:hAnsiTheme="minorHAnsi" w:cstheme="minorHAnsi"/>
                <w:sz w:val="18"/>
                <w:szCs w:val="18"/>
              </w:rPr>
              <w:t xml:space="preserve">chedule </w:t>
            </w:r>
            <w:r w:rsidRPr="008C25D1">
              <w:rPr>
                <w:rFonts w:asciiTheme="minorHAnsi" w:hAnsiTheme="minorHAnsi" w:cstheme="minorHAnsi"/>
                <w:sz w:val="18"/>
                <w:szCs w:val="18"/>
              </w:rPr>
              <w:t>29.</w:t>
            </w:r>
          </w:p>
        </w:tc>
      </w:tr>
      <w:tr w:rsidR="00F46AB9" w:rsidRPr="008C25D1" w14:paraId="7843F691" w14:textId="77777777" w:rsidTr="00E62112">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74" w:type="dxa"/>
            <w:tcBorders>
              <w:right w:val="single" w:sz="4" w:space="0" w:color="auto"/>
            </w:tcBorders>
            <w:vAlign w:val="center"/>
          </w:tcPr>
          <w:p w14:paraId="5D8CAEBD" w14:textId="77777777" w:rsidR="00F46AB9" w:rsidRPr="009E5947" w:rsidRDefault="00F46AB9" w:rsidP="00BC5468">
            <w:pPr>
              <w:ind w:left="159"/>
              <w:rPr>
                <w:rFonts w:asciiTheme="minorHAnsi" w:hAnsiTheme="minorHAnsi" w:cstheme="minorHAnsi"/>
                <w:bCs w:val="0"/>
                <w:i/>
                <w:sz w:val="18"/>
                <w:szCs w:val="18"/>
              </w:rPr>
            </w:pPr>
            <w:r w:rsidRPr="009E5947">
              <w:rPr>
                <w:rFonts w:asciiTheme="minorHAnsi" w:hAnsiTheme="minorHAnsi" w:cstheme="minorHAnsi"/>
                <w:bCs w:val="0"/>
                <w:i/>
                <w:sz w:val="18"/>
                <w:szCs w:val="18"/>
              </w:rPr>
              <w:t>5.1</w:t>
            </w:r>
          </w:p>
        </w:tc>
        <w:tc>
          <w:tcPr>
            <w:tcW w:w="2515" w:type="dxa"/>
            <w:tcBorders>
              <w:left w:val="none" w:sz="0" w:space="0" w:color="auto"/>
              <w:right w:val="single" w:sz="4" w:space="0" w:color="auto"/>
            </w:tcBorders>
          </w:tcPr>
          <w:p w14:paraId="7918663E" w14:textId="1F9F8D90" w:rsidR="00F46AB9" w:rsidRPr="008C25D1" w:rsidRDefault="00F46AB9" w:rsidP="00BC5468">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Cs/>
                <w:sz w:val="18"/>
                <w:szCs w:val="18"/>
              </w:rPr>
            </w:pPr>
            <w:r w:rsidRPr="008C25D1">
              <w:rPr>
                <w:rFonts w:asciiTheme="minorHAnsi" w:hAnsiTheme="minorHAnsi" w:cstheme="minorHAnsi"/>
                <w:bCs/>
                <w:sz w:val="18"/>
                <w:szCs w:val="18"/>
              </w:rPr>
              <w:t>Fat content</w:t>
            </w:r>
          </w:p>
        </w:tc>
        <w:tc>
          <w:tcPr>
            <w:tcW w:w="1290" w:type="dxa"/>
            <w:tcBorders>
              <w:left w:val="none" w:sz="0" w:space="0" w:color="auto"/>
              <w:right w:val="single" w:sz="4" w:space="0" w:color="auto"/>
            </w:tcBorders>
          </w:tcPr>
          <w:p w14:paraId="381753B5" w14:textId="77777777" w:rsidR="00F46AB9" w:rsidRPr="008C25D1" w:rsidRDefault="00F46AB9" w:rsidP="00BC5468">
            <w:pPr>
              <w:ind w:left="113" w:hanging="113"/>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8C25D1">
              <w:rPr>
                <w:rFonts w:asciiTheme="minorHAnsi" w:hAnsiTheme="minorHAnsi" w:cstheme="minorHAnsi"/>
                <w:sz w:val="18"/>
                <w:szCs w:val="18"/>
              </w:rPr>
              <w:t>6</w:t>
            </w:r>
          </w:p>
          <w:p w14:paraId="71F311E7" w14:textId="77777777" w:rsidR="00F46AB9" w:rsidRPr="008C25D1" w:rsidRDefault="00F46AB9" w:rsidP="00BC5468">
            <w:pPr>
              <w:ind w:left="113" w:hanging="113"/>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8C25D1">
              <w:rPr>
                <w:rFonts w:asciiTheme="minorHAnsi" w:hAnsiTheme="minorHAnsi" w:cstheme="minorHAnsi"/>
                <w:sz w:val="18"/>
                <w:szCs w:val="18"/>
              </w:rPr>
              <w:t>(2G, 4I)</w:t>
            </w:r>
          </w:p>
        </w:tc>
        <w:tc>
          <w:tcPr>
            <w:tcW w:w="4525" w:type="dxa"/>
            <w:tcBorders>
              <w:left w:val="single" w:sz="4" w:space="0" w:color="auto"/>
              <w:bottom w:val="single" w:sz="4" w:space="0" w:color="auto"/>
              <w:right w:val="single" w:sz="4" w:space="0" w:color="auto"/>
            </w:tcBorders>
          </w:tcPr>
          <w:p w14:paraId="1502D23E" w14:textId="77777777" w:rsidR="00F46AB9" w:rsidRPr="008C25D1" w:rsidRDefault="00F46AB9" w:rsidP="00BC5468">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8C25D1">
              <w:rPr>
                <w:rFonts w:asciiTheme="minorHAnsi" w:hAnsiTheme="minorHAnsi" w:cstheme="minorHAnsi"/>
                <w:sz w:val="18"/>
                <w:szCs w:val="18"/>
              </w:rPr>
              <w:t>All supported FSANZ’s preliminary view to align the permitted fat content with Codex STAN 72-1981 (1.05 -1.4 g/100 kJ.</w:t>
            </w:r>
            <w:r w:rsidRPr="008C25D1">
              <w:rPr>
                <w:rFonts w:asciiTheme="minorHAnsi" w:hAnsiTheme="minorHAnsi" w:cstheme="minorHAnsi"/>
                <w:sz w:val="18"/>
                <w:szCs w:val="18"/>
                <w:lang w:eastAsia="en-AU"/>
              </w:rPr>
              <w:t xml:space="preserve"> </w:t>
            </w:r>
          </w:p>
        </w:tc>
        <w:tc>
          <w:tcPr>
            <w:tcW w:w="4783" w:type="dxa"/>
            <w:tcBorders>
              <w:left w:val="single" w:sz="4" w:space="0" w:color="auto"/>
              <w:bottom w:val="single" w:sz="4" w:space="0" w:color="auto"/>
            </w:tcBorders>
          </w:tcPr>
          <w:p w14:paraId="284849CD" w14:textId="77777777" w:rsidR="00F46AB9" w:rsidRPr="008C25D1" w:rsidRDefault="00F46AB9" w:rsidP="00BC5468">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8C25D1">
              <w:rPr>
                <w:rFonts w:asciiTheme="minorHAnsi" w:hAnsiTheme="minorHAnsi" w:cstheme="minorHAnsi"/>
                <w:sz w:val="18"/>
                <w:szCs w:val="18"/>
              </w:rPr>
              <w:t>FSANZ proposes to set the permitted range for fat to 1.05- 1.4 g/100 kJ which is aligned with Codex STAN 72-1981 and EU 2016/127 C and is consistent with levels found in human milk.</w:t>
            </w:r>
          </w:p>
        </w:tc>
      </w:tr>
      <w:tr w:rsidR="00F46AB9" w:rsidRPr="008C25D1" w14:paraId="595BDA7A" w14:textId="77777777" w:rsidTr="00E6211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74" w:type="dxa"/>
            <w:tcBorders>
              <w:right w:val="single" w:sz="4" w:space="0" w:color="auto"/>
            </w:tcBorders>
            <w:shd w:val="clear" w:color="auto" w:fill="EAF1DD" w:themeFill="accent3" w:themeFillTint="33"/>
            <w:vAlign w:val="center"/>
          </w:tcPr>
          <w:p w14:paraId="6257023F" w14:textId="77777777" w:rsidR="00F46AB9" w:rsidRPr="009E5947" w:rsidRDefault="00F46AB9" w:rsidP="00BC5468">
            <w:pPr>
              <w:ind w:left="159"/>
              <w:rPr>
                <w:rFonts w:asciiTheme="minorHAnsi" w:hAnsiTheme="minorHAnsi" w:cstheme="minorHAnsi"/>
                <w:bCs w:val="0"/>
                <w:i/>
                <w:sz w:val="18"/>
                <w:szCs w:val="18"/>
              </w:rPr>
            </w:pPr>
            <w:r w:rsidRPr="009E5947">
              <w:rPr>
                <w:rFonts w:asciiTheme="minorHAnsi" w:hAnsiTheme="minorHAnsi" w:cstheme="minorHAnsi"/>
                <w:bCs w:val="0"/>
                <w:i/>
                <w:sz w:val="18"/>
                <w:szCs w:val="18"/>
              </w:rPr>
              <w:t>5.2</w:t>
            </w:r>
          </w:p>
        </w:tc>
        <w:tc>
          <w:tcPr>
            <w:tcW w:w="2515" w:type="dxa"/>
            <w:tcBorders>
              <w:left w:val="none" w:sz="0" w:space="0" w:color="auto"/>
              <w:right w:val="single" w:sz="4" w:space="0" w:color="auto"/>
            </w:tcBorders>
            <w:shd w:val="clear" w:color="auto" w:fill="EAF1DD" w:themeFill="accent3" w:themeFillTint="33"/>
          </w:tcPr>
          <w:p w14:paraId="3EFE288B" w14:textId="77777777" w:rsidR="00F46AB9" w:rsidRPr="008C25D1" w:rsidRDefault="00F46AB9" w:rsidP="00BC546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18"/>
                <w:szCs w:val="18"/>
              </w:rPr>
            </w:pPr>
            <w:r w:rsidRPr="008C25D1">
              <w:rPr>
                <w:rFonts w:asciiTheme="minorHAnsi" w:hAnsiTheme="minorHAnsi" w:cstheme="minorHAnsi"/>
                <w:bCs/>
                <w:sz w:val="18"/>
                <w:szCs w:val="18"/>
              </w:rPr>
              <w:t>Fat</w:t>
            </w:r>
            <w:r>
              <w:rPr>
                <w:rFonts w:asciiTheme="minorHAnsi" w:hAnsiTheme="minorHAnsi" w:cstheme="minorHAnsi"/>
                <w:bCs/>
                <w:sz w:val="18"/>
                <w:szCs w:val="18"/>
              </w:rPr>
              <w:t>:</w:t>
            </w:r>
            <w:r w:rsidRPr="008C25D1">
              <w:rPr>
                <w:rFonts w:asciiTheme="minorHAnsi" w:hAnsiTheme="minorHAnsi" w:cstheme="minorHAnsi"/>
                <w:bCs/>
                <w:sz w:val="18"/>
                <w:szCs w:val="18"/>
              </w:rPr>
              <w:t xml:space="preserve"> units of expression: mg/100 kJ or as a percentage of total fatty acids</w:t>
            </w:r>
          </w:p>
        </w:tc>
        <w:tc>
          <w:tcPr>
            <w:tcW w:w="1290" w:type="dxa"/>
            <w:tcBorders>
              <w:left w:val="none" w:sz="0" w:space="0" w:color="auto"/>
              <w:right w:val="single" w:sz="4" w:space="0" w:color="auto"/>
            </w:tcBorders>
            <w:shd w:val="clear" w:color="auto" w:fill="EAF1DD" w:themeFill="accent3" w:themeFillTint="33"/>
          </w:tcPr>
          <w:p w14:paraId="3766276D" w14:textId="77777777" w:rsidR="00F46AB9" w:rsidRPr="008C25D1" w:rsidRDefault="00F46AB9" w:rsidP="00BC5468">
            <w:pPr>
              <w:ind w:left="113" w:hanging="113"/>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8C25D1">
              <w:rPr>
                <w:rFonts w:asciiTheme="minorHAnsi" w:hAnsiTheme="minorHAnsi" w:cstheme="minorHAnsi"/>
                <w:sz w:val="18"/>
                <w:szCs w:val="18"/>
              </w:rPr>
              <w:t>3</w:t>
            </w:r>
          </w:p>
          <w:p w14:paraId="65034CA6" w14:textId="77777777" w:rsidR="00F46AB9" w:rsidRPr="008C25D1" w:rsidRDefault="00F46AB9" w:rsidP="00BC5468">
            <w:pPr>
              <w:ind w:left="113" w:hanging="113"/>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8C25D1">
              <w:rPr>
                <w:rFonts w:asciiTheme="minorHAnsi" w:hAnsiTheme="minorHAnsi" w:cstheme="minorHAnsi"/>
                <w:sz w:val="18"/>
                <w:szCs w:val="18"/>
              </w:rPr>
              <w:t>(3I)</w:t>
            </w:r>
          </w:p>
        </w:tc>
        <w:tc>
          <w:tcPr>
            <w:tcW w:w="4525" w:type="dxa"/>
            <w:tcBorders>
              <w:left w:val="single" w:sz="4" w:space="0" w:color="auto"/>
              <w:bottom w:val="single" w:sz="4" w:space="0" w:color="auto"/>
              <w:right w:val="single" w:sz="4" w:space="0" w:color="auto"/>
            </w:tcBorders>
            <w:shd w:val="clear" w:color="auto" w:fill="EAF1DD" w:themeFill="accent3" w:themeFillTint="33"/>
          </w:tcPr>
          <w:p w14:paraId="4AA06428" w14:textId="77777777" w:rsidR="00F46AB9" w:rsidRPr="008C25D1" w:rsidRDefault="00F46AB9" w:rsidP="00BC5468">
            <w:pPr>
              <w:ind w:left="-1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8C25D1">
              <w:rPr>
                <w:rFonts w:asciiTheme="minorHAnsi" w:hAnsiTheme="minorHAnsi" w:cstheme="minorHAnsi"/>
                <w:sz w:val="18"/>
                <w:szCs w:val="18"/>
              </w:rPr>
              <w:t>Submitters agreed with FSANZ’s preliminary view that units of expression should be mg/100 kJ to align with Codex STAN 72-1981. They suggested that a calculation and appropriate assumptions be included in Standard 2.9.1 so that fatty acids acid can be expressed as a percentage of total fatty acids.</w:t>
            </w:r>
          </w:p>
        </w:tc>
        <w:tc>
          <w:tcPr>
            <w:tcW w:w="4783" w:type="dxa"/>
            <w:tcBorders>
              <w:left w:val="single" w:sz="4" w:space="0" w:color="auto"/>
              <w:bottom w:val="single" w:sz="4" w:space="0" w:color="auto"/>
            </w:tcBorders>
            <w:shd w:val="clear" w:color="auto" w:fill="EAF1DD" w:themeFill="accent3" w:themeFillTint="33"/>
          </w:tcPr>
          <w:p w14:paraId="062F22EF" w14:textId="77777777" w:rsidR="00F46AB9" w:rsidRPr="008C25D1" w:rsidRDefault="00F46AB9" w:rsidP="00BC546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8C25D1">
              <w:rPr>
                <w:rFonts w:asciiTheme="minorHAnsi" w:hAnsiTheme="minorHAnsi" w:cstheme="minorHAnsi"/>
                <w:sz w:val="18"/>
                <w:szCs w:val="18"/>
              </w:rPr>
              <w:t xml:space="preserve">FSANZ’s proposed option is to align with Codex STAN 72-1981. A calculation for converting fatty acids amounts from % fatty acids to mg/100 kJ will not be included. </w:t>
            </w:r>
          </w:p>
        </w:tc>
      </w:tr>
      <w:tr w:rsidR="00F46AB9" w:rsidRPr="008C25D1" w14:paraId="65A5C329" w14:textId="77777777" w:rsidTr="00E62112">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74" w:type="dxa"/>
            <w:tcBorders>
              <w:right w:val="single" w:sz="4" w:space="0" w:color="auto"/>
            </w:tcBorders>
            <w:vAlign w:val="center"/>
          </w:tcPr>
          <w:p w14:paraId="33D9683E" w14:textId="77777777" w:rsidR="00F46AB9" w:rsidRPr="009E5947" w:rsidRDefault="00F46AB9" w:rsidP="00BC5468">
            <w:pPr>
              <w:ind w:left="159"/>
              <w:rPr>
                <w:rFonts w:asciiTheme="minorHAnsi" w:hAnsiTheme="minorHAnsi" w:cstheme="minorHAnsi"/>
                <w:bCs w:val="0"/>
                <w:i/>
                <w:sz w:val="18"/>
                <w:szCs w:val="18"/>
              </w:rPr>
            </w:pPr>
            <w:r w:rsidRPr="009E5947">
              <w:rPr>
                <w:rFonts w:asciiTheme="minorHAnsi" w:hAnsiTheme="minorHAnsi" w:cstheme="minorHAnsi"/>
                <w:bCs w:val="0"/>
                <w:i/>
                <w:sz w:val="18"/>
                <w:szCs w:val="18"/>
              </w:rPr>
              <w:lastRenderedPageBreak/>
              <w:t>5.3</w:t>
            </w:r>
          </w:p>
        </w:tc>
        <w:tc>
          <w:tcPr>
            <w:tcW w:w="2515" w:type="dxa"/>
            <w:tcBorders>
              <w:left w:val="none" w:sz="0" w:space="0" w:color="auto"/>
              <w:right w:val="single" w:sz="4" w:space="0" w:color="auto"/>
            </w:tcBorders>
          </w:tcPr>
          <w:p w14:paraId="3680D7E8" w14:textId="77777777" w:rsidR="00F46AB9" w:rsidRPr="008C25D1" w:rsidRDefault="00F46AB9" w:rsidP="00BC5468">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Cs/>
                <w:sz w:val="18"/>
                <w:szCs w:val="18"/>
              </w:rPr>
            </w:pPr>
            <w:r w:rsidRPr="008C25D1">
              <w:rPr>
                <w:rFonts w:asciiTheme="minorHAnsi" w:hAnsiTheme="minorHAnsi" w:cstheme="minorHAnsi"/>
                <w:bCs/>
                <w:sz w:val="18"/>
                <w:szCs w:val="18"/>
              </w:rPr>
              <w:t>Essential fatty acid composition: LA and ALA minimum amounts</w:t>
            </w:r>
          </w:p>
        </w:tc>
        <w:tc>
          <w:tcPr>
            <w:tcW w:w="1290" w:type="dxa"/>
            <w:tcBorders>
              <w:left w:val="none" w:sz="0" w:space="0" w:color="auto"/>
              <w:right w:val="single" w:sz="4" w:space="0" w:color="auto"/>
            </w:tcBorders>
          </w:tcPr>
          <w:p w14:paraId="07E7C0C4" w14:textId="77777777" w:rsidR="00F46AB9" w:rsidRPr="008C25D1" w:rsidRDefault="00F46AB9" w:rsidP="00BC5468">
            <w:pPr>
              <w:ind w:left="113" w:hanging="113"/>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8C25D1">
              <w:rPr>
                <w:rFonts w:asciiTheme="minorHAnsi" w:hAnsiTheme="minorHAnsi" w:cstheme="minorHAnsi"/>
                <w:sz w:val="18"/>
                <w:szCs w:val="18"/>
              </w:rPr>
              <w:t>8</w:t>
            </w:r>
          </w:p>
          <w:p w14:paraId="60DADEBE" w14:textId="77777777" w:rsidR="00F46AB9" w:rsidRPr="008C25D1" w:rsidRDefault="00F46AB9" w:rsidP="00BC5468">
            <w:pPr>
              <w:ind w:left="113" w:hanging="113"/>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8C25D1">
              <w:rPr>
                <w:rFonts w:asciiTheme="minorHAnsi" w:hAnsiTheme="minorHAnsi" w:cstheme="minorHAnsi"/>
                <w:sz w:val="18"/>
                <w:szCs w:val="18"/>
              </w:rPr>
              <w:t>(4G, 3I, 1HP)</w:t>
            </w:r>
          </w:p>
        </w:tc>
        <w:tc>
          <w:tcPr>
            <w:tcW w:w="4525" w:type="dxa"/>
            <w:tcBorders>
              <w:left w:val="single" w:sz="4" w:space="0" w:color="auto"/>
              <w:bottom w:val="single" w:sz="4" w:space="0" w:color="auto"/>
              <w:right w:val="single" w:sz="4" w:space="0" w:color="auto"/>
            </w:tcBorders>
          </w:tcPr>
          <w:p w14:paraId="479FFA10" w14:textId="46A8FEA9" w:rsidR="00F46AB9" w:rsidRPr="008C25D1" w:rsidRDefault="00F46AB9" w:rsidP="00BC5468">
            <w:pPr>
              <w:ind w:left="-11"/>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8C25D1">
              <w:rPr>
                <w:rFonts w:asciiTheme="minorHAnsi" w:hAnsiTheme="minorHAnsi" w:cstheme="minorHAnsi"/>
                <w:sz w:val="18"/>
                <w:szCs w:val="18"/>
              </w:rPr>
              <w:t>Industry submissions and one HP considered that the minimum LA amount should be lowered to the Codex STAN 72-1981 level (70 mg/100kJ), with appropriate consideration of the LA:ALA ratio. Government submitters supported increasing the min</w:t>
            </w:r>
            <w:r>
              <w:rPr>
                <w:rFonts w:asciiTheme="minorHAnsi" w:hAnsiTheme="minorHAnsi" w:cstheme="minorHAnsi"/>
                <w:sz w:val="18"/>
                <w:szCs w:val="18"/>
              </w:rPr>
              <w:t xml:space="preserve">imum LA amount to align with EU </w:t>
            </w:r>
            <w:r w:rsidRPr="008C25D1">
              <w:rPr>
                <w:rFonts w:asciiTheme="minorHAnsi" w:hAnsiTheme="minorHAnsi" w:cstheme="minorHAnsi"/>
                <w:sz w:val="18"/>
                <w:szCs w:val="18"/>
              </w:rPr>
              <w:t>2016/1</w:t>
            </w:r>
            <w:r w:rsidR="005005A6">
              <w:rPr>
                <w:rFonts w:asciiTheme="minorHAnsi" w:hAnsiTheme="minorHAnsi" w:cstheme="minorHAnsi"/>
                <w:sz w:val="18"/>
                <w:szCs w:val="18"/>
              </w:rPr>
              <w:t>2</w:t>
            </w:r>
            <w:r w:rsidRPr="008C25D1">
              <w:rPr>
                <w:rFonts w:asciiTheme="minorHAnsi" w:hAnsiTheme="minorHAnsi" w:cstheme="minorHAnsi"/>
                <w:sz w:val="18"/>
                <w:szCs w:val="18"/>
              </w:rPr>
              <w:t>7 and EFSA’s 2014 Scientific Opinion (120 mg/100 kJ).</w:t>
            </w:r>
          </w:p>
        </w:tc>
        <w:tc>
          <w:tcPr>
            <w:tcW w:w="4783" w:type="dxa"/>
            <w:tcBorders>
              <w:left w:val="single" w:sz="4" w:space="0" w:color="auto"/>
              <w:bottom w:val="single" w:sz="4" w:space="0" w:color="auto"/>
            </w:tcBorders>
          </w:tcPr>
          <w:p w14:paraId="5F4905E3" w14:textId="77777777" w:rsidR="00F46AB9" w:rsidRPr="008C25D1" w:rsidRDefault="00F46AB9" w:rsidP="00BC5468">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8C25D1">
              <w:rPr>
                <w:rFonts w:asciiTheme="minorHAnsi" w:hAnsiTheme="minorHAnsi" w:cstheme="minorHAnsi"/>
                <w:sz w:val="18"/>
                <w:szCs w:val="18"/>
              </w:rPr>
              <w:t xml:space="preserve">Based on the stability and palatability concerns associated with higher LA levels, history of safe use at current levels and no emerging safety or adequacy concerns for infants, FSANZ proposes to retain the current minimum requirement for LA within Standard 2.9.1. </w:t>
            </w:r>
          </w:p>
          <w:p w14:paraId="0F73B9A6" w14:textId="77777777" w:rsidR="00F46AB9" w:rsidRPr="008C25D1" w:rsidRDefault="00F46AB9" w:rsidP="00BC5468">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8C25D1">
              <w:rPr>
                <w:rFonts w:asciiTheme="minorHAnsi" w:hAnsiTheme="minorHAnsi" w:cstheme="minorHAnsi"/>
                <w:sz w:val="18"/>
                <w:szCs w:val="18"/>
              </w:rPr>
              <w:t xml:space="preserve">FSANZ </w:t>
            </w:r>
            <w:r>
              <w:rPr>
                <w:rFonts w:asciiTheme="minorHAnsi" w:hAnsiTheme="minorHAnsi" w:cstheme="minorHAnsi"/>
                <w:sz w:val="18"/>
                <w:szCs w:val="18"/>
              </w:rPr>
              <w:t>is also</w:t>
            </w:r>
            <w:r w:rsidRPr="008C25D1">
              <w:rPr>
                <w:rFonts w:asciiTheme="minorHAnsi" w:hAnsiTheme="minorHAnsi" w:cstheme="minorHAnsi"/>
                <w:sz w:val="18"/>
                <w:szCs w:val="18"/>
              </w:rPr>
              <w:t xml:space="preserve"> seeking further information </w:t>
            </w:r>
            <w:r>
              <w:rPr>
                <w:rFonts w:asciiTheme="minorHAnsi" w:hAnsiTheme="minorHAnsi" w:cstheme="minorHAnsi"/>
                <w:sz w:val="18"/>
                <w:szCs w:val="18"/>
              </w:rPr>
              <w:t>on nutritional adequacy</w:t>
            </w:r>
            <w:r w:rsidRPr="008C25D1">
              <w:rPr>
                <w:rFonts w:asciiTheme="minorHAnsi" w:hAnsiTheme="minorHAnsi" w:cstheme="minorHAnsi"/>
                <w:sz w:val="18"/>
                <w:szCs w:val="18"/>
              </w:rPr>
              <w:t xml:space="preserve"> and technological concerns in meeting a higher level of LA </w:t>
            </w:r>
            <w:r>
              <w:rPr>
                <w:rFonts w:asciiTheme="minorHAnsi" w:hAnsiTheme="minorHAnsi" w:cstheme="minorHAnsi"/>
                <w:sz w:val="18"/>
                <w:szCs w:val="18"/>
              </w:rPr>
              <w:t>in</w:t>
            </w:r>
            <w:r w:rsidRPr="008C25D1">
              <w:rPr>
                <w:rFonts w:asciiTheme="minorHAnsi" w:hAnsiTheme="minorHAnsi" w:cstheme="minorHAnsi"/>
                <w:sz w:val="18"/>
                <w:szCs w:val="18"/>
              </w:rPr>
              <w:t xml:space="preserve"> infant formula.</w:t>
            </w:r>
          </w:p>
        </w:tc>
      </w:tr>
      <w:tr w:rsidR="00F46AB9" w:rsidRPr="008C25D1" w14:paraId="05CF333C" w14:textId="77777777" w:rsidTr="00E6211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74" w:type="dxa"/>
            <w:tcBorders>
              <w:right w:val="single" w:sz="4" w:space="0" w:color="auto"/>
            </w:tcBorders>
            <w:shd w:val="clear" w:color="auto" w:fill="EAF1DD" w:themeFill="accent3" w:themeFillTint="33"/>
            <w:vAlign w:val="center"/>
          </w:tcPr>
          <w:p w14:paraId="233CDC08" w14:textId="77777777" w:rsidR="00F46AB9" w:rsidRPr="009E5947" w:rsidRDefault="00F46AB9" w:rsidP="00BC5468">
            <w:pPr>
              <w:ind w:left="159"/>
              <w:rPr>
                <w:rFonts w:asciiTheme="minorHAnsi" w:hAnsiTheme="minorHAnsi" w:cstheme="minorHAnsi"/>
                <w:bCs w:val="0"/>
                <w:i/>
                <w:sz w:val="18"/>
                <w:szCs w:val="18"/>
              </w:rPr>
            </w:pPr>
            <w:r w:rsidRPr="009E5947">
              <w:rPr>
                <w:rFonts w:asciiTheme="minorHAnsi" w:hAnsiTheme="minorHAnsi" w:cstheme="minorHAnsi"/>
                <w:bCs w:val="0"/>
                <w:i/>
                <w:sz w:val="18"/>
                <w:szCs w:val="18"/>
              </w:rPr>
              <w:t>5.4</w:t>
            </w:r>
          </w:p>
        </w:tc>
        <w:tc>
          <w:tcPr>
            <w:tcW w:w="2515" w:type="dxa"/>
            <w:tcBorders>
              <w:left w:val="none" w:sz="0" w:space="0" w:color="auto"/>
              <w:right w:val="single" w:sz="4" w:space="0" w:color="auto"/>
            </w:tcBorders>
            <w:shd w:val="clear" w:color="auto" w:fill="EAF1DD" w:themeFill="accent3" w:themeFillTint="33"/>
          </w:tcPr>
          <w:p w14:paraId="70D1D41A" w14:textId="77777777" w:rsidR="00F46AB9" w:rsidRPr="008C25D1" w:rsidRDefault="00F46AB9" w:rsidP="00BC546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18"/>
                <w:szCs w:val="18"/>
              </w:rPr>
            </w:pPr>
            <w:r>
              <w:rPr>
                <w:rFonts w:asciiTheme="minorHAnsi" w:hAnsiTheme="minorHAnsi" w:cstheme="minorHAnsi"/>
                <w:bCs/>
                <w:sz w:val="18"/>
                <w:szCs w:val="18"/>
              </w:rPr>
              <w:t>Long chain PUFA:</w:t>
            </w:r>
            <w:r w:rsidRPr="008C25D1">
              <w:rPr>
                <w:rFonts w:asciiTheme="minorHAnsi" w:hAnsiTheme="minorHAnsi" w:cstheme="minorHAnsi"/>
                <w:bCs/>
                <w:sz w:val="18"/>
                <w:szCs w:val="18"/>
              </w:rPr>
              <w:t xml:space="preserve">  mandatory or optional addition of DHA</w:t>
            </w:r>
          </w:p>
          <w:p w14:paraId="3CC2E84D" w14:textId="77777777" w:rsidR="00F46AB9" w:rsidRPr="008C25D1" w:rsidRDefault="00F46AB9" w:rsidP="00BC546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18"/>
                <w:szCs w:val="18"/>
              </w:rPr>
            </w:pPr>
          </w:p>
          <w:p w14:paraId="1C569962" w14:textId="77777777" w:rsidR="00F46AB9" w:rsidRPr="008C25D1" w:rsidRDefault="00F46AB9" w:rsidP="00BC546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18"/>
                <w:szCs w:val="18"/>
              </w:rPr>
            </w:pPr>
            <w:r w:rsidRPr="008C25D1">
              <w:rPr>
                <w:rFonts w:asciiTheme="minorHAnsi" w:hAnsiTheme="minorHAnsi" w:cstheme="minorHAnsi"/>
                <w:bCs/>
                <w:sz w:val="18"/>
                <w:szCs w:val="18"/>
              </w:rPr>
              <w:t>And other LC PUFA, ratios and sources</w:t>
            </w:r>
          </w:p>
        </w:tc>
        <w:tc>
          <w:tcPr>
            <w:tcW w:w="1290" w:type="dxa"/>
            <w:tcBorders>
              <w:left w:val="none" w:sz="0" w:space="0" w:color="auto"/>
              <w:right w:val="single" w:sz="4" w:space="0" w:color="auto"/>
            </w:tcBorders>
            <w:shd w:val="clear" w:color="auto" w:fill="EAF1DD" w:themeFill="accent3" w:themeFillTint="33"/>
          </w:tcPr>
          <w:p w14:paraId="4146FC0C" w14:textId="77777777" w:rsidR="00F46AB9" w:rsidRPr="008C25D1" w:rsidRDefault="00F46AB9" w:rsidP="00BC5468">
            <w:pPr>
              <w:ind w:left="113" w:hanging="113"/>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8C25D1">
              <w:rPr>
                <w:rFonts w:asciiTheme="minorHAnsi" w:hAnsiTheme="minorHAnsi" w:cstheme="minorHAnsi"/>
                <w:sz w:val="18"/>
                <w:szCs w:val="18"/>
              </w:rPr>
              <w:t>8</w:t>
            </w:r>
          </w:p>
          <w:p w14:paraId="5B404215" w14:textId="77777777" w:rsidR="00F46AB9" w:rsidRPr="008C25D1" w:rsidRDefault="00F46AB9" w:rsidP="00BC5468">
            <w:pPr>
              <w:ind w:left="113" w:hanging="113"/>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8C25D1">
              <w:rPr>
                <w:rFonts w:asciiTheme="minorHAnsi" w:hAnsiTheme="minorHAnsi" w:cstheme="minorHAnsi"/>
                <w:sz w:val="18"/>
                <w:szCs w:val="18"/>
              </w:rPr>
              <w:t>(3G, 5I)</w:t>
            </w:r>
          </w:p>
          <w:p w14:paraId="4B3404C8" w14:textId="77777777" w:rsidR="00F46AB9" w:rsidRPr="008C25D1" w:rsidRDefault="00F46AB9" w:rsidP="00BC5468">
            <w:pPr>
              <w:ind w:left="113" w:hanging="113"/>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p w14:paraId="25A84EBD" w14:textId="77777777" w:rsidR="00F46AB9" w:rsidRPr="008C25D1" w:rsidRDefault="00F46AB9" w:rsidP="00BC5468">
            <w:pPr>
              <w:ind w:left="113" w:hanging="113"/>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8C25D1">
              <w:rPr>
                <w:rFonts w:asciiTheme="minorHAnsi" w:hAnsiTheme="minorHAnsi" w:cstheme="minorHAnsi"/>
                <w:sz w:val="18"/>
                <w:szCs w:val="18"/>
              </w:rPr>
              <w:t>3</w:t>
            </w:r>
          </w:p>
          <w:p w14:paraId="44E17995" w14:textId="77777777" w:rsidR="00F46AB9" w:rsidRPr="008C25D1" w:rsidRDefault="00F46AB9" w:rsidP="00BC5468">
            <w:pPr>
              <w:ind w:left="113" w:hanging="113"/>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8C25D1">
              <w:rPr>
                <w:rFonts w:asciiTheme="minorHAnsi" w:hAnsiTheme="minorHAnsi" w:cstheme="minorHAnsi"/>
                <w:sz w:val="18"/>
                <w:szCs w:val="18"/>
              </w:rPr>
              <w:t>(3I)</w:t>
            </w:r>
          </w:p>
        </w:tc>
        <w:tc>
          <w:tcPr>
            <w:tcW w:w="4525" w:type="dxa"/>
            <w:tcBorders>
              <w:left w:val="single" w:sz="4" w:space="0" w:color="auto"/>
              <w:bottom w:val="single" w:sz="4" w:space="0" w:color="auto"/>
              <w:right w:val="single" w:sz="4" w:space="0" w:color="auto"/>
            </w:tcBorders>
            <w:shd w:val="clear" w:color="auto" w:fill="EAF1DD" w:themeFill="accent3" w:themeFillTint="33"/>
          </w:tcPr>
          <w:p w14:paraId="19022990" w14:textId="77777777" w:rsidR="00F46AB9" w:rsidRPr="008C25D1" w:rsidRDefault="00F46AB9" w:rsidP="00BC5468">
            <w:pPr>
              <w:ind w:left="-1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8C25D1">
              <w:rPr>
                <w:rFonts w:asciiTheme="minorHAnsi" w:hAnsiTheme="minorHAnsi" w:cstheme="minorHAnsi"/>
                <w:sz w:val="18"/>
                <w:szCs w:val="18"/>
              </w:rPr>
              <w:t xml:space="preserve">There was no clear agreement on the preferred approach. </w:t>
            </w:r>
            <w:r>
              <w:rPr>
                <w:rFonts w:asciiTheme="minorHAnsi" w:hAnsiTheme="minorHAnsi" w:cstheme="minorHAnsi"/>
                <w:sz w:val="18"/>
                <w:szCs w:val="18"/>
              </w:rPr>
              <w:t>Two</w:t>
            </w:r>
            <w:r w:rsidRPr="008C25D1">
              <w:rPr>
                <w:rFonts w:asciiTheme="minorHAnsi" w:hAnsiTheme="minorHAnsi" w:cstheme="minorHAnsi"/>
                <w:sz w:val="18"/>
                <w:szCs w:val="18"/>
              </w:rPr>
              <w:t xml:space="preserve"> industry submitters supported FSANZ’s preliminary view to retain the voluntary addition of DHA. All other submitters support</w:t>
            </w:r>
            <w:r>
              <w:rPr>
                <w:rFonts w:asciiTheme="minorHAnsi" w:hAnsiTheme="minorHAnsi" w:cstheme="minorHAnsi"/>
                <w:sz w:val="18"/>
                <w:szCs w:val="18"/>
              </w:rPr>
              <w:t xml:space="preserve">ed adopting the </w:t>
            </w:r>
            <w:r>
              <w:rPr>
                <w:rFonts w:asciiTheme="minorHAnsi" w:hAnsiTheme="minorHAnsi" w:cstheme="minorHAnsi"/>
                <w:sz w:val="18"/>
                <w:szCs w:val="18"/>
                <w:lang w:val="en-AU"/>
              </w:rPr>
              <w:t>EU 2016/127</w:t>
            </w:r>
            <w:r>
              <w:rPr>
                <w:rFonts w:asciiTheme="minorHAnsi" w:hAnsiTheme="minorHAnsi" w:cstheme="minorHAnsi"/>
                <w:sz w:val="18"/>
                <w:szCs w:val="18"/>
              </w:rPr>
              <w:t xml:space="preserve"> requirements</w:t>
            </w:r>
            <w:r w:rsidRPr="008C25D1">
              <w:rPr>
                <w:rFonts w:asciiTheme="minorHAnsi" w:hAnsiTheme="minorHAnsi" w:cstheme="minorHAnsi"/>
                <w:sz w:val="18"/>
                <w:szCs w:val="18"/>
              </w:rPr>
              <w:t xml:space="preserve"> with or without concomitant addition of arachidonic acid. </w:t>
            </w:r>
          </w:p>
          <w:p w14:paraId="03014A64" w14:textId="77777777" w:rsidR="00F46AB9" w:rsidRPr="008C25D1" w:rsidRDefault="00F46AB9" w:rsidP="00BC5468">
            <w:pPr>
              <w:ind w:left="-1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p w14:paraId="638F7FF8" w14:textId="77777777" w:rsidR="00F46AB9" w:rsidRPr="008C25D1" w:rsidRDefault="00F46AB9" w:rsidP="00BC5468">
            <w:pPr>
              <w:ind w:left="-1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8C25D1">
              <w:rPr>
                <w:rFonts w:asciiTheme="minorHAnsi" w:hAnsiTheme="minorHAnsi" w:cstheme="minorHAnsi"/>
                <w:sz w:val="18"/>
                <w:szCs w:val="18"/>
              </w:rPr>
              <w:t xml:space="preserve">All submissions agreed with FSANZ’s preliminary view that to maintain the </w:t>
            </w:r>
            <w:r w:rsidRPr="008C25D1">
              <w:rPr>
                <w:rFonts w:asciiTheme="minorHAnsi" w:hAnsiTheme="minorHAnsi" w:cstheme="minorHAnsi"/>
                <w:sz w:val="18"/>
                <w:szCs w:val="18"/>
                <w:lang w:val="en-AU"/>
              </w:rPr>
              <w:t xml:space="preserve">current requirement for EPA content to be no more than DHA content, maintain </w:t>
            </w:r>
            <w:r>
              <w:rPr>
                <w:rFonts w:asciiTheme="minorHAnsi" w:hAnsiTheme="minorHAnsi" w:cstheme="minorHAnsi"/>
                <w:sz w:val="18"/>
                <w:szCs w:val="18"/>
                <w:lang w:val="en-AU" w:eastAsia="en-AU"/>
              </w:rPr>
              <w:t xml:space="preserve">the </w:t>
            </w:r>
            <w:r w:rsidRPr="008C25D1">
              <w:rPr>
                <w:rFonts w:asciiTheme="minorHAnsi" w:hAnsiTheme="minorHAnsi" w:cstheme="minorHAnsi"/>
                <w:sz w:val="18"/>
                <w:szCs w:val="18"/>
                <w:lang w:val="en-AU" w:eastAsia="en-AU"/>
              </w:rPr>
              <w:t xml:space="preserve">current requirement that a maximum proportion of no more than 1% total fatty acids when AA is present and </w:t>
            </w:r>
            <w:r w:rsidRPr="008C25D1">
              <w:rPr>
                <w:rFonts w:asciiTheme="minorHAnsi" w:hAnsiTheme="minorHAnsi" w:cstheme="minorHAnsi"/>
                <w:sz w:val="18"/>
                <w:szCs w:val="18"/>
                <w:lang w:val="en-AU"/>
              </w:rPr>
              <w:t xml:space="preserve">replace the minimum ratio of total n-6 to total n-3 with the </w:t>
            </w:r>
            <w:r w:rsidRPr="008C25D1">
              <w:rPr>
                <w:rFonts w:asciiTheme="minorHAnsi" w:hAnsiTheme="minorHAnsi" w:cstheme="minorHAnsi"/>
                <w:sz w:val="18"/>
                <w:szCs w:val="18"/>
              </w:rPr>
              <w:t xml:space="preserve">Codex STAN 72-1981 </w:t>
            </w:r>
            <w:r w:rsidRPr="008C25D1">
              <w:rPr>
                <w:rFonts w:asciiTheme="minorHAnsi" w:hAnsiTheme="minorHAnsi" w:cstheme="minorHAnsi"/>
                <w:sz w:val="18"/>
                <w:szCs w:val="18"/>
                <w:lang w:val="en-AU"/>
              </w:rPr>
              <w:t xml:space="preserve"> minimum ratio of AA:DHA.</w:t>
            </w:r>
          </w:p>
        </w:tc>
        <w:tc>
          <w:tcPr>
            <w:tcW w:w="4783" w:type="dxa"/>
            <w:tcBorders>
              <w:left w:val="single" w:sz="4" w:space="0" w:color="auto"/>
              <w:bottom w:val="single" w:sz="4" w:space="0" w:color="auto"/>
            </w:tcBorders>
            <w:shd w:val="clear" w:color="auto" w:fill="EAF1DD" w:themeFill="accent3" w:themeFillTint="33"/>
          </w:tcPr>
          <w:p w14:paraId="132D3C4B" w14:textId="77777777" w:rsidR="00F46AB9" w:rsidRPr="008C25D1" w:rsidRDefault="00F46AB9" w:rsidP="00BC546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8C25D1">
              <w:rPr>
                <w:rFonts w:asciiTheme="minorHAnsi" w:hAnsiTheme="minorHAnsi" w:cstheme="minorHAnsi"/>
                <w:sz w:val="18"/>
                <w:szCs w:val="18"/>
              </w:rPr>
              <w:t>FSANZ proposes to retain the current voluntary permission for DHA based on the conclusions of Koletzko et al. (2019).  When DHA is present,</w:t>
            </w:r>
          </w:p>
          <w:p w14:paraId="496EC2A4" w14:textId="77777777" w:rsidR="00F46AB9" w:rsidRPr="008C25D1" w:rsidRDefault="00F46AB9" w:rsidP="00BC546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8C25D1">
              <w:rPr>
                <w:rFonts w:asciiTheme="minorHAnsi" w:hAnsiTheme="minorHAnsi" w:cstheme="minorHAnsi"/>
                <w:sz w:val="18"/>
                <w:szCs w:val="18"/>
              </w:rPr>
              <w:t>the amount should be controlled with a guidance limit, by adopting the Codex STAN 72-1981 GUL amount for DHA of 0.5% total fatty acids.</w:t>
            </w:r>
          </w:p>
          <w:p w14:paraId="392DECAA" w14:textId="77777777" w:rsidR="00F46AB9" w:rsidRPr="008C25D1" w:rsidRDefault="00F46AB9" w:rsidP="00BC546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p w14:paraId="31DCFC7E" w14:textId="21714399" w:rsidR="00F46AB9" w:rsidRPr="008C25D1" w:rsidRDefault="00F46AB9" w:rsidP="00BC546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8C25D1">
              <w:rPr>
                <w:rFonts w:asciiTheme="minorHAnsi" w:hAnsiTheme="minorHAnsi" w:cstheme="minorHAnsi"/>
                <w:sz w:val="18"/>
                <w:szCs w:val="18"/>
              </w:rPr>
              <w:t xml:space="preserve">Based on submitter support FSANZ proposed </w:t>
            </w:r>
            <w:r w:rsidRPr="008C25D1">
              <w:rPr>
                <w:rFonts w:asciiTheme="minorHAnsi" w:hAnsiTheme="minorHAnsi" w:cstheme="minorHAnsi"/>
                <w:sz w:val="18"/>
                <w:szCs w:val="18"/>
                <w:lang w:val="en-AU" w:eastAsia="en-AU"/>
              </w:rPr>
              <w:t xml:space="preserve">options for source of LC-PUFA, EPA, AA, and ratios of DHA, AA, and LC-PUFA are unchanged from the previous consideration of these topics in the 2016 Consultation </w:t>
            </w:r>
            <w:r>
              <w:rPr>
                <w:rFonts w:asciiTheme="minorHAnsi" w:hAnsiTheme="minorHAnsi" w:cstheme="minorHAnsi"/>
                <w:sz w:val="18"/>
                <w:szCs w:val="18"/>
                <w:lang w:val="en-AU" w:eastAsia="en-AU"/>
              </w:rPr>
              <w:t>p</w:t>
            </w:r>
            <w:r w:rsidR="002D3773">
              <w:rPr>
                <w:rFonts w:asciiTheme="minorHAnsi" w:hAnsiTheme="minorHAnsi" w:cstheme="minorHAnsi"/>
                <w:sz w:val="18"/>
                <w:szCs w:val="18"/>
                <w:lang w:val="en-AU" w:eastAsia="en-AU"/>
              </w:rPr>
              <w:t>aper</w:t>
            </w:r>
            <w:r w:rsidRPr="00840653">
              <w:rPr>
                <w:rFonts w:asciiTheme="minorHAnsi" w:hAnsiTheme="minorHAnsi" w:cstheme="minorHAnsi"/>
                <w:sz w:val="18"/>
                <w:szCs w:val="18"/>
                <w:lang w:val="en-AU" w:eastAsia="en-AU"/>
              </w:rPr>
              <w:t>.</w:t>
            </w:r>
          </w:p>
        </w:tc>
      </w:tr>
      <w:tr w:rsidR="00F46AB9" w:rsidRPr="008C25D1" w14:paraId="04839C93" w14:textId="77777777" w:rsidTr="00E62112">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74" w:type="dxa"/>
            <w:tcBorders>
              <w:right w:val="single" w:sz="4" w:space="0" w:color="auto"/>
            </w:tcBorders>
            <w:shd w:val="clear" w:color="auto" w:fill="FFFFFF" w:themeFill="background1"/>
            <w:vAlign w:val="center"/>
          </w:tcPr>
          <w:p w14:paraId="78ED46E1" w14:textId="77777777" w:rsidR="00F46AB9" w:rsidRPr="009E5947" w:rsidRDefault="00F46AB9" w:rsidP="00BC5468">
            <w:pPr>
              <w:ind w:left="159"/>
              <w:rPr>
                <w:rFonts w:asciiTheme="minorHAnsi" w:hAnsiTheme="minorHAnsi" w:cstheme="minorHAnsi"/>
                <w:bCs w:val="0"/>
                <w:i/>
                <w:sz w:val="18"/>
                <w:szCs w:val="18"/>
              </w:rPr>
            </w:pPr>
            <w:r w:rsidRPr="009E5947">
              <w:rPr>
                <w:rFonts w:asciiTheme="minorHAnsi" w:hAnsiTheme="minorHAnsi" w:cstheme="minorHAnsi"/>
                <w:bCs w:val="0"/>
                <w:i/>
                <w:sz w:val="18"/>
                <w:szCs w:val="18"/>
              </w:rPr>
              <w:t>5.5</w:t>
            </w:r>
          </w:p>
        </w:tc>
        <w:tc>
          <w:tcPr>
            <w:tcW w:w="2515" w:type="dxa"/>
            <w:tcBorders>
              <w:left w:val="none" w:sz="0" w:space="0" w:color="auto"/>
              <w:right w:val="single" w:sz="4" w:space="0" w:color="auto"/>
            </w:tcBorders>
            <w:shd w:val="clear" w:color="auto" w:fill="FFFFFF" w:themeFill="background1"/>
          </w:tcPr>
          <w:p w14:paraId="41C52DE2" w14:textId="77777777" w:rsidR="00F46AB9" w:rsidRPr="008C25D1" w:rsidRDefault="00F46AB9" w:rsidP="00BC5468">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Cs/>
                <w:sz w:val="18"/>
                <w:szCs w:val="18"/>
              </w:rPr>
            </w:pPr>
            <w:r>
              <w:rPr>
                <w:rFonts w:asciiTheme="minorHAnsi" w:hAnsiTheme="minorHAnsi" w:cstheme="minorHAnsi"/>
                <w:bCs/>
                <w:sz w:val="18"/>
                <w:szCs w:val="18"/>
              </w:rPr>
              <w:t xml:space="preserve">Fat source: </w:t>
            </w:r>
            <w:r w:rsidRPr="008C25D1">
              <w:rPr>
                <w:rFonts w:asciiTheme="minorHAnsi" w:hAnsiTheme="minorHAnsi" w:cstheme="minorHAnsi"/>
                <w:bCs/>
                <w:sz w:val="18"/>
                <w:szCs w:val="18"/>
              </w:rPr>
              <w:t>define by permitting  or  prohibiting certain fat sources</w:t>
            </w:r>
          </w:p>
        </w:tc>
        <w:tc>
          <w:tcPr>
            <w:tcW w:w="1290" w:type="dxa"/>
            <w:tcBorders>
              <w:left w:val="none" w:sz="0" w:space="0" w:color="auto"/>
              <w:right w:val="single" w:sz="4" w:space="0" w:color="auto"/>
            </w:tcBorders>
            <w:shd w:val="clear" w:color="auto" w:fill="FFFFFF" w:themeFill="background1"/>
          </w:tcPr>
          <w:p w14:paraId="447E1297" w14:textId="77777777" w:rsidR="00F46AB9" w:rsidRPr="008C25D1" w:rsidRDefault="00F46AB9" w:rsidP="00BC5468">
            <w:pPr>
              <w:ind w:left="113" w:hanging="113"/>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8C25D1">
              <w:rPr>
                <w:rFonts w:asciiTheme="minorHAnsi" w:hAnsiTheme="minorHAnsi" w:cstheme="minorHAnsi"/>
                <w:sz w:val="18"/>
                <w:szCs w:val="18"/>
              </w:rPr>
              <w:t>9</w:t>
            </w:r>
          </w:p>
          <w:p w14:paraId="339BFC61" w14:textId="77777777" w:rsidR="00F46AB9" w:rsidRPr="008C25D1" w:rsidRDefault="00F46AB9" w:rsidP="00BC5468">
            <w:pPr>
              <w:ind w:left="113" w:hanging="113"/>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8C25D1">
              <w:rPr>
                <w:rFonts w:asciiTheme="minorHAnsi" w:hAnsiTheme="minorHAnsi" w:cstheme="minorHAnsi"/>
                <w:sz w:val="18"/>
                <w:szCs w:val="18"/>
              </w:rPr>
              <w:t>(2G, 6I, 1 HP)</w:t>
            </w:r>
          </w:p>
        </w:tc>
        <w:tc>
          <w:tcPr>
            <w:tcW w:w="4525" w:type="dxa"/>
            <w:tcBorders>
              <w:left w:val="single" w:sz="4" w:space="0" w:color="auto"/>
              <w:bottom w:val="single" w:sz="4" w:space="0" w:color="auto"/>
              <w:right w:val="single" w:sz="4" w:space="0" w:color="auto"/>
            </w:tcBorders>
            <w:shd w:val="clear" w:color="auto" w:fill="FFFFFF" w:themeFill="background1"/>
          </w:tcPr>
          <w:p w14:paraId="022DE0B2" w14:textId="77777777" w:rsidR="00F46AB9" w:rsidRPr="008C25D1" w:rsidRDefault="00F46AB9" w:rsidP="00BC5468">
            <w:pPr>
              <w:ind w:left="-11"/>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8C25D1">
              <w:rPr>
                <w:rFonts w:asciiTheme="minorHAnsi" w:hAnsiTheme="minorHAnsi" w:cstheme="minorHAnsi"/>
                <w:sz w:val="18"/>
                <w:szCs w:val="18"/>
              </w:rPr>
              <w:t xml:space="preserve">Six submitters supported the current approach where Standard 2.9.1 does not specify or prohibit any particular sources of fat but instead sets specific requirements which restrict fat composition  Two submissions considered more specification was needed on certain fat sources. </w:t>
            </w:r>
          </w:p>
        </w:tc>
        <w:tc>
          <w:tcPr>
            <w:tcW w:w="4783" w:type="dxa"/>
            <w:tcBorders>
              <w:left w:val="single" w:sz="4" w:space="0" w:color="auto"/>
              <w:bottom w:val="single" w:sz="4" w:space="0" w:color="auto"/>
            </w:tcBorders>
            <w:shd w:val="clear" w:color="auto" w:fill="FFFFFF" w:themeFill="background1"/>
          </w:tcPr>
          <w:p w14:paraId="3511BCC5" w14:textId="77777777" w:rsidR="00F46AB9" w:rsidRPr="008C25D1" w:rsidRDefault="00F46AB9" w:rsidP="00BC5468">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8C25D1">
              <w:rPr>
                <w:rFonts w:asciiTheme="minorHAnsi" w:hAnsiTheme="minorHAnsi" w:cstheme="minorHAnsi"/>
                <w:sz w:val="18"/>
                <w:szCs w:val="18"/>
              </w:rPr>
              <w:t xml:space="preserve">FSANZ considers that the current approach which restricts fat composition should be retained. Clarification around fat sources permitted to be used is related to the question around pre-market assessment of new macronutrient types or form which is </w:t>
            </w:r>
            <w:r w:rsidRPr="00F46AB9">
              <w:rPr>
                <w:rFonts w:asciiTheme="minorHAnsi" w:hAnsiTheme="minorHAnsi" w:cstheme="minorHAnsi"/>
                <w:sz w:val="18"/>
                <w:szCs w:val="18"/>
              </w:rPr>
              <w:t>discussed in CP3.</w:t>
            </w:r>
          </w:p>
        </w:tc>
      </w:tr>
      <w:tr w:rsidR="00F46AB9" w:rsidRPr="008C25D1" w14:paraId="4267E574" w14:textId="77777777" w:rsidTr="00E6211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74" w:type="dxa"/>
            <w:tcBorders>
              <w:right w:val="single" w:sz="4" w:space="0" w:color="auto"/>
            </w:tcBorders>
            <w:vAlign w:val="center"/>
          </w:tcPr>
          <w:p w14:paraId="481A7710" w14:textId="77777777" w:rsidR="00F46AB9" w:rsidRPr="009E5947" w:rsidRDefault="00F46AB9" w:rsidP="00BC5468">
            <w:pPr>
              <w:ind w:left="159"/>
              <w:rPr>
                <w:rFonts w:asciiTheme="minorHAnsi" w:hAnsiTheme="minorHAnsi" w:cstheme="minorHAnsi"/>
                <w:bCs w:val="0"/>
                <w:i/>
                <w:sz w:val="18"/>
                <w:szCs w:val="18"/>
              </w:rPr>
            </w:pPr>
            <w:r w:rsidRPr="009E5947">
              <w:rPr>
                <w:rFonts w:asciiTheme="minorHAnsi" w:hAnsiTheme="minorHAnsi" w:cstheme="minorHAnsi"/>
                <w:bCs w:val="0"/>
                <w:i/>
                <w:sz w:val="18"/>
                <w:szCs w:val="18"/>
              </w:rPr>
              <w:t>5.6.1</w:t>
            </w:r>
          </w:p>
        </w:tc>
        <w:tc>
          <w:tcPr>
            <w:tcW w:w="2515" w:type="dxa"/>
            <w:tcBorders>
              <w:left w:val="none" w:sz="0" w:space="0" w:color="auto"/>
              <w:right w:val="single" w:sz="4" w:space="0" w:color="auto"/>
            </w:tcBorders>
          </w:tcPr>
          <w:p w14:paraId="3A567B7A" w14:textId="77777777" w:rsidR="00F46AB9" w:rsidRPr="008C25D1" w:rsidRDefault="00F46AB9" w:rsidP="00BC546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18"/>
                <w:szCs w:val="18"/>
              </w:rPr>
            </w:pPr>
            <w:r w:rsidRPr="008C25D1">
              <w:rPr>
                <w:rFonts w:asciiTheme="minorHAnsi" w:hAnsiTheme="minorHAnsi" w:cstheme="minorHAnsi"/>
                <w:bCs/>
                <w:sz w:val="18"/>
                <w:szCs w:val="18"/>
              </w:rPr>
              <w:t>Restrictions on certain fats: MCTs</w:t>
            </w:r>
          </w:p>
        </w:tc>
        <w:tc>
          <w:tcPr>
            <w:tcW w:w="1290" w:type="dxa"/>
            <w:tcBorders>
              <w:left w:val="none" w:sz="0" w:space="0" w:color="auto"/>
              <w:right w:val="single" w:sz="4" w:space="0" w:color="auto"/>
            </w:tcBorders>
          </w:tcPr>
          <w:p w14:paraId="22CBC8EB" w14:textId="77777777" w:rsidR="00F46AB9" w:rsidRPr="008C25D1" w:rsidRDefault="00F46AB9" w:rsidP="00BC5468">
            <w:pPr>
              <w:ind w:left="113" w:hanging="113"/>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8C25D1">
              <w:rPr>
                <w:rFonts w:asciiTheme="minorHAnsi" w:hAnsiTheme="minorHAnsi" w:cstheme="minorHAnsi"/>
                <w:sz w:val="18"/>
                <w:szCs w:val="18"/>
              </w:rPr>
              <w:t>6</w:t>
            </w:r>
          </w:p>
          <w:p w14:paraId="7EE7B1CA" w14:textId="77777777" w:rsidR="00F46AB9" w:rsidRPr="008C25D1" w:rsidRDefault="00F46AB9" w:rsidP="00BC5468">
            <w:pPr>
              <w:ind w:left="113" w:hanging="113"/>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8C25D1">
              <w:rPr>
                <w:rFonts w:asciiTheme="minorHAnsi" w:hAnsiTheme="minorHAnsi" w:cstheme="minorHAnsi"/>
                <w:sz w:val="18"/>
                <w:szCs w:val="18"/>
              </w:rPr>
              <w:t>(3G, 3I)</w:t>
            </w:r>
          </w:p>
        </w:tc>
        <w:tc>
          <w:tcPr>
            <w:tcW w:w="4525" w:type="dxa"/>
            <w:tcBorders>
              <w:left w:val="single" w:sz="4" w:space="0" w:color="auto"/>
              <w:bottom w:val="single" w:sz="4" w:space="0" w:color="auto"/>
              <w:right w:val="single" w:sz="4" w:space="0" w:color="auto"/>
            </w:tcBorders>
          </w:tcPr>
          <w:p w14:paraId="199C8B18" w14:textId="77777777" w:rsidR="00F46AB9" w:rsidRPr="008C25D1" w:rsidRDefault="00F46AB9" w:rsidP="00BC5468">
            <w:pPr>
              <w:ind w:left="-1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8C25D1">
              <w:rPr>
                <w:rFonts w:asciiTheme="minorHAnsi" w:hAnsiTheme="minorHAnsi" w:cstheme="minorHAnsi"/>
                <w:sz w:val="18"/>
                <w:szCs w:val="18"/>
              </w:rPr>
              <w:t>Government submitters supporting the existing restriction. Industry submitters supported removal of existing restrictions on MCT to align with Codex STAN 72-1981 and allow greater choice of fat sources to be used.</w:t>
            </w:r>
          </w:p>
        </w:tc>
        <w:tc>
          <w:tcPr>
            <w:tcW w:w="4783" w:type="dxa"/>
            <w:tcBorders>
              <w:left w:val="single" w:sz="4" w:space="0" w:color="auto"/>
              <w:bottom w:val="single" w:sz="4" w:space="0" w:color="auto"/>
            </w:tcBorders>
          </w:tcPr>
          <w:p w14:paraId="2590E32C" w14:textId="4AA0A5D1" w:rsidR="00F46AB9" w:rsidRPr="008C25D1" w:rsidRDefault="00F46AB9" w:rsidP="00BC546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8C25D1">
              <w:rPr>
                <w:rFonts w:asciiTheme="minorHAnsi" w:hAnsiTheme="minorHAnsi" w:cstheme="minorHAnsi"/>
                <w:sz w:val="18"/>
                <w:szCs w:val="18"/>
                <w:lang w:val="en-AU"/>
              </w:rPr>
              <w:t xml:space="preserve">In conjunction with the proposed option to not specify permitted sources of fat, and in line with the </w:t>
            </w:r>
            <w:r w:rsidR="003B6F75">
              <w:rPr>
                <w:rFonts w:asciiTheme="minorHAnsi" w:hAnsiTheme="minorHAnsi" w:cstheme="minorHAnsi"/>
                <w:sz w:val="18"/>
                <w:szCs w:val="18"/>
                <w:lang w:val="en-AU"/>
              </w:rPr>
              <w:t xml:space="preserve">nutrition </w:t>
            </w:r>
            <w:r w:rsidRPr="008C25D1">
              <w:rPr>
                <w:rFonts w:asciiTheme="minorHAnsi" w:hAnsiTheme="minorHAnsi" w:cstheme="minorHAnsi"/>
                <w:sz w:val="18"/>
                <w:szCs w:val="18"/>
                <w:lang w:val="en-AU"/>
              </w:rPr>
              <w:t>risk assessment conclusions,  the proposed option is to retain the current restrictions on MCTs.</w:t>
            </w:r>
          </w:p>
        </w:tc>
      </w:tr>
      <w:tr w:rsidR="00F46AB9" w:rsidRPr="008C25D1" w14:paraId="600DFE2C" w14:textId="77777777" w:rsidTr="00E62112">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74" w:type="dxa"/>
            <w:tcBorders>
              <w:right w:val="single" w:sz="4" w:space="0" w:color="auto"/>
            </w:tcBorders>
            <w:shd w:val="clear" w:color="auto" w:fill="FFFFFF" w:themeFill="background1"/>
            <w:vAlign w:val="center"/>
          </w:tcPr>
          <w:p w14:paraId="26DA5E25" w14:textId="36A677D0" w:rsidR="00F46AB9" w:rsidRPr="009E5947" w:rsidRDefault="00F46AB9" w:rsidP="00BC5468">
            <w:pPr>
              <w:ind w:left="159"/>
              <w:rPr>
                <w:rFonts w:asciiTheme="minorHAnsi" w:hAnsiTheme="minorHAnsi" w:cstheme="minorHAnsi"/>
                <w:bCs w:val="0"/>
                <w:i/>
                <w:sz w:val="18"/>
                <w:szCs w:val="18"/>
              </w:rPr>
            </w:pPr>
            <w:r w:rsidRPr="009E5947">
              <w:rPr>
                <w:rFonts w:asciiTheme="minorHAnsi" w:hAnsiTheme="minorHAnsi" w:cstheme="minorHAnsi"/>
                <w:bCs w:val="0"/>
                <w:i/>
                <w:sz w:val="18"/>
                <w:szCs w:val="18"/>
              </w:rPr>
              <w:t>5</w:t>
            </w:r>
            <w:r>
              <w:rPr>
                <w:rFonts w:asciiTheme="minorHAnsi" w:hAnsiTheme="minorHAnsi" w:cstheme="minorHAnsi"/>
                <w:bCs w:val="0"/>
                <w:i/>
                <w:sz w:val="18"/>
                <w:szCs w:val="18"/>
              </w:rPr>
              <w:t>.6.2</w:t>
            </w:r>
          </w:p>
        </w:tc>
        <w:tc>
          <w:tcPr>
            <w:tcW w:w="2515" w:type="dxa"/>
            <w:tcBorders>
              <w:left w:val="none" w:sz="0" w:space="0" w:color="auto"/>
              <w:right w:val="single" w:sz="4" w:space="0" w:color="auto"/>
            </w:tcBorders>
            <w:shd w:val="clear" w:color="auto" w:fill="FFFFFF" w:themeFill="background1"/>
          </w:tcPr>
          <w:p w14:paraId="225A8477" w14:textId="77777777" w:rsidR="00F46AB9" w:rsidRPr="008C25D1" w:rsidRDefault="00F46AB9" w:rsidP="00BC5468">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Cs/>
                <w:sz w:val="18"/>
                <w:szCs w:val="18"/>
              </w:rPr>
            </w:pPr>
            <w:r w:rsidRPr="008C25D1">
              <w:rPr>
                <w:rFonts w:asciiTheme="minorHAnsi" w:hAnsiTheme="minorHAnsi" w:cstheme="minorHAnsi"/>
                <w:bCs/>
                <w:sz w:val="18"/>
                <w:szCs w:val="18"/>
              </w:rPr>
              <w:t>Restrictions on certain fats: TFA</w:t>
            </w:r>
          </w:p>
        </w:tc>
        <w:tc>
          <w:tcPr>
            <w:tcW w:w="1290" w:type="dxa"/>
            <w:tcBorders>
              <w:left w:val="none" w:sz="0" w:space="0" w:color="auto"/>
              <w:right w:val="single" w:sz="4" w:space="0" w:color="auto"/>
            </w:tcBorders>
            <w:shd w:val="clear" w:color="auto" w:fill="FFFFFF" w:themeFill="background1"/>
          </w:tcPr>
          <w:p w14:paraId="0598869A" w14:textId="77777777" w:rsidR="00F46AB9" w:rsidRPr="008C25D1" w:rsidRDefault="00F46AB9" w:rsidP="00BC5468">
            <w:pPr>
              <w:ind w:left="113" w:hanging="113"/>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8C25D1">
              <w:rPr>
                <w:rFonts w:asciiTheme="minorHAnsi" w:hAnsiTheme="minorHAnsi" w:cstheme="minorHAnsi"/>
                <w:sz w:val="18"/>
                <w:szCs w:val="18"/>
              </w:rPr>
              <w:t>6</w:t>
            </w:r>
          </w:p>
          <w:p w14:paraId="47706C5B" w14:textId="77777777" w:rsidR="00F46AB9" w:rsidRPr="008C25D1" w:rsidRDefault="00F46AB9" w:rsidP="00BC5468">
            <w:pPr>
              <w:ind w:left="113" w:hanging="113"/>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8C25D1">
              <w:rPr>
                <w:rFonts w:asciiTheme="minorHAnsi" w:hAnsiTheme="minorHAnsi" w:cstheme="minorHAnsi"/>
                <w:sz w:val="18"/>
                <w:szCs w:val="18"/>
              </w:rPr>
              <w:t>(1G, 5I)</w:t>
            </w:r>
          </w:p>
        </w:tc>
        <w:tc>
          <w:tcPr>
            <w:tcW w:w="4525" w:type="dxa"/>
            <w:tcBorders>
              <w:left w:val="single" w:sz="4" w:space="0" w:color="auto"/>
              <w:bottom w:val="single" w:sz="4" w:space="0" w:color="auto"/>
              <w:right w:val="single" w:sz="4" w:space="0" w:color="auto"/>
            </w:tcBorders>
            <w:shd w:val="clear" w:color="auto" w:fill="FFFFFF" w:themeFill="background1"/>
          </w:tcPr>
          <w:p w14:paraId="3EF9B18E" w14:textId="77777777" w:rsidR="00F46AB9" w:rsidRPr="008C25D1" w:rsidRDefault="00F46AB9" w:rsidP="00BC5468">
            <w:pPr>
              <w:ind w:left="-11"/>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8C25D1">
              <w:rPr>
                <w:rFonts w:asciiTheme="minorHAnsi" w:hAnsiTheme="minorHAnsi" w:cstheme="minorHAnsi"/>
                <w:sz w:val="18"/>
                <w:szCs w:val="18"/>
              </w:rPr>
              <w:t>Industry submitters</w:t>
            </w:r>
            <w:r>
              <w:rPr>
                <w:rFonts w:asciiTheme="minorHAnsi" w:hAnsiTheme="minorHAnsi" w:cstheme="minorHAnsi"/>
                <w:sz w:val="18"/>
                <w:szCs w:val="18"/>
              </w:rPr>
              <w:t xml:space="preserve"> support</w:t>
            </w:r>
            <w:r w:rsidRPr="008C25D1">
              <w:rPr>
                <w:rFonts w:asciiTheme="minorHAnsi" w:hAnsiTheme="minorHAnsi" w:cstheme="minorHAnsi"/>
                <w:sz w:val="18"/>
                <w:szCs w:val="18"/>
              </w:rPr>
              <w:t xml:space="preserve"> maintain</w:t>
            </w:r>
            <w:r>
              <w:rPr>
                <w:rFonts w:asciiTheme="minorHAnsi" w:hAnsiTheme="minorHAnsi" w:cstheme="minorHAnsi"/>
                <w:sz w:val="18"/>
                <w:szCs w:val="18"/>
              </w:rPr>
              <w:t>ing</w:t>
            </w:r>
            <w:r w:rsidRPr="008C25D1">
              <w:rPr>
                <w:rFonts w:asciiTheme="minorHAnsi" w:hAnsiTheme="minorHAnsi" w:cstheme="minorHAnsi"/>
                <w:sz w:val="18"/>
                <w:szCs w:val="18"/>
              </w:rPr>
              <w:t xml:space="preserve"> the current restriction on total TFA at a maximum of 4% of total fatty acids, whereas the government submitter supported the option to lower the maximum to 3% of total fatty acids to align with Code STAN 72-1981</w:t>
            </w:r>
            <w:r>
              <w:rPr>
                <w:rFonts w:asciiTheme="minorHAnsi" w:hAnsiTheme="minorHAnsi" w:cstheme="minorHAnsi"/>
                <w:sz w:val="18"/>
                <w:szCs w:val="18"/>
              </w:rPr>
              <w:t>.</w:t>
            </w:r>
          </w:p>
        </w:tc>
        <w:tc>
          <w:tcPr>
            <w:tcW w:w="4783" w:type="dxa"/>
            <w:tcBorders>
              <w:left w:val="single" w:sz="4" w:space="0" w:color="auto"/>
              <w:bottom w:val="single" w:sz="4" w:space="0" w:color="auto"/>
            </w:tcBorders>
            <w:shd w:val="clear" w:color="auto" w:fill="FFFFFF" w:themeFill="background1"/>
          </w:tcPr>
          <w:p w14:paraId="0C1D6DE7" w14:textId="3FE11BF0" w:rsidR="00F46AB9" w:rsidRPr="008C25D1" w:rsidRDefault="00F46AB9" w:rsidP="00BC5468">
            <w:pPr>
              <w:ind w:left="-1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8C25D1">
              <w:rPr>
                <w:rFonts w:asciiTheme="minorHAnsi" w:hAnsiTheme="minorHAnsi" w:cstheme="minorHAnsi"/>
                <w:sz w:val="18"/>
                <w:szCs w:val="18"/>
              </w:rPr>
              <w:t>FSANZ proposes to retain the current restriction on TFA. Aligning with Codex</w:t>
            </w:r>
            <w:r w:rsidR="004B393D">
              <w:rPr>
                <w:rFonts w:asciiTheme="minorHAnsi" w:hAnsiTheme="minorHAnsi" w:cstheme="minorHAnsi"/>
                <w:sz w:val="18"/>
                <w:szCs w:val="18"/>
              </w:rPr>
              <w:t xml:space="preserve"> STAN 72-1981 for TFA wo</w:t>
            </w:r>
            <w:r w:rsidRPr="008C25D1">
              <w:rPr>
                <w:rFonts w:asciiTheme="minorHAnsi" w:hAnsiTheme="minorHAnsi" w:cstheme="minorHAnsi"/>
                <w:sz w:val="18"/>
                <w:szCs w:val="18"/>
              </w:rPr>
              <w:t xml:space="preserve"> require a change in the definition of TFA in the Code. FSANZ considers this to be out of scope for this proposal. </w:t>
            </w:r>
          </w:p>
        </w:tc>
      </w:tr>
      <w:tr w:rsidR="00F46AB9" w:rsidRPr="008C25D1" w14:paraId="4E19A622" w14:textId="77777777" w:rsidTr="00E6211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74" w:type="dxa"/>
            <w:tcBorders>
              <w:right w:val="single" w:sz="4" w:space="0" w:color="auto"/>
            </w:tcBorders>
            <w:shd w:val="clear" w:color="auto" w:fill="FFFFFF" w:themeFill="background1"/>
            <w:vAlign w:val="center"/>
          </w:tcPr>
          <w:p w14:paraId="13DCD439" w14:textId="77777777" w:rsidR="00F46AB9" w:rsidRPr="009E5947" w:rsidRDefault="00F46AB9" w:rsidP="00BC5468">
            <w:pPr>
              <w:ind w:left="159"/>
              <w:rPr>
                <w:rFonts w:asciiTheme="minorHAnsi" w:hAnsiTheme="minorHAnsi" w:cstheme="minorHAnsi"/>
                <w:bCs w:val="0"/>
                <w:i/>
                <w:sz w:val="18"/>
                <w:szCs w:val="18"/>
              </w:rPr>
            </w:pPr>
            <w:r w:rsidRPr="009E5947">
              <w:rPr>
                <w:rFonts w:asciiTheme="minorHAnsi" w:hAnsiTheme="minorHAnsi" w:cstheme="minorHAnsi"/>
                <w:bCs w:val="0"/>
                <w:i/>
                <w:sz w:val="18"/>
                <w:szCs w:val="18"/>
              </w:rPr>
              <w:lastRenderedPageBreak/>
              <w:t xml:space="preserve">5.6.3 </w:t>
            </w:r>
          </w:p>
        </w:tc>
        <w:tc>
          <w:tcPr>
            <w:tcW w:w="2515" w:type="dxa"/>
            <w:tcBorders>
              <w:left w:val="none" w:sz="0" w:space="0" w:color="auto"/>
              <w:right w:val="single" w:sz="4" w:space="0" w:color="auto"/>
            </w:tcBorders>
            <w:shd w:val="clear" w:color="auto" w:fill="FFFFFF" w:themeFill="background1"/>
          </w:tcPr>
          <w:p w14:paraId="19C65A50" w14:textId="77777777" w:rsidR="00F46AB9" w:rsidRPr="008C25D1" w:rsidRDefault="00F46AB9" w:rsidP="00BC546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18"/>
                <w:szCs w:val="18"/>
              </w:rPr>
            </w:pPr>
            <w:r w:rsidRPr="008C25D1">
              <w:rPr>
                <w:rFonts w:asciiTheme="minorHAnsi" w:hAnsiTheme="minorHAnsi" w:cstheme="minorHAnsi"/>
                <w:bCs/>
                <w:sz w:val="18"/>
                <w:szCs w:val="18"/>
              </w:rPr>
              <w:t>Restrictions on certain fats: Phospholipids</w:t>
            </w:r>
            <w:r>
              <w:rPr>
                <w:rFonts w:asciiTheme="minorHAnsi" w:hAnsiTheme="minorHAnsi" w:cstheme="minorHAnsi"/>
                <w:bCs/>
                <w:sz w:val="18"/>
                <w:szCs w:val="18"/>
              </w:rPr>
              <w:t xml:space="preserve"> (PL)</w:t>
            </w:r>
          </w:p>
        </w:tc>
        <w:tc>
          <w:tcPr>
            <w:tcW w:w="1290" w:type="dxa"/>
            <w:tcBorders>
              <w:left w:val="none" w:sz="0" w:space="0" w:color="auto"/>
              <w:right w:val="single" w:sz="4" w:space="0" w:color="auto"/>
            </w:tcBorders>
            <w:shd w:val="clear" w:color="auto" w:fill="FFFFFF" w:themeFill="background1"/>
          </w:tcPr>
          <w:p w14:paraId="69836D1A" w14:textId="77777777" w:rsidR="00F46AB9" w:rsidRPr="008C25D1" w:rsidRDefault="00F46AB9" w:rsidP="00BC5468">
            <w:pPr>
              <w:ind w:left="113" w:hanging="113"/>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8C25D1">
              <w:rPr>
                <w:rFonts w:asciiTheme="minorHAnsi" w:hAnsiTheme="minorHAnsi" w:cstheme="minorHAnsi"/>
                <w:sz w:val="18"/>
                <w:szCs w:val="18"/>
              </w:rPr>
              <w:t>9</w:t>
            </w:r>
          </w:p>
          <w:p w14:paraId="71FD6791" w14:textId="77777777" w:rsidR="00F46AB9" w:rsidRPr="008C25D1" w:rsidRDefault="00F46AB9" w:rsidP="00BC5468">
            <w:pPr>
              <w:ind w:left="113" w:hanging="113"/>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8C25D1">
              <w:rPr>
                <w:rFonts w:asciiTheme="minorHAnsi" w:hAnsiTheme="minorHAnsi" w:cstheme="minorHAnsi"/>
                <w:sz w:val="18"/>
                <w:szCs w:val="18"/>
              </w:rPr>
              <w:t>(3G, 6I)</w:t>
            </w:r>
          </w:p>
        </w:tc>
        <w:tc>
          <w:tcPr>
            <w:tcW w:w="4525" w:type="dxa"/>
            <w:tcBorders>
              <w:left w:val="single" w:sz="4" w:space="0" w:color="auto"/>
              <w:bottom w:val="single" w:sz="4" w:space="0" w:color="auto"/>
              <w:right w:val="single" w:sz="4" w:space="0" w:color="auto"/>
            </w:tcBorders>
            <w:shd w:val="clear" w:color="auto" w:fill="FFFFFF" w:themeFill="background1"/>
          </w:tcPr>
          <w:p w14:paraId="217B1FD0" w14:textId="77777777" w:rsidR="00F46AB9" w:rsidRPr="008C25D1" w:rsidRDefault="00F46AB9" w:rsidP="00BC5468">
            <w:pPr>
              <w:ind w:left="-1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8C25D1">
              <w:rPr>
                <w:rFonts w:asciiTheme="minorHAnsi" w:hAnsiTheme="minorHAnsi" w:cstheme="minorHAnsi"/>
                <w:sz w:val="18"/>
                <w:szCs w:val="18"/>
                <w:lang w:val="en-AU"/>
              </w:rPr>
              <w:t xml:space="preserve">Government submitters supported restriction of total </w:t>
            </w:r>
            <w:r>
              <w:rPr>
                <w:rFonts w:asciiTheme="minorHAnsi" w:hAnsiTheme="minorHAnsi" w:cstheme="minorHAnsi"/>
                <w:sz w:val="18"/>
                <w:szCs w:val="18"/>
                <w:lang w:val="en-AU"/>
              </w:rPr>
              <w:t xml:space="preserve">PL </w:t>
            </w:r>
            <w:r w:rsidRPr="008C25D1">
              <w:rPr>
                <w:rFonts w:asciiTheme="minorHAnsi" w:hAnsiTheme="minorHAnsi" w:cstheme="minorHAnsi"/>
                <w:sz w:val="18"/>
                <w:szCs w:val="18"/>
                <w:lang w:val="en-AU"/>
              </w:rPr>
              <w:t>to 2g/L (72 mg/100 kJ) to align with Codex STAN 72-1981. Industry submitters supported the current approach (no maximum limit on PL) or supported alignment with Codex STAN 72-1981.</w:t>
            </w:r>
          </w:p>
        </w:tc>
        <w:tc>
          <w:tcPr>
            <w:tcW w:w="4783" w:type="dxa"/>
            <w:tcBorders>
              <w:left w:val="single" w:sz="4" w:space="0" w:color="auto"/>
              <w:bottom w:val="single" w:sz="4" w:space="0" w:color="auto"/>
            </w:tcBorders>
            <w:shd w:val="clear" w:color="auto" w:fill="FFFFFF" w:themeFill="background1"/>
          </w:tcPr>
          <w:p w14:paraId="0B80250A" w14:textId="77777777" w:rsidR="00F46AB9" w:rsidRPr="008C25D1" w:rsidRDefault="00F46AB9" w:rsidP="00BC546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8C25D1">
              <w:rPr>
                <w:rFonts w:asciiTheme="minorHAnsi" w:hAnsiTheme="minorHAnsi" w:cstheme="minorHAnsi"/>
                <w:sz w:val="18"/>
                <w:szCs w:val="18"/>
              </w:rPr>
              <w:t>The issue is complicated by the existence of two maximums for PL: one for PL as a nutritive substance source of LC PUFA</w:t>
            </w:r>
            <w:r>
              <w:rPr>
                <w:rFonts w:asciiTheme="minorHAnsi" w:hAnsiTheme="minorHAnsi" w:cstheme="minorHAnsi"/>
                <w:sz w:val="18"/>
                <w:szCs w:val="18"/>
              </w:rPr>
              <w:t xml:space="preserve"> in infant formula</w:t>
            </w:r>
            <w:r w:rsidRPr="008C25D1">
              <w:rPr>
                <w:rFonts w:asciiTheme="minorHAnsi" w:hAnsiTheme="minorHAnsi" w:cstheme="minorHAnsi"/>
                <w:sz w:val="18"/>
                <w:szCs w:val="18"/>
              </w:rPr>
              <w:t xml:space="preserve">, and one for PL as a component of lecithin which is a food additive or processing aid permitted to be used in infant formula. In order to clarify the permissions, FSANZ proposes to align with the Codex STAN 72-1981 maximum permitted amount. This will included PL present as source of LC PUFA and as a component of added lecithin. </w:t>
            </w:r>
          </w:p>
        </w:tc>
      </w:tr>
      <w:tr w:rsidR="00F46AB9" w:rsidRPr="008C25D1" w14:paraId="205684A1" w14:textId="77777777" w:rsidTr="00E62112">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74" w:type="dxa"/>
            <w:tcBorders>
              <w:right w:val="single" w:sz="4" w:space="0" w:color="auto"/>
            </w:tcBorders>
            <w:shd w:val="clear" w:color="auto" w:fill="EAF1DD" w:themeFill="accent3" w:themeFillTint="33"/>
            <w:vAlign w:val="center"/>
          </w:tcPr>
          <w:p w14:paraId="4907345A" w14:textId="77777777" w:rsidR="00F46AB9" w:rsidRPr="009E5947" w:rsidRDefault="00F46AB9" w:rsidP="00BC5468">
            <w:pPr>
              <w:ind w:left="159"/>
              <w:rPr>
                <w:rFonts w:asciiTheme="minorHAnsi" w:hAnsiTheme="minorHAnsi" w:cstheme="minorHAnsi"/>
                <w:bCs w:val="0"/>
                <w:i/>
                <w:sz w:val="18"/>
                <w:szCs w:val="18"/>
              </w:rPr>
            </w:pPr>
            <w:r w:rsidRPr="009E5947">
              <w:rPr>
                <w:rFonts w:asciiTheme="minorHAnsi" w:hAnsiTheme="minorHAnsi" w:cstheme="minorHAnsi"/>
                <w:bCs w:val="0"/>
                <w:i/>
                <w:sz w:val="18"/>
                <w:szCs w:val="18"/>
              </w:rPr>
              <w:t>5.6.4</w:t>
            </w:r>
          </w:p>
        </w:tc>
        <w:tc>
          <w:tcPr>
            <w:tcW w:w="2515" w:type="dxa"/>
            <w:tcBorders>
              <w:left w:val="none" w:sz="0" w:space="0" w:color="auto"/>
              <w:right w:val="single" w:sz="4" w:space="0" w:color="auto"/>
            </w:tcBorders>
            <w:shd w:val="clear" w:color="auto" w:fill="EAF1DD" w:themeFill="accent3" w:themeFillTint="33"/>
          </w:tcPr>
          <w:p w14:paraId="34703DE8" w14:textId="77777777" w:rsidR="00F46AB9" w:rsidRPr="008C25D1" w:rsidRDefault="00F46AB9" w:rsidP="00BC5468">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Cs/>
                <w:sz w:val="18"/>
                <w:szCs w:val="18"/>
              </w:rPr>
            </w:pPr>
            <w:r w:rsidRPr="008C25D1">
              <w:rPr>
                <w:rFonts w:asciiTheme="minorHAnsi" w:hAnsiTheme="minorHAnsi" w:cstheme="minorHAnsi"/>
                <w:bCs/>
                <w:sz w:val="18"/>
                <w:szCs w:val="18"/>
              </w:rPr>
              <w:t>Other fatty acids: myristic, lauric, and erucic acids</w:t>
            </w:r>
          </w:p>
        </w:tc>
        <w:tc>
          <w:tcPr>
            <w:tcW w:w="1290" w:type="dxa"/>
            <w:tcBorders>
              <w:left w:val="none" w:sz="0" w:space="0" w:color="auto"/>
              <w:right w:val="single" w:sz="4" w:space="0" w:color="auto"/>
            </w:tcBorders>
            <w:shd w:val="clear" w:color="auto" w:fill="EAF1DD" w:themeFill="accent3" w:themeFillTint="33"/>
          </w:tcPr>
          <w:p w14:paraId="5103C59F" w14:textId="77777777" w:rsidR="00F46AB9" w:rsidRPr="008C25D1" w:rsidRDefault="00F46AB9" w:rsidP="00BC5468">
            <w:pPr>
              <w:ind w:left="113" w:hanging="113"/>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8C25D1">
              <w:rPr>
                <w:rFonts w:asciiTheme="minorHAnsi" w:hAnsiTheme="minorHAnsi" w:cstheme="minorHAnsi"/>
                <w:sz w:val="18"/>
                <w:szCs w:val="18"/>
              </w:rPr>
              <w:t>3</w:t>
            </w:r>
          </w:p>
          <w:p w14:paraId="18C14486" w14:textId="77777777" w:rsidR="00F46AB9" w:rsidRPr="008C25D1" w:rsidRDefault="00F46AB9" w:rsidP="00BC5468">
            <w:pPr>
              <w:ind w:left="113" w:hanging="113"/>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8C25D1">
              <w:rPr>
                <w:rFonts w:asciiTheme="minorHAnsi" w:hAnsiTheme="minorHAnsi" w:cstheme="minorHAnsi"/>
                <w:sz w:val="18"/>
                <w:szCs w:val="18"/>
              </w:rPr>
              <w:t>(3I)</w:t>
            </w:r>
          </w:p>
        </w:tc>
        <w:tc>
          <w:tcPr>
            <w:tcW w:w="4525" w:type="dxa"/>
            <w:tcBorders>
              <w:left w:val="single" w:sz="4" w:space="0" w:color="auto"/>
              <w:bottom w:val="single" w:sz="4" w:space="0" w:color="auto"/>
              <w:right w:val="single" w:sz="4" w:space="0" w:color="auto"/>
            </w:tcBorders>
            <w:shd w:val="clear" w:color="auto" w:fill="EAF1DD" w:themeFill="accent3" w:themeFillTint="33"/>
          </w:tcPr>
          <w:p w14:paraId="496E8166" w14:textId="77777777" w:rsidR="00F46AB9" w:rsidRPr="008C25D1" w:rsidRDefault="00F46AB9" w:rsidP="00BC5468">
            <w:pPr>
              <w:ind w:left="-11"/>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8C25D1">
              <w:rPr>
                <w:rFonts w:asciiTheme="minorHAnsi" w:hAnsiTheme="minorHAnsi" w:cstheme="minorHAnsi"/>
                <w:sz w:val="18"/>
                <w:szCs w:val="18"/>
              </w:rPr>
              <w:t xml:space="preserve">Submitters supported </w:t>
            </w:r>
            <w:r w:rsidRPr="008C25D1">
              <w:rPr>
                <w:rFonts w:asciiTheme="minorHAnsi" w:hAnsiTheme="minorHAnsi" w:cstheme="minorHAnsi"/>
                <w:sz w:val="18"/>
                <w:szCs w:val="18"/>
                <w:lang w:val="en-AU"/>
              </w:rPr>
              <w:t>FSANZ’s preliminary view to retain current restrictions in Standard 2.9</w:t>
            </w:r>
            <w:r>
              <w:rPr>
                <w:rFonts w:asciiTheme="minorHAnsi" w:hAnsiTheme="minorHAnsi" w:cstheme="minorHAnsi"/>
                <w:sz w:val="18"/>
                <w:szCs w:val="18"/>
                <w:lang w:val="en-AU"/>
              </w:rPr>
              <w:t xml:space="preserve">.1 for erucic acid, lauric and </w:t>
            </w:r>
            <w:r w:rsidRPr="008C25D1">
              <w:rPr>
                <w:rFonts w:asciiTheme="minorHAnsi" w:hAnsiTheme="minorHAnsi" w:cstheme="minorHAnsi"/>
                <w:sz w:val="18"/>
                <w:szCs w:val="18"/>
                <w:lang w:val="en-AU"/>
              </w:rPr>
              <w:t>myristic acids.</w:t>
            </w:r>
          </w:p>
        </w:tc>
        <w:tc>
          <w:tcPr>
            <w:tcW w:w="4783" w:type="dxa"/>
            <w:tcBorders>
              <w:left w:val="single" w:sz="4" w:space="0" w:color="auto"/>
              <w:bottom w:val="single" w:sz="4" w:space="0" w:color="auto"/>
            </w:tcBorders>
            <w:shd w:val="clear" w:color="auto" w:fill="EAF1DD" w:themeFill="accent3" w:themeFillTint="33"/>
          </w:tcPr>
          <w:p w14:paraId="2F671327" w14:textId="77777777" w:rsidR="00F46AB9" w:rsidRPr="008C25D1" w:rsidRDefault="00F46AB9" w:rsidP="00BC5468">
            <w:pPr>
              <w:ind w:hanging="1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8C25D1">
              <w:rPr>
                <w:rFonts w:asciiTheme="minorHAnsi" w:hAnsiTheme="minorHAnsi" w:cstheme="minorHAnsi"/>
                <w:sz w:val="18"/>
                <w:szCs w:val="18"/>
                <w:lang w:val="en-AU"/>
              </w:rPr>
              <w:t>FSANZ proposes to retain the current restrictions in Standard 2.9.1 for these fatty acids.</w:t>
            </w:r>
          </w:p>
        </w:tc>
      </w:tr>
      <w:tr w:rsidR="00F46AB9" w:rsidRPr="008C25D1" w14:paraId="4C9A9D8F" w14:textId="77777777" w:rsidTr="00E6211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74" w:type="dxa"/>
            <w:tcBorders>
              <w:right w:val="single" w:sz="4" w:space="0" w:color="auto"/>
            </w:tcBorders>
            <w:shd w:val="clear" w:color="auto" w:fill="FFFFFF" w:themeFill="background1"/>
            <w:vAlign w:val="center"/>
          </w:tcPr>
          <w:p w14:paraId="322AD694" w14:textId="77777777" w:rsidR="00F46AB9" w:rsidRPr="009E5947" w:rsidRDefault="00F46AB9" w:rsidP="00BC5468">
            <w:pPr>
              <w:ind w:left="159"/>
              <w:rPr>
                <w:rFonts w:asciiTheme="minorHAnsi" w:hAnsiTheme="minorHAnsi" w:cstheme="minorHAnsi"/>
                <w:bCs w:val="0"/>
                <w:i/>
                <w:sz w:val="18"/>
                <w:szCs w:val="18"/>
              </w:rPr>
            </w:pPr>
            <w:r w:rsidRPr="009E5947">
              <w:rPr>
                <w:rFonts w:asciiTheme="minorHAnsi" w:hAnsiTheme="minorHAnsi" w:cstheme="minorHAnsi"/>
                <w:bCs w:val="0"/>
                <w:i/>
                <w:sz w:val="18"/>
                <w:szCs w:val="18"/>
              </w:rPr>
              <w:t>6.1</w:t>
            </w:r>
          </w:p>
        </w:tc>
        <w:tc>
          <w:tcPr>
            <w:tcW w:w="2515" w:type="dxa"/>
            <w:tcBorders>
              <w:left w:val="none" w:sz="0" w:space="0" w:color="auto"/>
              <w:right w:val="single" w:sz="4" w:space="0" w:color="auto"/>
            </w:tcBorders>
            <w:shd w:val="clear" w:color="auto" w:fill="FFFFFF" w:themeFill="background1"/>
          </w:tcPr>
          <w:p w14:paraId="3076A72F" w14:textId="77777777" w:rsidR="00F46AB9" w:rsidRPr="008C25D1" w:rsidRDefault="00F46AB9" w:rsidP="00BC546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18"/>
                <w:szCs w:val="18"/>
              </w:rPr>
            </w:pPr>
            <w:r w:rsidRPr="008C25D1">
              <w:rPr>
                <w:rFonts w:asciiTheme="minorHAnsi" w:hAnsiTheme="minorHAnsi" w:cstheme="minorHAnsi"/>
                <w:bCs/>
                <w:sz w:val="18"/>
                <w:szCs w:val="18"/>
              </w:rPr>
              <w:t>Carbohydrate: definitions and calculations</w:t>
            </w:r>
          </w:p>
        </w:tc>
        <w:tc>
          <w:tcPr>
            <w:tcW w:w="1290" w:type="dxa"/>
            <w:tcBorders>
              <w:left w:val="none" w:sz="0" w:space="0" w:color="auto"/>
              <w:right w:val="single" w:sz="4" w:space="0" w:color="auto"/>
            </w:tcBorders>
            <w:shd w:val="clear" w:color="auto" w:fill="FFFFFF" w:themeFill="background1"/>
          </w:tcPr>
          <w:p w14:paraId="52F8917C" w14:textId="77777777" w:rsidR="00F46AB9" w:rsidRPr="008C25D1" w:rsidRDefault="00F46AB9" w:rsidP="00BC5468">
            <w:pPr>
              <w:ind w:left="113" w:hanging="113"/>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8C25D1">
              <w:rPr>
                <w:rFonts w:asciiTheme="minorHAnsi" w:hAnsiTheme="minorHAnsi" w:cstheme="minorHAnsi"/>
                <w:sz w:val="18"/>
                <w:szCs w:val="18"/>
              </w:rPr>
              <w:t>3</w:t>
            </w:r>
          </w:p>
          <w:p w14:paraId="24F232F7" w14:textId="77777777" w:rsidR="00F46AB9" w:rsidRPr="008C25D1" w:rsidRDefault="00F46AB9" w:rsidP="00BC5468">
            <w:pPr>
              <w:ind w:left="113" w:hanging="113"/>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8C25D1">
              <w:rPr>
                <w:rFonts w:asciiTheme="minorHAnsi" w:hAnsiTheme="minorHAnsi" w:cstheme="minorHAnsi"/>
                <w:sz w:val="18"/>
                <w:szCs w:val="18"/>
              </w:rPr>
              <w:t>(1G, 2I)</w:t>
            </w:r>
          </w:p>
        </w:tc>
        <w:tc>
          <w:tcPr>
            <w:tcW w:w="4525" w:type="dxa"/>
            <w:tcBorders>
              <w:left w:val="single" w:sz="4" w:space="0" w:color="auto"/>
              <w:bottom w:val="single" w:sz="4" w:space="0" w:color="auto"/>
              <w:right w:val="single" w:sz="4" w:space="0" w:color="auto"/>
            </w:tcBorders>
            <w:shd w:val="clear" w:color="auto" w:fill="FFFFFF" w:themeFill="background1"/>
          </w:tcPr>
          <w:p w14:paraId="7A99FD4D" w14:textId="77777777" w:rsidR="00F46AB9" w:rsidRPr="008C25D1" w:rsidRDefault="00F46AB9" w:rsidP="00BC5468">
            <w:pPr>
              <w:ind w:left="-1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8C25D1">
              <w:rPr>
                <w:rFonts w:asciiTheme="minorHAnsi" w:hAnsiTheme="minorHAnsi" w:cstheme="minorHAnsi"/>
                <w:sz w:val="18"/>
                <w:szCs w:val="18"/>
              </w:rPr>
              <w:t xml:space="preserve">All submitters supported FSANZ’s preliminary view that </w:t>
            </w:r>
            <w:r w:rsidRPr="008C25D1">
              <w:rPr>
                <w:rFonts w:asciiTheme="minorHAnsi" w:hAnsiTheme="minorHAnsi" w:cstheme="minorHAnsi"/>
                <w:sz w:val="18"/>
                <w:szCs w:val="18"/>
                <w:lang w:val="en-AU"/>
              </w:rPr>
              <w:t>that definitions in the current Code are appropriate for infant formula. We considered that the classification of carbohydrates as available or unavailable was best left to manufacturers. Energy factors were considered to be appropriate as specified in Schedule 11.</w:t>
            </w:r>
          </w:p>
        </w:tc>
        <w:tc>
          <w:tcPr>
            <w:tcW w:w="4783" w:type="dxa"/>
            <w:tcBorders>
              <w:left w:val="single" w:sz="4" w:space="0" w:color="auto"/>
              <w:bottom w:val="single" w:sz="4" w:space="0" w:color="auto"/>
            </w:tcBorders>
            <w:shd w:val="clear" w:color="auto" w:fill="FFFFFF" w:themeFill="background1"/>
          </w:tcPr>
          <w:p w14:paraId="00976F6F" w14:textId="77777777" w:rsidR="00F46AB9" w:rsidRPr="008C25D1" w:rsidRDefault="00F46AB9" w:rsidP="00BC546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8C25D1">
              <w:rPr>
                <w:rFonts w:asciiTheme="minorHAnsi" w:hAnsiTheme="minorHAnsi" w:cstheme="minorHAnsi"/>
                <w:sz w:val="18"/>
                <w:szCs w:val="18"/>
              </w:rPr>
              <w:t>FSANZ proposes to retain current requirements in Standard 2.9.1</w:t>
            </w:r>
            <w:r>
              <w:rPr>
                <w:rFonts w:asciiTheme="minorHAnsi" w:hAnsiTheme="minorHAnsi" w:cstheme="minorHAnsi"/>
                <w:sz w:val="18"/>
                <w:szCs w:val="18"/>
              </w:rPr>
              <w:t>.</w:t>
            </w:r>
          </w:p>
        </w:tc>
      </w:tr>
      <w:tr w:rsidR="00F46AB9" w:rsidRPr="008C25D1" w14:paraId="53B8AD89" w14:textId="77777777" w:rsidTr="00E62112">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74" w:type="dxa"/>
            <w:tcBorders>
              <w:right w:val="single" w:sz="4" w:space="0" w:color="auto"/>
            </w:tcBorders>
            <w:shd w:val="clear" w:color="auto" w:fill="EAF1DD" w:themeFill="accent3" w:themeFillTint="33"/>
            <w:vAlign w:val="center"/>
          </w:tcPr>
          <w:p w14:paraId="629B658B" w14:textId="77777777" w:rsidR="00F46AB9" w:rsidRPr="009E5947" w:rsidRDefault="00F46AB9" w:rsidP="00BC5468">
            <w:pPr>
              <w:ind w:left="159"/>
              <w:rPr>
                <w:rFonts w:asciiTheme="minorHAnsi" w:hAnsiTheme="minorHAnsi" w:cstheme="minorHAnsi"/>
                <w:bCs w:val="0"/>
                <w:i/>
                <w:sz w:val="18"/>
                <w:szCs w:val="18"/>
              </w:rPr>
            </w:pPr>
            <w:r w:rsidRPr="009E5947">
              <w:rPr>
                <w:rFonts w:asciiTheme="minorHAnsi" w:hAnsiTheme="minorHAnsi" w:cstheme="minorHAnsi"/>
                <w:bCs w:val="0"/>
                <w:i/>
                <w:sz w:val="18"/>
                <w:szCs w:val="18"/>
              </w:rPr>
              <w:t>6.2</w:t>
            </w:r>
          </w:p>
        </w:tc>
        <w:tc>
          <w:tcPr>
            <w:tcW w:w="2515" w:type="dxa"/>
            <w:tcBorders>
              <w:left w:val="none" w:sz="0" w:space="0" w:color="auto"/>
              <w:right w:val="single" w:sz="4" w:space="0" w:color="auto"/>
            </w:tcBorders>
            <w:shd w:val="clear" w:color="auto" w:fill="EAF1DD" w:themeFill="accent3" w:themeFillTint="33"/>
          </w:tcPr>
          <w:p w14:paraId="7E936EB1" w14:textId="77777777" w:rsidR="00F46AB9" w:rsidRPr="008C25D1" w:rsidRDefault="00F46AB9" w:rsidP="00BC5468">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Cs/>
                <w:sz w:val="18"/>
                <w:szCs w:val="18"/>
              </w:rPr>
            </w:pPr>
            <w:r w:rsidRPr="008C25D1">
              <w:rPr>
                <w:rFonts w:asciiTheme="minorHAnsi" w:hAnsiTheme="minorHAnsi" w:cstheme="minorHAnsi"/>
                <w:bCs/>
                <w:sz w:val="18"/>
                <w:szCs w:val="18"/>
              </w:rPr>
              <w:t>Dietary fibre: need for a definition and/or</w:t>
            </w:r>
            <w:r>
              <w:rPr>
                <w:rFonts w:asciiTheme="minorHAnsi" w:hAnsiTheme="minorHAnsi" w:cstheme="minorHAnsi"/>
                <w:bCs/>
                <w:sz w:val="18"/>
                <w:szCs w:val="18"/>
              </w:rPr>
              <w:t xml:space="preserve"> prescribed methods of analysis</w:t>
            </w:r>
          </w:p>
        </w:tc>
        <w:tc>
          <w:tcPr>
            <w:tcW w:w="1290" w:type="dxa"/>
            <w:tcBorders>
              <w:left w:val="none" w:sz="0" w:space="0" w:color="auto"/>
              <w:right w:val="single" w:sz="4" w:space="0" w:color="auto"/>
            </w:tcBorders>
            <w:shd w:val="clear" w:color="auto" w:fill="EAF1DD" w:themeFill="accent3" w:themeFillTint="33"/>
          </w:tcPr>
          <w:p w14:paraId="790A7D66" w14:textId="77777777" w:rsidR="00F46AB9" w:rsidRPr="008C25D1" w:rsidRDefault="00F46AB9" w:rsidP="00BC5468">
            <w:pPr>
              <w:ind w:left="113" w:hanging="113"/>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8C25D1">
              <w:rPr>
                <w:rFonts w:asciiTheme="minorHAnsi" w:hAnsiTheme="minorHAnsi" w:cstheme="minorHAnsi"/>
                <w:sz w:val="18"/>
                <w:szCs w:val="18"/>
              </w:rPr>
              <w:t>4</w:t>
            </w:r>
          </w:p>
          <w:p w14:paraId="2279B10F" w14:textId="77777777" w:rsidR="00F46AB9" w:rsidRPr="008C25D1" w:rsidRDefault="00F46AB9" w:rsidP="00BC5468">
            <w:pPr>
              <w:ind w:left="113" w:hanging="113"/>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8C25D1">
              <w:rPr>
                <w:rFonts w:asciiTheme="minorHAnsi" w:hAnsiTheme="minorHAnsi" w:cstheme="minorHAnsi"/>
                <w:sz w:val="18"/>
                <w:szCs w:val="18"/>
              </w:rPr>
              <w:t>(2G, 2I)</w:t>
            </w:r>
          </w:p>
        </w:tc>
        <w:tc>
          <w:tcPr>
            <w:tcW w:w="4525" w:type="dxa"/>
            <w:tcBorders>
              <w:left w:val="single" w:sz="4" w:space="0" w:color="auto"/>
              <w:bottom w:val="single" w:sz="4" w:space="0" w:color="auto"/>
              <w:right w:val="single" w:sz="4" w:space="0" w:color="auto"/>
            </w:tcBorders>
            <w:shd w:val="clear" w:color="auto" w:fill="EAF1DD" w:themeFill="accent3" w:themeFillTint="33"/>
          </w:tcPr>
          <w:p w14:paraId="318A61CB" w14:textId="77777777" w:rsidR="00F46AB9" w:rsidRPr="008C25D1" w:rsidRDefault="00F46AB9" w:rsidP="00BC5468">
            <w:pPr>
              <w:ind w:left="-11"/>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8C25D1">
              <w:rPr>
                <w:rFonts w:asciiTheme="minorHAnsi" w:hAnsiTheme="minorHAnsi" w:cstheme="minorHAnsi"/>
                <w:sz w:val="18"/>
                <w:szCs w:val="18"/>
              </w:rPr>
              <w:t xml:space="preserve">There was no agreement in submitter views on dietary fibre. Currently the </w:t>
            </w:r>
            <w:r w:rsidRPr="008C25D1">
              <w:rPr>
                <w:rFonts w:asciiTheme="minorHAnsi" w:hAnsiTheme="minorHAnsi" w:cstheme="minorHAnsi"/>
                <w:sz w:val="18"/>
                <w:szCs w:val="18"/>
                <w:lang w:val="en-AU"/>
              </w:rPr>
              <w:t xml:space="preserve">Code is aligned with </w:t>
            </w:r>
            <w:r w:rsidRPr="008C25D1">
              <w:rPr>
                <w:rFonts w:asciiTheme="minorHAnsi" w:hAnsiTheme="minorHAnsi" w:cstheme="minorHAnsi"/>
                <w:sz w:val="18"/>
                <w:szCs w:val="18"/>
              </w:rPr>
              <w:t xml:space="preserve">Codex STAN 72-1981 </w:t>
            </w:r>
            <w:r w:rsidRPr="008C25D1">
              <w:rPr>
                <w:rFonts w:asciiTheme="minorHAnsi" w:hAnsiTheme="minorHAnsi" w:cstheme="minorHAnsi"/>
                <w:sz w:val="18"/>
                <w:szCs w:val="18"/>
                <w:lang w:val="en-AU"/>
              </w:rPr>
              <w:t xml:space="preserve">and the </w:t>
            </w:r>
            <w:r>
              <w:rPr>
                <w:rFonts w:asciiTheme="minorHAnsi" w:hAnsiTheme="minorHAnsi" w:cstheme="minorHAnsi"/>
                <w:sz w:val="18"/>
                <w:szCs w:val="18"/>
                <w:lang w:val="en-AU"/>
              </w:rPr>
              <w:t>EU 2016/127</w:t>
            </w:r>
            <w:r w:rsidRPr="008C25D1">
              <w:rPr>
                <w:rFonts w:asciiTheme="minorHAnsi" w:hAnsiTheme="minorHAnsi" w:cstheme="minorHAnsi"/>
                <w:sz w:val="18"/>
                <w:szCs w:val="18"/>
                <w:lang w:val="en-AU"/>
              </w:rPr>
              <w:t xml:space="preserve">in not prescribing methods of analysis for dietary fibre. </w:t>
            </w:r>
          </w:p>
        </w:tc>
        <w:tc>
          <w:tcPr>
            <w:tcW w:w="4783" w:type="dxa"/>
            <w:tcBorders>
              <w:left w:val="single" w:sz="4" w:space="0" w:color="auto"/>
              <w:bottom w:val="single" w:sz="4" w:space="0" w:color="auto"/>
            </w:tcBorders>
            <w:shd w:val="clear" w:color="auto" w:fill="EAF1DD" w:themeFill="accent3" w:themeFillTint="33"/>
          </w:tcPr>
          <w:p w14:paraId="24D67E51" w14:textId="77777777" w:rsidR="00F46AB9" w:rsidRPr="008C25D1" w:rsidRDefault="00F46AB9" w:rsidP="00BC5468">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8C25D1">
              <w:rPr>
                <w:rFonts w:asciiTheme="minorHAnsi" w:hAnsiTheme="minorHAnsi" w:cstheme="minorHAnsi"/>
                <w:sz w:val="18"/>
                <w:szCs w:val="18"/>
              </w:rPr>
              <w:t xml:space="preserve">Given that there is no identified safety issues with the current approach, and since it is already aligned </w:t>
            </w:r>
            <w:r>
              <w:rPr>
                <w:rFonts w:asciiTheme="minorHAnsi" w:hAnsiTheme="minorHAnsi" w:cstheme="minorHAnsi"/>
                <w:sz w:val="18"/>
                <w:szCs w:val="18"/>
              </w:rPr>
              <w:t>with international regulations,</w:t>
            </w:r>
            <w:r w:rsidRPr="008C25D1">
              <w:rPr>
                <w:rFonts w:asciiTheme="minorHAnsi" w:hAnsiTheme="minorHAnsi" w:cstheme="minorHAnsi"/>
                <w:sz w:val="18"/>
                <w:szCs w:val="18"/>
              </w:rPr>
              <w:t xml:space="preserve"> FSANZ proposes no change to the existing requirements. </w:t>
            </w:r>
          </w:p>
        </w:tc>
      </w:tr>
      <w:tr w:rsidR="00F46AB9" w:rsidRPr="008C25D1" w14:paraId="413921A7" w14:textId="77777777" w:rsidTr="00E6211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74" w:type="dxa"/>
            <w:tcBorders>
              <w:right w:val="single" w:sz="4" w:space="0" w:color="auto"/>
            </w:tcBorders>
            <w:shd w:val="clear" w:color="auto" w:fill="FFFFFF" w:themeFill="background1"/>
            <w:vAlign w:val="center"/>
          </w:tcPr>
          <w:p w14:paraId="6EE63EE0" w14:textId="77777777" w:rsidR="00F46AB9" w:rsidRPr="009E5947" w:rsidRDefault="00F46AB9" w:rsidP="00BC5468">
            <w:pPr>
              <w:ind w:left="159"/>
              <w:rPr>
                <w:rFonts w:asciiTheme="minorHAnsi" w:hAnsiTheme="minorHAnsi" w:cstheme="minorHAnsi"/>
                <w:bCs w:val="0"/>
                <w:i/>
                <w:sz w:val="18"/>
                <w:szCs w:val="18"/>
              </w:rPr>
            </w:pPr>
            <w:r w:rsidRPr="009E5947">
              <w:rPr>
                <w:rFonts w:asciiTheme="minorHAnsi" w:hAnsiTheme="minorHAnsi" w:cstheme="minorHAnsi"/>
                <w:bCs w:val="0"/>
                <w:i/>
                <w:sz w:val="18"/>
                <w:szCs w:val="18"/>
              </w:rPr>
              <w:t>6.3</w:t>
            </w:r>
          </w:p>
        </w:tc>
        <w:tc>
          <w:tcPr>
            <w:tcW w:w="2515" w:type="dxa"/>
            <w:tcBorders>
              <w:left w:val="none" w:sz="0" w:space="0" w:color="auto"/>
              <w:right w:val="single" w:sz="4" w:space="0" w:color="auto"/>
            </w:tcBorders>
            <w:shd w:val="clear" w:color="auto" w:fill="FFFFFF" w:themeFill="background1"/>
          </w:tcPr>
          <w:p w14:paraId="12071CFA" w14:textId="77777777" w:rsidR="00F46AB9" w:rsidRPr="008C25D1" w:rsidRDefault="00F46AB9" w:rsidP="00BC546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18"/>
                <w:szCs w:val="18"/>
              </w:rPr>
            </w:pPr>
            <w:r>
              <w:rPr>
                <w:rFonts w:asciiTheme="minorHAnsi" w:hAnsiTheme="minorHAnsi" w:cstheme="minorHAnsi"/>
                <w:bCs/>
                <w:sz w:val="18"/>
                <w:szCs w:val="18"/>
              </w:rPr>
              <w:t xml:space="preserve">Carbohydrate source: </w:t>
            </w:r>
            <w:r w:rsidRPr="008C25D1">
              <w:rPr>
                <w:rFonts w:asciiTheme="minorHAnsi" w:hAnsiTheme="minorHAnsi" w:cstheme="minorHAnsi"/>
                <w:bCs/>
                <w:sz w:val="18"/>
                <w:szCs w:val="18"/>
              </w:rPr>
              <w:t>need for provisions to define or restrict u</w:t>
            </w:r>
            <w:r>
              <w:rPr>
                <w:rFonts w:asciiTheme="minorHAnsi" w:hAnsiTheme="minorHAnsi" w:cstheme="minorHAnsi"/>
                <w:bCs/>
                <w:sz w:val="18"/>
                <w:szCs w:val="18"/>
              </w:rPr>
              <w:t>nsuitable carbohydrate sources</w:t>
            </w:r>
          </w:p>
        </w:tc>
        <w:tc>
          <w:tcPr>
            <w:tcW w:w="1290" w:type="dxa"/>
            <w:tcBorders>
              <w:left w:val="none" w:sz="0" w:space="0" w:color="auto"/>
              <w:right w:val="single" w:sz="4" w:space="0" w:color="auto"/>
            </w:tcBorders>
            <w:shd w:val="clear" w:color="auto" w:fill="FFFFFF" w:themeFill="background1"/>
          </w:tcPr>
          <w:p w14:paraId="35EF5134" w14:textId="77777777" w:rsidR="00F46AB9" w:rsidRPr="008C25D1" w:rsidRDefault="00F46AB9" w:rsidP="00BC5468">
            <w:pPr>
              <w:ind w:left="113" w:hanging="113"/>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8C25D1">
              <w:rPr>
                <w:rFonts w:asciiTheme="minorHAnsi" w:hAnsiTheme="minorHAnsi" w:cstheme="minorHAnsi"/>
                <w:sz w:val="18"/>
                <w:szCs w:val="18"/>
              </w:rPr>
              <w:t>10</w:t>
            </w:r>
          </w:p>
          <w:p w14:paraId="390AFC13" w14:textId="77777777" w:rsidR="00F46AB9" w:rsidRPr="008C25D1" w:rsidRDefault="00F46AB9" w:rsidP="00BC5468">
            <w:pPr>
              <w:ind w:left="113" w:hanging="113"/>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8C25D1">
              <w:rPr>
                <w:rFonts w:asciiTheme="minorHAnsi" w:hAnsiTheme="minorHAnsi" w:cstheme="minorHAnsi"/>
                <w:sz w:val="18"/>
                <w:szCs w:val="18"/>
              </w:rPr>
              <w:t>(4G, 6I)</w:t>
            </w:r>
          </w:p>
        </w:tc>
        <w:tc>
          <w:tcPr>
            <w:tcW w:w="4525" w:type="dxa"/>
            <w:tcBorders>
              <w:left w:val="single" w:sz="4" w:space="0" w:color="auto"/>
              <w:bottom w:val="single" w:sz="4" w:space="0" w:color="auto"/>
              <w:right w:val="single" w:sz="4" w:space="0" w:color="auto"/>
            </w:tcBorders>
            <w:shd w:val="clear" w:color="auto" w:fill="FFFFFF" w:themeFill="background1"/>
          </w:tcPr>
          <w:p w14:paraId="757549FA" w14:textId="77777777" w:rsidR="00F46AB9" w:rsidRPr="008C25D1" w:rsidRDefault="00F46AB9" w:rsidP="00BC5468">
            <w:pPr>
              <w:ind w:left="-1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8C25D1">
              <w:rPr>
                <w:rFonts w:asciiTheme="minorHAnsi" w:hAnsiTheme="minorHAnsi" w:cstheme="minorHAnsi"/>
                <w:sz w:val="18"/>
                <w:szCs w:val="18"/>
                <w:lang w:val="en-AU"/>
              </w:rPr>
              <w:t xml:space="preserve">Government submitters supported consideration of the EFSA 2014 opinion and alignment with </w:t>
            </w:r>
            <w:r>
              <w:rPr>
                <w:rFonts w:asciiTheme="minorHAnsi" w:hAnsiTheme="minorHAnsi" w:cstheme="minorHAnsi"/>
                <w:sz w:val="18"/>
                <w:szCs w:val="18"/>
              </w:rPr>
              <w:t xml:space="preserve">Codex STAN 72-1981, </w:t>
            </w:r>
            <w:r>
              <w:rPr>
                <w:rFonts w:asciiTheme="minorHAnsi" w:hAnsiTheme="minorHAnsi" w:cstheme="minorHAnsi"/>
                <w:sz w:val="18"/>
                <w:szCs w:val="18"/>
                <w:lang w:val="en-AU"/>
              </w:rPr>
              <w:t xml:space="preserve">which restricts </w:t>
            </w:r>
            <w:r w:rsidRPr="008C25D1">
              <w:rPr>
                <w:rFonts w:asciiTheme="minorHAnsi" w:hAnsiTheme="minorHAnsi" w:cstheme="minorHAnsi"/>
                <w:sz w:val="18"/>
                <w:szCs w:val="18"/>
                <w:lang w:val="en-AU"/>
              </w:rPr>
              <w:t>certain types of carbohydrates. Industry supported the current approach (no restrictions) citing the lack of evidence suggesting safety concerns or adverse effects. Industry also noted that sucrose was not used in inf</w:t>
            </w:r>
            <w:r>
              <w:rPr>
                <w:rFonts w:asciiTheme="minorHAnsi" w:hAnsiTheme="minorHAnsi" w:cstheme="minorHAnsi"/>
                <w:sz w:val="18"/>
                <w:szCs w:val="18"/>
                <w:lang w:val="en-AU"/>
              </w:rPr>
              <w:t>ant formulas manufactured in ANZ.</w:t>
            </w:r>
          </w:p>
        </w:tc>
        <w:tc>
          <w:tcPr>
            <w:tcW w:w="4783" w:type="dxa"/>
            <w:tcBorders>
              <w:left w:val="single" w:sz="4" w:space="0" w:color="auto"/>
              <w:bottom w:val="single" w:sz="4" w:space="0" w:color="auto"/>
            </w:tcBorders>
            <w:shd w:val="clear" w:color="auto" w:fill="FFFFFF" w:themeFill="background1"/>
          </w:tcPr>
          <w:p w14:paraId="2FA3FD4C" w14:textId="77777777" w:rsidR="00F46AB9" w:rsidRPr="008C25D1" w:rsidRDefault="00F46AB9" w:rsidP="00BC546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8C25D1">
              <w:rPr>
                <w:rFonts w:asciiTheme="minorHAnsi" w:hAnsiTheme="minorHAnsi" w:cstheme="minorHAnsi"/>
                <w:sz w:val="18"/>
                <w:szCs w:val="18"/>
                <w:lang w:val="en-AU"/>
              </w:rPr>
              <w:t>FSANZ proposes to adopt limits on sucrose and fructose that are aligned with Codex STAN 72-1981. This option is supported by safety concerns cited by government submitters, by FSANZ’s safety (risk) assessment conducted in 2002, and by international  requirements that will come into place in 2020 that in line with the Codex STAN 72-1981.</w:t>
            </w:r>
          </w:p>
        </w:tc>
      </w:tr>
      <w:tr w:rsidR="00F46AB9" w:rsidRPr="008C25D1" w14:paraId="371296D6" w14:textId="77777777" w:rsidTr="00E62112">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74" w:type="dxa"/>
            <w:tcBorders>
              <w:right w:val="single" w:sz="4" w:space="0" w:color="auto"/>
            </w:tcBorders>
            <w:shd w:val="clear" w:color="auto" w:fill="EAF1DD" w:themeFill="accent3" w:themeFillTint="33"/>
            <w:vAlign w:val="center"/>
          </w:tcPr>
          <w:p w14:paraId="47CCE3BA" w14:textId="77777777" w:rsidR="00F46AB9" w:rsidRPr="009E5947" w:rsidRDefault="00F46AB9" w:rsidP="00BC5468">
            <w:pPr>
              <w:ind w:left="159"/>
              <w:rPr>
                <w:rFonts w:asciiTheme="minorHAnsi" w:hAnsiTheme="minorHAnsi" w:cstheme="minorHAnsi"/>
                <w:bCs w:val="0"/>
                <w:i/>
                <w:sz w:val="18"/>
                <w:szCs w:val="18"/>
              </w:rPr>
            </w:pPr>
            <w:r w:rsidRPr="009E5947">
              <w:rPr>
                <w:rFonts w:asciiTheme="minorHAnsi" w:hAnsiTheme="minorHAnsi" w:cstheme="minorHAnsi"/>
                <w:bCs w:val="0"/>
                <w:i/>
                <w:sz w:val="18"/>
                <w:szCs w:val="18"/>
              </w:rPr>
              <w:t xml:space="preserve">6.4 </w:t>
            </w:r>
          </w:p>
        </w:tc>
        <w:tc>
          <w:tcPr>
            <w:tcW w:w="2515" w:type="dxa"/>
            <w:tcBorders>
              <w:left w:val="none" w:sz="0" w:space="0" w:color="auto"/>
              <w:right w:val="single" w:sz="4" w:space="0" w:color="auto"/>
            </w:tcBorders>
            <w:shd w:val="clear" w:color="auto" w:fill="EAF1DD" w:themeFill="accent3" w:themeFillTint="33"/>
          </w:tcPr>
          <w:p w14:paraId="1A492B2B" w14:textId="1025C106" w:rsidR="00F46AB9" w:rsidRPr="008C25D1" w:rsidRDefault="00F46AB9" w:rsidP="00F0473D">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Cs/>
                <w:sz w:val="18"/>
                <w:szCs w:val="18"/>
              </w:rPr>
            </w:pPr>
            <w:r>
              <w:rPr>
                <w:rFonts w:asciiTheme="minorHAnsi" w:hAnsiTheme="minorHAnsi" w:cstheme="minorHAnsi"/>
                <w:bCs/>
                <w:sz w:val="18"/>
                <w:szCs w:val="18"/>
              </w:rPr>
              <w:t>Carbohydrate: permitted range</w:t>
            </w:r>
            <w:r w:rsidR="00F0473D">
              <w:rPr>
                <w:rFonts w:asciiTheme="minorHAnsi" w:hAnsiTheme="minorHAnsi" w:cstheme="minorHAnsi"/>
                <w:bCs/>
                <w:sz w:val="18"/>
                <w:szCs w:val="18"/>
              </w:rPr>
              <w:t xml:space="preserve"> for total carbohydrate content</w:t>
            </w:r>
          </w:p>
        </w:tc>
        <w:tc>
          <w:tcPr>
            <w:tcW w:w="1290" w:type="dxa"/>
            <w:tcBorders>
              <w:left w:val="none" w:sz="0" w:space="0" w:color="auto"/>
              <w:right w:val="single" w:sz="4" w:space="0" w:color="auto"/>
            </w:tcBorders>
            <w:shd w:val="clear" w:color="auto" w:fill="EAF1DD" w:themeFill="accent3" w:themeFillTint="33"/>
          </w:tcPr>
          <w:p w14:paraId="0409C6E0" w14:textId="77777777" w:rsidR="00F46AB9" w:rsidRPr="008C25D1" w:rsidRDefault="00F46AB9" w:rsidP="00BC5468">
            <w:pPr>
              <w:ind w:left="113" w:hanging="113"/>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8C25D1">
              <w:rPr>
                <w:rFonts w:asciiTheme="minorHAnsi" w:hAnsiTheme="minorHAnsi" w:cstheme="minorHAnsi"/>
                <w:sz w:val="18"/>
                <w:szCs w:val="18"/>
              </w:rPr>
              <w:t>2</w:t>
            </w:r>
          </w:p>
          <w:p w14:paraId="061F1FF9" w14:textId="77777777" w:rsidR="00F46AB9" w:rsidRPr="008C25D1" w:rsidRDefault="00F46AB9" w:rsidP="00BC5468">
            <w:pPr>
              <w:ind w:left="113" w:hanging="113"/>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8C25D1">
              <w:rPr>
                <w:rFonts w:asciiTheme="minorHAnsi" w:hAnsiTheme="minorHAnsi" w:cstheme="minorHAnsi"/>
                <w:sz w:val="18"/>
                <w:szCs w:val="18"/>
              </w:rPr>
              <w:t>(2I)</w:t>
            </w:r>
          </w:p>
        </w:tc>
        <w:tc>
          <w:tcPr>
            <w:tcW w:w="4525" w:type="dxa"/>
            <w:tcBorders>
              <w:left w:val="single" w:sz="4" w:space="0" w:color="auto"/>
              <w:bottom w:val="single" w:sz="4" w:space="0" w:color="auto"/>
              <w:right w:val="single" w:sz="4" w:space="0" w:color="auto"/>
            </w:tcBorders>
            <w:shd w:val="clear" w:color="auto" w:fill="EAF1DD" w:themeFill="accent3" w:themeFillTint="33"/>
          </w:tcPr>
          <w:p w14:paraId="731A4774" w14:textId="77777777" w:rsidR="00F46AB9" w:rsidRPr="008C25D1" w:rsidRDefault="00F46AB9" w:rsidP="00BC5468">
            <w:pPr>
              <w:ind w:left="-11"/>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S</w:t>
            </w:r>
            <w:r w:rsidRPr="008C25D1">
              <w:rPr>
                <w:rFonts w:asciiTheme="minorHAnsi" w:hAnsiTheme="minorHAnsi" w:cstheme="minorHAnsi"/>
                <w:sz w:val="18"/>
                <w:szCs w:val="18"/>
              </w:rPr>
              <w:t>ubmitters agreed with the current approach under Standard 2.9.1</w:t>
            </w:r>
            <w:r>
              <w:rPr>
                <w:rFonts w:asciiTheme="minorHAnsi" w:hAnsiTheme="minorHAnsi" w:cstheme="minorHAnsi"/>
                <w:sz w:val="18"/>
                <w:szCs w:val="18"/>
              </w:rPr>
              <w:t>,</w:t>
            </w:r>
            <w:r w:rsidRPr="008C25D1">
              <w:rPr>
                <w:rFonts w:asciiTheme="minorHAnsi" w:hAnsiTheme="minorHAnsi" w:cstheme="minorHAnsi"/>
                <w:sz w:val="18"/>
                <w:szCs w:val="18"/>
              </w:rPr>
              <w:t xml:space="preserve"> in which carbohydrate content is calculated by difference from protein, fat and energy content. </w:t>
            </w:r>
          </w:p>
        </w:tc>
        <w:tc>
          <w:tcPr>
            <w:tcW w:w="4783" w:type="dxa"/>
            <w:tcBorders>
              <w:left w:val="single" w:sz="4" w:space="0" w:color="auto"/>
              <w:bottom w:val="single" w:sz="4" w:space="0" w:color="auto"/>
            </w:tcBorders>
            <w:shd w:val="clear" w:color="auto" w:fill="EAF1DD" w:themeFill="accent3" w:themeFillTint="33"/>
          </w:tcPr>
          <w:p w14:paraId="52342F97" w14:textId="77777777" w:rsidR="00F46AB9" w:rsidRPr="008C25D1" w:rsidRDefault="00F46AB9" w:rsidP="00BC5468">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lang w:val="en-AU"/>
              </w:rPr>
            </w:pPr>
            <w:r w:rsidRPr="008C25D1">
              <w:rPr>
                <w:rFonts w:asciiTheme="minorHAnsi" w:hAnsiTheme="minorHAnsi" w:cstheme="minorHAnsi"/>
                <w:sz w:val="18"/>
                <w:szCs w:val="18"/>
                <w:lang w:val="en-AU"/>
              </w:rPr>
              <w:t>The proposed option is to retain the cur</w:t>
            </w:r>
            <w:r>
              <w:rPr>
                <w:rFonts w:asciiTheme="minorHAnsi" w:hAnsiTheme="minorHAnsi" w:cstheme="minorHAnsi"/>
                <w:sz w:val="18"/>
                <w:szCs w:val="18"/>
                <w:lang w:val="en-AU"/>
              </w:rPr>
              <w:t xml:space="preserve">rent approach in Standard 2.9.1, </w:t>
            </w:r>
            <w:r w:rsidRPr="008C25D1">
              <w:rPr>
                <w:rFonts w:asciiTheme="minorHAnsi" w:hAnsiTheme="minorHAnsi" w:cstheme="minorHAnsi"/>
                <w:sz w:val="18"/>
                <w:szCs w:val="18"/>
                <w:lang w:val="en-AU"/>
              </w:rPr>
              <w:t>which does not specify a permitted range for carbohydrate content.</w:t>
            </w:r>
          </w:p>
        </w:tc>
      </w:tr>
      <w:tr w:rsidR="00F46AB9" w:rsidRPr="008C25D1" w14:paraId="055EAE4C" w14:textId="77777777" w:rsidTr="00BC5468">
        <w:trPr>
          <w:cnfStyle w:val="000000100000" w:firstRow="0" w:lastRow="0" w:firstColumn="0" w:lastColumn="0" w:oddVBand="0" w:evenVBand="0" w:oddHBand="1" w:evenHBand="0" w:firstRowFirstColumn="0" w:firstRowLastColumn="0" w:lastRowFirstColumn="0" w:lastRowLastColumn="0"/>
          <w:cantSplit/>
          <w:trHeight w:val="340"/>
        </w:trPr>
        <w:tc>
          <w:tcPr>
            <w:cnfStyle w:val="001000000000" w:firstRow="0" w:lastRow="0" w:firstColumn="1" w:lastColumn="0" w:oddVBand="0" w:evenVBand="0" w:oddHBand="0" w:evenHBand="0" w:firstRowFirstColumn="0" w:firstRowLastColumn="0" w:lastRowFirstColumn="0" w:lastRowLastColumn="0"/>
            <w:tcW w:w="13987" w:type="dxa"/>
            <w:gridSpan w:val="5"/>
            <w:shd w:val="clear" w:color="auto" w:fill="F2F2F2" w:themeFill="background1" w:themeFillShade="F2"/>
            <w:vAlign w:val="center"/>
          </w:tcPr>
          <w:p w14:paraId="5F31678E" w14:textId="77777777" w:rsidR="00F46AB9" w:rsidRPr="009E5947" w:rsidRDefault="00F46AB9" w:rsidP="00BC5468">
            <w:pPr>
              <w:ind w:left="17"/>
              <w:rPr>
                <w:rFonts w:asciiTheme="minorHAnsi" w:hAnsiTheme="minorHAnsi" w:cstheme="minorHAnsi"/>
                <w:i/>
                <w:sz w:val="18"/>
                <w:szCs w:val="18"/>
              </w:rPr>
            </w:pPr>
            <w:r w:rsidRPr="009E5947">
              <w:rPr>
                <w:rFonts w:asciiTheme="minorHAnsi" w:hAnsiTheme="minorHAnsi" w:cstheme="minorHAnsi"/>
                <w:bCs w:val="0"/>
                <w:i/>
                <w:szCs w:val="18"/>
              </w:rPr>
              <w:t>MICRONUTRIENTS</w:t>
            </w:r>
          </w:p>
        </w:tc>
      </w:tr>
      <w:tr w:rsidR="00F46AB9" w:rsidRPr="008C25D1" w14:paraId="213419CC" w14:textId="77777777" w:rsidTr="00E62112">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74" w:type="dxa"/>
            <w:tcBorders>
              <w:right w:val="single" w:sz="4" w:space="0" w:color="auto"/>
            </w:tcBorders>
            <w:shd w:val="clear" w:color="auto" w:fill="FFFFFF" w:themeFill="background1"/>
            <w:vAlign w:val="center"/>
          </w:tcPr>
          <w:p w14:paraId="1C5148D1" w14:textId="77777777" w:rsidR="00F46AB9" w:rsidRPr="009E5947" w:rsidRDefault="00F46AB9" w:rsidP="00BC5468">
            <w:pPr>
              <w:rPr>
                <w:rFonts w:asciiTheme="minorHAnsi" w:hAnsiTheme="minorHAnsi" w:cstheme="minorHAnsi"/>
                <w:bCs w:val="0"/>
                <w:i/>
                <w:sz w:val="18"/>
                <w:szCs w:val="18"/>
              </w:rPr>
            </w:pPr>
            <w:r w:rsidRPr="009E5947">
              <w:rPr>
                <w:rFonts w:asciiTheme="minorHAnsi" w:hAnsiTheme="minorHAnsi" w:cstheme="minorHAnsi"/>
                <w:bCs w:val="0"/>
                <w:i/>
                <w:sz w:val="18"/>
                <w:szCs w:val="18"/>
              </w:rPr>
              <w:lastRenderedPageBreak/>
              <w:t>7.1</w:t>
            </w:r>
          </w:p>
        </w:tc>
        <w:tc>
          <w:tcPr>
            <w:tcW w:w="2515" w:type="dxa"/>
            <w:tcBorders>
              <w:left w:val="none" w:sz="0" w:space="0" w:color="auto"/>
              <w:right w:val="single" w:sz="4" w:space="0" w:color="auto"/>
            </w:tcBorders>
            <w:shd w:val="clear" w:color="auto" w:fill="FFFFFF" w:themeFill="background1"/>
          </w:tcPr>
          <w:p w14:paraId="75633E08" w14:textId="77777777" w:rsidR="00F46AB9" w:rsidRPr="008C25D1" w:rsidRDefault="00F46AB9" w:rsidP="00BC5468">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Cs/>
                <w:sz w:val="18"/>
                <w:szCs w:val="18"/>
              </w:rPr>
            </w:pPr>
            <w:r>
              <w:rPr>
                <w:rFonts w:asciiTheme="minorHAnsi" w:hAnsiTheme="minorHAnsi" w:cstheme="minorHAnsi"/>
                <w:bCs/>
                <w:sz w:val="18"/>
                <w:szCs w:val="18"/>
              </w:rPr>
              <w:t>GULs</w:t>
            </w:r>
            <w:r w:rsidRPr="008C25D1">
              <w:rPr>
                <w:rFonts w:asciiTheme="minorHAnsi" w:hAnsiTheme="minorHAnsi" w:cstheme="minorHAnsi"/>
                <w:bCs/>
                <w:sz w:val="18"/>
                <w:szCs w:val="18"/>
              </w:rPr>
              <w:t xml:space="preserve"> and regulatory maximums</w:t>
            </w:r>
          </w:p>
        </w:tc>
        <w:tc>
          <w:tcPr>
            <w:tcW w:w="1290" w:type="dxa"/>
            <w:tcBorders>
              <w:left w:val="none" w:sz="0" w:space="0" w:color="auto"/>
              <w:right w:val="single" w:sz="4" w:space="0" w:color="auto"/>
            </w:tcBorders>
            <w:shd w:val="clear" w:color="auto" w:fill="FFFFFF" w:themeFill="background1"/>
          </w:tcPr>
          <w:p w14:paraId="7B4FBD60" w14:textId="77777777" w:rsidR="00F46AB9" w:rsidRPr="008C25D1" w:rsidRDefault="00F46AB9" w:rsidP="00BC5468">
            <w:pPr>
              <w:ind w:left="113" w:hanging="113"/>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8C25D1">
              <w:rPr>
                <w:rFonts w:asciiTheme="minorHAnsi" w:hAnsiTheme="minorHAnsi" w:cstheme="minorHAnsi"/>
                <w:sz w:val="18"/>
                <w:szCs w:val="18"/>
              </w:rPr>
              <w:t>11</w:t>
            </w:r>
          </w:p>
          <w:p w14:paraId="3D211179" w14:textId="77777777" w:rsidR="00F46AB9" w:rsidRPr="008C25D1" w:rsidRDefault="00F46AB9" w:rsidP="00BC5468">
            <w:pPr>
              <w:ind w:left="113" w:hanging="113"/>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8C25D1">
              <w:rPr>
                <w:rFonts w:asciiTheme="minorHAnsi" w:hAnsiTheme="minorHAnsi" w:cstheme="minorHAnsi"/>
                <w:sz w:val="18"/>
                <w:szCs w:val="18"/>
              </w:rPr>
              <w:t>(3G, 8I)</w:t>
            </w:r>
          </w:p>
        </w:tc>
        <w:tc>
          <w:tcPr>
            <w:tcW w:w="4525" w:type="dxa"/>
            <w:tcBorders>
              <w:left w:val="single" w:sz="4" w:space="0" w:color="auto"/>
              <w:bottom w:val="single" w:sz="4" w:space="0" w:color="auto"/>
              <w:right w:val="single" w:sz="4" w:space="0" w:color="auto"/>
            </w:tcBorders>
            <w:shd w:val="clear" w:color="auto" w:fill="FFFFFF" w:themeFill="background1"/>
          </w:tcPr>
          <w:p w14:paraId="38A823B4" w14:textId="77777777" w:rsidR="00F46AB9" w:rsidRPr="008C25D1" w:rsidRDefault="00F46AB9" w:rsidP="00BC5468">
            <w:pPr>
              <w:ind w:left="-11"/>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8C25D1">
              <w:rPr>
                <w:rFonts w:asciiTheme="minorHAnsi" w:hAnsiTheme="minorHAnsi" w:cstheme="minorHAnsi"/>
                <w:sz w:val="18"/>
                <w:szCs w:val="18"/>
              </w:rPr>
              <w:t>Generally, use of GULs for micronutrients was supported industry submitters and opposed by government submitters. Specific comments were provided and considered on vitamin C, iodine, phosphorus, selenium and folate.</w:t>
            </w:r>
          </w:p>
        </w:tc>
        <w:tc>
          <w:tcPr>
            <w:tcW w:w="4783" w:type="dxa"/>
            <w:tcBorders>
              <w:left w:val="single" w:sz="4" w:space="0" w:color="auto"/>
              <w:bottom w:val="single" w:sz="4" w:space="0" w:color="auto"/>
            </w:tcBorders>
            <w:shd w:val="clear" w:color="auto" w:fill="FFFFFF" w:themeFill="background1"/>
          </w:tcPr>
          <w:p w14:paraId="256E7494" w14:textId="77777777" w:rsidR="00F46AB9" w:rsidRPr="008C25D1" w:rsidRDefault="00F46AB9" w:rsidP="00BC5468">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8C25D1">
              <w:rPr>
                <w:rFonts w:asciiTheme="minorHAnsi" w:hAnsiTheme="minorHAnsi" w:cstheme="minorHAnsi"/>
                <w:b/>
                <w:sz w:val="18"/>
                <w:szCs w:val="18"/>
              </w:rPr>
              <w:t>Regulatory maximums</w:t>
            </w:r>
            <w:r w:rsidRPr="008C25D1">
              <w:rPr>
                <w:rFonts w:asciiTheme="minorHAnsi" w:hAnsiTheme="minorHAnsi" w:cstheme="minorHAnsi"/>
                <w:sz w:val="18"/>
                <w:szCs w:val="18"/>
              </w:rPr>
              <w:t xml:space="preserve"> applied to: vitamin A, vitamin D, chloride, sodium, potassium, iron, iodine and selenium.</w:t>
            </w:r>
          </w:p>
          <w:p w14:paraId="197B107C" w14:textId="77777777" w:rsidR="00F46AB9" w:rsidRPr="008C25D1" w:rsidRDefault="00F46AB9" w:rsidP="00BC5468">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8C25D1">
              <w:rPr>
                <w:rFonts w:asciiTheme="minorHAnsi" w:hAnsiTheme="minorHAnsi" w:cstheme="minorHAnsi"/>
                <w:b/>
                <w:sz w:val="18"/>
                <w:szCs w:val="18"/>
              </w:rPr>
              <w:t>GULs applied to</w:t>
            </w:r>
            <w:r w:rsidRPr="008C25D1">
              <w:rPr>
                <w:rFonts w:asciiTheme="minorHAnsi" w:hAnsiTheme="minorHAnsi" w:cstheme="minorHAnsi"/>
                <w:sz w:val="18"/>
                <w:szCs w:val="18"/>
              </w:rPr>
              <w:t>: vitamin E, vitamin K, vitamin C, niacin, thiamin, riboflavin, vitamin B6, folate, pantothenic acid, vitamin B12, biotin, calcium, phosphorus, magnesium, iron, copper, zinc, mang</w:t>
            </w:r>
            <w:r>
              <w:rPr>
                <w:rFonts w:asciiTheme="minorHAnsi" w:hAnsiTheme="minorHAnsi" w:cstheme="minorHAnsi"/>
                <w:sz w:val="18"/>
                <w:szCs w:val="18"/>
              </w:rPr>
              <w:t>anese, chromium, and molybdenum.</w:t>
            </w:r>
          </w:p>
        </w:tc>
      </w:tr>
      <w:tr w:rsidR="00F46AB9" w:rsidRPr="008C25D1" w14:paraId="1A7DC43B" w14:textId="77777777" w:rsidTr="00BC5468">
        <w:trPr>
          <w:cnfStyle w:val="000000100000" w:firstRow="0" w:lastRow="0" w:firstColumn="0" w:lastColumn="0" w:oddVBand="0" w:evenVBand="0" w:oddHBand="1" w:evenHBand="0" w:firstRowFirstColumn="0" w:firstRowLastColumn="0" w:lastRowFirstColumn="0" w:lastRowLastColumn="0"/>
          <w:cantSplit/>
          <w:trHeight w:val="340"/>
        </w:trPr>
        <w:tc>
          <w:tcPr>
            <w:cnfStyle w:val="001000000000" w:firstRow="0" w:lastRow="0" w:firstColumn="1" w:lastColumn="0" w:oddVBand="0" w:evenVBand="0" w:oddHBand="0" w:evenHBand="0" w:firstRowFirstColumn="0" w:firstRowLastColumn="0" w:lastRowFirstColumn="0" w:lastRowLastColumn="0"/>
            <w:tcW w:w="13987" w:type="dxa"/>
            <w:gridSpan w:val="5"/>
            <w:shd w:val="clear" w:color="auto" w:fill="F2F2F2" w:themeFill="background1" w:themeFillShade="F2"/>
            <w:vAlign w:val="center"/>
          </w:tcPr>
          <w:p w14:paraId="66CE7C27" w14:textId="77777777" w:rsidR="00F46AB9" w:rsidRPr="009E5947" w:rsidRDefault="00F46AB9" w:rsidP="00BC5468">
            <w:pPr>
              <w:rPr>
                <w:rFonts w:asciiTheme="minorHAnsi" w:hAnsiTheme="minorHAnsi" w:cstheme="minorHAnsi"/>
                <w:bCs w:val="0"/>
                <w:i/>
                <w:sz w:val="18"/>
                <w:szCs w:val="18"/>
              </w:rPr>
            </w:pPr>
            <w:r w:rsidRPr="009E5947">
              <w:rPr>
                <w:rFonts w:asciiTheme="minorHAnsi" w:hAnsiTheme="minorHAnsi" w:cstheme="minorHAnsi"/>
                <w:bCs w:val="0"/>
                <w:i/>
                <w:szCs w:val="18"/>
              </w:rPr>
              <w:t>VITAMIN DIETARY EQUIVALENTS AND CONVERSION FACTORS</w:t>
            </w:r>
          </w:p>
        </w:tc>
      </w:tr>
      <w:tr w:rsidR="00F46AB9" w:rsidRPr="008C25D1" w14:paraId="7CFB520E" w14:textId="77777777" w:rsidTr="00E62112">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74" w:type="dxa"/>
            <w:vMerge w:val="restart"/>
            <w:tcBorders>
              <w:right w:val="single" w:sz="4" w:space="0" w:color="auto"/>
            </w:tcBorders>
            <w:vAlign w:val="center"/>
          </w:tcPr>
          <w:p w14:paraId="65DDB9AA" w14:textId="77777777" w:rsidR="00F46AB9" w:rsidRPr="009E5947" w:rsidRDefault="00F46AB9" w:rsidP="00BC5468">
            <w:pPr>
              <w:keepNext/>
              <w:keepLines/>
              <w:rPr>
                <w:rFonts w:asciiTheme="minorHAnsi" w:eastAsia="Calibri" w:hAnsiTheme="minorHAnsi" w:cstheme="minorHAnsi"/>
                <w:bCs w:val="0"/>
                <w:i/>
                <w:sz w:val="18"/>
                <w:szCs w:val="18"/>
              </w:rPr>
            </w:pPr>
            <w:r w:rsidRPr="009E5947">
              <w:rPr>
                <w:rFonts w:asciiTheme="minorHAnsi" w:eastAsia="Calibri" w:hAnsiTheme="minorHAnsi" w:cstheme="minorHAnsi"/>
                <w:bCs w:val="0"/>
                <w:i/>
                <w:sz w:val="18"/>
                <w:szCs w:val="18"/>
              </w:rPr>
              <w:t>7.2.1</w:t>
            </w:r>
          </w:p>
        </w:tc>
        <w:tc>
          <w:tcPr>
            <w:tcW w:w="2515" w:type="dxa"/>
            <w:tcBorders>
              <w:left w:val="none" w:sz="0" w:space="0" w:color="auto"/>
              <w:right w:val="single" w:sz="4" w:space="0" w:color="auto"/>
            </w:tcBorders>
            <w:shd w:val="clear" w:color="auto" w:fill="EAF1DD" w:themeFill="accent3" w:themeFillTint="33"/>
          </w:tcPr>
          <w:p w14:paraId="06288B5F" w14:textId="77777777" w:rsidR="00F46AB9" w:rsidRPr="008C25D1" w:rsidRDefault="00F46AB9" w:rsidP="00BC5468">
            <w:pPr>
              <w:keepNext/>
              <w:keepLines/>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theme="minorHAnsi"/>
                <w:bCs/>
                <w:sz w:val="18"/>
                <w:szCs w:val="18"/>
              </w:rPr>
            </w:pPr>
            <w:r w:rsidRPr="008C25D1">
              <w:rPr>
                <w:rFonts w:asciiTheme="minorHAnsi" w:eastAsia="Calibri" w:hAnsiTheme="minorHAnsi" w:cstheme="minorHAnsi"/>
                <w:bCs/>
                <w:sz w:val="18"/>
                <w:szCs w:val="18"/>
              </w:rPr>
              <w:t xml:space="preserve">Including β-carotene in total vitamin A content </w:t>
            </w:r>
          </w:p>
        </w:tc>
        <w:tc>
          <w:tcPr>
            <w:tcW w:w="1290" w:type="dxa"/>
            <w:tcBorders>
              <w:left w:val="none" w:sz="0" w:space="0" w:color="auto"/>
              <w:right w:val="single" w:sz="4" w:space="0" w:color="auto"/>
            </w:tcBorders>
            <w:shd w:val="clear" w:color="auto" w:fill="EAF1DD" w:themeFill="accent3" w:themeFillTint="33"/>
          </w:tcPr>
          <w:p w14:paraId="5C778278" w14:textId="77777777" w:rsidR="00F46AB9" w:rsidRPr="008C25D1" w:rsidRDefault="00F46AB9" w:rsidP="00BC5468">
            <w:pPr>
              <w:keepNext/>
              <w:keepLines/>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8C25D1">
              <w:rPr>
                <w:rFonts w:asciiTheme="minorHAnsi" w:hAnsiTheme="minorHAnsi" w:cstheme="minorHAnsi"/>
                <w:sz w:val="18"/>
                <w:szCs w:val="18"/>
              </w:rPr>
              <w:t>7</w:t>
            </w:r>
          </w:p>
          <w:p w14:paraId="6FD50FF4" w14:textId="77777777" w:rsidR="00F46AB9" w:rsidRPr="008C25D1" w:rsidRDefault="00F46AB9" w:rsidP="00BC5468">
            <w:pPr>
              <w:keepNext/>
              <w:keepLines/>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8C25D1">
              <w:rPr>
                <w:rFonts w:asciiTheme="minorHAnsi" w:hAnsiTheme="minorHAnsi" w:cstheme="minorHAnsi"/>
                <w:sz w:val="18"/>
                <w:szCs w:val="18"/>
              </w:rPr>
              <w:t>(5I, 2G)</w:t>
            </w:r>
          </w:p>
        </w:tc>
        <w:tc>
          <w:tcPr>
            <w:tcW w:w="4525" w:type="dxa"/>
            <w:tcBorders>
              <w:left w:val="single" w:sz="4" w:space="0" w:color="auto"/>
              <w:bottom w:val="single" w:sz="4" w:space="0" w:color="auto"/>
              <w:right w:val="single" w:sz="4" w:space="0" w:color="auto"/>
            </w:tcBorders>
            <w:shd w:val="clear" w:color="auto" w:fill="EAF1DD" w:themeFill="accent3" w:themeFillTint="33"/>
          </w:tcPr>
          <w:p w14:paraId="5BD20617" w14:textId="77777777" w:rsidR="00F46AB9" w:rsidRPr="008C25D1" w:rsidRDefault="00F46AB9" w:rsidP="00BC5468">
            <w:pPr>
              <w:keepNext/>
              <w:keepLines/>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8C25D1">
              <w:rPr>
                <w:rFonts w:asciiTheme="minorHAnsi" w:hAnsiTheme="minorHAnsi" w:cstheme="minorHAnsi"/>
                <w:sz w:val="18"/>
                <w:szCs w:val="18"/>
              </w:rPr>
              <w:t xml:space="preserve">All supported excluding </w:t>
            </w:r>
            <w:r w:rsidRPr="008C25D1">
              <w:rPr>
                <w:rFonts w:asciiTheme="minorHAnsi" w:hAnsiTheme="minorHAnsi" w:cstheme="minorHAnsi"/>
                <w:bCs/>
                <w:sz w:val="18"/>
                <w:szCs w:val="18"/>
              </w:rPr>
              <w:t>β-carotene from vitamin A content based on uncertainty around its bioavailability and to align with international regulations.</w:t>
            </w:r>
          </w:p>
        </w:tc>
        <w:tc>
          <w:tcPr>
            <w:tcW w:w="4783" w:type="dxa"/>
            <w:tcBorders>
              <w:left w:val="single" w:sz="4" w:space="0" w:color="auto"/>
              <w:bottom w:val="single" w:sz="4" w:space="0" w:color="auto"/>
            </w:tcBorders>
            <w:shd w:val="clear" w:color="auto" w:fill="EAF1DD" w:themeFill="accent3" w:themeFillTint="33"/>
          </w:tcPr>
          <w:p w14:paraId="23408356" w14:textId="77777777" w:rsidR="00F46AB9" w:rsidRPr="008C25D1" w:rsidRDefault="00F46AB9" w:rsidP="00BC5468">
            <w:pPr>
              <w:keepNext/>
              <w:keepLines/>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8C25D1">
              <w:rPr>
                <w:rFonts w:asciiTheme="minorHAnsi" w:hAnsiTheme="minorHAnsi" w:cstheme="minorHAnsi"/>
                <w:sz w:val="18"/>
                <w:szCs w:val="18"/>
              </w:rPr>
              <w:t xml:space="preserve">FSANZ proposes to exclude </w:t>
            </w:r>
            <w:r w:rsidRPr="008C25D1">
              <w:rPr>
                <w:rFonts w:asciiTheme="minorHAnsi" w:hAnsiTheme="minorHAnsi" w:cstheme="minorHAnsi"/>
                <w:bCs/>
                <w:sz w:val="18"/>
                <w:szCs w:val="18"/>
              </w:rPr>
              <w:t>β</w:t>
            </w:r>
            <w:r w:rsidRPr="008C25D1">
              <w:rPr>
                <w:rFonts w:asciiTheme="minorHAnsi" w:hAnsiTheme="minorHAnsi" w:cstheme="minorHAnsi"/>
                <w:sz w:val="18"/>
                <w:szCs w:val="18"/>
              </w:rPr>
              <w:t>-carotene from the vitamin A calculation</w:t>
            </w:r>
            <w:r>
              <w:rPr>
                <w:rFonts w:asciiTheme="minorHAnsi" w:hAnsiTheme="minorHAnsi" w:cstheme="minorHAnsi"/>
                <w:sz w:val="18"/>
                <w:szCs w:val="18"/>
              </w:rPr>
              <w:t>.</w:t>
            </w:r>
          </w:p>
        </w:tc>
      </w:tr>
      <w:tr w:rsidR="00F46AB9" w:rsidRPr="008C25D1" w14:paraId="6EBF942F" w14:textId="77777777" w:rsidTr="00E6211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74" w:type="dxa"/>
            <w:vMerge/>
            <w:tcBorders>
              <w:right w:val="single" w:sz="4" w:space="0" w:color="auto"/>
            </w:tcBorders>
            <w:vAlign w:val="center"/>
          </w:tcPr>
          <w:p w14:paraId="5087DECB" w14:textId="77777777" w:rsidR="00F46AB9" w:rsidRPr="009E5947" w:rsidRDefault="00F46AB9" w:rsidP="00BC5468">
            <w:pPr>
              <w:rPr>
                <w:rFonts w:asciiTheme="minorHAnsi" w:hAnsiTheme="minorHAnsi" w:cstheme="minorHAnsi"/>
                <w:bCs w:val="0"/>
                <w:i/>
                <w:sz w:val="18"/>
                <w:szCs w:val="18"/>
              </w:rPr>
            </w:pPr>
          </w:p>
        </w:tc>
        <w:tc>
          <w:tcPr>
            <w:tcW w:w="2515" w:type="dxa"/>
            <w:tcBorders>
              <w:left w:val="none" w:sz="0" w:space="0" w:color="auto"/>
              <w:right w:val="single" w:sz="4" w:space="0" w:color="auto"/>
            </w:tcBorders>
            <w:shd w:val="clear" w:color="auto" w:fill="FFFFFF" w:themeFill="background1"/>
          </w:tcPr>
          <w:p w14:paraId="077AE765" w14:textId="77777777" w:rsidR="00F46AB9" w:rsidRPr="008C25D1" w:rsidRDefault="00F46AB9" w:rsidP="00BC546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18"/>
                <w:szCs w:val="18"/>
              </w:rPr>
            </w:pPr>
            <w:r w:rsidRPr="008C25D1">
              <w:rPr>
                <w:rFonts w:asciiTheme="minorHAnsi" w:hAnsiTheme="minorHAnsi" w:cstheme="minorHAnsi"/>
                <w:bCs/>
                <w:sz w:val="18"/>
                <w:szCs w:val="18"/>
              </w:rPr>
              <w:t>Units of expression</w:t>
            </w:r>
            <w:r>
              <w:rPr>
                <w:rFonts w:asciiTheme="minorHAnsi" w:hAnsiTheme="minorHAnsi" w:cstheme="minorHAnsi"/>
                <w:bCs/>
                <w:sz w:val="18"/>
                <w:szCs w:val="18"/>
              </w:rPr>
              <w:t>: vitamin A</w:t>
            </w:r>
          </w:p>
        </w:tc>
        <w:tc>
          <w:tcPr>
            <w:tcW w:w="1290" w:type="dxa"/>
            <w:tcBorders>
              <w:left w:val="none" w:sz="0" w:space="0" w:color="auto"/>
              <w:right w:val="single" w:sz="4" w:space="0" w:color="auto"/>
            </w:tcBorders>
            <w:shd w:val="clear" w:color="auto" w:fill="FFFFFF" w:themeFill="background1"/>
          </w:tcPr>
          <w:p w14:paraId="110BB269" w14:textId="77777777" w:rsidR="00F46AB9" w:rsidRPr="008C25D1" w:rsidRDefault="00F46AB9" w:rsidP="00BC5468">
            <w:pPr>
              <w:ind w:left="113" w:hanging="113"/>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8C25D1">
              <w:rPr>
                <w:rFonts w:asciiTheme="minorHAnsi" w:hAnsiTheme="minorHAnsi" w:cstheme="minorHAnsi"/>
                <w:sz w:val="18"/>
                <w:szCs w:val="18"/>
              </w:rPr>
              <w:t>3</w:t>
            </w:r>
          </w:p>
          <w:p w14:paraId="08C819C6" w14:textId="77777777" w:rsidR="00F46AB9" w:rsidRPr="008C25D1" w:rsidRDefault="00F46AB9" w:rsidP="00BC5468">
            <w:pPr>
              <w:ind w:left="113" w:hanging="113"/>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8C25D1">
              <w:rPr>
                <w:rFonts w:asciiTheme="minorHAnsi" w:hAnsiTheme="minorHAnsi" w:cstheme="minorHAnsi"/>
                <w:sz w:val="18"/>
                <w:szCs w:val="18"/>
              </w:rPr>
              <w:t>(3I)</w:t>
            </w:r>
          </w:p>
        </w:tc>
        <w:tc>
          <w:tcPr>
            <w:tcW w:w="4525" w:type="dxa"/>
            <w:tcBorders>
              <w:left w:val="single" w:sz="4" w:space="0" w:color="auto"/>
              <w:right w:val="single" w:sz="4" w:space="0" w:color="auto"/>
            </w:tcBorders>
            <w:shd w:val="clear" w:color="auto" w:fill="FFFFFF" w:themeFill="background1"/>
          </w:tcPr>
          <w:p w14:paraId="7F917A2C" w14:textId="77777777" w:rsidR="00F46AB9" w:rsidRPr="008C25D1" w:rsidRDefault="00F46AB9" w:rsidP="00BC5468">
            <w:pPr>
              <w:keepNext/>
              <w:keepLine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8C25D1">
              <w:rPr>
                <w:rFonts w:asciiTheme="minorHAnsi" w:hAnsiTheme="minorHAnsi" w:cstheme="minorHAnsi"/>
                <w:bCs/>
                <w:sz w:val="18"/>
                <w:szCs w:val="18"/>
              </w:rPr>
              <w:t>All supported the using µg of RE to clarify the units of expression for vitamin A content and to align with Codex STAN 72-1981</w:t>
            </w:r>
            <w:r w:rsidRPr="008C25D1">
              <w:rPr>
                <w:rFonts w:asciiTheme="minorHAnsi" w:hAnsiTheme="minorHAnsi" w:cstheme="minorHAnsi"/>
                <w:sz w:val="18"/>
                <w:szCs w:val="18"/>
              </w:rPr>
              <w:t xml:space="preserve"> </w:t>
            </w:r>
            <w:r>
              <w:rPr>
                <w:rFonts w:asciiTheme="minorHAnsi" w:hAnsiTheme="minorHAnsi" w:cstheme="minorHAnsi"/>
                <w:sz w:val="18"/>
                <w:szCs w:val="18"/>
              </w:rPr>
              <w:t>.</w:t>
            </w:r>
          </w:p>
        </w:tc>
        <w:tc>
          <w:tcPr>
            <w:tcW w:w="4783" w:type="dxa"/>
            <w:tcBorders>
              <w:left w:val="single" w:sz="4" w:space="0" w:color="auto"/>
            </w:tcBorders>
            <w:shd w:val="clear" w:color="auto" w:fill="FFFFFF" w:themeFill="background1"/>
          </w:tcPr>
          <w:p w14:paraId="0B08E180" w14:textId="77777777" w:rsidR="00F46AB9" w:rsidRPr="008C25D1" w:rsidRDefault="00F46AB9" w:rsidP="00BC546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18"/>
                <w:szCs w:val="18"/>
              </w:rPr>
            </w:pPr>
            <w:r w:rsidRPr="008C25D1">
              <w:rPr>
                <w:rFonts w:asciiTheme="minorHAnsi" w:hAnsiTheme="minorHAnsi" w:cstheme="minorHAnsi"/>
                <w:bCs/>
                <w:sz w:val="18"/>
                <w:szCs w:val="18"/>
              </w:rPr>
              <w:t xml:space="preserve">FSANZ proposes to express vitamin A requirements as </w:t>
            </w:r>
            <w:r w:rsidRPr="008C25D1">
              <w:rPr>
                <w:rFonts w:asciiTheme="minorHAnsi" w:hAnsiTheme="minorHAnsi" w:cstheme="minorHAnsi"/>
                <w:bCs/>
                <w:sz w:val="18"/>
                <w:szCs w:val="18"/>
                <w:lang w:val="en-NZ"/>
              </w:rPr>
              <w:t xml:space="preserve">μg </w:t>
            </w:r>
            <w:r w:rsidRPr="008C25D1">
              <w:rPr>
                <w:rFonts w:asciiTheme="minorHAnsi" w:hAnsiTheme="minorHAnsi" w:cstheme="minorHAnsi"/>
                <w:bCs/>
                <w:sz w:val="18"/>
                <w:szCs w:val="18"/>
              </w:rPr>
              <w:t>RE/100 kJ.</w:t>
            </w:r>
          </w:p>
        </w:tc>
      </w:tr>
      <w:tr w:rsidR="00F46AB9" w:rsidRPr="008C25D1" w14:paraId="1B14242D" w14:textId="77777777" w:rsidTr="00E62112">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74" w:type="dxa"/>
            <w:vMerge w:val="restart"/>
            <w:tcBorders>
              <w:right w:val="single" w:sz="4" w:space="0" w:color="auto"/>
            </w:tcBorders>
            <w:shd w:val="clear" w:color="auto" w:fill="FFFFFF" w:themeFill="background1"/>
            <w:vAlign w:val="center"/>
          </w:tcPr>
          <w:p w14:paraId="46A4C11D" w14:textId="77777777" w:rsidR="00F46AB9" w:rsidRPr="009E5947" w:rsidRDefault="00F46AB9" w:rsidP="00BC5468">
            <w:pPr>
              <w:rPr>
                <w:rFonts w:asciiTheme="minorHAnsi" w:hAnsiTheme="minorHAnsi" w:cstheme="minorHAnsi"/>
                <w:i/>
                <w:sz w:val="18"/>
                <w:szCs w:val="18"/>
              </w:rPr>
            </w:pPr>
            <w:r w:rsidRPr="009E5947">
              <w:rPr>
                <w:rFonts w:asciiTheme="minorHAnsi" w:hAnsiTheme="minorHAnsi" w:cstheme="minorHAnsi"/>
                <w:bCs w:val="0"/>
                <w:i/>
                <w:sz w:val="18"/>
                <w:szCs w:val="18"/>
              </w:rPr>
              <w:t>7.2.2</w:t>
            </w:r>
          </w:p>
          <w:p w14:paraId="3991610F" w14:textId="77777777" w:rsidR="00F46AB9" w:rsidRPr="009E5947" w:rsidRDefault="00F46AB9" w:rsidP="00BC5468">
            <w:pPr>
              <w:rPr>
                <w:rFonts w:asciiTheme="minorHAnsi" w:hAnsiTheme="minorHAnsi" w:cstheme="minorHAnsi"/>
                <w:bCs w:val="0"/>
                <w:i/>
                <w:sz w:val="18"/>
                <w:szCs w:val="18"/>
              </w:rPr>
            </w:pPr>
          </w:p>
        </w:tc>
        <w:tc>
          <w:tcPr>
            <w:tcW w:w="2515" w:type="dxa"/>
            <w:tcBorders>
              <w:left w:val="none" w:sz="0" w:space="0" w:color="auto"/>
              <w:right w:val="single" w:sz="4" w:space="0" w:color="auto"/>
            </w:tcBorders>
            <w:shd w:val="clear" w:color="auto" w:fill="EAF1DD" w:themeFill="accent3" w:themeFillTint="33"/>
          </w:tcPr>
          <w:p w14:paraId="19454907" w14:textId="77777777" w:rsidR="00F46AB9" w:rsidRPr="008C25D1" w:rsidRDefault="00F46AB9" w:rsidP="00BC5468">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Cs/>
                <w:sz w:val="18"/>
                <w:szCs w:val="18"/>
              </w:rPr>
            </w:pPr>
            <w:r w:rsidRPr="008C25D1">
              <w:rPr>
                <w:rFonts w:asciiTheme="minorHAnsi" w:hAnsiTheme="minorHAnsi" w:cstheme="minorHAnsi"/>
                <w:bCs/>
                <w:sz w:val="18"/>
                <w:szCs w:val="18"/>
              </w:rPr>
              <w:t>Use of Dietary Folate Equivalents (DFE) to express folic acid amounts</w:t>
            </w:r>
          </w:p>
        </w:tc>
        <w:tc>
          <w:tcPr>
            <w:tcW w:w="1290" w:type="dxa"/>
            <w:tcBorders>
              <w:left w:val="none" w:sz="0" w:space="0" w:color="auto"/>
              <w:right w:val="single" w:sz="4" w:space="0" w:color="auto"/>
            </w:tcBorders>
            <w:shd w:val="clear" w:color="auto" w:fill="EAF1DD" w:themeFill="accent3" w:themeFillTint="33"/>
          </w:tcPr>
          <w:p w14:paraId="120F5D73" w14:textId="77777777" w:rsidR="00F46AB9" w:rsidRPr="008C25D1" w:rsidRDefault="00F46AB9" w:rsidP="00BC5468">
            <w:pPr>
              <w:ind w:left="113" w:hanging="113"/>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8C25D1">
              <w:rPr>
                <w:rFonts w:asciiTheme="minorHAnsi" w:hAnsiTheme="minorHAnsi" w:cstheme="minorHAnsi"/>
                <w:sz w:val="18"/>
                <w:szCs w:val="18"/>
              </w:rPr>
              <w:t>11</w:t>
            </w:r>
          </w:p>
          <w:p w14:paraId="7280B853" w14:textId="77777777" w:rsidR="00F46AB9" w:rsidRPr="008C25D1" w:rsidRDefault="00F46AB9" w:rsidP="00BC5468">
            <w:pPr>
              <w:ind w:left="113" w:hanging="113"/>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8C25D1">
              <w:rPr>
                <w:rFonts w:asciiTheme="minorHAnsi" w:hAnsiTheme="minorHAnsi" w:cstheme="minorHAnsi"/>
                <w:sz w:val="18"/>
                <w:szCs w:val="18"/>
              </w:rPr>
              <w:t>(7I, 4G)</w:t>
            </w:r>
          </w:p>
        </w:tc>
        <w:tc>
          <w:tcPr>
            <w:tcW w:w="4525" w:type="dxa"/>
            <w:tcBorders>
              <w:left w:val="single" w:sz="4" w:space="0" w:color="auto"/>
              <w:bottom w:val="single" w:sz="4" w:space="0" w:color="auto"/>
              <w:right w:val="single" w:sz="4" w:space="0" w:color="auto"/>
            </w:tcBorders>
            <w:shd w:val="clear" w:color="auto" w:fill="EAF1DD" w:themeFill="accent3" w:themeFillTint="33"/>
          </w:tcPr>
          <w:p w14:paraId="4F2C4728" w14:textId="77777777" w:rsidR="00F46AB9" w:rsidRPr="008C25D1" w:rsidRDefault="00F46AB9" w:rsidP="00BC5468">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8C25D1">
              <w:rPr>
                <w:rFonts w:asciiTheme="minorHAnsi" w:hAnsiTheme="minorHAnsi" w:cstheme="minorHAnsi"/>
                <w:sz w:val="18"/>
                <w:szCs w:val="18"/>
              </w:rPr>
              <w:t xml:space="preserve">Industry submitters and one government submitter did not support use of DFE as this would not align with Codex STAN 72-1981. Three government submitters supported the application of DFE referring to EFSA’s opinion (2014) and updated EU regulations.  </w:t>
            </w:r>
          </w:p>
        </w:tc>
        <w:tc>
          <w:tcPr>
            <w:tcW w:w="4783" w:type="dxa"/>
            <w:tcBorders>
              <w:left w:val="single" w:sz="4" w:space="0" w:color="auto"/>
              <w:bottom w:val="single" w:sz="4" w:space="0" w:color="auto"/>
            </w:tcBorders>
            <w:shd w:val="clear" w:color="auto" w:fill="EAF1DD" w:themeFill="accent3" w:themeFillTint="33"/>
          </w:tcPr>
          <w:p w14:paraId="70B29EDF" w14:textId="77777777" w:rsidR="00F46AB9" w:rsidRPr="008C25D1" w:rsidRDefault="00F46AB9" w:rsidP="00BC5468">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8C25D1">
              <w:rPr>
                <w:rFonts w:asciiTheme="minorHAnsi" w:hAnsiTheme="minorHAnsi" w:cstheme="minorHAnsi"/>
                <w:sz w:val="18"/>
                <w:szCs w:val="18"/>
              </w:rPr>
              <w:t>FSANZ proposes to express the requirements for folic acid/folate as µg folic acid/100 kJ. The contribution of folate from ingredients (naturally occurring folate) will not be included in the permitted range for this vitamin, in turn there is no need for using DFE as units of expression in folic acid amounts.</w:t>
            </w:r>
          </w:p>
          <w:p w14:paraId="0F85CCF2" w14:textId="77777777" w:rsidR="00F46AB9" w:rsidRPr="008C25D1" w:rsidRDefault="00F46AB9" w:rsidP="00BC5468">
            <w:pPr>
              <w:keepNext/>
              <w:keepLines/>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p>
        </w:tc>
      </w:tr>
      <w:tr w:rsidR="00F46AB9" w:rsidRPr="008C25D1" w14:paraId="2EE9C6C1" w14:textId="77777777" w:rsidTr="00E6211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74" w:type="dxa"/>
            <w:vMerge/>
            <w:tcBorders>
              <w:right w:val="single" w:sz="4" w:space="0" w:color="auto"/>
            </w:tcBorders>
            <w:shd w:val="clear" w:color="auto" w:fill="FFFFFF" w:themeFill="background1"/>
            <w:vAlign w:val="center"/>
          </w:tcPr>
          <w:p w14:paraId="6EBC9807" w14:textId="77777777" w:rsidR="00F46AB9" w:rsidRPr="009E5947" w:rsidRDefault="00F46AB9" w:rsidP="00BC5468">
            <w:pPr>
              <w:rPr>
                <w:rFonts w:asciiTheme="minorHAnsi" w:hAnsiTheme="minorHAnsi" w:cstheme="minorHAnsi"/>
                <w:bCs w:val="0"/>
                <w:i/>
                <w:sz w:val="18"/>
                <w:szCs w:val="18"/>
              </w:rPr>
            </w:pPr>
          </w:p>
        </w:tc>
        <w:tc>
          <w:tcPr>
            <w:tcW w:w="2515" w:type="dxa"/>
            <w:tcBorders>
              <w:left w:val="none" w:sz="0" w:space="0" w:color="auto"/>
              <w:right w:val="single" w:sz="4" w:space="0" w:color="auto"/>
            </w:tcBorders>
            <w:shd w:val="clear" w:color="auto" w:fill="FFFFFF" w:themeFill="background1"/>
          </w:tcPr>
          <w:p w14:paraId="542141E6" w14:textId="06D624EC" w:rsidR="00F46AB9" w:rsidRPr="008C25D1" w:rsidRDefault="00F46AB9" w:rsidP="003E1F8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18"/>
                <w:szCs w:val="18"/>
              </w:rPr>
            </w:pPr>
            <w:r w:rsidRPr="008C25D1">
              <w:rPr>
                <w:rFonts w:asciiTheme="minorHAnsi" w:hAnsiTheme="minorHAnsi" w:cstheme="minorHAnsi"/>
                <w:bCs/>
                <w:sz w:val="18"/>
                <w:szCs w:val="18"/>
              </w:rPr>
              <w:t xml:space="preserve">Including folate </w:t>
            </w:r>
            <w:r>
              <w:rPr>
                <w:rFonts w:asciiTheme="minorHAnsi" w:hAnsiTheme="minorHAnsi" w:cstheme="minorHAnsi"/>
                <w:bCs/>
                <w:sz w:val="18"/>
                <w:szCs w:val="18"/>
              </w:rPr>
              <w:t>from ingredients (such as cow</w:t>
            </w:r>
            <w:r w:rsidR="003E1F85">
              <w:rPr>
                <w:rFonts w:asciiTheme="minorHAnsi" w:hAnsiTheme="minorHAnsi" w:cstheme="minorHAnsi"/>
                <w:bCs/>
                <w:sz w:val="18"/>
                <w:szCs w:val="18"/>
              </w:rPr>
              <w:t>’</w:t>
            </w:r>
            <w:r>
              <w:rPr>
                <w:rFonts w:asciiTheme="minorHAnsi" w:hAnsiTheme="minorHAnsi" w:cstheme="minorHAnsi"/>
                <w:bCs/>
                <w:sz w:val="18"/>
                <w:szCs w:val="18"/>
              </w:rPr>
              <w:t xml:space="preserve">s </w:t>
            </w:r>
            <w:r w:rsidRPr="008C25D1">
              <w:rPr>
                <w:rFonts w:asciiTheme="minorHAnsi" w:hAnsiTheme="minorHAnsi" w:cstheme="minorHAnsi"/>
                <w:bCs/>
                <w:sz w:val="18"/>
                <w:szCs w:val="18"/>
              </w:rPr>
              <w:t>milk) to the total folic/folate amount</w:t>
            </w:r>
          </w:p>
        </w:tc>
        <w:tc>
          <w:tcPr>
            <w:tcW w:w="1290" w:type="dxa"/>
            <w:tcBorders>
              <w:left w:val="none" w:sz="0" w:space="0" w:color="auto"/>
              <w:right w:val="single" w:sz="4" w:space="0" w:color="auto"/>
            </w:tcBorders>
            <w:shd w:val="clear" w:color="auto" w:fill="FFFFFF" w:themeFill="background1"/>
          </w:tcPr>
          <w:p w14:paraId="1AE9EA0D" w14:textId="77777777" w:rsidR="00F46AB9" w:rsidRPr="008C25D1" w:rsidRDefault="00F46AB9" w:rsidP="00BC5468">
            <w:pPr>
              <w:ind w:left="113" w:hanging="113"/>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8C25D1">
              <w:rPr>
                <w:rFonts w:asciiTheme="minorHAnsi" w:hAnsiTheme="minorHAnsi" w:cstheme="minorHAnsi"/>
                <w:sz w:val="18"/>
                <w:szCs w:val="18"/>
              </w:rPr>
              <w:t>10</w:t>
            </w:r>
          </w:p>
          <w:p w14:paraId="1AC4B1DE" w14:textId="77777777" w:rsidR="00F46AB9" w:rsidRPr="008C25D1" w:rsidRDefault="00F46AB9" w:rsidP="00BC5468">
            <w:pPr>
              <w:ind w:left="113" w:hanging="113"/>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8C25D1">
              <w:rPr>
                <w:rFonts w:asciiTheme="minorHAnsi" w:hAnsiTheme="minorHAnsi" w:cstheme="minorHAnsi"/>
                <w:sz w:val="18"/>
                <w:szCs w:val="18"/>
              </w:rPr>
              <w:t>(7I, 3G)</w:t>
            </w:r>
          </w:p>
        </w:tc>
        <w:tc>
          <w:tcPr>
            <w:tcW w:w="4525" w:type="dxa"/>
            <w:tcBorders>
              <w:left w:val="single" w:sz="4" w:space="0" w:color="auto"/>
              <w:right w:val="single" w:sz="4" w:space="0" w:color="auto"/>
            </w:tcBorders>
            <w:shd w:val="clear" w:color="auto" w:fill="FFFFFF" w:themeFill="background1"/>
          </w:tcPr>
          <w:p w14:paraId="06E84D85" w14:textId="77777777" w:rsidR="00F46AB9" w:rsidRPr="008C25D1" w:rsidRDefault="00F46AB9" w:rsidP="00BC5468">
            <w:pPr>
              <w:keepNext/>
              <w:keepLine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8C25D1">
              <w:rPr>
                <w:rFonts w:asciiTheme="minorHAnsi" w:hAnsiTheme="minorHAnsi" w:cstheme="minorHAnsi"/>
                <w:sz w:val="18"/>
                <w:szCs w:val="18"/>
              </w:rPr>
              <w:t xml:space="preserve">Two government submitters considered that folate should be included citing the evidence reported in 2010 by MacLean. The remaining submitters supported exclusion of naturally occurring folate from the total folic/folate amounts as there are no straightforward and reliable methods to quantify both forms. The amount of </w:t>
            </w:r>
            <w:r>
              <w:rPr>
                <w:rFonts w:asciiTheme="minorHAnsi" w:hAnsiTheme="minorHAnsi" w:cstheme="minorHAnsi"/>
                <w:sz w:val="18"/>
                <w:szCs w:val="18"/>
              </w:rPr>
              <w:t>naturally occurring folate in infant formula</w:t>
            </w:r>
            <w:r w:rsidRPr="008C25D1">
              <w:rPr>
                <w:rFonts w:asciiTheme="minorHAnsi" w:hAnsiTheme="minorHAnsi" w:cstheme="minorHAnsi"/>
                <w:sz w:val="18"/>
                <w:szCs w:val="18"/>
              </w:rPr>
              <w:t xml:space="preserve"> (from ingredients such as cows’ milk) is likely to be minimal. </w:t>
            </w:r>
          </w:p>
        </w:tc>
        <w:tc>
          <w:tcPr>
            <w:tcW w:w="4783" w:type="dxa"/>
            <w:tcBorders>
              <w:left w:val="single" w:sz="4" w:space="0" w:color="auto"/>
            </w:tcBorders>
            <w:shd w:val="clear" w:color="auto" w:fill="FFFFFF" w:themeFill="background1"/>
          </w:tcPr>
          <w:p w14:paraId="18F29FD1" w14:textId="77777777" w:rsidR="00F46AB9" w:rsidRPr="008C25D1" w:rsidRDefault="00F46AB9" w:rsidP="00BC5468">
            <w:pPr>
              <w:keepNext/>
              <w:keepLine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8C25D1">
              <w:rPr>
                <w:rFonts w:asciiTheme="minorHAnsi" w:hAnsiTheme="minorHAnsi" w:cstheme="minorHAnsi"/>
                <w:sz w:val="18"/>
                <w:szCs w:val="18"/>
              </w:rPr>
              <w:t xml:space="preserve">FSANZ proposes to exclude folate from the permitted range for folic acid. Recent studies have shown that folate amounts in infant formula is minimal compared to folic acid that is added. </w:t>
            </w:r>
          </w:p>
        </w:tc>
      </w:tr>
      <w:tr w:rsidR="00F46AB9" w:rsidRPr="008C25D1" w14:paraId="171C8A8D" w14:textId="77777777" w:rsidTr="00E62112">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74" w:type="dxa"/>
            <w:tcBorders>
              <w:right w:val="single" w:sz="4" w:space="0" w:color="auto"/>
            </w:tcBorders>
            <w:shd w:val="clear" w:color="auto" w:fill="EAF1DD" w:themeFill="accent3" w:themeFillTint="33"/>
            <w:vAlign w:val="center"/>
          </w:tcPr>
          <w:p w14:paraId="597AABEF" w14:textId="77777777" w:rsidR="00F46AB9" w:rsidRPr="009E5947" w:rsidRDefault="00F46AB9" w:rsidP="00BC5468">
            <w:pPr>
              <w:rPr>
                <w:rFonts w:asciiTheme="minorHAnsi" w:hAnsiTheme="minorHAnsi" w:cstheme="minorHAnsi"/>
                <w:bCs w:val="0"/>
                <w:i/>
                <w:sz w:val="18"/>
                <w:szCs w:val="18"/>
              </w:rPr>
            </w:pPr>
            <w:r w:rsidRPr="009E5947">
              <w:rPr>
                <w:rFonts w:asciiTheme="minorHAnsi" w:hAnsiTheme="minorHAnsi" w:cstheme="minorHAnsi"/>
                <w:bCs w:val="0"/>
                <w:i/>
                <w:sz w:val="18"/>
                <w:szCs w:val="18"/>
              </w:rPr>
              <w:t>7.2.3</w:t>
            </w:r>
          </w:p>
        </w:tc>
        <w:tc>
          <w:tcPr>
            <w:tcW w:w="2515" w:type="dxa"/>
            <w:tcBorders>
              <w:left w:val="none" w:sz="0" w:space="0" w:color="auto"/>
              <w:right w:val="single" w:sz="4" w:space="0" w:color="auto"/>
            </w:tcBorders>
            <w:shd w:val="clear" w:color="auto" w:fill="EAF1DD" w:themeFill="accent3" w:themeFillTint="33"/>
          </w:tcPr>
          <w:p w14:paraId="5222D726" w14:textId="77777777" w:rsidR="00F46AB9" w:rsidRPr="008C25D1" w:rsidRDefault="00F46AB9" w:rsidP="00BC5468">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Cs/>
                <w:sz w:val="18"/>
                <w:szCs w:val="18"/>
              </w:rPr>
            </w:pPr>
            <w:r w:rsidRPr="008C25D1">
              <w:rPr>
                <w:rFonts w:asciiTheme="minorHAnsi" w:hAnsiTheme="minorHAnsi" w:cstheme="minorHAnsi"/>
                <w:bCs/>
                <w:sz w:val="18"/>
                <w:szCs w:val="18"/>
              </w:rPr>
              <w:t>Adopt mg α-TE/100 kJ as units for vitamin E and whether the Codex STAN 72-1981 equivalence factors for PUFA content should be applied.</w:t>
            </w:r>
          </w:p>
        </w:tc>
        <w:tc>
          <w:tcPr>
            <w:tcW w:w="1290" w:type="dxa"/>
            <w:tcBorders>
              <w:left w:val="none" w:sz="0" w:space="0" w:color="auto"/>
              <w:right w:val="single" w:sz="4" w:space="0" w:color="auto"/>
            </w:tcBorders>
            <w:shd w:val="clear" w:color="auto" w:fill="EAF1DD" w:themeFill="accent3" w:themeFillTint="33"/>
          </w:tcPr>
          <w:p w14:paraId="1DA4B927" w14:textId="77777777" w:rsidR="00F46AB9" w:rsidRPr="008C25D1" w:rsidRDefault="00F46AB9" w:rsidP="00BC5468">
            <w:pPr>
              <w:ind w:left="113" w:hanging="113"/>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8C25D1">
              <w:rPr>
                <w:rFonts w:asciiTheme="minorHAnsi" w:hAnsiTheme="minorHAnsi" w:cstheme="minorHAnsi"/>
                <w:sz w:val="18"/>
                <w:szCs w:val="18"/>
              </w:rPr>
              <w:t>3</w:t>
            </w:r>
          </w:p>
          <w:p w14:paraId="535FD9AB" w14:textId="77777777" w:rsidR="00F46AB9" w:rsidRPr="008C25D1" w:rsidRDefault="00F46AB9" w:rsidP="00BC5468">
            <w:pPr>
              <w:ind w:left="113" w:hanging="113"/>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8C25D1">
              <w:rPr>
                <w:rFonts w:asciiTheme="minorHAnsi" w:hAnsiTheme="minorHAnsi" w:cstheme="minorHAnsi"/>
                <w:sz w:val="18"/>
                <w:szCs w:val="18"/>
              </w:rPr>
              <w:t>(2I, 1G)</w:t>
            </w:r>
          </w:p>
        </w:tc>
        <w:tc>
          <w:tcPr>
            <w:tcW w:w="4525" w:type="dxa"/>
            <w:tcBorders>
              <w:left w:val="single" w:sz="4" w:space="0" w:color="auto"/>
              <w:right w:val="single" w:sz="4" w:space="0" w:color="auto"/>
            </w:tcBorders>
            <w:shd w:val="clear" w:color="auto" w:fill="EAF1DD" w:themeFill="accent3" w:themeFillTint="33"/>
          </w:tcPr>
          <w:p w14:paraId="1F2E606C" w14:textId="77777777" w:rsidR="00F46AB9" w:rsidRPr="008C25D1" w:rsidRDefault="00F46AB9" w:rsidP="00BC5468">
            <w:pPr>
              <w:keepNext/>
              <w:keepLines/>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8C25D1">
              <w:rPr>
                <w:rFonts w:asciiTheme="minorHAnsi" w:hAnsiTheme="minorHAnsi" w:cstheme="minorHAnsi"/>
                <w:sz w:val="18"/>
                <w:szCs w:val="18"/>
              </w:rPr>
              <w:t>All supported FSANZ’s preliminary view to express vitamin E in units of mg α-TE/100 kJ and that the current Standard 2.9.1  requirements relating to the PUFA content is retained.</w:t>
            </w:r>
          </w:p>
        </w:tc>
        <w:tc>
          <w:tcPr>
            <w:tcW w:w="4783" w:type="dxa"/>
            <w:tcBorders>
              <w:left w:val="single" w:sz="4" w:space="0" w:color="auto"/>
            </w:tcBorders>
            <w:shd w:val="clear" w:color="auto" w:fill="EAF1DD" w:themeFill="accent3" w:themeFillTint="33"/>
          </w:tcPr>
          <w:p w14:paraId="5135C6E8" w14:textId="77777777" w:rsidR="00F46AB9" w:rsidRPr="008C25D1" w:rsidRDefault="00F46AB9" w:rsidP="00BC5468">
            <w:pPr>
              <w:keepNext/>
              <w:keepLines/>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8C25D1">
              <w:rPr>
                <w:rFonts w:asciiTheme="minorHAnsi" w:hAnsiTheme="minorHAnsi" w:cstheme="minorHAnsi"/>
                <w:sz w:val="18"/>
                <w:szCs w:val="18"/>
              </w:rPr>
              <w:t xml:space="preserve">FSANZ proposes to adopt units of </w:t>
            </w:r>
            <w:r w:rsidRPr="008C25D1">
              <w:rPr>
                <w:rFonts w:asciiTheme="minorHAnsi" w:hAnsiTheme="minorHAnsi" w:cstheme="minorHAnsi"/>
                <w:bCs/>
                <w:sz w:val="18"/>
                <w:szCs w:val="18"/>
              </w:rPr>
              <w:t>mg α-TE/100 kJ for vitamin E and no change to the current requirements to account for PUFA content.</w:t>
            </w:r>
          </w:p>
        </w:tc>
      </w:tr>
      <w:tr w:rsidR="00F46AB9" w:rsidRPr="008C25D1" w14:paraId="290BC483" w14:textId="77777777" w:rsidTr="00BC5468">
        <w:trPr>
          <w:cnfStyle w:val="000000100000" w:firstRow="0" w:lastRow="0" w:firstColumn="0" w:lastColumn="0" w:oddVBand="0" w:evenVBand="0" w:oddHBand="1" w:evenHBand="0" w:firstRowFirstColumn="0" w:firstRowLastColumn="0" w:lastRowFirstColumn="0" w:lastRowLastColumn="0"/>
          <w:cantSplit/>
          <w:trHeight w:val="340"/>
        </w:trPr>
        <w:tc>
          <w:tcPr>
            <w:cnfStyle w:val="001000000000" w:firstRow="0" w:lastRow="0" w:firstColumn="1" w:lastColumn="0" w:oddVBand="0" w:evenVBand="0" w:oddHBand="0" w:evenHBand="0" w:firstRowFirstColumn="0" w:firstRowLastColumn="0" w:lastRowFirstColumn="0" w:lastRowLastColumn="0"/>
            <w:tcW w:w="13987" w:type="dxa"/>
            <w:gridSpan w:val="5"/>
            <w:shd w:val="clear" w:color="auto" w:fill="F2F2F2" w:themeFill="background1" w:themeFillShade="F2"/>
            <w:vAlign w:val="center"/>
          </w:tcPr>
          <w:p w14:paraId="3CFBF5A6" w14:textId="77777777" w:rsidR="00F46AB9" w:rsidRPr="009E5947" w:rsidRDefault="00F46AB9" w:rsidP="00BC5468">
            <w:pPr>
              <w:rPr>
                <w:rFonts w:asciiTheme="minorHAnsi" w:hAnsiTheme="minorHAnsi" w:cstheme="minorHAnsi"/>
                <w:i/>
                <w:sz w:val="18"/>
                <w:szCs w:val="18"/>
              </w:rPr>
            </w:pPr>
            <w:r w:rsidRPr="009E5947">
              <w:rPr>
                <w:rFonts w:asciiTheme="minorHAnsi" w:hAnsiTheme="minorHAnsi" w:cstheme="minorHAnsi"/>
                <w:bCs w:val="0"/>
                <w:i/>
                <w:szCs w:val="18"/>
              </w:rPr>
              <w:t xml:space="preserve">PERMITTED RANGE FOR MICRONUTRIENTS  </w:t>
            </w:r>
          </w:p>
        </w:tc>
      </w:tr>
      <w:tr w:rsidR="00F46AB9" w:rsidRPr="008C25D1" w14:paraId="001AB21C" w14:textId="77777777" w:rsidTr="00E62112">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74" w:type="dxa"/>
            <w:tcBorders>
              <w:right w:val="single" w:sz="4" w:space="0" w:color="auto"/>
            </w:tcBorders>
            <w:vAlign w:val="center"/>
          </w:tcPr>
          <w:p w14:paraId="437E9BF3" w14:textId="496E6928" w:rsidR="00F46AB9" w:rsidRPr="009E5947" w:rsidRDefault="00F0473D" w:rsidP="00F0473D">
            <w:pPr>
              <w:rPr>
                <w:rFonts w:asciiTheme="minorHAnsi" w:hAnsiTheme="minorHAnsi" w:cstheme="minorHAnsi"/>
                <w:bCs w:val="0"/>
                <w:i/>
                <w:sz w:val="18"/>
                <w:szCs w:val="18"/>
              </w:rPr>
            </w:pPr>
            <w:r>
              <w:rPr>
                <w:rFonts w:asciiTheme="minorHAnsi" w:hAnsiTheme="minorHAnsi" w:cstheme="minorHAnsi"/>
                <w:bCs w:val="0"/>
                <w:i/>
                <w:sz w:val="18"/>
                <w:szCs w:val="18"/>
              </w:rPr>
              <w:lastRenderedPageBreak/>
              <w:t>7.3.1</w:t>
            </w:r>
          </w:p>
        </w:tc>
        <w:tc>
          <w:tcPr>
            <w:tcW w:w="2515" w:type="dxa"/>
            <w:tcBorders>
              <w:left w:val="none" w:sz="0" w:space="0" w:color="auto"/>
              <w:right w:val="single" w:sz="4" w:space="0" w:color="auto"/>
            </w:tcBorders>
          </w:tcPr>
          <w:p w14:paraId="6B318241" w14:textId="77777777" w:rsidR="00F46AB9" w:rsidRPr="008C25D1" w:rsidRDefault="00F46AB9" w:rsidP="00BC5468">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Cs/>
                <w:sz w:val="18"/>
                <w:szCs w:val="18"/>
              </w:rPr>
            </w:pPr>
            <w:r>
              <w:rPr>
                <w:rFonts w:asciiTheme="minorHAnsi" w:hAnsiTheme="minorHAnsi" w:cstheme="minorHAnsi"/>
                <w:bCs/>
                <w:sz w:val="18"/>
                <w:szCs w:val="18"/>
              </w:rPr>
              <w:t xml:space="preserve">Vitamin A: </w:t>
            </w:r>
            <w:r w:rsidRPr="008C25D1">
              <w:rPr>
                <w:rFonts w:asciiTheme="minorHAnsi" w:hAnsiTheme="minorHAnsi" w:cstheme="minorHAnsi"/>
                <w:bCs/>
                <w:sz w:val="18"/>
                <w:szCs w:val="18"/>
              </w:rPr>
              <w:t>Codex STAN 72-1981 and Standard 2.9.1</w:t>
            </w:r>
            <w:r>
              <w:rPr>
                <w:rFonts w:asciiTheme="minorHAnsi" w:hAnsiTheme="minorHAnsi" w:cstheme="minorHAnsi"/>
                <w:bCs/>
                <w:sz w:val="18"/>
                <w:szCs w:val="18"/>
              </w:rPr>
              <w:t xml:space="preserve"> are aligned but conflict with </w:t>
            </w:r>
            <w:r>
              <w:rPr>
                <w:rFonts w:asciiTheme="minorHAnsi" w:hAnsiTheme="minorHAnsi" w:cstheme="minorHAnsi"/>
                <w:sz w:val="18"/>
                <w:szCs w:val="18"/>
                <w:lang w:val="en-AU"/>
              </w:rPr>
              <w:t>EU 2016/127</w:t>
            </w:r>
          </w:p>
        </w:tc>
        <w:tc>
          <w:tcPr>
            <w:tcW w:w="1290" w:type="dxa"/>
            <w:tcBorders>
              <w:left w:val="none" w:sz="0" w:space="0" w:color="auto"/>
              <w:right w:val="single" w:sz="4" w:space="0" w:color="auto"/>
            </w:tcBorders>
          </w:tcPr>
          <w:p w14:paraId="655EF4AB" w14:textId="77777777" w:rsidR="00F46AB9" w:rsidRPr="008C25D1" w:rsidRDefault="00F46AB9" w:rsidP="00BC5468">
            <w:pPr>
              <w:ind w:left="113" w:hanging="113"/>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8C25D1">
              <w:rPr>
                <w:rFonts w:asciiTheme="minorHAnsi" w:hAnsiTheme="minorHAnsi" w:cstheme="minorHAnsi"/>
                <w:sz w:val="18"/>
                <w:szCs w:val="18"/>
              </w:rPr>
              <w:t>2</w:t>
            </w:r>
          </w:p>
          <w:p w14:paraId="06DD241C" w14:textId="77777777" w:rsidR="00F46AB9" w:rsidRPr="008C25D1" w:rsidRDefault="00F46AB9" w:rsidP="00BC5468">
            <w:pPr>
              <w:ind w:left="113" w:hanging="113"/>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8C25D1">
              <w:rPr>
                <w:rFonts w:asciiTheme="minorHAnsi" w:hAnsiTheme="minorHAnsi" w:cstheme="minorHAnsi"/>
                <w:sz w:val="18"/>
                <w:szCs w:val="18"/>
              </w:rPr>
              <w:t>(1I, IG)</w:t>
            </w:r>
          </w:p>
        </w:tc>
        <w:tc>
          <w:tcPr>
            <w:tcW w:w="4525" w:type="dxa"/>
            <w:tcBorders>
              <w:left w:val="single" w:sz="4" w:space="0" w:color="auto"/>
              <w:right w:val="single" w:sz="4" w:space="0" w:color="auto"/>
            </w:tcBorders>
          </w:tcPr>
          <w:p w14:paraId="6CBEED6F" w14:textId="77777777" w:rsidR="00F46AB9" w:rsidRPr="008C25D1" w:rsidRDefault="00F46AB9" w:rsidP="00BC5468">
            <w:pPr>
              <w:keepNext/>
              <w:keepLines/>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8C25D1">
              <w:rPr>
                <w:rFonts w:asciiTheme="minorHAnsi" w:hAnsiTheme="minorHAnsi" w:cstheme="minorHAnsi"/>
                <w:sz w:val="18"/>
                <w:szCs w:val="18"/>
                <w:lang w:val="en-AU"/>
              </w:rPr>
              <w:t xml:space="preserve">The government submitter proposed lowering the maximum to 27.2 µg RE/100 kJ to align with the </w:t>
            </w:r>
            <w:r>
              <w:rPr>
                <w:rFonts w:asciiTheme="minorHAnsi" w:hAnsiTheme="minorHAnsi" w:cstheme="minorHAnsi"/>
                <w:sz w:val="18"/>
                <w:szCs w:val="18"/>
                <w:lang w:val="en-AU"/>
              </w:rPr>
              <w:t>EU 2016/127</w:t>
            </w:r>
            <w:r>
              <w:rPr>
                <w:rFonts w:asciiTheme="minorHAnsi" w:hAnsiTheme="minorHAnsi" w:cstheme="minorHAnsi"/>
                <w:sz w:val="18"/>
                <w:szCs w:val="18"/>
              </w:rPr>
              <w:t xml:space="preserve">. </w:t>
            </w:r>
            <w:r w:rsidRPr="008C25D1">
              <w:rPr>
                <w:rFonts w:asciiTheme="minorHAnsi" w:hAnsiTheme="minorHAnsi" w:cstheme="minorHAnsi"/>
                <w:sz w:val="18"/>
                <w:szCs w:val="18"/>
                <w:lang w:val="en-AU"/>
              </w:rPr>
              <w:t>The industry submitter supported retaining the current maximum level.</w:t>
            </w:r>
          </w:p>
        </w:tc>
        <w:tc>
          <w:tcPr>
            <w:tcW w:w="4783" w:type="dxa"/>
            <w:tcBorders>
              <w:left w:val="single" w:sz="4" w:space="0" w:color="auto"/>
            </w:tcBorders>
          </w:tcPr>
          <w:p w14:paraId="73A79C0E" w14:textId="77777777" w:rsidR="00F46AB9" w:rsidRPr="008C25D1" w:rsidRDefault="00F46AB9" w:rsidP="00BC5468">
            <w:pPr>
              <w:keepNext/>
              <w:keepLines/>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8C25D1">
              <w:rPr>
                <w:rFonts w:asciiTheme="minorHAnsi" w:hAnsiTheme="minorHAnsi" w:cstheme="minorHAnsi"/>
                <w:sz w:val="18"/>
                <w:szCs w:val="18"/>
              </w:rPr>
              <w:t xml:space="preserve">FSANZ proposes retain the current maximum vitamin A amount based on the absence of data indicating that the current maximum of 43 µg/100 kJ is associated with adverse health effects, the uncertainty around the basis for the </w:t>
            </w:r>
            <w:r>
              <w:rPr>
                <w:rFonts w:asciiTheme="minorHAnsi" w:hAnsiTheme="minorHAnsi" w:cstheme="minorHAnsi"/>
                <w:sz w:val="18"/>
                <w:szCs w:val="18"/>
                <w:lang w:val="en-AU"/>
              </w:rPr>
              <w:t>EU 2016/127</w:t>
            </w:r>
            <w:r w:rsidRPr="008C25D1">
              <w:rPr>
                <w:rFonts w:asciiTheme="minorHAnsi" w:hAnsiTheme="minorHAnsi" w:cstheme="minorHAnsi"/>
                <w:sz w:val="18"/>
                <w:szCs w:val="18"/>
              </w:rPr>
              <w:t xml:space="preserve">, and </w:t>
            </w:r>
            <w:r>
              <w:rPr>
                <w:rFonts w:asciiTheme="minorHAnsi" w:hAnsiTheme="minorHAnsi" w:cstheme="minorHAnsi"/>
                <w:sz w:val="18"/>
                <w:szCs w:val="18"/>
              </w:rPr>
              <w:t xml:space="preserve">that </w:t>
            </w:r>
            <w:r w:rsidRPr="008C25D1">
              <w:rPr>
                <w:rFonts w:asciiTheme="minorHAnsi" w:hAnsiTheme="minorHAnsi" w:cstheme="minorHAnsi"/>
                <w:sz w:val="18"/>
                <w:szCs w:val="18"/>
              </w:rPr>
              <w:t xml:space="preserve">the objective of this Proposal to align with Codex STAN 72-1981 where possible.  </w:t>
            </w:r>
          </w:p>
        </w:tc>
      </w:tr>
      <w:tr w:rsidR="00F46AB9" w:rsidRPr="008C25D1" w14:paraId="020D8D2B" w14:textId="77777777" w:rsidTr="00E6211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74" w:type="dxa"/>
            <w:tcBorders>
              <w:right w:val="single" w:sz="4" w:space="0" w:color="auto"/>
            </w:tcBorders>
            <w:shd w:val="clear" w:color="auto" w:fill="EAF1DD" w:themeFill="accent3" w:themeFillTint="33"/>
            <w:vAlign w:val="center"/>
          </w:tcPr>
          <w:p w14:paraId="1B2F9ABD" w14:textId="1061095A" w:rsidR="00F46AB9" w:rsidRPr="009E5947" w:rsidRDefault="00F0473D" w:rsidP="00F0473D">
            <w:pPr>
              <w:rPr>
                <w:rFonts w:asciiTheme="minorHAnsi" w:hAnsiTheme="minorHAnsi" w:cstheme="minorHAnsi"/>
                <w:bCs w:val="0"/>
                <w:i/>
                <w:sz w:val="18"/>
                <w:szCs w:val="18"/>
              </w:rPr>
            </w:pPr>
            <w:r>
              <w:rPr>
                <w:rFonts w:asciiTheme="minorHAnsi" w:hAnsiTheme="minorHAnsi" w:cstheme="minorHAnsi"/>
                <w:bCs w:val="0"/>
                <w:i/>
                <w:sz w:val="18"/>
                <w:szCs w:val="18"/>
              </w:rPr>
              <w:t>7.3.1</w:t>
            </w:r>
          </w:p>
        </w:tc>
        <w:tc>
          <w:tcPr>
            <w:tcW w:w="2515" w:type="dxa"/>
            <w:tcBorders>
              <w:left w:val="none" w:sz="0" w:space="0" w:color="auto"/>
              <w:right w:val="single" w:sz="4" w:space="0" w:color="auto"/>
            </w:tcBorders>
            <w:shd w:val="clear" w:color="auto" w:fill="EAF1DD" w:themeFill="accent3" w:themeFillTint="33"/>
          </w:tcPr>
          <w:p w14:paraId="0C5011D7" w14:textId="77777777" w:rsidR="00F46AB9" w:rsidRPr="008C25D1" w:rsidRDefault="00F46AB9" w:rsidP="00BC546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18"/>
                <w:szCs w:val="18"/>
              </w:rPr>
            </w:pPr>
            <w:r>
              <w:rPr>
                <w:rFonts w:asciiTheme="minorHAnsi" w:hAnsiTheme="minorHAnsi" w:cstheme="minorHAnsi"/>
                <w:bCs/>
                <w:sz w:val="18"/>
                <w:szCs w:val="18"/>
              </w:rPr>
              <w:t xml:space="preserve">Vitamin D: </w:t>
            </w:r>
            <w:r w:rsidRPr="008C25D1">
              <w:rPr>
                <w:rFonts w:asciiTheme="minorHAnsi" w:hAnsiTheme="minorHAnsi" w:cstheme="minorHAnsi"/>
                <w:bCs/>
                <w:sz w:val="18"/>
                <w:szCs w:val="18"/>
              </w:rPr>
              <w:t>Codex STAN 72-1981 and Standard 2.9.1</w:t>
            </w:r>
            <w:r>
              <w:rPr>
                <w:rFonts w:asciiTheme="minorHAnsi" w:hAnsiTheme="minorHAnsi" w:cstheme="minorHAnsi"/>
                <w:bCs/>
                <w:sz w:val="18"/>
                <w:szCs w:val="18"/>
              </w:rPr>
              <w:t xml:space="preserve"> are aligned but conflict with </w:t>
            </w:r>
            <w:r>
              <w:rPr>
                <w:rFonts w:asciiTheme="minorHAnsi" w:hAnsiTheme="minorHAnsi" w:cstheme="minorHAnsi"/>
                <w:sz w:val="18"/>
                <w:szCs w:val="18"/>
                <w:lang w:val="en-AU"/>
              </w:rPr>
              <w:t>EU 2016/127</w:t>
            </w:r>
          </w:p>
        </w:tc>
        <w:tc>
          <w:tcPr>
            <w:tcW w:w="1290" w:type="dxa"/>
            <w:tcBorders>
              <w:left w:val="none" w:sz="0" w:space="0" w:color="auto"/>
              <w:right w:val="single" w:sz="4" w:space="0" w:color="auto"/>
            </w:tcBorders>
            <w:shd w:val="clear" w:color="auto" w:fill="EAF1DD" w:themeFill="accent3" w:themeFillTint="33"/>
          </w:tcPr>
          <w:p w14:paraId="76C92A69" w14:textId="77777777" w:rsidR="00F46AB9" w:rsidRPr="008C25D1" w:rsidRDefault="00F46AB9" w:rsidP="00BC5468">
            <w:pPr>
              <w:ind w:left="113" w:hanging="113"/>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8C25D1">
              <w:rPr>
                <w:rFonts w:asciiTheme="minorHAnsi" w:hAnsiTheme="minorHAnsi" w:cstheme="minorHAnsi"/>
                <w:sz w:val="18"/>
                <w:szCs w:val="18"/>
              </w:rPr>
              <w:t>6</w:t>
            </w:r>
          </w:p>
          <w:p w14:paraId="1E6CFF06" w14:textId="77777777" w:rsidR="00F46AB9" w:rsidRPr="008C25D1" w:rsidRDefault="00F46AB9" w:rsidP="00BC5468">
            <w:pPr>
              <w:ind w:left="113" w:hanging="113"/>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8C25D1">
              <w:rPr>
                <w:rFonts w:asciiTheme="minorHAnsi" w:hAnsiTheme="minorHAnsi" w:cstheme="minorHAnsi"/>
                <w:sz w:val="18"/>
                <w:szCs w:val="18"/>
              </w:rPr>
              <w:t>(5I, 1G)</w:t>
            </w:r>
          </w:p>
        </w:tc>
        <w:tc>
          <w:tcPr>
            <w:tcW w:w="4525" w:type="dxa"/>
            <w:tcBorders>
              <w:left w:val="single" w:sz="4" w:space="0" w:color="auto"/>
              <w:right w:val="single" w:sz="4" w:space="0" w:color="auto"/>
            </w:tcBorders>
            <w:shd w:val="clear" w:color="auto" w:fill="EAF1DD" w:themeFill="accent3" w:themeFillTint="33"/>
          </w:tcPr>
          <w:p w14:paraId="56804CD7" w14:textId="77777777" w:rsidR="00F46AB9" w:rsidRPr="008C25D1" w:rsidRDefault="00F46AB9" w:rsidP="00BC5468">
            <w:pPr>
              <w:keepNext/>
              <w:keepLine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8C25D1">
              <w:rPr>
                <w:rFonts w:asciiTheme="minorHAnsi" w:hAnsiTheme="minorHAnsi" w:cstheme="minorHAnsi"/>
                <w:sz w:val="18"/>
                <w:szCs w:val="18"/>
              </w:rPr>
              <w:t xml:space="preserve">Industry submitters supported alignment with the </w:t>
            </w:r>
            <w:r>
              <w:rPr>
                <w:rFonts w:asciiTheme="minorHAnsi" w:hAnsiTheme="minorHAnsi" w:cstheme="minorHAnsi"/>
                <w:sz w:val="18"/>
                <w:szCs w:val="18"/>
                <w:lang w:val="en-AU"/>
              </w:rPr>
              <w:t>EU 2016/127</w:t>
            </w:r>
            <w:r w:rsidRPr="008C25D1">
              <w:rPr>
                <w:rFonts w:asciiTheme="minorHAnsi" w:hAnsiTheme="minorHAnsi" w:cstheme="minorHAnsi"/>
                <w:sz w:val="18"/>
                <w:szCs w:val="18"/>
              </w:rPr>
              <w:t xml:space="preserve"> as the current range </w:t>
            </w:r>
            <w:r>
              <w:rPr>
                <w:rFonts w:asciiTheme="minorHAnsi" w:hAnsiTheme="minorHAnsi" w:cstheme="minorHAnsi"/>
                <w:sz w:val="18"/>
                <w:szCs w:val="18"/>
              </w:rPr>
              <w:t xml:space="preserve">is </w:t>
            </w:r>
            <w:r w:rsidRPr="008C25D1">
              <w:rPr>
                <w:rFonts w:asciiTheme="minorHAnsi" w:hAnsiTheme="minorHAnsi" w:cstheme="minorHAnsi"/>
                <w:sz w:val="18"/>
                <w:szCs w:val="18"/>
              </w:rPr>
              <w:t>too narrow to allow compliance with both Codex</w:t>
            </w:r>
            <w:r>
              <w:rPr>
                <w:rFonts w:asciiTheme="minorHAnsi" w:hAnsiTheme="minorHAnsi" w:cstheme="minorHAnsi"/>
                <w:sz w:val="18"/>
                <w:szCs w:val="18"/>
              </w:rPr>
              <w:t xml:space="preserve"> STAN 72-1981</w:t>
            </w:r>
            <w:r w:rsidRPr="008C25D1">
              <w:rPr>
                <w:rFonts w:asciiTheme="minorHAnsi" w:hAnsiTheme="minorHAnsi" w:cstheme="minorHAnsi"/>
                <w:sz w:val="18"/>
                <w:szCs w:val="18"/>
              </w:rPr>
              <w:t xml:space="preserve"> and </w:t>
            </w:r>
            <w:r>
              <w:rPr>
                <w:rFonts w:asciiTheme="minorHAnsi" w:hAnsiTheme="minorHAnsi" w:cstheme="minorHAnsi"/>
                <w:sz w:val="18"/>
                <w:szCs w:val="18"/>
                <w:lang w:val="en-AU"/>
              </w:rPr>
              <w:t>EU 2016/127</w:t>
            </w:r>
            <w:r w:rsidRPr="008C25D1">
              <w:rPr>
                <w:rFonts w:asciiTheme="minorHAnsi" w:hAnsiTheme="minorHAnsi" w:cstheme="minorHAnsi"/>
                <w:sz w:val="18"/>
                <w:szCs w:val="18"/>
              </w:rPr>
              <w:t>.  The government submitter supported retaining current Standard 2.9.1</w:t>
            </w:r>
            <w:r>
              <w:rPr>
                <w:rFonts w:asciiTheme="minorHAnsi" w:hAnsiTheme="minorHAnsi" w:cstheme="minorHAnsi"/>
                <w:sz w:val="18"/>
                <w:szCs w:val="18"/>
              </w:rPr>
              <w:t>.</w:t>
            </w:r>
          </w:p>
        </w:tc>
        <w:tc>
          <w:tcPr>
            <w:tcW w:w="4783" w:type="dxa"/>
            <w:tcBorders>
              <w:left w:val="single" w:sz="4" w:space="0" w:color="auto"/>
            </w:tcBorders>
            <w:shd w:val="clear" w:color="auto" w:fill="EAF1DD" w:themeFill="accent3" w:themeFillTint="33"/>
          </w:tcPr>
          <w:p w14:paraId="1310AEC6" w14:textId="77777777" w:rsidR="00F46AB9" w:rsidRPr="008C25D1" w:rsidRDefault="00F46AB9" w:rsidP="00BC5468">
            <w:pPr>
              <w:keepNext/>
              <w:keepLine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 xml:space="preserve">The </w:t>
            </w:r>
            <w:r>
              <w:rPr>
                <w:rFonts w:asciiTheme="minorHAnsi" w:hAnsiTheme="minorHAnsi" w:cstheme="minorHAnsi"/>
                <w:sz w:val="18"/>
                <w:szCs w:val="18"/>
                <w:lang w:val="en-AU"/>
              </w:rPr>
              <w:t xml:space="preserve">EU 2016/127 </w:t>
            </w:r>
            <w:r w:rsidRPr="008C25D1">
              <w:rPr>
                <w:rFonts w:asciiTheme="minorHAnsi" w:hAnsiTheme="minorHAnsi" w:cstheme="minorHAnsi"/>
                <w:sz w:val="18"/>
                <w:szCs w:val="18"/>
              </w:rPr>
              <w:t xml:space="preserve">maximum was recently lowered and is now aligned with </w:t>
            </w:r>
            <w:r>
              <w:rPr>
                <w:rFonts w:asciiTheme="minorHAnsi" w:hAnsiTheme="minorHAnsi" w:cstheme="minorHAnsi"/>
                <w:sz w:val="18"/>
                <w:szCs w:val="18"/>
              </w:rPr>
              <w:t>Codex STAN 72-1981</w:t>
            </w:r>
            <w:r w:rsidRPr="008C25D1">
              <w:rPr>
                <w:rFonts w:asciiTheme="minorHAnsi" w:hAnsiTheme="minorHAnsi" w:cstheme="minorHAnsi"/>
                <w:sz w:val="18"/>
                <w:szCs w:val="18"/>
              </w:rPr>
              <w:t xml:space="preserve"> at 0.6 µg/100 kJ. FSANZ proposes to retain the current permitted range as this meets ANZ recommended daily intakes, no safety concerns have been identified</w:t>
            </w:r>
            <w:r>
              <w:rPr>
                <w:rFonts w:asciiTheme="minorHAnsi" w:hAnsiTheme="minorHAnsi" w:cstheme="minorHAnsi"/>
                <w:sz w:val="18"/>
                <w:szCs w:val="18"/>
              </w:rPr>
              <w:t>, and the range is achievable for</w:t>
            </w:r>
            <w:r w:rsidRPr="008C25D1">
              <w:rPr>
                <w:rFonts w:asciiTheme="minorHAnsi" w:hAnsiTheme="minorHAnsi" w:cstheme="minorHAnsi"/>
                <w:sz w:val="18"/>
                <w:szCs w:val="18"/>
              </w:rPr>
              <w:t xml:space="preserve"> industry. </w:t>
            </w:r>
          </w:p>
        </w:tc>
      </w:tr>
      <w:tr w:rsidR="00F46AB9" w:rsidRPr="008C25D1" w14:paraId="792CBCA8" w14:textId="77777777" w:rsidTr="00E62112">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74" w:type="dxa"/>
            <w:tcBorders>
              <w:right w:val="single" w:sz="4" w:space="0" w:color="auto"/>
            </w:tcBorders>
            <w:vAlign w:val="center"/>
          </w:tcPr>
          <w:p w14:paraId="5CED56AD" w14:textId="77777777" w:rsidR="00F46AB9" w:rsidRPr="009E5947" w:rsidRDefault="00F46AB9" w:rsidP="00BC5468">
            <w:pPr>
              <w:rPr>
                <w:rFonts w:asciiTheme="minorHAnsi" w:hAnsiTheme="minorHAnsi" w:cstheme="minorHAnsi"/>
                <w:i/>
                <w:sz w:val="18"/>
                <w:szCs w:val="18"/>
              </w:rPr>
            </w:pPr>
            <w:r w:rsidRPr="009E5947">
              <w:rPr>
                <w:rFonts w:asciiTheme="minorHAnsi" w:hAnsiTheme="minorHAnsi" w:cstheme="minorHAnsi"/>
                <w:bCs w:val="0"/>
                <w:i/>
                <w:sz w:val="18"/>
                <w:szCs w:val="18"/>
              </w:rPr>
              <w:t>7.3.2</w:t>
            </w:r>
          </w:p>
        </w:tc>
        <w:tc>
          <w:tcPr>
            <w:tcW w:w="2515" w:type="dxa"/>
            <w:tcBorders>
              <w:left w:val="none" w:sz="0" w:space="0" w:color="auto"/>
              <w:right w:val="single" w:sz="4" w:space="0" w:color="auto"/>
            </w:tcBorders>
          </w:tcPr>
          <w:p w14:paraId="18232390" w14:textId="77777777" w:rsidR="00F46AB9" w:rsidRPr="008C25D1" w:rsidRDefault="00F46AB9" w:rsidP="00BC5468">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Cs/>
                <w:sz w:val="18"/>
                <w:szCs w:val="18"/>
              </w:rPr>
            </w:pPr>
            <w:r w:rsidRPr="008C25D1">
              <w:rPr>
                <w:rFonts w:asciiTheme="minorHAnsi" w:hAnsiTheme="minorHAnsi" w:cstheme="minorHAnsi"/>
                <w:bCs/>
                <w:sz w:val="18"/>
                <w:szCs w:val="18"/>
              </w:rPr>
              <w:t xml:space="preserve">11 micronutrients (calcium, chloride, magnesium, manganese, folate, niacin, pantothenic, potassium, sodium, vitamin B12, and vitamin E) not currently aligned with Codex STAN 72-198. </w:t>
            </w:r>
          </w:p>
        </w:tc>
        <w:tc>
          <w:tcPr>
            <w:tcW w:w="1290" w:type="dxa"/>
            <w:tcBorders>
              <w:left w:val="none" w:sz="0" w:space="0" w:color="auto"/>
              <w:right w:val="single" w:sz="4" w:space="0" w:color="auto"/>
            </w:tcBorders>
          </w:tcPr>
          <w:p w14:paraId="17180755" w14:textId="77777777" w:rsidR="00F46AB9" w:rsidRPr="008C25D1" w:rsidRDefault="00F46AB9" w:rsidP="00BC5468">
            <w:pPr>
              <w:ind w:left="113" w:hanging="113"/>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8C25D1">
              <w:rPr>
                <w:rFonts w:asciiTheme="minorHAnsi" w:hAnsiTheme="minorHAnsi" w:cstheme="minorHAnsi"/>
                <w:sz w:val="18"/>
                <w:szCs w:val="18"/>
              </w:rPr>
              <w:t>0</w:t>
            </w:r>
          </w:p>
        </w:tc>
        <w:tc>
          <w:tcPr>
            <w:tcW w:w="4525" w:type="dxa"/>
            <w:tcBorders>
              <w:left w:val="single" w:sz="4" w:space="0" w:color="auto"/>
              <w:right w:val="single" w:sz="4" w:space="0" w:color="auto"/>
            </w:tcBorders>
          </w:tcPr>
          <w:p w14:paraId="0FDE0E51" w14:textId="77777777" w:rsidR="00F46AB9" w:rsidRPr="008C25D1" w:rsidRDefault="00F46AB9" w:rsidP="00BC5468">
            <w:pPr>
              <w:keepNext/>
              <w:keepLines/>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lang w:val="en-AU"/>
              </w:rPr>
            </w:pPr>
            <w:r w:rsidRPr="008C25D1">
              <w:rPr>
                <w:rFonts w:asciiTheme="minorHAnsi" w:hAnsiTheme="minorHAnsi" w:cstheme="minorHAnsi"/>
                <w:bCs/>
                <w:sz w:val="18"/>
                <w:szCs w:val="18"/>
              </w:rPr>
              <w:t xml:space="preserve">Preliminary view from the 2016 CP was to align with Codex STAN 72-1981 (i.e. no were issues identified). </w:t>
            </w:r>
            <w:r w:rsidRPr="008C25D1">
              <w:rPr>
                <w:rFonts w:asciiTheme="minorHAnsi" w:hAnsiTheme="minorHAnsi" w:cstheme="minorHAnsi"/>
                <w:sz w:val="18"/>
                <w:szCs w:val="18"/>
                <w:lang w:val="en-AU"/>
              </w:rPr>
              <w:t>No submitters commented on the permitted range for these micronutrients.</w:t>
            </w:r>
          </w:p>
        </w:tc>
        <w:tc>
          <w:tcPr>
            <w:tcW w:w="4783" w:type="dxa"/>
            <w:tcBorders>
              <w:left w:val="single" w:sz="4" w:space="0" w:color="auto"/>
            </w:tcBorders>
          </w:tcPr>
          <w:p w14:paraId="54D7E303" w14:textId="77777777" w:rsidR="00F46AB9" w:rsidRPr="008C25D1" w:rsidRDefault="00F46AB9" w:rsidP="00BC5468">
            <w:pPr>
              <w:keepNext/>
              <w:keepLines/>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8C25D1">
              <w:rPr>
                <w:rFonts w:asciiTheme="minorHAnsi" w:hAnsiTheme="minorHAnsi" w:cstheme="minorHAnsi"/>
                <w:sz w:val="18"/>
                <w:szCs w:val="18"/>
              </w:rPr>
              <w:t xml:space="preserve">FSANZ proposes to align with the Codex STAN 72-1981 permitted range for </w:t>
            </w:r>
            <w:r w:rsidRPr="008C25D1">
              <w:rPr>
                <w:rFonts w:asciiTheme="minorHAnsi" w:hAnsiTheme="minorHAnsi" w:cstheme="minorHAnsi"/>
                <w:bCs/>
                <w:sz w:val="18"/>
                <w:szCs w:val="18"/>
              </w:rPr>
              <w:t>calcium, chloride, magnesium, manganese, folate, niacin, pantothenic, potassium, sodium, vitamin B12, and vitamin E</w:t>
            </w:r>
            <w:r w:rsidRPr="008C25D1">
              <w:rPr>
                <w:rFonts w:asciiTheme="minorHAnsi" w:hAnsiTheme="minorHAnsi" w:cstheme="minorHAnsi"/>
                <w:sz w:val="18"/>
                <w:szCs w:val="18"/>
              </w:rPr>
              <w:t>.</w:t>
            </w:r>
          </w:p>
        </w:tc>
      </w:tr>
      <w:tr w:rsidR="00F46AB9" w:rsidRPr="008C25D1" w14:paraId="73D5484D" w14:textId="77777777" w:rsidTr="00E6211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74" w:type="dxa"/>
            <w:tcBorders>
              <w:right w:val="single" w:sz="4" w:space="0" w:color="auto"/>
            </w:tcBorders>
            <w:shd w:val="clear" w:color="auto" w:fill="EAF1DD" w:themeFill="accent3" w:themeFillTint="33"/>
            <w:vAlign w:val="center"/>
          </w:tcPr>
          <w:p w14:paraId="444E7FAD" w14:textId="7AC6ABDD" w:rsidR="00F46AB9" w:rsidRPr="009E5947" w:rsidRDefault="00F0473D" w:rsidP="00BC5468">
            <w:pPr>
              <w:rPr>
                <w:rFonts w:asciiTheme="minorHAnsi" w:hAnsiTheme="minorHAnsi" w:cstheme="minorHAnsi"/>
                <w:bCs w:val="0"/>
                <w:i/>
                <w:sz w:val="18"/>
                <w:szCs w:val="18"/>
              </w:rPr>
            </w:pPr>
            <w:r>
              <w:rPr>
                <w:rFonts w:asciiTheme="minorHAnsi" w:hAnsiTheme="minorHAnsi" w:cstheme="minorHAnsi"/>
                <w:bCs w:val="0"/>
                <w:i/>
                <w:sz w:val="18"/>
                <w:szCs w:val="18"/>
              </w:rPr>
              <w:t>7.3.2</w:t>
            </w:r>
          </w:p>
        </w:tc>
        <w:tc>
          <w:tcPr>
            <w:tcW w:w="2515" w:type="dxa"/>
            <w:tcBorders>
              <w:left w:val="none" w:sz="0" w:space="0" w:color="auto"/>
              <w:right w:val="single" w:sz="4" w:space="0" w:color="auto"/>
            </w:tcBorders>
            <w:shd w:val="clear" w:color="auto" w:fill="EAF1DD" w:themeFill="accent3" w:themeFillTint="33"/>
          </w:tcPr>
          <w:p w14:paraId="1284F96D" w14:textId="77777777" w:rsidR="00F46AB9" w:rsidRPr="008C25D1" w:rsidRDefault="00F46AB9" w:rsidP="00BC546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18"/>
                <w:szCs w:val="18"/>
              </w:rPr>
            </w:pPr>
            <w:r w:rsidRPr="008C25D1">
              <w:rPr>
                <w:rFonts w:asciiTheme="minorHAnsi" w:hAnsiTheme="minorHAnsi" w:cstheme="minorHAnsi"/>
                <w:bCs/>
                <w:sz w:val="18"/>
                <w:szCs w:val="18"/>
              </w:rPr>
              <w:t>Vitamin K, thiamin, r</w:t>
            </w:r>
            <w:r>
              <w:rPr>
                <w:rFonts w:asciiTheme="minorHAnsi" w:hAnsiTheme="minorHAnsi" w:cstheme="minorHAnsi"/>
                <w:bCs/>
                <w:sz w:val="18"/>
                <w:szCs w:val="18"/>
              </w:rPr>
              <w:t xml:space="preserve">iboflavin, vitamin B6, biotin: </w:t>
            </w:r>
            <w:r w:rsidRPr="008C25D1">
              <w:rPr>
                <w:rFonts w:asciiTheme="minorHAnsi" w:hAnsiTheme="minorHAnsi" w:cstheme="minorHAnsi"/>
                <w:bCs/>
                <w:sz w:val="18"/>
                <w:szCs w:val="18"/>
              </w:rPr>
              <w:t>propose alignment with Codex STAN 72-1981</w:t>
            </w:r>
          </w:p>
        </w:tc>
        <w:tc>
          <w:tcPr>
            <w:tcW w:w="1290" w:type="dxa"/>
            <w:tcBorders>
              <w:left w:val="none" w:sz="0" w:space="0" w:color="auto"/>
              <w:right w:val="single" w:sz="4" w:space="0" w:color="auto"/>
            </w:tcBorders>
            <w:shd w:val="clear" w:color="auto" w:fill="EAF1DD" w:themeFill="accent3" w:themeFillTint="33"/>
          </w:tcPr>
          <w:p w14:paraId="12617B74" w14:textId="77777777" w:rsidR="00F46AB9" w:rsidRPr="008C25D1" w:rsidRDefault="00F46AB9" w:rsidP="00BC5468">
            <w:pPr>
              <w:ind w:left="113" w:hanging="113"/>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8C25D1">
              <w:rPr>
                <w:rFonts w:asciiTheme="minorHAnsi" w:hAnsiTheme="minorHAnsi" w:cstheme="minorHAnsi"/>
                <w:sz w:val="18"/>
                <w:szCs w:val="18"/>
              </w:rPr>
              <w:t>3</w:t>
            </w:r>
          </w:p>
          <w:p w14:paraId="40C9D51A" w14:textId="77777777" w:rsidR="00F46AB9" w:rsidRPr="008C25D1" w:rsidRDefault="00F46AB9" w:rsidP="00BC5468">
            <w:pPr>
              <w:ind w:left="113" w:hanging="113"/>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8C25D1">
              <w:rPr>
                <w:rFonts w:asciiTheme="minorHAnsi" w:hAnsiTheme="minorHAnsi" w:cstheme="minorHAnsi"/>
                <w:sz w:val="18"/>
                <w:szCs w:val="18"/>
              </w:rPr>
              <w:t>(2I, 1G)</w:t>
            </w:r>
          </w:p>
        </w:tc>
        <w:tc>
          <w:tcPr>
            <w:tcW w:w="4525" w:type="dxa"/>
            <w:tcBorders>
              <w:left w:val="single" w:sz="4" w:space="0" w:color="auto"/>
              <w:right w:val="single" w:sz="4" w:space="0" w:color="auto"/>
            </w:tcBorders>
            <w:shd w:val="clear" w:color="auto" w:fill="EAF1DD" w:themeFill="accent3" w:themeFillTint="33"/>
          </w:tcPr>
          <w:p w14:paraId="1A01169F" w14:textId="77777777" w:rsidR="00F46AB9" w:rsidRPr="008C25D1" w:rsidRDefault="00F46AB9" w:rsidP="00BC5468">
            <w:pPr>
              <w:keepNext/>
              <w:keepLine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AU"/>
              </w:rPr>
            </w:pPr>
            <w:r w:rsidRPr="008C25D1">
              <w:rPr>
                <w:rFonts w:asciiTheme="minorHAnsi" w:hAnsiTheme="minorHAnsi" w:cstheme="minorHAnsi"/>
                <w:sz w:val="18"/>
                <w:szCs w:val="18"/>
                <w:lang w:val="en-AU"/>
              </w:rPr>
              <w:t xml:space="preserve">Industry submitters supported FSANZ’s preliminary view to align the permitted range with the </w:t>
            </w:r>
            <w:r>
              <w:rPr>
                <w:rFonts w:asciiTheme="minorHAnsi" w:hAnsiTheme="minorHAnsi" w:cstheme="minorHAnsi"/>
                <w:sz w:val="18"/>
                <w:szCs w:val="18"/>
              </w:rPr>
              <w:t>Codex STAN 72-1981</w:t>
            </w:r>
            <w:r w:rsidRPr="008C25D1">
              <w:rPr>
                <w:rFonts w:asciiTheme="minorHAnsi" w:hAnsiTheme="minorHAnsi" w:cstheme="minorHAnsi"/>
                <w:sz w:val="18"/>
                <w:szCs w:val="18"/>
                <w:lang w:val="en-AU"/>
              </w:rPr>
              <w:t xml:space="preserve"> amounts. The government submitter opposed alignment on the basis that the EU 2016/127 minimum was more consistent with human milk concentration and intakes would be closer to the AI. </w:t>
            </w:r>
            <w:r w:rsidRPr="008C25D1">
              <w:rPr>
                <w:rFonts w:asciiTheme="minorHAnsi" w:hAnsiTheme="minorHAnsi" w:cstheme="minorHAnsi"/>
                <w:color w:val="FF0000"/>
                <w:sz w:val="18"/>
                <w:szCs w:val="18"/>
                <w:lang w:val="en-AU"/>
              </w:rPr>
              <w:t xml:space="preserve"> </w:t>
            </w:r>
          </w:p>
        </w:tc>
        <w:tc>
          <w:tcPr>
            <w:tcW w:w="4783" w:type="dxa"/>
            <w:tcBorders>
              <w:left w:val="single" w:sz="4" w:space="0" w:color="auto"/>
            </w:tcBorders>
            <w:shd w:val="clear" w:color="auto" w:fill="EAF1DD" w:themeFill="accent3" w:themeFillTint="33"/>
          </w:tcPr>
          <w:p w14:paraId="36CD92E0" w14:textId="63FA448B" w:rsidR="00F46AB9" w:rsidRPr="008C25D1" w:rsidRDefault="00F46AB9" w:rsidP="00BC5468">
            <w:pPr>
              <w:keepNext/>
              <w:keepLine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8C25D1">
              <w:rPr>
                <w:rFonts w:asciiTheme="minorHAnsi" w:hAnsiTheme="minorHAnsi" w:cstheme="minorHAnsi"/>
                <w:sz w:val="18"/>
                <w:szCs w:val="18"/>
              </w:rPr>
              <w:t xml:space="preserve">Based on additional </w:t>
            </w:r>
            <w:r w:rsidR="003B6F75">
              <w:rPr>
                <w:rFonts w:asciiTheme="minorHAnsi" w:hAnsiTheme="minorHAnsi" w:cstheme="minorHAnsi"/>
                <w:sz w:val="18"/>
                <w:szCs w:val="18"/>
              </w:rPr>
              <w:t xml:space="preserve">nutrition </w:t>
            </w:r>
            <w:r w:rsidRPr="008C25D1">
              <w:rPr>
                <w:rFonts w:asciiTheme="minorHAnsi" w:hAnsiTheme="minorHAnsi" w:cstheme="minorHAnsi"/>
                <w:sz w:val="18"/>
                <w:szCs w:val="18"/>
              </w:rPr>
              <w:t>risk assessment and cons</w:t>
            </w:r>
            <w:r>
              <w:rPr>
                <w:rFonts w:asciiTheme="minorHAnsi" w:hAnsiTheme="minorHAnsi" w:cstheme="minorHAnsi"/>
                <w:sz w:val="18"/>
                <w:szCs w:val="18"/>
              </w:rPr>
              <w:t>ideration of submitter comments</w:t>
            </w:r>
            <w:r w:rsidRPr="008C25D1">
              <w:rPr>
                <w:rFonts w:asciiTheme="minorHAnsi" w:hAnsiTheme="minorHAnsi" w:cstheme="minorHAnsi"/>
                <w:sz w:val="18"/>
                <w:szCs w:val="18"/>
              </w:rPr>
              <w:t>, FSANZ proposes the following:</w:t>
            </w:r>
          </w:p>
          <w:p w14:paraId="07886F4C" w14:textId="77777777" w:rsidR="00F46AB9" w:rsidRPr="008C25D1" w:rsidRDefault="00F46AB9" w:rsidP="00BC5468">
            <w:pPr>
              <w:keepNext/>
              <w:keepLine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 xml:space="preserve">Vitamin K: adopt </w:t>
            </w:r>
            <w:r>
              <w:rPr>
                <w:rFonts w:asciiTheme="minorHAnsi" w:hAnsiTheme="minorHAnsi" w:cstheme="minorHAnsi"/>
                <w:sz w:val="18"/>
                <w:szCs w:val="18"/>
                <w:lang w:val="en-AU"/>
              </w:rPr>
              <w:t>EU 2016/127</w:t>
            </w:r>
            <w:r w:rsidRPr="008C25D1">
              <w:rPr>
                <w:rFonts w:asciiTheme="minorHAnsi" w:hAnsiTheme="minorHAnsi" w:cstheme="minorHAnsi"/>
                <w:sz w:val="18"/>
                <w:szCs w:val="18"/>
              </w:rPr>
              <w:t xml:space="preserve"> minimum</w:t>
            </w:r>
          </w:p>
          <w:p w14:paraId="18227ADF" w14:textId="77777777" w:rsidR="00F46AB9" w:rsidRPr="008C25D1" w:rsidRDefault="00F46AB9" w:rsidP="00BC5468">
            <w:pPr>
              <w:keepNext/>
              <w:keepLine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8C25D1">
              <w:rPr>
                <w:rFonts w:asciiTheme="minorHAnsi" w:hAnsiTheme="minorHAnsi" w:cstheme="minorHAnsi"/>
                <w:sz w:val="18"/>
                <w:szCs w:val="18"/>
              </w:rPr>
              <w:t>Thiamin: retain Standard 2.9.1</w:t>
            </w:r>
          </w:p>
          <w:p w14:paraId="7DD082B1" w14:textId="77777777" w:rsidR="00F46AB9" w:rsidRPr="008C25D1" w:rsidRDefault="00F46AB9" w:rsidP="00BC5468">
            <w:pPr>
              <w:keepNext/>
              <w:keepLine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 xml:space="preserve">Riboflavin: adopt </w:t>
            </w:r>
            <w:r>
              <w:rPr>
                <w:rFonts w:asciiTheme="minorHAnsi" w:hAnsiTheme="minorHAnsi" w:cstheme="minorHAnsi"/>
                <w:sz w:val="18"/>
                <w:szCs w:val="18"/>
                <w:lang w:val="en-AU"/>
              </w:rPr>
              <w:t>EU 2016/127</w:t>
            </w:r>
            <w:r w:rsidRPr="008C25D1">
              <w:rPr>
                <w:rFonts w:asciiTheme="minorHAnsi" w:hAnsiTheme="minorHAnsi" w:cstheme="minorHAnsi"/>
                <w:sz w:val="18"/>
                <w:szCs w:val="18"/>
              </w:rPr>
              <w:t xml:space="preserve"> permitted range</w:t>
            </w:r>
          </w:p>
          <w:p w14:paraId="4332BDA8" w14:textId="77777777" w:rsidR="00F46AB9" w:rsidRPr="008C25D1" w:rsidRDefault="00F46AB9" w:rsidP="00BC5468">
            <w:pPr>
              <w:keepNext/>
              <w:keepLine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8C25D1">
              <w:rPr>
                <w:rFonts w:asciiTheme="minorHAnsi" w:hAnsiTheme="minorHAnsi" w:cstheme="minorHAnsi"/>
                <w:sz w:val="18"/>
                <w:szCs w:val="18"/>
              </w:rPr>
              <w:t>Vitamin B6: retain Standard 2.9.1</w:t>
            </w:r>
          </w:p>
          <w:p w14:paraId="0CA2AB87" w14:textId="77777777" w:rsidR="00F46AB9" w:rsidRPr="008C25D1" w:rsidRDefault="00F46AB9" w:rsidP="00BC5468">
            <w:pPr>
              <w:keepNext/>
              <w:keepLine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 xml:space="preserve">Biotin: adopt </w:t>
            </w:r>
            <w:r>
              <w:rPr>
                <w:rFonts w:asciiTheme="minorHAnsi" w:hAnsiTheme="minorHAnsi" w:cstheme="minorHAnsi"/>
                <w:sz w:val="18"/>
                <w:szCs w:val="18"/>
                <w:lang w:val="en-AU"/>
              </w:rPr>
              <w:t>EU 2016/127</w:t>
            </w:r>
            <w:r w:rsidRPr="008C25D1">
              <w:rPr>
                <w:rFonts w:asciiTheme="minorHAnsi" w:hAnsiTheme="minorHAnsi" w:cstheme="minorHAnsi"/>
                <w:sz w:val="18"/>
                <w:szCs w:val="18"/>
              </w:rPr>
              <w:t xml:space="preserve"> minimum</w:t>
            </w:r>
          </w:p>
          <w:p w14:paraId="579B172F" w14:textId="77777777" w:rsidR="00F46AB9" w:rsidRPr="008C25D1" w:rsidRDefault="00F46AB9" w:rsidP="00BC5468">
            <w:pPr>
              <w:keepNext/>
              <w:keepLine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8C25D1">
              <w:rPr>
                <w:rFonts w:asciiTheme="minorHAnsi" w:hAnsiTheme="minorHAnsi" w:cstheme="minorHAnsi"/>
                <w:sz w:val="18"/>
                <w:szCs w:val="18"/>
              </w:rPr>
              <w:t xml:space="preserve">Maximums for these micronutrients are noted in section </w:t>
            </w:r>
            <w:r w:rsidRPr="008C25D1">
              <w:rPr>
                <w:rFonts w:asciiTheme="minorHAnsi" w:hAnsiTheme="minorHAnsi" w:cstheme="minorHAnsi"/>
                <w:bCs/>
                <w:sz w:val="18"/>
                <w:szCs w:val="18"/>
              </w:rPr>
              <w:t>7.1.</w:t>
            </w:r>
            <w:r w:rsidRPr="008C25D1">
              <w:rPr>
                <w:rFonts w:asciiTheme="minorHAnsi" w:hAnsiTheme="minorHAnsi" w:cstheme="minorHAnsi"/>
                <w:b/>
                <w:bCs/>
                <w:sz w:val="18"/>
                <w:szCs w:val="18"/>
              </w:rPr>
              <w:t xml:space="preserve"> </w:t>
            </w:r>
          </w:p>
        </w:tc>
      </w:tr>
      <w:tr w:rsidR="00F46AB9" w:rsidRPr="008C25D1" w14:paraId="7FCFCECC" w14:textId="77777777" w:rsidTr="00E62112">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74" w:type="dxa"/>
            <w:tcBorders>
              <w:right w:val="single" w:sz="4" w:space="0" w:color="auto"/>
            </w:tcBorders>
            <w:shd w:val="clear" w:color="auto" w:fill="FFFFFF" w:themeFill="background1"/>
            <w:vAlign w:val="center"/>
          </w:tcPr>
          <w:p w14:paraId="5843B732" w14:textId="3C82423F" w:rsidR="00F46AB9" w:rsidRPr="009E5947" w:rsidRDefault="00F0473D" w:rsidP="00BC5468">
            <w:pPr>
              <w:rPr>
                <w:rFonts w:asciiTheme="minorHAnsi" w:hAnsiTheme="minorHAnsi" w:cstheme="minorHAnsi"/>
                <w:bCs w:val="0"/>
                <w:i/>
                <w:sz w:val="18"/>
                <w:szCs w:val="18"/>
              </w:rPr>
            </w:pPr>
            <w:r>
              <w:rPr>
                <w:rFonts w:asciiTheme="minorHAnsi" w:hAnsiTheme="minorHAnsi" w:cstheme="minorHAnsi"/>
                <w:bCs w:val="0"/>
                <w:i/>
                <w:sz w:val="18"/>
                <w:szCs w:val="18"/>
              </w:rPr>
              <w:t>7.3.2</w:t>
            </w:r>
          </w:p>
        </w:tc>
        <w:tc>
          <w:tcPr>
            <w:tcW w:w="2515" w:type="dxa"/>
            <w:tcBorders>
              <w:left w:val="none" w:sz="0" w:space="0" w:color="auto"/>
              <w:right w:val="single" w:sz="4" w:space="0" w:color="auto"/>
            </w:tcBorders>
            <w:shd w:val="clear" w:color="auto" w:fill="FFFFFF" w:themeFill="background1"/>
          </w:tcPr>
          <w:p w14:paraId="38D7D181" w14:textId="77777777" w:rsidR="00F46AB9" w:rsidRPr="008C25D1" w:rsidRDefault="00F46AB9" w:rsidP="00BC5468">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Cs/>
                <w:sz w:val="18"/>
                <w:szCs w:val="18"/>
              </w:rPr>
            </w:pPr>
            <w:r w:rsidRPr="008C25D1">
              <w:rPr>
                <w:rFonts w:asciiTheme="minorHAnsi" w:hAnsiTheme="minorHAnsi" w:cstheme="minorHAnsi"/>
                <w:bCs/>
                <w:sz w:val="18"/>
                <w:szCs w:val="18"/>
              </w:rPr>
              <w:t>Copper</w:t>
            </w:r>
          </w:p>
        </w:tc>
        <w:tc>
          <w:tcPr>
            <w:tcW w:w="1290" w:type="dxa"/>
            <w:tcBorders>
              <w:left w:val="none" w:sz="0" w:space="0" w:color="auto"/>
              <w:right w:val="single" w:sz="4" w:space="0" w:color="auto"/>
            </w:tcBorders>
            <w:shd w:val="clear" w:color="auto" w:fill="FFFFFF" w:themeFill="background1"/>
          </w:tcPr>
          <w:p w14:paraId="4A8D219F" w14:textId="77777777" w:rsidR="00F46AB9" w:rsidRPr="008C25D1" w:rsidRDefault="00F46AB9" w:rsidP="00BC5468">
            <w:pPr>
              <w:ind w:left="113" w:hanging="113"/>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8C25D1">
              <w:rPr>
                <w:rFonts w:asciiTheme="minorHAnsi" w:hAnsiTheme="minorHAnsi" w:cstheme="minorHAnsi"/>
                <w:sz w:val="18"/>
                <w:szCs w:val="18"/>
              </w:rPr>
              <w:t>5</w:t>
            </w:r>
          </w:p>
          <w:p w14:paraId="234FAFD9" w14:textId="77777777" w:rsidR="00F46AB9" w:rsidRPr="008C25D1" w:rsidRDefault="00F46AB9" w:rsidP="00BC5468">
            <w:pPr>
              <w:ind w:left="113" w:hanging="113"/>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8C25D1">
              <w:rPr>
                <w:rFonts w:asciiTheme="minorHAnsi" w:hAnsiTheme="minorHAnsi" w:cstheme="minorHAnsi"/>
                <w:sz w:val="18"/>
                <w:szCs w:val="18"/>
              </w:rPr>
              <w:t>(3I, 2G)</w:t>
            </w:r>
          </w:p>
        </w:tc>
        <w:tc>
          <w:tcPr>
            <w:tcW w:w="4525" w:type="dxa"/>
            <w:tcBorders>
              <w:left w:val="single" w:sz="4" w:space="0" w:color="auto"/>
              <w:right w:val="single" w:sz="4" w:space="0" w:color="auto"/>
            </w:tcBorders>
            <w:shd w:val="clear" w:color="auto" w:fill="FFFFFF" w:themeFill="background1"/>
          </w:tcPr>
          <w:p w14:paraId="4319DE91" w14:textId="77777777" w:rsidR="00F46AB9" w:rsidRPr="008C25D1" w:rsidRDefault="00F46AB9" w:rsidP="00BC5468">
            <w:pPr>
              <w:keepNext/>
              <w:keepLines/>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8C25D1">
              <w:rPr>
                <w:rFonts w:asciiTheme="minorHAnsi" w:hAnsiTheme="minorHAnsi" w:cstheme="minorHAnsi"/>
                <w:sz w:val="18"/>
                <w:szCs w:val="18"/>
                <w:lang w:val="en-AU"/>
              </w:rPr>
              <w:t>Four submitters supported alignment with Codex STAN 72-1981. One submitter commented that the use of liquid, ready-made infant formula in hospitals would not have copper form contribution and therefore copper requirements not met for these infants.</w:t>
            </w:r>
          </w:p>
        </w:tc>
        <w:tc>
          <w:tcPr>
            <w:tcW w:w="4783" w:type="dxa"/>
            <w:tcBorders>
              <w:left w:val="single" w:sz="4" w:space="0" w:color="auto"/>
            </w:tcBorders>
            <w:shd w:val="clear" w:color="auto" w:fill="FFFFFF" w:themeFill="background1"/>
          </w:tcPr>
          <w:p w14:paraId="527C2622" w14:textId="77777777" w:rsidR="00F46AB9" w:rsidRPr="008C25D1" w:rsidRDefault="00F46AB9" w:rsidP="00BC5468">
            <w:pPr>
              <w:keepNext/>
              <w:keepLines/>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8C25D1">
              <w:rPr>
                <w:rFonts w:asciiTheme="minorHAnsi" w:hAnsiTheme="minorHAnsi" w:cstheme="minorHAnsi"/>
                <w:sz w:val="18"/>
                <w:szCs w:val="18"/>
              </w:rPr>
              <w:t xml:space="preserve">FSANZ proposes that </w:t>
            </w:r>
            <w:r w:rsidRPr="008C25D1">
              <w:rPr>
                <w:rFonts w:asciiTheme="minorHAnsi" w:hAnsiTheme="minorHAnsi" w:cstheme="minorHAnsi"/>
                <w:sz w:val="18"/>
                <w:szCs w:val="18"/>
                <w:lang w:val="en-AU"/>
              </w:rPr>
              <w:t xml:space="preserve">the permitted range for copper is proposed to be aligned with Codex STAN 72-1981 at 8.5- 29 (GUL) ug/100 kJ. </w:t>
            </w:r>
          </w:p>
        </w:tc>
      </w:tr>
      <w:tr w:rsidR="00F46AB9" w:rsidRPr="008C25D1" w14:paraId="59210B69" w14:textId="77777777" w:rsidTr="00E6211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74" w:type="dxa"/>
            <w:tcBorders>
              <w:right w:val="single" w:sz="4" w:space="0" w:color="auto"/>
            </w:tcBorders>
            <w:vAlign w:val="center"/>
          </w:tcPr>
          <w:p w14:paraId="623D7041" w14:textId="49CCA0F7" w:rsidR="00F46AB9" w:rsidRPr="009E5947" w:rsidRDefault="00F0473D" w:rsidP="00BC5468">
            <w:pPr>
              <w:rPr>
                <w:rFonts w:asciiTheme="minorHAnsi" w:hAnsiTheme="minorHAnsi" w:cstheme="minorHAnsi"/>
                <w:bCs w:val="0"/>
                <w:i/>
                <w:sz w:val="18"/>
                <w:szCs w:val="18"/>
              </w:rPr>
            </w:pPr>
            <w:r>
              <w:rPr>
                <w:rFonts w:asciiTheme="minorHAnsi" w:hAnsiTheme="minorHAnsi" w:cstheme="minorHAnsi"/>
                <w:bCs w:val="0"/>
                <w:i/>
                <w:sz w:val="18"/>
                <w:szCs w:val="18"/>
              </w:rPr>
              <w:lastRenderedPageBreak/>
              <w:t>7.3.3</w:t>
            </w:r>
          </w:p>
        </w:tc>
        <w:tc>
          <w:tcPr>
            <w:tcW w:w="2515" w:type="dxa"/>
            <w:tcBorders>
              <w:left w:val="none" w:sz="0" w:space="0" w:color="auto"/>
              <w:right w:val="single" w:sz="4" w:space="0" w:color="auto"/>
            </w:tcBorders>
          </w:tcPr>
          <w:p w14:paraId="6A084919" w14:textId="77777777" w:rsidR="00F46AB9" w:rsidRPr="008C25D1" w:rsidRDefault="00F46AB9" w:rsidP="00BC546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18"/>
                <w:szCs w:val="18"/>
              </w:rPr>
            </w:pPr>
            <w:r w:rsidRPr="008C25D1">
              <w:rPr>
                <w:rFonts w:asciiTheme="minorHAnsi" w:hAnsiTheme="minorHAnsi" w:cstheme="minorHAnsi"/>
                <w:bCs/>
                <w:sz w:val="18"/>
                <w:szCs w:val="18"/>
              </w:rPr>
              <w:t>Vitamin C</w:t>
            </w:r>
            <w:r>
              <w:rPr>
                <w:rFonts w:asciiTheme="minorHAnsi" w:hAnsiTheme="minorHAnsi" w:cstheme="minorHAnsi"/>
                <w:bCs/>
                <w:sz w:val="18"/>
                <w:szCs w:val="18"/>
              </w:rPr>
              <w:t>:</w:t>
            </w:r>
            <w:r w:rsidRPr="008C25D1">
              <w:rPr>
                <w:rFonts w:asciiTheme="minorHAnsi" w:hAnsiTheme="minorHAnsi" w:cstheme="minorHAnsi"/>
                <w:bCs/>
                <w:sz w:val="18"/>
                <w:szCs w:val="18"/>
              </w:rPr>
              <w:t xml:space="preserve"> maximum is much higher under Codex STAN 72-1981</w:t>
            </w:r>
          </w:p>
        </w:tc>
        <w:tc>
          <w:tcPr>
            <w:tcW w:w="1290" w:type="dxa"/>
            <w:tcBorders>
              <w:left w:val="none" w:sz="0" w:space="0" w:color="auto"/>
              <w:right w:val="single" w:sz="4" w:space="0" w:color="auto"/>
            </w:tcBorders>
          </w:tcPr>
          <w:p w14:paraId="5AE93BF7" w14:textId="77777777" w:rsidR="00F46AB9" w:rsidRPr="008C25D1" w:rsidRDefault="00F46AB9" w:rsidP="00BC5468">
            <w:pPr>
              <w:ind w:left="113" w:hanging="113"/>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8C25D1">
              <w:rPr>
                <w:rFonts w:asciiTheme="minorHAnsi" w:hAnsiTheme="minorHAnsi" w:cstheme="minorHAnsi"/>
                <w:sz w:val="18"/>
                <w:szCs w:val="18"/>
              </w:rPr>
              <w:t>8</w:t>
            </w:r>
          </w:p>
          <w:p w14:paraId="40AE648C" w14:textId="77777777" w:rsidR="00F46AB9" w:rsidRPr="008C25D1" w:rsidRDefault="00F46AB9" w:rsidP="00BC5468">
            <w:pPr>
              <w:ind w:left="113" w:hanging="113"/>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8C25D1">
              <w:rPr>
                <w:rFonts w:asciiTheme="minorHAnsi" w:hAnsiTheme="minorHAnsi" w:cstheme="minorHAnsi"/>
                <w:sz w:val="18"/>
                <w:szCs w:val="18"/>
              </w:rPr>
              <w:t>(5I, 3G)</w:t>
            </w:r>
          </w:p>
        </w:tc>
        <w:tc>
          <w:tcPr>
            <w:tcW w:w="4525" w:type="dxa"/>
            <w:tcBorders>
              <w:left w:val="single" w:sz="4" w:space="0" w:color="auto"/>
              <w:right w:val="single" w:sz="4" w:space="0" w:color="auto"/>
            </w:tcBorders>
          </w:tcPr>
          <w:p w14:paraId="7D542553" w14:textId="77777777" w:rsidR="00F46AB9" w:rsidRPr="008C25D1" w:rsidRDefault="00F46AB9" w:rsidP="00BC5468">
            <w:pPr>
              <w:keepNext/>
              <w:keepLine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8C25D1">
              <w:rPr>
                <w:rFonts w:asciiTheme="minorHAnsi" w:hAnsiTheme="minorHAnsi" w:cstheme="minorHAnsi"/>
                <w:sz w:val="18"/>
                <w:szCs w:val="18"/>
              </w:rPr>
              <w:t xml:space="preserve">Most submitters supported adopting the Codex STAN 72-1981 maximum for vitamin C however, two government submitters expressed concerns about excessive intakes and supported adoption of the </w:t>
            </w:r>
            <w:r>
              <w:rPr>
                <w:rFonts w:asciiTheme="minorHAnsi" w:hAnsiTheme="minorHAnsi" w:cstheme="minorHAnsi"/>
                <w:sz w:val="18"/>
                <w:szCs w:val="18"/>
                <w:lang w:val="en-AU"/>
              </w:rPr>
              <w:t xml:space="preserve">EU 2016/127 </w:t>
            </w:r>
            <w:r w:rsidRPr="008C25D1">
              <w:rPr>
                <w:rFonts w:asciiTheme="minorHAnsi" w:hAnsiTheme="minorHAnsi" w:cstheme="minorHAnsi"/>
                <w:sz w:val="18"/>
                <w:szCs w:val="18"/>
              </w:rPr>
              <w:t>maximum.</w:t>
            </w:r>
          </w:p>
        </w:tc>
        <w:tc>
          <w:tcPr>
            <w:tcW w:w="4783" w:type="dxa"/>
            <w:tcBorders>
              <w:left w:val="single" w:sz="4" w:space="0" w:color="auto"/>
            </w:tcBorders>
          </w:tcPr>
          <w:p w14:paraId="2028D285" w14:textId="77777777" w:rsidR="00F46AB9" w:rsidRPr="008C25D1" w:rsidRDefault="00F46AB9" w:rsidP="00BC5468">
            <w:pPr>
              <w:keepNext/>
              <w:keepLine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8C25D1">
              <w:rPr>
                <w:rFonts w:asciiTheme="minorHAnsi" w:hAnsiTheme="minorHAnsi" w:cstheme="minorHAnsi"/>
                <w:sz w:val="18"/>
                <w:szCs w:val="18"/>
              </w:rPr>
              <w:t xml:space="preserve">FSANZ identified no safety concerns with the maximum set under Codex STAN 72-1981 or </w:t>
            </w:r>
            <w:r>
              <w:rPr>
                <w:rFonts w:asciiTheme="minorHAnsi" w:hAnsiTheme="minorHAnsi" w:cstheme="minorHAnsi"/>
                <w:sz w:val="18"/>
                <w:szCs w:val="18"/>
                <w:lang w:val="en-AU"/>
              </w:rPr>
              <w:t>EU 2016/127</w:t>
            </w:r>
            <w:r w:rsidRPr="008C25D1">
              <w:rPr>
                <w:rFonts w:asciiTheme="minorHAnsi" w:hAnsiTheme="minorHAnsi" w:cstheme="minorHAnsi"/>
                <w:sz w:val="18"/>
                <w:szCs w:val="18"/>
              </w:rPr>
              <w:t>. To allow for vitamin C degradation over the product shelf life and ensure infants have adequate intakes, and for harmonisation reasons, the proposed option to is to align with the maximum level set by Codex STAN 72-1981 (17 mg/100 kJ).</w:t>
            </w:r>
            <w:r w:rsidRPr="008C25D1">
              <w:rPr>
                <w:rFonts w:asciiTheme="minorHAnsi" w:hAnsiTheme="minorHAnsi" w:cstheme="minorHAnsi"/>
                <w:sz w:val="18"/>
                <w:szCs w:val="18"/>
                <w:lang w:val="en-AU"/>
              </w:rPr>
              <w:t xml:space="preserve"> </w:t>
            </w:r>
          </w:p>
        </w:tc>
      </w:tr>
      <w:tr w:rsidR="00F46AB9" w:rsidRPr="008C25D1" w14:paraId="76BE379B" w14:textId="77777777" w:rsidTr="00E62112">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74" w:type="dxa"/>
            <w:tcBorders>
              <w:right w:val="single" w:sz="4" w:space="0" w:color="auto"/>
            </w:tcBorders>
            <w:shd w:val="clear" w:color="auto" w:fill="FFFFFF" w:themeFill="background1"/>
            <w:vAlign w:val="center"/>
          </w:tcPr>
          <w:p w14:paraId="63BFA5D7" w14:textId="614961A3" w:rsidR="00F46AB9" w:rsidRPr="009E5947" w:rsidRDefault="00F0473D" w:rsidP="00BC5468">
            <w:pPr>
              <w:rPr>
                <w:rFonts w:asciiTheme="minorHAnsi" w:hAnsiTheme="minorHAnsi" w:cstheme="minorHAnsi"/>
                <w:bCs w:val="0"/>
                <w:i/>
                <w:sz w:val="18"/>
                <w:szCs w:val="18"/>
              </w:rPr>
            </w:pPr>
            <w:r>
              <w:rPr>
                <w:rFonts w:asciiTheme="minorHAnsi" w:hAnsiTheme="minorHAnsi" w:cstheme="minorHAnsi"/>
                <w:bCs w:val="0"/>
                <w:i/>
                <w:sz w:val="18"/>
                <w:szCs w:val="18"/>
              </w:rPr>
              <w:t>7.3.3</w:t>
            </w:r>
          </w:p>
        </w:tc>
        <w:tc>
          <w:tcPr>
            <w:tcW w:w="2515" w:type="dxa"/>
            <w:tcBorders>
              <w:left w:val="none" w:sz="0" w:space="0" w:color="auto"/>
              <w:right w:val="single" w:sz="4" w:space="0" w:color="auto"/>
            </w:tcBorders>
            <w:shd w:val="clear" w:color="auto" w:fill="FFFFFF" w:themeFill="background1"/>
          </w:tcPr>
          <w:p w14:paraId="4A4A1C1F" w14:textId="77777777" w:rsidR="00F46AB9" w:rsidRPr="008C25D1" w:rsidRDefault="00F46AB9" w:rsidP="00BC5468">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Cs/>
                <w:sz w:val="18"/>
                <w:szCs w:val="18"/>
              </w:rPr>
            </w:pPr>
            <w:r>
              <w:rPr>
                <w:rFonts w:asciiTheme="minorHAnsi" w:hAnsiTheme="minorHAnsi" w:cstheme="minorHAnsi"/>
                <w:bCs/>
                <w:sz w:val="18"/>
                <w:szCs w:val="18"/>
              </w:rPr>
              <w:t>Chromium and Molybdenum:</w:t>
            </w:r>
            <w:r w:rsidRPr="008C25D1">
              <w:rPr>
                <w:rFonts w:asciiTheme="minorHAnsi" w:hAnsiTheme="minorHAnsi" w:cstheme="minorHAnsi"/>
                <w:bCs/>
                <w:sz w:val="18"/>
                <w:szCs w:val="18"/>
              </w:rPr>
              <w:t xml:space="preserve"> need for a minimum level and whether to retain the current GUL</w:t>
            </w:r>
          </w:p>
        </w:tc>
        <w:tc>
          <w:tcPr>
            <w:tcW w:w="1290" w:type="dxa"/>
            <w:tcBorders>
              <w:left w:val="none" w:sz="0" w:space="0" w:color="auto"/>
              <w:right w:val="single" w:sz="4" w:space="0" w:color="auto"/>
            </w:tcBorders>
            <w:shd w:val="clear" w:color="auto" w:fill="FFFFFF" w:themeFill="background1"/>
          </w:tcPr>
          <w:p w14:paraId="1825A423" w14:textId="77777777" w:rsidR="00F46AB9" w:rsidRPr="008C25D1" w:rsidRDefault="00F46AB9" w:rsidP="00BC5468">
            <w:pPr>
              <w:ind w:left="113" w:hanging="113"/>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8C25D1">
              <w:rPr>
                <w:rFonts w:asciiTheme="minorHAnsi" w:hAnsiTheme="minorHAnsi" w:cstheme="minorHAnsi"/>
                <w:sz w:val="18"/>
                <w:szCs w:val="18"/>
              </w:rPr>
              <w:t>4</w:t>
            </w:r>
          </w:p>
          <w:p w14:paraId="77168224" w14:textId="77777777" w:rsidR="00F46AB9" w:rsidRPr="008C25D1" w:rsidRDefault="00F46AB9" w:rsidP="00BC5468">
            <w:pPr>
              <w:ind w:left="113" w:hanging="113"/>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8C25D1">
              <w:rPr>
                <w:rFonts w:asciiTheme="minorHAnsi" w:hAnsiTheme="minorHAnsi" w:cstheme="minorHAnsi"/>
                <w:sz w:val="18"/>
                <w:szCs w:val="18"/>
              </w:rPr>
              <w:t>(3I, 1G)</w:t>
            </w:r>
          </w:p>
        </w:tc>
        <w:tc>
          <w:tcPr>
            <w:tcW w:w="4525" w:type="dxa"/>
            <w:tcBorders>
              <w:left w:val="single" w:sz="4" w:space="0" w:color="auto"/>
              <w:right w:val="single" w:sz="4" w:space="0" w:color="auto"/>
            </w:tcBorders>
            <w:shd w:val="clear" w:color="auto" w:fill="FFFFFF" w:themeFill="background1"/>
          </w:tcPr>
          <w:p w14:paraId="358B9E75" w14:textId="77777777" w:rsidR="00F46AB9" w:rsidRPr="008C25D1" w:rsidRDefault="00F46AB9" w:rsidP="00BC5468">
            <w:pPr>
              <w:keepNext/>
              <w:keepLines/>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8C25D1">
              <w:rPr>
                <w:rFonts w:asciiTheme="minorHAnsi" w:hAnsiTheme="minorHAnsi" w:cstheme="minorHAnsi"/>
                <w:sz w:val="18"/>
                <w:szCs w:val="18"/>
              </w:rPr>
              <w:t>Industry submitters do not support a minimum, maximum or GUL being set for chromium and molybdenum on the basis of insufficient evidence for these restrictions. NZ MPI commented that the 2016 NZ TDS included data on</w:t>
            </w:r>
            <w:r w:rsidRPr="008C25D1">
              <w:rPr>
                <w:rFonts w:asciiTheme="minorHAnsi" w:hAnsiTheme="minorHAnsi" w:cstheme="minorHAnsi"/>
                <w:sz w:val="18"/>
                <w:szCs w:val="18"/>
                <w:lang w:val="en-AU"/>
              </w:rPr>
              <w:t xml:space="preserve"> on </w:t>
            </w:r>
            <w:r w:rsidRPr="008C25D1">
              <w:rPr>
                <w:rFonts w:asciiTheme="minorHAnsi" w:hAnsiTheme="minorHAnsi" w:cstheme="minorHAnsi"/>
                <w:sz w:val="18"/>
                <w:szCs w:val="18"/>
              </w:rPr>
              <w:t xml:space="preserve">chromium and molybdenum levels in infant formula to be considered. </w:t>
            </w:r>
          </w:p>
        </w:tc>
        <w:tc>
          <w:tcPr>
            <w:tcW w:w="4783" w:type="dxa"/>
            <w:tcBorders>
              <w:left w:val="single" w:sz="4" w:space="0" w:color="auto"/>
            </w:tcBorders>
            <w:shd w:val="clear" w:color="auto" w:fill="FFFFFF" w:themeFill="background1"/>
          </w:tcPr>
          <w:p w14:paraId="484AC040" w14:textId="77777777" w:rsidR="00F46AB9" w:rsidRPr="008C25D1" w:rsidRDefault="00F46AB9" w:rsidP="00BC5468">
            <w:pPr>
              <w:keepNext/>
              <w:keepLines/>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8C25D1">
              <w:rPr>
                <w:rFonts w:asciiTheme="minorHAnsi" w:hAnsiTheme="minorHAnsi" w:cstheme="minorHAnsi"/>
                <w:sz w:val="18"/>
                <w:szCs w:val="18"/>
                <w:lang w:val="en-AU"/>
              </w:rPr>
              <w:t>Results for chromium and molybdenum from the 2016 NZ Total Diet Study were below the limit of reporting and therefore not useful to estimate intakes. Therefore, based on the conclu</w:t>
            </w:r>
            <w:r>
              <w:rPr>
                <w:rFonts w:asciiTheme="minorHAnsi" w:hAnsiTheme="minorHAnsi" w:cstheme="minorHAnsi"/>
                <w:sz w:val="18"/>
                <w:szCs w:val="18"/>
                <w:lang w:val="en-AU"/>
              </w:rPr>
              <w:t>sions in the 2016 Consultation p</w:t>
            </w:r>
            <w:r w:rsidRPr="008C25D1">
              <w:rPr>
                <w:rFonts w:asciiTheme="minorHAnsi" w:hAnsiTheme="minorHAnsi" w:cstheme="minorHAnsi"/>
                <w:sz w:val="18"/>
                <w:szCs w:val="18"/>
                <w:lang w:val="en-AU"/>
              </w:rPr>
              <w:t xml:space="preserve">aper, FSANZ proposes to align the permissions for chromium and molybdenum with Codex STAN 72-1981. </w:t>
            </w:r>
          </w:p>
        </w:tc>
      </w:tr>
      <w:tr w:rsidR="00F46AB9" w:rsidRPr="008C25D1" w14:paraId="548B2BE1" w14:textId="77777777" w:rsidTr="00E6211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74" w:type="dxa"/>
            <w:tcBorders>
              <w:right w:val="single" w:sz="4" w:space="0" w:color="auto"/>
            </w:tcBorders>
            <w:vAlign w:val="center"/>
          </w:tcPr>
          <w:p w14:paraId="7A6825C6" w14:textId="52E6B922" w:rsidR="00F46AB9" w:rsidRPr="009E5947" w:rsidRDefault="00F0473D" w:rsidP="00BC5468">
            <w:pPr>
              <w:rPr>
                <w:rFonts w:asciiTheme="minorHAnsi" w:hAnsiTheme="minorHAnsi" w:cstheme="minorHAnsi"/>
                <w:bCs w:val="0"/>
                <w:i/>
                <w:sz w:val="18"/>
                <w:szCs w:val="18"/>
              </w:rPr>
            </w:pPr>
            <w:r>
              <w:rPr>
                <w:rFonts w:asciiTheme="minorHAnsi" w:hAnsiTheme="minorHAnsi" w:cstheme="minorHAnsi"/>
                <w:bCs w:val="0"/>
                <w:i/>
                <w:sz w:val="18"/>
                <w:szCs w:val="18"/>
              </w:rPr>
              <w:t>7.3.3</w:t>
            </w:r>
          </w:p>
        </w:tc>
        <w:tc>
          <w:tcPr>
            <w:tcW w:w="2515" w:type="dxa"/>
            <w:tcBorders>
              <w:left w:val="none" w:sz="0" w:space="0" w:color="auto"/>
              <w:right w:val="single" w:sz="4" w:space="0" w:color="auto"/>
            </w:tcBorders>
          </w:tcPr>
          <w:p w14:paraId="087E0F80" w14:textId="77777777" w:rsidR="00F46AB9" w:rsidRPr="008C25D1" w:rsidRDefault="00F46AB9" w:rsidP="00BC546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18"/>
                <w:szCs w:val="18"/>
              </w:rPr>
            </w:pPr>
            <w:r>
              <w:rPr>
                <w:rFonts w:asciiTheme="minorHAnsi" w:hAnsiTheme="minorHAnsi" w:cstheme="minorHAnsi"/>
                <w:bCs/>
                <w:sz w:val="18"/>
                <w:szCs w:val="18"/>
              </w:rPr>
              <w:t xml:space="preserve">Iodine: </w:t>
            </w:r>
            <w:r w:rsidRPr="008C25D1">
              <w:rPr>
                <w:rFonts w:asciiTheme="minorHAnsi" w:hAnsiTheme="minorHAnsi" w:cstheme="minorHAnsi"/>
                <w:bCs/>
                <w:sz w:val="18"/>
                <w:szCs w:val="18"/>
              </w:rPr>
              <w:t>minimum under Codex STAN 72-1981 is two-fold higher than minimum in Standard 2.9.1</w:t>
            </w:r>
          </w:p>
        </w:tc>
        <w:tc>
          <w:tcPr>
            <w:tcW w:w="1290" w:type="dxa"/>
            <w:tcBorders>
              <w:left w:val="none" w:sz="0" w:space="0" w:color="auto"/>
              <w:right w:val="single" w:sz="4" w:space="0" w:color="auto"/>
            </w:tcBorders>
          </w:tcPr>
          <w:p w14:paraId="67254AA2" w14:textId="77777777" w:rsidR="00F46AB9" w:rsidRPr="008C25D1" w:rsidRDefault="00F46AB9" w:rsidP="00BC5468">
            <w:pPr>
              <w:ind w:left="113" w:hanging="113"/>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8C25D1">
              <w:rPr>
                <w:rFonts w:asciiTheme="minorHAnsi" w:hAnsiTheme="minorHAnsi" w:cstheme="minorHAnsi"/>
                <w:sz w:val="18"/>
                <w:szCs w:val="18"/>
              </w:rPr>
              <w:t>11</w:t>
            </w:r>
          </w:p>
          <w:p w14:paraId="1CAD1E57" w14:textId="77777777" w:rsidR="00F46AB9" w:rsidRPr="008C25D1" w:rsidRDefault="00F46AB9" w:rsidP="00BC5468">
            <w:pPr>
              <w:ind w:left="113" w:hanging="113"/>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8C25D1">
              <w:rPr>
                <w:rFonts w:asciiTheme="minorHAnsi" w:hAnsiTheme="minorHAnsi" w:cstheme="minorHAnsi"/>
                <w:sz w:val="18"/>
                <w:szCs w:val="18"/>
              </w:rPr>
              <w:t>(8I, 2G, 1 HP)</w:t>
            </w:r>
          </w:p>
        </w:tc>
        <w:tc>
          <w:tcPr>
            <w:tcW w:w="4525" w:type="dxa"/>
            <w:tcBorders>
              <w:left w:val="single" w:sz="4" w:space="0" w:color="auto"/>
              <w:right w:val="single" w:sz="4" w:space="0" w:color="auto"/>
            </w:tcBorders>
          </w:tcPr>
          <w:p w14:paraId="3871C241" w14:textId="77777777" w:rsidR="00F46AB9" w:rsidRPr="008C25D1" w:rsidRDefault="00F46AB9" w:rsidP="00BC5468">
            <w:pPr>
              <w:keepNext/>
              <w:keepLine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8C25D1">
              <w:rPr>
                <w:rFonts w:asciiTheme="minorHAnsi" w:hAnsiTheme="minorHAnsi" w:cstheme="minorHAnsi"/>
                <w:sz w:val="18"/>
                <w:szCs w:val="18"/>
              </w:rPr>
              <w:t xml:space="preserve">All submitters supported increasing the minimum level to at least that specified in Codex STAN 72-1981. </w:t>
            </w:r>
          </w:p>
        </w:tc>
        <w:tc>
          <w:tcPr>
            <w:tcW w:w="4783" w:type="dxa"/>
            <w:tcBorders>
              <w:left w:val="single" w:sz="4" w:space="0" w:color="auto"/>
            </w:tcBorders>
          </w:tcPr>
          <w:p w14:paraId="7F35F87F" w14:textId="77777777" w:rsidR="00F46AB9" w:rsidRPr="008C25D1" w:rsidRDefault="00F46AB9" w:rsidP="00BC546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AU"/>
              </w:rPr>
            </w:pPr>
            <w:r w:rsidRPr="008C25D1">
              <w:rPr>
                <w:rFonts w:asciiTheme="minorHAnsi" w:hAnsiTheme="minorHAnsi" w:cstheme="minorHAnsi"/>
                <w:sz w:val="18"/>
                <w:szCs w:val="18"/>
                <w:lang w:val="en-AU"/>
              </w:rPr>
              <w:t xml:space="preserve">To ensure infants meet their requirements for iodine, the proposed approach is to align the minimum amount with EU 2016/127 (3.6 µg/100 kJ). FSANZ proposes to retain the existing Standard 2.9.1 maximum as this amount is comparable to expert recommendations and is an amount that manufacturers are able to meet already. </w:t>
            </w:r>
          </w:p>
        </w:tc>
      </w:tr>
      <w:tr w:rsidR="00F46AB9" w:rsidRPr="008C25D1" w14:paraId="6D2FDEB6" w14:textId="77777777" w:rsidTr="00E62112">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74" w:type="dxa"/>
            <w:tcBorders>
              <w:right w:val="single" w:sz="4" w:space="0" w:color="auto"/>
            </w:tcBorders>
            <w:shd w:val="clear" w:color="auto" w:fill="FFFFFF" w:themeFill="background1"/>
            <w:vAlign w:val="center"/>
          </w:tcPr>
          <w:p w14:paraId="7A1F276F" w14:textId="42FE4EC9" w:rsidR="00F46AB9" w:rsidRPr="009E5947" w:rsidRDefault="00F0473D" w:rsidP="00BC5468">
            <w:pPr>
              <w:rPr>
                <w:rFonts w:asciiTheme="minorHAnsi" w:hAnsiTheme="minorHAnsi" w:cstheme="minorHAnsi"/>
                <w:bCs w:val="0"/>
                <w:i/>
                <w:sz w:val="18"/>
                <w:szCs w:val="18"/>
              </w:rPr>
            </w:pPr>
            <w:r>
              <w:rPr>
                <w:rFonts w:asciiTheme="minorHAnsi" w:hAnsiTheme="minorHAnsi" w:cstheme="minorHAnsi"/>
                <w:bCs w:val="0"/>
                <w:i/>
                <w:sz w:val="18"/>
                <w:szCs w:val="18"/>
              </w:rPr>
              <w:t>7.3.3</w:t>
            </w:r>
          </w:p>
        </w:tc>
        <w:tc>
          <w:tcPr>
            <w:tcW w:w="2515" w:type="dxa"/>
            <w:tcBorders>
              <w:left w:val="none" w:sz="0" w:space="0" w:color="auto"/>
              <w:right w:val="single" w:sz="4" w:space="0" w:color="auto"/>
            </w:tcBorders>
            <w:shd w:val="clear" w:color="auto" w:fill="FFFFFF" w:themeFill="background1"/>
          </w:tcPr>
          <w:p w14:paraId="1838BF38" w14:textId="77777777" w:rsidR="00F46AB9" w:rsidRPr="008C25D1" w:rsidRDefault="00F46AB9" w:rsidP="00BC5468">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Cs/>
                <w:sz w:val="18"/>
                <w:szCs w:val="18"/>
              </w:rPr>
            </w:pPr>
            <w:r w:rsidRPr="008C25D1">
              <w:rPr>
                <w:rFonts w:asciiTheme="minorHAnsi" w:hAnsiTheme="minorHAnsi" w:cstheme="minorHAnsi"/>
                <w:bCs/>
                <w:sz w:val="18"/>
                <w:szCs w:val="18"/>
              </w:rPr>
              <w:t>Zinc , the Zn:Cu ratio and appropriate maximum for soy-based formula</w:t>
            </w:r>
          </w:p>
        </w:tc>
        <w:tc>
          <w:tcPr>
            <w:tcW w:w="1290" w:type="dxa"/>
            <w:tcBorders>
              <w:left w:val="none" w:sz="0" w:space="0" w:color="auto"/>
              <w:right w:val="single" w:sz="4" w:space="0" w:color="auto"/>
            </w:tcBorders>
            <w:shd w:val="clear" w:color="auto" w:fill="FFFFFF" w:themeFill="background1"/>
          </w:tcPr>
          <w:p w14:paraId="540C7E6A" w14:textId="77777777" w:rsidR="00F46AB9" w:rsidRPr="008C25D1" w:rsidRDefault="00F46AB9" w:rsidP="00BC5468">
            <w:pPr>
              <w:ind w:left="113" w:hanging="113"/>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8C25D1">
              <w:rPr>
                <w:rFonts w:asciiTheme="minorHAnsi" w:hAnsiTheme="minorHAnsi" w:cstheme="minorHAnsi"/>
                <w:sz w:val="18"/>
                <w:szCs w:val="18"/>
              </w:rPr>
              <w:t>5</w:t>
            </w:r>
          </w:p>
          <w:p w14:paraId="7E5A95C0" w14:textId="77777777" w:rsidR="00F46AB9" w:rsidRPr="008C25D1" w:rsidRDefault="00F46AB9" w:rsidP="00BC5468">
            <w:pPr>
              <w:ind w:left="113" w:hanging="113"/>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8C25D1">
              <w:rPr>
                <w:rFonts w:asciiTheme="minorHAnsi" w:hAnsiTheme="minorHAnsi" w:cstheme="minorHAnsi"/>
                <w:sz w:val="18"/>
                <w:szCs w:val="18"/>
              </w:rPr>
              <w:t>(2G, 3I)</w:t>
            </w:r>
          </w:p>
        </w:tc>
        <w:tc>
          <w:tcPr>
            <w:tcW w:w="4525" w:type="dxa"/>
            <w:tcBorders>
              <w:left w:val="single" w:sz="4" w:space="0" w:color="auto"/>
              <w:right w:val="single" w:sz="4" w:space="0" w:color="auto"/>
            </w:tcBorders>
            <w:shd w:val="clear" w:color="auto" w:fill="FFFFFF" w:themeFill="background1"/>
          </w:tcPr>
          <w:p w14:paraId="742FE081" w14:textId="77777777" w:rsidR="00F46AB9" w:rsidRPr="008C25D1" w:rsidRDefault="00F46AB9" w:rsidP="00BC5468">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lang w:val="en-AU"/>
              </w:rPr>
            </w:pPr>
            <w:r w:rsidRPr="008C25D1">
              <w:rPr>
                <w:rFonts w:asciiTheme="minorHAnsi" w:hAnsiTheme="minorHAnsi" w:cstheme="minorHAnsi"/>
                <w:sz w:val="18"/>
                <w:szCs w:val="18"/>
                <w:lang w:val="en-AU"/>
              </w:rPr>
              <w:t xml:space="preserve">Retaining the prescribed Zn:Cu ratio was not supported. </w:t>
            </w:r>
          </w:p>
          <w:p w14:paraId="6BC4BB82" w14:textId="77777777" w:rsidR="00F46AB9" w:rsidRPr="008C25D1" w:rsidRDefault="00F46AB9" w:rsidP="00BC5468">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lang w:val="en-AU"/>
              </w:rPr>
            </w:pPr>
          </w:p>
          <w:p w14:paraId="755A53CC" w14:textId="77777777" w:rsidR="00F46AB9" w:rsidRPr="008C25D1" w:rsidRDefault="00F46AB9" w:rsidP="00BC5468">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lang w:val="en-AU"/>
              </w:rPr>
            </w:pPr>
            <w:r w:rsidRPr="008C25D1">
              <w:rPr>
                <w:rFonts w:asciiTheme="minorHAnsi" w:hAnsiTheme="minorHAnsi" w:cstheme="minorHAnsi"/>
                <w:sz w:val="18"/>
                <w:szCs w:val="18"/>
                <w:lang w:val="en-AU"/>
              </w:rPr>
              <w:t xml:space="preserve">Views on the maximum level were varied. Use of the </w:t>
            </w:r>
            <w:r>
              <w:rPr>
                <w:rFonts w:asciiTheme="minorHAnsi" w:hAnsiTheme="minorHAnsi" w:cstheme="minorHAnsi"/>
                <w:sz w:val="18"/>
                <w:szCs w:val="18"/>
              </w:rPr>
              <w:t>Codex STAN 72-1981</w:t>
            </w:r>
            <w:r w:rsidRPr="008C25D1">
              <w:rPr>
                <w:rFonts w:asciiTheme="minorHAnsi" w:hAnsiTheme="minorHAnsi" w:cstheme="minorHAnsi"/>
                <w:sz w:val="18"/>
                <w:szCs w:val="18"/>
                <w:lang w:val="en-AU"/>
              </w:rPr>
              <w:t xml:space="preserve"> maximum was supported by three submitters, one submitter supported retaining the current maximum and one supported aligning the zinc maximum with EU 2016/127 since this level wo</w:t>
            </w:r>
            <w:r>
              <w:rPr>
                <w:rFonts w:asciiTheme="minorHAnsi" w:hAnsiTheme="minorHAnsi" w:cstheme="minorHAnsi"/>
                <w:sz w:val="18"/>
                <w:szCs w:val="18"/>
                <w:lang w:val="en-AU"/>
              </w:rPr>
              <w:t>uld be closest to the ANZ</w:t>
            </w:r>
            <w:r w:rsidRPr="008C25D1">
              <w:rPr>
                <w:rFonts w:asciiTheme="minorHAnsi" w:hAnsiTheme="minorHAnsi" w:cstheme="minorHAnsi"/>
                <w:sz w:val="18"/>
                <w:szCs w:val="18"/>
                <w:lang w:val="en-AU"/>
              </w:rPr>
              <w:t xml:space="preserve"> UL. </w:t>
            </w:r>
          </w:p>
          <w:p w14:paraId="254DB6C4" w14:textId="77777777" w:rsidR="00F46AB9" w:rsidRPr="008C25D1" w:rsidRDefault="00F46AB9" w:rsidP="00BC5468">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lang w:val="en-AU"/>
              </w:rPr>
            </w:pPr>
          </w:p>
          <w:p w14:paraId="31694835" w14:textId="77777777" w:rsidR="00F46AB9" w:rsidRPr="008C25D1" w:rsidRDefault="00F46AB9" w:rsidP="00BC5468">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8C25D1">
              <w:rPr>
                <w:rFonts w:asciiTheme="minorHAnsi" w:hAnsiTheme="minorHAnsi" w:cstheme="minorHAnsi"/>
                <w:sz w:val="18"/>
                <w:szCs w:val="18"/>
                <w:lang w:val="en-AU"/>
              </w:rPr>
              <w:t xml:space="preserve">One government submitter noted support for setting separate limits for zinc in soy-based infant formula to align within EU 2016/127. An industry submitter did not support setting separate levels for zinc as </w:t>
            </w:r>
            <w:r w:rsidRPr="008C25D1">
              <w:rPr>
                <w:rFonts w:asciiTheme="minorHAnsi" w:hAnsiTheme="minorHAnsi" w:cstheme="minorHAnsi"/>
                <w:sz w:val="18"/>
                <w:szCs w:val="18"/>
              </w:rPr>
              <w:t xml:space="preserve">higher levels of zinc intake could impact on the absorption of copper, however proposed an upper level for zinc for all formulas should account for any additional needs of soy-based formula. </w:t>
            </w:r>
          </w:p>
        </w:tc>
        <w:tc>
          <w:tcPr>
            <w:tcW w:w="4783" w:type="dxa"/>
            <w:tcBorders>
              <w:left w:val="single" w:sz="4" w:space="0" w:color="auto"/>
            </w:tcBorders>
            <w:shd w:val="clear" w:color="auto" w:fill="FFFFFF" w:themeFill="background1"/>
          </w:tcPr>
          <w:p w14:paraId="2F03EC47" w14:textId="77777777" w:rsidR="00F46AB9" w:rsidRPr="008C25D1" w:rsidRDefault="00F46AB9" w:rsidP="00BC5468">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lang w:val="en-AU"/>
              </w:rPr>
            </w:pPr>
            <w:r w:rsidRPr="008C25D1">
              <w:rPr>
                <w:rFonts w:asciiTheme="minorHAnsi" w:hAnsiTheme="minorHAnsi" w:cstheme="minorHAnsi"/>
                <w:sz w:val="18"/>
                <w:szCs w:val="18"/>
              </w:rPr>
              <w:t>FSANZ proposes to remove the prescribed Zn:Cu ratio.</w:t>
            </w:r>
          </w:p>
          <w:p w14:paraId="448C1D29" w14:textId="77777777" w:rsidR="00F46AB9" w:rsidRPr="008C25D1" w:rsidRDefault="00F46AB9" w:rsidP="00BC5468">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lang w:val="en-AU"/>
              </w:rPr>
            </w:pPr>
          </w:p>
          <w:p w14:paraId="4E477EAB" w14:textId="77777777" w:rsidR="00F46AB9" w:rsidRPr="008C25D1" w:rsidRDefault="00F46AB9" w:rsidP="00BC5468">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8C25D1">
              <w:rPr>
                <w:rFonts w:asciiTheme="minorHAnsi" w:hAnsiTheme="minorHAnsi" w:cstheme="minorHAnsi"/>
                <w:sz w:val="18"/>
                <w:szCs w:val="18"/>
              </w:rPr>
              <w:t>FSANZ proposes to align the permitted range with Codex STAN 1972-81 which includes a maximum that accommodates the higher concentration of zinc in soy-based formula.</w:t>
            </w:r>
          </w:p>
          <w:p w14:paraId="27D3389E" w14:textId="77777777" w:rsidR="00F46AB9" w:rsidRPr="008C25D1" w:rsidRDefault="00F46AB9" w:rsidP="00BC5468">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p>
        </w:tc>
      </w:tr>
      <w:tr w:rsidR="00F46AB9" w:rsidRPr="008C25D1" w14:paraId="7DD341D3" w14:textId="77777777" w:rsidTr="00E6211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74" w:type="dxa"/>
            <w:tcBorders>
              <w:right w:val="single" w:sz="4" w:space="0" w:color="auto"/>
            </w:tcBorders>
            <w:shd w:val="clear" w:color="auto" w:fill="EAF1DD" w:themeFill="accent3" w:themeFillTint="33"/>
            <w:vAlign w:val="center"/>
          </w:tcPr>
          <w:p w14:paraId="607FD9BC" w14:textId="0A84E413" w:rsidR="00F46AB9" w:rsidRPr="009E5947" w:rsidRDefault="00F0473D" w:rsidP="00BC5468">
            <w:pPr>
              <w:rPr>
                <w:rFonts w:asciiTheme="minorHAnsi" w:hAnsiTheme="minorHAnsi" w:cstheme="minorHAnsi"/>
                <w:bCs w:val="0"/>
                <w:i/>
                <w:sz w:val="18"/>
                <w:szCs w:val="18"/>
              </w:rPr>
            </w:pPr>
            <w:r>
              <w:rPr>
                <w:rFonts w:asciiTheme="minorHAnsi" w:hAnsiTheme="minorHAnsi" w:cstheme="minorHAnsi"/>
                <w:bCs w:val="0"/>
                <w:i/>
                <w:sz w:val="18"/>
                <w:szCs w:val="18"/>
              </w:rPr>
              <w:lastRenderedPageBreak/>
              <w:t>7.3.</w:t>
            </w:r>
          </w:p>
        </w:tc>
        <w:tc>
          <w:tcPr>
            <w:tcW w:w="2515" w:type="dxa"/>
            <w:tcBorders>
              <w:left w:val="none" w:sz="0" w:space="0" w:color="auto"/>
              <w:right w:val="single" w:sz="4" w:space="0" w:color="auto"/>
            </w:tcBorders>
            <w:shd w:val="clear" w:color="auto" w:fill="EAF1DD" w:themeFill="accent3" w:themeFillTint="33"/>
          </w:tcPr>
          <w:p w14:paraId="23D0F79C" w14:textId="77777777" w:rsidR="00F46AB9" w:rsidRPr="008C25D1" w:rsidRDefault="00F46AB9" w:rsidP="00BC546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18"/>
                <w:szCs w:val="18"/>
              </w:rPr>
            </w:pPr>
            <w:r w:rsidRPr="008C25D1">
              <w:rPr>
                <w:rFonts w:asciiTheme="minorHAnsi" w:hAnsiTheme="minorHAnsi" w:cstheme="minorHAnsi"/>
                <w:bCs/>
                <w:sz w:val="18"/>
                <w:szCs w:val="18"/>
              </w:rPr>
              <w:t>Iron</w:t>
            </w:r>
            <w:r>
              <w:rPr>
                <w:rFonts w:asciiTheme="minorHAnsi" w:hAnsiTheme="minorHAnsi" w:cstheme="minorHAnsi"/>
                <w:bCs/>
                <w:sz w:val="18"/>
                <w:szCs w:val="18"/>
              </w:rPr>
              <w:t>:</w:t>
            </w:r>
            <w:r w:rsidRPr="008C25D1">
              <w:rPr>
                <w:rFonts w:asciiTheme="minorHAnsi" w:hAnsiTheme="minorHAnsi" w:cstheme="minorHAnsi"/>
                <w:bCs/>
                <w:sz w:val="18"/>
                <w:szCs w:val="18"/>
              </w:rPr>
              <w:t xml:space="preserve"> permitted range (minimum and maximum)</w:t>
            </w:r>
          </w:p>
        </w:tc>
        <w:tc>
          <w:tcPr>
            <w:tcW w:w="1290" w:type="dxa"/>
            <w:tcBorders>
              <w:left w:val="none" w:sz="0" w:space="0" w:color="auto"/>
              <w:right w:val="single" w:sz="4" w:space="0" w:color="auto"/>
            </w:tcBorders>
            <w:shd w:val="clear" w:color="auto" w:fill="EAF1DD" w:themeFill="accent3" w:themeFillTint="33"/>
          </w:tcPr>
          <w:p w14:paraId="22B7EE3F" w14:textId="77777777" w:rsidR="00F46AB9" w:rsidRPr="008C25D1" w:rsidRDefault="00F46AB9" w:rsidP="00BC5468">
            <w:pPr>
              <w:ind w:left="113" w:hanging="113"/>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8C25D1">
              <w:rPr>
                <w:rFonts w:asciiTheme="minorHAnsi" w:hAnsiTheme="minorHAnsi" w:cstheme="minorHAnsi"/>
                <w:sz w:val="18"/>
                <w:szCs w:val="18"/>
              </w:rPr>
              <w:t>8</w:t>
            </w:r>
          </w:p>
          <w:p w14:paraId="053BA0CF" w14:textId="77777777" w:rsidR="00F46AB9" w:rsidRPr="008C25D1" w:rsidRDefault="00F46AB9" w:rsidP="00BC5468">
            <w:pPr>
              <w:ind w:left="113" w:hanging="113"/>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8C25D1">
              <w:rPr>
                <w:rFonts w:asciiTheme="minorHAnsi" w:hAnsiTheme="minorHAnsi" w:cstheme="minorHAnsi"/>
                <w:sz w:val="18"/>
                <w:szCs w:val="18"/>
              </w:rPr>
              <w:t>(3G, 3I)</w:t>
            </w:r>
          </w:p>
        </w:tc>
        <w:tc>
          <w:tcPr>
            <w:tcW w:w="4525" w:type="dxa"/>
            <w:tcBorders>
              <w:left w:val="single" w:sz="4" w:space="0" w:color="auto"/>
              <w:right w:val="single" w:sz="4" w:space="0" w:color="auto"/>
            </w:tcBorders>
            <w:shd w:val="clear" w:color="auto" w:fill="EAF1DD" w:themeFill="accent3" w:themeFillTint="33"/>
          </w:tcPr>
          <w:p w14:paraId="5B94E855" w14:textId="77777777" w:rsidR="00F46AB9" w:rsidRPr="008C25D1" w:rsidRDefault="00F46AB9" w:rsidP="00BC5468">
            <w:pPr>
              <w:keepNext/>
              <w:keepLine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AU"/>
              </w:rPr>
            </w:pPr>
            <w:r w:rsidRPr="008C25D1">
              <w:rPr>
                <w:rFonts w:asciiTheme="minorHAnsi" w:hAnsiTheme="minorHAnsi" w:cstheme="minorHAnsi"/>
                <w:sz w:val="18"/>
                <w:szCs w:val="18"/>
                <w:lang w:val="en-AU"/>
              </w:rPr>
              <w:t xml:space="preserve">Four submitters supported FSANZ’s 2016 view to retain the range currently specified in Standard 2.9.1. There was also support to adopt the </w:t>
            </w:r>
            <w:r w:rsidRPr="008C25D1">
              <w:rPr>
                <w:rFonts w:asciiTheme="minorHAnsi" w:hAnsiTheme="minorHAnsi" w:cstheme="minorHAnsi"/>
                <w:sz w:val="18"/>
                <w:szCs w:val="18"/>
              </w:rPr>
              <w:t xml:space="preserve">Codex STAN 72-1981 </w:t>
            </w:r>
            <w:r w:rsidRPr="008C25D1">
              <w:rPr>
                <w:rFonts w:asciiTheme="minorHAnsi" w:hAnsiTheme="minorHAnsi" w:cstheme="minorHAnsi"/>
                <w:sz w:val="18"/>
                <w:szCs w:val="18"/>
                <w:lang w:val="en-AU"/>
              </w:rPr>
              <w:t>and EU 2016/127.</w:t>
            </w:r>
          </w:p>
          <w:p w14:paraId="7AA1FB7D" w14:textId="77777777" w:rsidR="00F46AB9" w:rsidRPr="008C25D1" w:rsidRDefault="00F46AB9" w:rsidP="00BC5468">
            <w:pPr>
              <w:keepNext/>
              <w:keepLine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AU"/>
              </w:rPr>
            </w:pPr>
            <w:r w:rsidRPr="008C25D1">
              <w:rPr>
                <w:rFonts w:asciiTheme="minorHAnsi" w:hAnsiTheme="minorHAnsi" w:cstheme="minorHAnsi"/>
                <w:sz w:val="18"/>
                <w:szCs w:val="18"/>
                <w:lang w:val="en-AU"/>
              </w:rPr>
              <w:t xml:space="preserve">An industry submitter supported increasing bioavailability by choosing appropriate forms of iron, reducing phytate content and/or adding absorption enhancers such as ascorbic acid. A submission also noted caution regarding high-iron infant formula being associated with poorer developmental outcomes in infants. </w:t>
            </w:r>
          </w:p>
          <w:p w14:paraId="3339D8DB" w14:textId="77777777" w:rsidR="00F46AB9" w:rsidRPr="008C25D1" w:rsidRDefault="00F46AB9" w:rsidP="00BC5468">
            <w:pPr>
              <w:keepNext/>
              <w:keepLine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AU"/>
              </w:rPr>
            </w:pPr>
          </w:p>
          <w:p w14:paraId="4D411982" w14:textId="77777777" w:rsidR="00F46AB9" w:rsidRPr="008C25D1" w:rsidRDefault="00F46AB9" w:rsidP="00BC5468">
            <w:pPr>
              <w:keepNext/>
              <w:keepLine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AU"/>
              </w:rPr>
            </w:pPr>
          </w:p>
        </w:tc>
        <w:tc>
          <w:tcPr>
            <w:tcW w:w="4783" w:type="dxa"/>
            <w:tcBorders>
              <w:left w:val="single" w:sz="4" w:space="0" w:color="auto"/>
            </w:tcBorders>
            <w:shd w:val="clear" w:color="auto" w:fill="EAF1DD" w:themeFill="accent3" w:themeFillTint="33"/>
          </w:tcPr>
          <w:p w14:paraId="557C62CC" w14:textId="77777777" w:rsidR="00F46AB9" w:rsidRPr="008C25D1" w:rsidRDefault="00F46AB9" w:rsidP="00BC546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AU"/>
              </w:rPr>
            </w:pPr>
            <w:r w:rsidRPr="008C25D1">
              <w:rPr>
                <w:rFonts w:asciiTheme="minorHAnsi" w:hAnsiTheme="minorHAnsi" w:cstheme="minorHAnsi"/>
                <w:sz w:val="18"/>
                <w:szCs w:val="18"/>
                <w:lang w:val="en-AU"/>
              </w:rPr>
              <w:t xml:space="preserve">FSANZ proposes to retain the current minimum and maximum in Standard 2.9.1. Retaining the broader permitted range in Standard 2.9.1 accounts for older infants and soy-based infant formula and aligns with the current </w:t>
            </w:r>
            <w:r>
              <w:rPr>
                <w:rFonts w:asciiTheme="minorHAnsi" w:hAnsiTheme="minorHAnsi" w:cstheme="minorHAnsi"/>
                <w:sz w:val="18"/>
                <w:szCs w:val="18"/>
                <w:lang w:val="en-AU"/>
              </w:rPr>
              <w:t>ANZ</w:t>
            </w:r>
            <w:r w:rsidRPr="008C25D1">
              <w:rPr>
                <w:rFonts w:asciiTheme="minorHAnsi" w:hAnsiTheme="minorHAnsi" w:cstheme="minorHAnsi"/>
                <w:sz w:val="18"/>
                <w:szCs w:val="18"/>
                <w:lang w:val="en-AU"/>
              </w:rPr>
              <w:t xml:space="preserve"> market. Retaining the current standard also allows manufa</w:t>
            </w:r>
            <w:r>
              <w:rPr>
                <w:rFonts w:asciiTheme="minorHAnsi" w:hAnsiTheme="minorHAnsi" w:cstheme="minorHAnsi"/>
                <w:sz w:val="18"/>
                <w:szCs w:val="18"/>
                <w:lang w:val="en-AU"/>
              </w:rPr>
              <w:t xml:space="preserve">cturers to meet the </w:t>
            </w:r>
            <w:r>
              <w:rPr>
                <w:rFonts w:asciiTheme="minorHAnsi" w:hAnsiTheme="minorHAnsi" w:cstheme="minorHAnsi"/>
                <w:sz w:val="18"/>
                <w:szCs w:val="18"/>
              </w:rPr>
              <w:t>Codex STAN 72-1981</w:t>
            </w:r>
            <w:r>
              <w:rPr>
                <w:rFonts w:asciiTheme="minorHAnsi" w:hAnsiTheme="minorHAnsi" w:cstheme="minorHAnsi"/>
                <w:sz w:val="18"/>
                <w:szCs w:val="18"/>
                <w:lang w:val="en-AU"/>
              </w:rPr>
              <w:t xml:space="preserve"> and EU 2016/127</w:t>
            </w:r>
            <w:r w:rsidRPr="008C25D1">
              <w:rPr>
                <w:rFonts w:asciiTheme="minorHAnsi" w:hAnsiTheme="minorHAnsi" w:cstheme="minorHAnsi"/>
                <w:sz w:val="18"/>
                <w:szCs w:val="18"/>
                <w:lang w:val="en-AU"/>
              </w:rPr>
              <w:t xml:space="preserve"> ranges for iron, while still posing the least risk to infant health.</w:t>
            </w:r>
          </w:p>
          <w:p w14:paraId="1FE70C65" w14:textId="77777777" w:rsidR="00F46AB9" w:rsidRPr="008C25D1" w:rsidRDefault="00F46AB9" w:rsidP="00BC5468">
            <w:pPr>
              <w:keepNext/>
              <w:keepLine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AU"/>
              </w:rPr>
            </w:pPr>
          </w:p>
        </w:tc>
      </w:tr>
      <w:tr w:rsidR="00F46AB9" w:rsidRPr="008C25D1" w14:paraId="6170FFC4" w14:textId="77777777" w:rsidTr="00E62112">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74" w:type="dxa"/>
            <w:tcBorders>
              <w:right w:val="single" w:sz="4" w:space="0" w:color="auto"/>
            </w:tcBorders>
            <w:shd w:val="clear" w:color="auto" w:fill="FFFFFF" w:themeFill="background1"/>
            <w:vAlign w:val="center"/>
          </w:tcPr>
          <w:p w14:paraId="2C913244" w14:textId="3F13B73B" w:rsidR="00F46AB9" w:rsidRPr="009E5947" w:rsidRDefault="00F0473D" w:rsidP="00BC5468">
            <w:pPr>
              <w:rPr>
                <w:rFonts w:asciiTheme="minorHAnsi" w:hAnsiTheme="minorHAnsi" w:cstheme="minorHAnsi"/>
                <w:bCs w:val="0"/>
                <w:i/>
                <w:sz w:val="18"/>
                <w:szCs w:val="18"/>
              </w:rPr>
            </w:pPr>
            <w:r>
              <w:rPr>
                <w:rFonts w:asciiTheme="minorHAnsi" w:hAnsiTheme="minorHAnsi" w:cstheme="minorHAnsi"/>
                <w:bCs w:val="0"/>
                <w:i/>
                <w:sz w:val="18"/>
                <w:szCs w:val="18"/>
              </w:rPr>
              <w:t>7.3.3</w:t>
            </w:r>
          </w:p>
        </w:tc>
        <w:tc>
          <w:tcPr>
            <w:tcW w:w="2515" w:type="dxa"/>
            <w:tcBorders>
              <w:left w:val="none" w:sz="0" w:space="0" w:color="auto"/>
              <w:right w:val="single" w:sz="4" w:space="0" w:color="auto"/>
            </w:tcBorders>
            <w:shd w:val="clear" w:color="auto" w:fill="FFFFFF" w:themeFill="background1"/>
          </w:tcPr>
          <w:p w14:paraId="594222DC" w14:textId="77777777" w:rsidR="00F46AB9" w:rsidRPr="008C25D1" w:rsidRDefault="00F46AB9" w:rsidP="00BC5468">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Cs/>
                <w:sz w:val="18"/>
                <w:szCs w:val="18"/>
              </w:rPr>
            </w:pPr>
            <w:r w:rsidRPr="008C25D1">
              <w:rPr>
                <w:rFonts w:asciiTheme="minorHAnsi" w:hAnsiTheme="minorHAnsi" w:cstheme="minorHAnsi"/>
                <w:bCs/>
                <w:sz w:val="18"/>
                <w:szCs w:val="18"/>
              </w:rPr>
              <w:t xml:space="preserve">Selenium </w:t>
            </w:r>
          </w:p>
        </w:tc>
        <w:tc>
          <w:tcPr>
            <w:tcW w:w="1290" w:type="dxa"/>
            <w:tcBorders>
              <w:left w:val="none" w:sz="0" w:space="0" w:color="auto"/>
              <w:right w:val="single" w:sz="4" w:space="0" w:color="auto"/>
            </w:tcBorders>
            <w:shd w:val="clear" w:color="auto" w:fill="FFFFFF" w:themeFill="background1"/>
          </w:tcPr>
          <w:p w14:paraId="594028B0" w14:textId="77777777" w:rsidR="00F46AB9" w:rsidRPr="008C25D1" w:rsidRDefault="00F46AB9" w:rsidP="00BC5468">
            <w:pPr>
              <w:ind w:left="113" w:hanging="113"/>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8C25D1">
              <w:rPr>
                <w:rFonts w:asciiTheme="minorHAnsi" w:hAnsiTheme="minorHAnsi" w:cstheme="minorHAnsi"/>
                <w:sz w:val="18"/>
                <w:szCs w:val="18"/>
              </w:rPr>
              <w:t>8</w:t>
            </w:r>
          </w:p>
          <w:p w14:paraId="0D65CED1" w14:textId="77777777" w:rsidR="00F46AB9" w:rsidRPr="008C25D1" w:rsidRDefault="00F46AB9" w:rsidP="00BC5468">
            <w:pPr>
              <w:ind w:left="113" w:hanging="113"/>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8C25D1">
              <w:rPr>
                <w:rFonts w:asciiTheme="minorHAnsi" w:hAnsiTheme="minorHAnsi" w:cstheme="minorHAnsi"/>
                <w:sz w:val="18"/>
                <w:szCs w:val="18"/>
              </w:rPr>
              <w:t>(5I, 3G)</w:t>
            </w:r>
          </w:p>
        </w:tc>
        <w:tc>
          <w:tcPr>
            <w:tcW w:w="4525" w:type="dxa"/>
            <w:tcBorders>
              <w:left w:val="single" w:sz="4" w:space="0" w:color="auto"/>
              <w:right w:val="single" w:sz="4" w:space="0" w:color="auto"/>
            </w:tcBorders>
            <w:shd w:val="clear" w:color="auto" w:fill="FFFFFF" w:themeFill="background1"/>
          </w:tcPr>
          <w:p w14:paraId="15BBEA77" w14:textId="77777777" w:rsidR="00F46AB9" w:rsidRPr="008C25D1" w:rsidRDefault="00F46AB9" w:rsidP="00BC5468">
            <w:pPr>
              <w:keepNext/>
              <w:keepLines/>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8C25D1">
              <w:rPr>
                <w:rFonts w:asciiTheme="minorHAnsi" w:hAnsiTheme="minorHAnsi" w:cstheme="minorHAnsi"/>
                <w:sz w:val="18"/>
                <w:szCs w:val="18"/>
              </w:rPr>
              <w:t>Government submitters supported FSANZ’s preliminary view to increase the selenium minimum. Industry submitters supported retaining Std. 2.9.1 level on basis that</w:t>
            </w:r>
            <w:r w:rsidRPr="008C25D1">
              <w:rPr>
                <w:rFonts w:asciiTheme="minorHAnsi" w:hAnsiTheme="minorHAnsi" w:cstheme="minorHAnsi"/>
                <w:sz w:val="18"/>
                <w:szCs w:val="18"/>
                <w:lang w:val="en-AU" w:eastAsia="en-AU"/>
              </w:rPr>
              <w:t xml:space="preserve"> </w:t>
            </w:r>
            <w:r w:rsidRPr="008C25D1">
              <w:rPr>
                <w:rFonts w:asciiTheme="minorHAnsi" w:hAnsiTheme="minorHAnsi" w:cstheme="minorHAnsi"/>
                <w:sz w:val="18"/>
                <w:szCs w:val="18"/>
                <w:lang w:val="en-AU"/>
              </w:rPr>
              <w:t>manufacturers already target a higher amount.</w:t>
            </w:r>
          </w:p>
        </w:tc>
        <w:tc>
          <w:tcPr>
            <w:tcW w:w="4783" w:type="dxa"/>
            <w:tcBorders>
              <w:left w:val="single" w:sz="4" w:space="0" w:color="auto"/>
            </w:tcBorders>
            <w:shd w:val="clear" w:color="auto" w:fill="FFFFFF" w:themeFill="background1"/>
          </w:tcPr>
          <w:p w14:paraId="651E9618" w14:textId="77777777" w:rsidR="00F46AB9" w:rsidRPr="008C25D1" w:rsidRDefault="00F46AB9" w:rsidP="00BC5468">
            <w:pPr>
              <w:keepNext/>
              <w:keepLines/>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8C25D1">
              <w:rPr>
                <w:rFonts w:asciiTheme="minorHAnsi" w:hAnsiTheme="minorHAnsi" w:cstheme="minorHAnsi"/>
                <w:sz w:val="18"/>
                <w:szCs w:val="18"/>
              </w:rPr>
              <w:t xml:space="preserve">FSANZ proposes to set the selenium permitted range to 0.48 - 2.2 ug/100 kJ. The increased minimum would align with recent international regulations, would meet the </w:t>
            </w:r>
            <w:r>
              <w:rPr>
                <w:rFonts w:asciiTheme="minorHAnsi" w:hAnsiTheme="minorHAnsi" w:cstheme="minorHAnsi"/>
                <w:sz w:val="18"/>
                <w:szCs w:val="18"/>
                <w:lang w:val="en-AU"/>
              </w:rPr>
              <w:t>ANZ</w:t>
            </w:r>
            <w:r w:rsidRPr="008C25D1">
              <w:rPr>
                <w:rFonts w:asciiTheme="minorHAnsi" w:hAnsiTheme="minorHAnsi" w:cstheme="minorHAnsi"/>
                <w:sz w:val="18"/>
                <w:szCs w:val="18"/>
              </w:rPr>
              <w:t xml:space="preserve"> AI, and is slightly higher than breast milk concentrations of </w:t>
            </w:r>
            <w:r>
              <w:rPr>
                <w:rFonts w:asciiTheme="minorHAnsi" w:hAnsiTheme="minorHAnsi" w:cstheme="minorHAnsi"/>
                <w:sz w:val="18"/>
                <w:szCs w:val="18"/>
                <w:lang w:val="en-AU"/>
              </w:rPr>
              <w:t>ANZ</w:t>
            </w:r>
            <w:r w:rsidRPr="008C25D1">
              <w:rPr>
                <w:rFonts w:asciiTheme="minorHAnsi" w:hAnsiTheme="minorHAnsi" w:cstheme="minorHAnsi"/>
                <w:sz w:val="18"/>
                <w:szCs w:val="18"/>
                <w:lang w:val="en-AU"/>
              </w:rPr>
              <w:t xml:space="preserve"> </w:t>
            </w:r>
            <w:r w:rsidRPr="008C25D1">
              <w:rPr>
                <w:rFonts w:asciiTheme="minorHAnsi" w:hAnsiTheme="minorHAnsi" w:cstheme="minorHAnsi"/>
                <w:sz w:val="18"/>
                <w:szCs w:val="18"/>
              </w:rPr>
              <w:t xml:space="preserve">mothers, a population that may not be selenium sufficient. The increased maximum would align with Codex STAN 72-1981 and allows a range that is comparable to other international regulations. </w:t>
            </w:r>
          </w:p>
        </w:tc>
      </w:tr>
      <w:tr w:rsidR="00F46AB9" w:rsidRPr="008C25D1" w14:paraId="70A1F7F4" w14:textId="77777777" w:rsidTr="00BC5468">
        <w:trPr>
          <w:cnfStyle w:val="000000100000" w:firstRow="0" w:lastRow="0" w:firstColumn="0" w:lastColumn="0" w:oddVBand="0" w:evenVBand="0" w:oddHBand="1" w:evenHBand="0" w:firstRowFirstColumn="0" w:firstRowLastColumn="0" w:lastRowFirstColumn="0" w:lastRowLastColumn="0"/>
          <w:cantSplit/>
          <w:trHeight w:val="340"/>
        </w:trPr>
        <w:tc>
          <w:tcPr>
            <w:cnfStyle w:val="001000000000" w:firstRow="0" w:lastRow="0" w:firstColumn="1" w:lastColumn="0" w:oddVBand="0" w:evenVBand="0" w:oddHBand="0" w:evenHBand="0" w:firstRowFirstColumn="0" w:firstRowLastColumn="0" w:lastRowFirstColumn="0" w:lastRowLastColumn="0"/>
            <w:tcW w:w="13987" w:type="dxa"/>
            <w:gridSpan w:val="5"/>
            <w:shd w:val="clear" w:color="auto" w:fill="F2F2F2" w:themeFill="background1" w:themeFillShade="F2"/>
            <w:vAlign w:val="center"/>
          </w:tcPr>
          <w:p w14:paraId="4710F55E" w14:textId="77777777" w:rsidR="00F46AB9" w:rsidRPr="009E5947" w:rsidRDefault="00F46AB9" w:rsidP="00BC5468">
            <w:pPr>
              <w:rPr>
                <w:rFonts w:asciiTheme="minorHAnsi" w:hAnsiTheme="minorHAnsi" w:cstheme="minorHAnsi"/>
                <w:bCs w:val="0"/>
                <w:i/>
                <w:sz w:val="18"/>
                <w:szCs w:val="18"/>
              </w:rPr>
            </w:pPr>
            <w:r w:rsidRPr="009E5947">
              <w:rPr>
                <w:rFonts w:asciiTheme="minorHAnsi" w:hAnsiTheme="minorHAnsi" w:cstheme="minorHAnsi"/>
                <w:bCs w:val="0"/>
                <w:i/>
                <w:szCs w:val="18"/>
              </w:rPr>
              <w:t>RATIOS AND EQUIVALENTS</w:t>
            </w:r>
          </w:p>
        </w:tc>
      </w:tr>
      <w:tr w:rsidR="00F46AB9" w:rsidRPr="008C25D1" w14:paraId="0623BE2F" w14:textId="77777777" w:rsidTr="00E62112">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74" w:type="dxa"/>
            <w:tcBorders>
              <w:right w:val="single" w:sz="4" w:space="0" w:color="auto"/>
            </w:tcBorders>
            <w:shd w:val="clear" w:color="auto" w:fill="EAF1DD" w:themeFill="accent3" w:themeFillTint="33"/>
            <w:vAlign w:val="center"/>
          </w:tcPr>
          <w:p w14:paraId="10B23F8F" w14:textId="77777777" w:rsidR="00F46AB9" w:rsidRPr="009E5947" w:rsidRDefault="00F46AB9" w:rsidP="00BC5468">
            <w:pPr>
              <w:rPr>
                <w:rFonts w:asciiTheme="minorHAnsi" w:hAnsiTheme="minorHAnsi" w:cstheme="minorHAnsi"/>
                <w:bCs w:val="0"/>
                <w:i/>
                <w:sz w:val="18"/>
                <w:szCs w:val="18"/>
              </w:rPr>
            </w:pPr>
            <w:r w:rsidRPr="009E5947">
              <w:rPr>
                <w:rFonts w:asciiTheme="minorHAnsi" w:hAnsiTheme="minorHAnsi" w:cstheme="minorHAnsi"/>
                <w:bCs w:val="0"/>
                <w:i/>
                <w:sz w:val="18"/>
                <w:szCs w:val="18"/>
              </w:rPr>
              <w:t>7.4.1</w:t>
            </w:r>
          </w:p>
        </w:tc>
        <w:tc>
          <w:tcPr>
            <w:tcW w:w="2515" w:type="dxa"/>
            <w:tcBorders>
              <w:left w:val="none" w:sz="0" w:space="0" w:color="auto"/>
              <w:right w:val="single" w:sz="4" w:space="0" w:color="auto"/>
            </w:tcBorders>
            <w:shd w:val="clear" w:color="auto" w:fill="EAF1DD" w:themeFill="accent3" w:themeFillTint="33"/>
          </w:tcPr>
          <w:p w14:paraId="213D046D" w14:textId="77777777" w:rsidR="00F46AB9" w:rsidRPr="008C25D1" w:rsidRDefault="00F46AB9" w:rsidP="00BC5468">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Cs/>
                <w:sz w:val="18"/>
                <w:szCs w:val="18"/>
              </w:rPr>
            </w:pPr>
            <w:r w:rsidRPr="008C25D1">
              <w:rPr>
                <w:rFonts w:asciiTheme="minorHAnsi" w:hAnsiTheme="minorHAnsi" w:cstheme="minorHAnsi"/>
                <w:bCs/>
                <w:sz w:val="18"/>
                <w:szCs w:val="18"/>
              </w:rPr>
              <w:t>Phosphorus and the Ca:P ratio</w:t>
            </w:r>
          </w:p>
        </w:tc>
        <w:tc>
          <w:tcPr>
            <w:tcW w:w="1290" w:type="dxa"/>
            <w:tcBorders>
              <w:left w:val="none" w:sz="0" w:space="0" w:color="auto"/>
              <w:right w:val="single" w:sz="4" w:space="0" w:color="auto"/>
            </w:tcBorders>
            <w:shd w:val="clear" w:color="auto" w:fill="EAF1DD" w:themeFill="accent3" w:themeFillTint="33"/>
          </w:tcPr>
          <w:p w14:paraId="3CDF9B45" w14:textId="77777777" w:rsidR="00F46AB9" w:rsidRPr="008C25D1" w:rsidRDefault="00F46AB9" w:rsidP="00BC5468">
            <w:pPr>
              <w:ind w:left="113" w:hanging="113"/>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8C25D1">
              <w:rPr>
                <w:rFonts w:asciiTheme="minorHAnsi" w:hAnsiTheme="minorHAnsi" w:cstheme="minorHAnsi"/>
                <w:sz w:val="18"/>
                <w:szCs w:val="18"/>
              </w:rPr>
              <w:t>6</w:t>
            </w:r>
          </w:p>
          <w:p w14:paraId="69547F74" w14:textId="77777777" w:rsidR="00F46AB9" w:rsidRPr="008C25D1" w:rsidRDefault="00F46AB9" w:rsidP="00BC5468">
            <w:pPr>
              <w:ind w:left="113" w:hanging="113"/>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8C25D1">
              <w:rPr>
                <w:rFonts w:asciiTheme="minorHAnsi" w:hAnsiTheme="minorHAnsi" w:cstheme="minorHAnsi"/>
                <w:sz w:val="18"/>
                <w:szCs w:val="18"/>
              </w:rPr>
              <w:t>(3G, 3I)</w:t>
            </w:r>
          </w:p>
        </w:tc>
        <w:tc>
          <w:tcPr>
            <w:tcW w:w="4525" w:type="dxa"/>
            <w:tcBorders>
              <w:left w:val="single" w:sz="4" w:space="0" w:color="auto"/>
              <w:right w:val="single" w:sz="4" w:space="0" w:color="auto"/>
            </w:tcBorders>
            <w:shd w:val="clear" w:color="auto" w:fill="EAF1DD" w:themeFill="accent3" w:themeFillTint="33"/>
          </w:tcPr>
          <w:p w14:paraId="69AA79BA" w14:textId="77777777" w:rsidR="00F46AB9" w:rsidRPr="008C25D1" w:rsidRDefault="00F46AB9" w:rsidP="00BC5468">
            <w:pPr>
              <w:keepNext/>
              <w:keepLines/>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8C25D1">
              <w:rPr>
                <w:rFonts w:asciiTheme="minorHAnsi" w:hAnsiTheme="minorHAnsi" w:cstheme="minorHAnsi"/>
                <w:sz w:val="18"/>
                <w:szCs w:val="18"/>
              </w:rPr>
              <w:t>All submitters supported FSANZ proposal to adjust Standard 2.9.1 to align with the minimum Ca:P ratio prescribed by Codex STAN 72-1981 of 1:1.</w:t>
            </w:r>
          </w:p>
          <w:p w14:paraId="4C0CC6B0" w14:textId="77777777" w:rsidR="00F46AB9" w:rsidRPr="008C25D1" w:rsidRDefault="00F46AB9" w:rsidP="00BC5468">
            <w:pPr>
              <w:keepNext/>
              <w:keepLines/>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p>
          <w:p w14:paraId="212F19EB" w14:textId="77777777" w:rsidR="00F46AB9" w:rsidRPr="008C25D1" w:rsidRDefault="00F46AB9" w:rsidP="00BC5468">
            <w:pPr>
              <w:keepNext/>
              <w:keepLines/>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8C25D1">
              <w:rPr>
                <w:rFonts w:asciiTheme="minorHAnsi" w:hAnsiTheme="minorHAnsi" w:cstheme="minorHAnsi"/>
                <w:sz w:val="18"/>
                <w:szCs w:val="18"/>
              </w:rPr>
              <w:t xml:space="preserve">Industry submitters supported adopting the Codex STAN 72-1981 GUL of 24mg/100 kJ. Government submitters raised cautions about adopting the GUL based on evidence of hypocalcaemia in neonates fed infant formal and ULs derived by the NHMRC/MoH for young children suggest that excessive intakes should be avoided. Government submitters were in support of setting a separate minimum and maximum for phosphorus levels in soy-based infant formula. </w:t>
            </w:r>
          </w:p>
        </w:tc>
        <w:tc>
          <w:tcPr>
            <w:tcW w:w="4783" w:type="dxa"/>
            <w:tcBorders>
              <w:left w:val="single" w:sz="4" w:space="0" w:color="auto"/>
            </w:tcBorders>
            <w:shd w:val="clear" w:color="auto" w:fill="EAF1DD" w:themeFill="accent3" w:themeFillTint="33"/>
          </w:tcPr>
          <w:p w14:paraId="0E0B84FA" w14:textId="2BDD2E9B" w:rsidR="00F46AB9" w:rsidRPr="008C25D1" w:rsidRDefault="00F46AB9" w:rsidP="00BC5468">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8C25D1">
              <w:rPr>
                <w:rFonts w:asciiTheme="minorHAnsi" w:hAnsiTheme="minorHAnsi" w:cstheme="minorHAnsi"/>
                <w:sz w:val="18"/>
                <w:szCs w:val="18"/>
              </w:rPr>
              <w:t xml:space="preserve">FSANZ proposes to adjust Standard 2.9.1 to align with </w:t>
            </w:r>
            <w:r>
              <w:rPr>
                <w:rFonts w:asciiTheme="minorHAnsi" w:hAnsiTheme="minorHAnsi" w:cstheme="minorHAnsi"/>
                <w:sz w:val="18"/>
                <w:szCs w:val="18"/>
              </w:rPr>
              <w:t xml:space="preserve">the </w:t>
            </w:r>
            <w:r w:rsidRPr="008C25D1">
              <w:rPr>
                <w:rFonts w:asciiTheme="minorHAnsi" w:hAnsiTheme="minorHAnsi" w:cstheme="minorHAnsi"/>
                <w:sz w:val="18"/>
                <w:szCs w:val="18"/>
              </w:rPr>
              <w:t>Codex STAN 72-1981 minimum Ca:P ratio of 1:1.</w:t>
            </w:r>
            <w:r>
              <w:rPr>
                <w:rFonts w:asciiTheme="minorHAnsi" w:hAnsiTheme="minorHAnsi" w:cstheme="minorHAnsi"/>
                <w:sz w:val="18"/>
                <w:szCs w:val="18"/>
              </w:rPr>
              <w:t xml:space="preserve"> F</w:t>
            </w:r>
            <w:r w:rsidRPr="008C25D1">
              <w:rPr>
                <w:rFonts w:asciiTheme="minorHAnsi" w:hAnsiTheme="minorHAnsi" w:cstheme="minorHAnsi"/>
                <w:sz w:val="18"/>
                <w:szCs w:val="18"/>
              </w:rPr>
              <w:t xml:space="preserve">SANZ notes that the evidence suggesting hypocalcaemia in neonates fed infant formal and UL, </w:t>
            </w:r>
            <w:r>
              <w:rPr>
                <w:rFonts w:asciiTheme="minorHAnsi" w:hAnsiTheme="minorHAnsi" w:cstheme="minorHAnsi"/>
                <w:sz w:val="18"/>
                <w:szCs w:val="18"/>
              </w:rPr>
              <w:t xml:space="preserve">concluded </w:t>
            </w:r>
            <w:r w:rsidRPr="008C25D1">
              <w:rPr>
                <w:rFonts w:asciiTheme="minorHAnsi" w:hAnsiTheme="minorHAnsi" w:cstheme="minorHAnsi"/>
                <w:sz w:val="18"/>
                <w:szCs w:val="18"/>
                <w:lang w:val="en-AU"/>
              </w:rPr>
              <w:t xml:space="preserve">hypocalcaemia was considered to be associated with vitamin D deficiency. Based on </w:t>
            </w:r>
            <w:r w:rsidRPr="008C25D1">
              <w:rPr>
                <w:rFonts w:asciiTheme="minorHAnsi" w:hAnsiTheme="minorHAnsi" w:cstheme="minorHAnsi"/>
                <w:sz w:val="18"/>
                <w:szCs w:val="18"/>
              </w:rPr>
              <w:t>Codex STAN 72-1981 and conclusions from the 2016 nutrition assessment FSANZ proposes to adjust the current phosphorus maximum (25 mg/100 kJ) in Standard 2.9.1 to a GUL of 24 mg/100 kJ.</w:t>
            </w:r>
          </w:p>
          <w:p w14:paraId="6AF935E5" w14:textId="77777777" w:rsidR="00F46AB9" w:rsidRPr="008C25D1" w:rsidRDefault="00F46AB9" w:rsidP="00BC5468">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p>
          <w:p w14:paraId="7595928A" w14:textId="77777777" w:rsidR="00F46AB9" w:rsidRPr="008C25D1" w:rsidRDefault="00F46AB9" w:rsidP="00BC5468">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8C25D1">
              <w:rPr>
                <w:rFonts w:asciiTheme="minorHAnsi" w:hAnsiTheme="minorHAnsi" w:cstheme="minorHAnsi"/>
                <w:sz w:val="18"/>
                <w:szCs w:val="18"/>
              </w:rPr>
              <w:t>FSANZ also proposes retaining a phosphorus range that accounts for all infant formula products (including soy-based infant formulas), however is seeking further information on this issue to inform future considerations.</w:t>
            </w:r>
          </w:p>
        </w:tc>
      </w:tr>
      <w:tr w:rsidR="00F46AB9" w:rsidRPr="008C25D1" w14:paraId="2B9C469E" w14:textId="77777777" w:rsidTr="00E6211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74" w:type="dxa"/>
            <w:tcBorders>
              <w:right w:val="single" w:sz="4" w:space="0" w:color="auto"/>
            </w:tcBorders>
            <w:shd w:val="clear" w:color="auto" w:fill="FFFFFF" w:themeFill="background1"/>
            <w:vAlign w:val="center"/>
          </w:tcPr>
          <w:p w14:paraId="2443C2E7" w14:textId="77777777" w:rsidR="00F46AB9" w:rsidRPr="009E5947" w:rsidRDefault="00F46AB9" w:rsidP="00BC5468">
            <w:pPr>
              <w:rPr>
                <w:rFonts w:asciiTheme="minorHAnsi" w:hAnsiTheme="minorHAnsi" w:cstheme="minorHAnsi"/>
                <w:bCs w:val="0"/>
                <w:i/>
                <w:sz w:val="18"/>
                <w:szCs w:val="18"/>
              </w:rPr>
            </w:pPr>
            <w:r w:rsidRPr="009E5947">
              <w:rPr>
                <w:rFonts w:asciiTheme="minorHAnsi" w:hAnsiTheme="minorHAnsi" w:cstheme="minorHAnsi"/>
                <w:bCs w:val="0"/>
                <w:i/>
                <w:sz w:val="18"/>
                <w:szCs w:val="18"/>
              </w:rPr>
              <w:lastRenderedPageBreak/>
              <w:t>7.4.2</w:t>
            </w:r>
          </w:p>
        </w:tc>
        <w:tc>
          <w:tcPr>
            <w:tcW w:w="2515" w:type="dxa"/>
            <w:tcBorders>
              <w:left w:val="none" w:sz="0" w:space="0" w:color="auto"/>
              <w:right w:val="single" w:sz="4" w:space="0" w:color="auto"/>
            </w:tcBorders>
            <w:shd w:val="clear" w:color="auto" w:fill="FFFFFF" w:themeFill="background1"/>
          </w:tcPr>
          <w:p w14:paraId="5698E9BD" w14:textId="77777777" w:rsidR="00F46AB9" w:rsidRPr="008C25D1" w:rsidRDefault="00F46AB9" w:rsidP="00BC546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18"/>
                <w:szCs w:val="18"/>
              </w:rPr>
            </w:pPr>
            <w:r w:rsidRPr="008C25D1">
              <w:rPr>
                <w:rFonts w:asciiTheme="minorHAnsi" w:hAnsiTheme="minorHAnsi" w:cstheme="minorHAnsi"/>
                <w:bCs/>
                <w:sz w:val="18"/>
                <w:szCs w:val="18"/>
              </w:rPr>
              <w:t>Vitamin E: fatty acids ratio</w:t>
            </w:r>
          </w:p>
        </w:tc>
        <w:tc>
          <w:tcPr>
            <w:tcW w:w="1290" w:type="dxa"/>
            <w:tcBorders>
              <w:left w:val="none" w:sz="0" w:space="0" w:color="auto"/>
              <w:right w:val="single" w:sz="4" w:space="0" w:color="auto"/>
            </w:tcBorders>
            <w:shd w:val="clear" w:color="auto" w:fill="FFFFFF" w:themeFill="background1"/>
          </w:tcPr>
          <w:p w14:paraId="434BDEFD" w14:textId="77777777" w:rsidR="00F46AB9" w:rsidRPr="008C25D1" w:rsidRDefault="00F46AB9" w:rsidP="00BC5468">
            <w:pPr>
              <w:ind w:left="113" w:hanging="113"/>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8C25D1">
              <w:rPr>
                <w:rFonts w:asciiTheme="minorHAnsi" w:hAnsiTheme="minorHAnsi" w:cstheme="minorHAnsi"/>
                <w:sz w:val="18"/>
                <w:szCs w:val="18"/>
              </w:rPr>
              <w:t>3</w:t>
            </w:r>
          </w:p>
          <w:p w14:paraId="50B655E4" w14:textId="77777777" w:rsidR="00F46AB9" w:rsidRPr="008C25D1" w:rsidRDefault="00F46AB9" w:rsidP="00BC5468">
            <w:pPr>
              <w:ind w:left="113" w:hanging="113"/>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8C25D1">
              <w:rPr>
                <w:rFonts w:asciiTheme="minorHAnsi" w:hAnsiTheme="minorHAnsi" w:cstheme="minorHAnsi"/>
                <w:sz w:val="18"/>
                <w:szCs w:val="18"/>
              </w:rPr>
              <w:t>(1G, 2I)</w:t>
            </w:r>
          </w:p>
        </w:tc>
        <w:tc>
          <w:tcPr>
            <w:tcW w:w="4525" w:type="dxa"/>
            <w:tcBorders>
              <w:left w:val="single" w:sz="4" w:space="0" w:color="auto"/>
              <w:right w:val="single" w:sz="4" w:space="0" w:color="auto"/>
            </w:tcBorders>
            <w:shd w:val="clear" w:color="auto" w:fill="FFFFFF" w:themeFill="background1"/>
          </w:tcPr>
          <w:p w14:paraId="7E09FEB1" w14:textId="77777777" w:rsidR="00F46AB9" w:rsidRPr="008C25D1" w:rsidRDefault="00F46AB9" w:rsidP="00BC546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8C25D1">
              <w:rPr>
                <w:rFonts w:asciiTheme="minorHAnsi" w:hAnsiTheme="minorHAnsi" w:cstheme="minorHAnsi"/>
                <w:sz w:val="18"/>
                <w:szCs w:val="18"/>
              </w:rPr>
              <w:t>All submitters supported retaining the current approach in Standard 2.9.1.</w:t>
            </w:r>
          </w:p>
        </w:tc>
        <w:tc>
          <w:tcPr>
            <w:tcW w:w="4783" w:type="dxa"/>
            <w:tcBorders>
              <w:left w:val="single" w:sz="4" w:space="0" w:color="auto"/>
            </w:tcBorders>
            <w:shd w:val="clear" w:color="auto" w:fill="FFFFFF" w:themeFill="background1"/>
          </w:tcPr>
          <w:p w14:paraId="607CB799" w14:textId="77777777" w:rsidR="00F46AB9" w:rsidRPr="008C25D1" w:rsidRDefault="00F46AB9" w:rsidP="00BC546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8C25D1">
              <w:rPr>
                <w:rFonts w:asciiTheme="minorHAnsi" w:hAnsiTheme="minorHAnsi" w:cstheme="minorHAnsi"/>
                <w:sz w:val="18"/>
                <w:szCs w:val="18"/>
              </w:rPr>
              <w:t xml:space="preserve">Based on the 2016 nutrition assessment conclusions and stakeholder support FSANZ’s proposes to retain the current permission for vitamin E requirements relating to the PUFA content of infant formula within Standard 2.9.1. It is not considered necessary to adopt the ‘factors of equivalence’ for α-TE to individual PUFA outlined in Codex STAN 72-1981. </w:t>
            </w:r>
          </w:p>
        </w:tc>
      </w:tr>
      <w:tr w:rsidR="00F0473D" w:rsidRPr="008C25D1" w14:paraId="5245C4B5" w14:textId="77777777" w:rsidTr="00E62112">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74" w:type="dxa"/>
            <w:tcBorders>
              <w:right w:val="single" w:sz="4" w:space="0" w:color="auto"/>
            </w:tcBorders>
            <w:shd w:val="clear" w:color="auto" w:fill="FFFFFF" w:themeFill="background1"/>
            <w:vAlign w:val="center"/>
          </w:tcPr>
          <w:p w14:paraId="1D1E8EC3" w14:textId="3FB73A03" w:rsidR="00F0473D" w:rsidRPr="009E5947" w:rsidRDefault="00F0473D" w:rsidP="00BC5468">
            <w:pPr>
              <w:rPr>
                <w:rFonts w:asciiTheme="minorHAnsi" w:hAnsiTheme="minorHAnsi" w:cstheme="minorHAnsi"/>
                <w:bCs w:val="0"/>
                <w:i/>
                <w:sz w:val="18"/>
                <w:szCs w:val="18"/>
              </w:rPr>
            </w:pPr>
            <w:r>
              <w:rPr>
                <w:rFonts w:asciiTheme="minorHAnsi" w:hAnsiTheme="minorHAnsi" w:cstheme="minorHAnsi"/>
                <w:bCs w:val="0"/>
                <w:i/>
                <w:sz w:val="18"/>
                <w:szCs w:val="18"/>
              </w:rPr>
              <w:t>7.4.3</w:t>
            </w:r>
          </w:p>
        </w:tc>
        <w:tc>
          <w:tcPr>
            <w:tcW w:w="2515" w:type="dxa"/>
            <w:tcBorders>
              <w:right w:val="single" w:sz="4" w:space="0" w:color="auto"/>
            </w:tcBorders>
            <w:shd w:val="clear" w:color="auto" w:fill="FFFFFF" w:themeFill="background1"/>
          </w:tcPr>
          <w:p w14:paraId="385794F9" w14:textId="1E186E53" w:rsidR="00F0473D" w:rsidRPr="008C25D1" w:rsidRDefault="00E62112" w:rsidP="00BC5468">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Cs/>
                <w:sz w:val="18"/>
                <w:szCs w:val="18"/>
              </w:rPr>
            </w:pPr>
            <w:r>
              <w:rPr>
                <w:rFonts w:asciiTheme="minorHAnsi" w:hAnsiTheme="minorHAnsi" w:cstheme="minorHAnsi"/>
                <w:bCs/>
                <w:sz w:val="18"/>
                <w:szCs w:val="18"/>
              </w:rPr>
              <w:t>Copper, vitamin C and iron: nutrient interaction</w:t>
            </w:r>
          </w:p>
        </w:tc>
        <w:tc>
          <w:tcPr>
            <w:tcW w:w="1290" w:type="dxa"/>
            <w:tcBorders>
              <w:right w:val="single" w:sz="4" w:space="0" w:color="auto"/>
            </w:tcBorders>
            <w:shd w:val="clear" w:color="auto" w:fill="FFFFFF" w:themeFill="background1"/>
          </w:tcPr>
          <w:p w14:paraId="12FAEEE6" w14:textId="77777777" w:rsidR="00F0473D" w:rsidRPr="008C25D1" w:rsidRDefault="00F0473D" w:rsidP="00BC5468">
            <w:pPr>
              <w:ind w:left="113" w:hanging="113"/>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p>
        </w:tc>
        <w:tc>
          <w:tcPr>
            <w:tcW w:w="4525" w:type="dxa"/>
            <w:tcBorders>
              <w:left w:val="single" w:sz="4" w:space="0" w:color="auto"/>
              <w:right w:val="single" w:sz="4" w:space="0" w:color="auto"/>
            </w:tcBorders>
            <w:shd w:val="clear" w:color="auto" w:fill="FFFFFF" w:themeFill="background1"/>
          </w:tcPr>
          <w:p w14:paraId="3FABAA3F" w14:textId="77777777" w:rsidR="00F0473D" w:rsidRPr="008C25D1" w:rsidRDefault="00F0473D" w:rsidP="00BC5468">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p>
        </w:tc>
        <w:tc>
          <w:tcPr>
            <w:tcW w:w="4783" w:type="dxa"/>
            <w:tcBorders>
              <w:left w:val="single" w:sz="4" w:space="0" w:color="auto"/>
            </w:tcBorders>
            <w:shd w:val="clear" w:color="auto" w:fill="FFFFFF" w:themeFill="background1"/>
          </w:tcPr>
          <w:p w14:paraId="37AF11AC" w14:textId="77777777" w:rsidR="00F0473D" w:rsidRPr="008C25D1" w:rsidRDefault="00F0473D" w:rsidP="00BC5468">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p>
        </w:tc>
      </w:tr>
      <w:tr w:rsidR="00F46AB9" w:rsidRPr="008C25D1" w14:paraId="3A89998C" w14:textId="77777777" w:rsidTr="00BC5468">
        <w:trPr>
          <w:cnfStyle w:val="000000100000" w:firstRow="0" w:lastRow="0" w:firstColumn="0" w:lastColumn="0" w:oddVBand="0" w:evenVBand="0" w:oddHBand="1" w:evenHBand="0" w:firstRowFirstColumn="0" w:firstRowLastColumn="0" w:lastRowFirstColumn="0" w:lastRowLastColumn="0"/>
          <w:cantSplit/>
          <w:trHeight w:val="340"/>
        </w:trPr>
        <w:tc>
          <w:tcPr>
            <w:cnfStyle w:val="001000000000" w:firstRow="0" w:lastRow="0" w:firstColumn="1" w:lastColumn="0" w:oddVBand="0" w:evenVBand="0" w:oddHBand="0" w:evenHBand="0" w:firstRowFirstColumn="0" w:firstRowLastColumn="0" w:lastRowFirstColumn="0" w:lastRowLastColumn="0"/>
            <w:tcW w:w="13987" w:type="dxa"/>
            <w:gridSpan w:val="5"/>
            <w:shd w:val="clear" w:color="auto" w:fill="F2F2F2" w:themeFill="background1" w:themeFillShade="F2"/>
            <w:vAlign w:val="center"/>
          </w:tcPr>
          <w:p w14:paraId="254DF3AA" w14:textId="77777777" w:rsidR="00F46AB9" w:rsidRPr="009E5947" w:rsidRDefault="00F46AB9" w:rsidP="00BC5468">
            <w:pPr>
              <w:rPr>
                <w:rFonts w:asciiTheme="minorHAnsi" w:hAnsiTheme="minorHAnsi" w:cstheme="minorHAnsi"/>
                <w:bCs w:val="0"/>
                <w:i/>
                <w:sz w:val="18"/>
                <w:szCs w:val="18"/>
              </w:rPr>
            </w:pPr>
            <w:r w:rsidRPr="009E5947">
              <w:rPr>
                <w:rFonts w:asciiTheme="minorHAnsi" w:hAnsiTheme="minorHAnsi" w:cstheme="minorHAnsi"/>
                <w:bCs w:val="0"/>
                <w:i/>
                <w:szCs w:val="18"/>
              </w:rPr>
              <w:t>PERMITTED FORMS</w:t>
            </w:r>
          </w:p>
        </w:tc>
      </w:tr>
      <w:tr w:rsidR="00F46AB9" w:rsidRPr="008C25D1" w14:paraId="50939E08" w14:textId="77777777" w:rsidTr="00E62112">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74" w:type="dxa"/>
            <w:tcBorders>
              <w:right w:val="single" w:sz="4" w:space="0" w:color="auto"/>
            </w:tcBorders>
            <w:shd w:val="clear" w:color="auto" w:fill="EAF1DD" w:themeFill="accent3" w:themeFillTint="33"/>
            <w:vAlign w:val="center"/>
          </w:tcPr>
          <w:p w14:paraId="4BD47310" w14:textId="77777777" w:rsidR="00F46AB9" w:rsidRPr="009E5947" w:rsidRDefault="00F46AB9" w:rsidP="00BC5468">
            <w:pPr>
              <w:rPr>
                <w:rFonts w:asciiTheme="minorHAnsi" w:hAnsiTheme="minorHAnsi" w:cstheme="minorHAnsi"/>
                <w:bCs w:val="0"/>
                <w:i/>
                <w:sz w:val="18"/>
                <w:szCs w:val="18"/>
              </w:rPr>
            </w:pPr>
            <w:r w:rsidRPr="009E5947">
              <w:rPr>
                <w:rFonts w:asciiTheme="minorHAnsi" w:hAnsiTheme="minorHAnsi" w:cstheme="minorHAnsi"/>
                <w:bCs w:val="0"/>
                <w:i/>
                <w:sz w:val="18"/>
                <w:szCs w:val="18"/>
              </w:rPr>
              <w:t>7.5</w:t>
            </w:r>
          </w:p>
        </w:tc>
        <w:tc>
          <w:tcPr>
            <w:tcW w:w="2515" w:type="dxa"/>
            <w:tcBorders>
              <w:left w:val="none" w:sz="0" w:space="0" w:color="auto"/>
              <w:right w:val="single" w:sz="4" w:space="0" w:color="auto"/>
            </w:tcBorders>
            <w:shd w:val="clear" w:color="auto" w:fill="EAF1DD" w:themeFill="accent3" w:themeFillTint="33"/>
          </w:tcPr>
          <w:p w14:paraId="304F1989" w14:textId="77777777" w:rsidR="00F46AB9" w:rsidRPr="008C25D1" w:rsidRDefault="00F46AB9" w:rsidP="00BC5468">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Cs/>
                <w:sz w:val="18"/>
                <w:szCs w:val="18"/>
              </w:rPr>
            </w:pPr>
            <w:r w:rsidRPr="008C25D1">
              <w:rPr>
                <w:rFonts w:asciiTheme="minorHAnsi" w:hAnsiTheme="minorHAnsi" w:cstheme="minorHAnsi"/>
                <w:bCs/>
                <w:sz w:val="18"/>
                <w:szCs w:val="18"/>
              </w:rPr>
              <w:t>Permitted forms</w:t>
            </w:r>
          </w:p>
        </w:tc>
        <w:tc>
          <w:tcPr>
            <w:tcW w:w="1290" w:type="dxa"/>
            <w:tcBorders>
              <w:left w:val="none" w:sz="0" w:space="0" w:color="auto"/>
              <w:right w:val="single" w:sz="4" w:space="0" w:color="auto"/>
            </w:tcBorders>
            <w:shd w:val="clear" w:color="auto" w:fill="EAF1DD" w:themeFill="accent3" w:themeFillTint="33"/>
          </w:tcPr>
          <w:p w14:paraId="659365BF" w14:textId="77777777" w:rsidR="00F46AB9" w:rsidRPr="008C25D1" w:rsidRDefault="00F46AB9" w:rsidP="00BC5468">
            <w:pPr>
              <w:ind w:left="113" w:hanging="113"/>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8C25D1">
              <w:rPr>
                <w:rFonts w:asciiTheme="minorHAnsi" w:hAnsiTheme="minorHAnsi" w:cstheme="minorHAnsi"/>
                <w:sz w:val="18"/>
                <w:szCs w:val="18"/>
              </w:rPr>
              <w:t>5</w:t>
            </w:r>
          </w:p>
          <w:p w14:paraId="62B34D71" w14:textId="77777777" w:rsidR="00F46AB9" w:rsidRPr="008C25D1" w:rsidRDefault="00F46AB9" w:rsidP="00BC5468">
            <w:pPr>
              <w:ind w:left="113" w:hanging="113"/>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8C25D1">
              <w:rPr>
                <w:rFonts w:asciiTheme="minorHAnsi" w:hAnsiTheme="minorHAnsi" w:cstheme="minorHAnsi"/>
                <w:sz w:val="18"/>
                <w:szCs w:val="18"/>
              </w:rPr>
              <w:t>(5I)</w:t>
            </w:r>
          </w:p>
        </w:tc>
        <w:tc>
          <w:tcPr>
            <w:tcW w:w="4525" w:type="dxa"/>
            <w:tcBorders>
              <w:left w:val="single" w:sz="4" w:space="0" w:color="auto"/>
              <w:right w:val="single" w:sz="4" w:space="0" w:color="auto"/>
            </w:tcBorders>
            <w:shd w:val="clear" w:color="auto" w:fill="EAF1DD" w:themeFill="accent3" w:themeFillTint="33"/>
          </w:tcPr>
          <w:p w14:paraId="13AEC7F6" w14:textId="77777777" w:rsidR="00F46AB9" w:rsidRPr="008C25D1" w:rsidRDefault="00F46AB9" w:rsidP="00BC5468">
            <w:pPr>
              <w:keepNext/>
              <w:keepLines/>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8C25D1">
              <w:rPr>
                <w:rFonts w:asciiTheme="minorHAnsi" w:hAnsiTheme="minorHAnsi" w:cstheme="minorHAnsi"/>
                <w:sz w:val="18"/>
                <w:szCs w:val="18"/>
              </w:rPr>
              <w:t xml:space="preserve">Industry </w:t>
            </w:r>
            <w:r w:rsidRPr="008C25D1">
              <w:rPr>
                <w:rFonts w:asciiTheme="minorHAnsi" w:hAnsiTheme="minorHAnsi" w:cstheme="minorHAnsi"/>
                <w:sz w:val="18"/>
                <w:szCs w:val="18"/>
                <w:lang w:val="en-AU"/>
              </w:rPr>
              <w:t>submitters considered that all the forms of nutrients permitted in Codex STAN 72-1981 should be permitted in Standard 2.9.1 for reasons of alignment, flexibility for manufacture and avoidance of trade barriers.</w:t>
            </w:r>
          </w:p>
        </w:tc>
        <w:tc>
          <w:tcPr>
            <w:tcW w:w="4783" w:type="dxa"/>
            <w:tcBorders>
              <w:left w:val="single" w:sz="4" w:space="0" w:color="auto"/>
            </w:tcBorders>
            <w:shd w:val="clear" w:color="auto" w:fill="EAF1DD" w:themeFill="accent3" w:themeFillTint="33"/>
          </w:tcPr>
          <w:p w14:paraId="3339EF07" w14:textId="77777777" w:rsidR="00F46AB9" w:rsidRPr="008C25D1" w:rsidRDefault="00F46AB9" w:rsidP="00BC5468">
            <w:pPr>
              <w:keepNext/>
              <w:keepLines/>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8C25D1">
              <w:rPr>
                <w:rFonts w:asciiTheme="minorHAnsi" w:hAnsiTheme="minorHAnsi" w:cstheme="minorHAnsi"/>
                <w:sz w:val="18"/>
                <w:szCs w:val="18"/>
              </w:rPr>
              <w:t xml:space="preserve">FSANZ proposes to permit the </w:t>
            </w:r>
            <w:r>
              <w:rPr>
                <w:rFonts w:asciiTheme="minorHAnsi" w:hAnsiTheme="minorHAnsi" w:cstheme="minorHAnsi"/>
                <w:sz w:val="18"/>
                <w:szCs w:val="18"/>
              </w:rPr>
              <w:t>Codex STAN 72-1981</w:t>
            </w:r>
            <w:r w:rsidRPr="008C25D1">
              <w:rPr>
                <w:rFonts w:asciiTheme="minorHAnsi" w:hAnsiTheme="minorHAnsi" w:cstheme="minorHAnsi"/>
                <w:sz w:val="18"/>
                <w:szCs w:val="18"/>
              </w:rPr>
              <w:t xml:space="preserve"> permitted forms for pantothenic acid, niacin, copper, magnesium, potassium, zinc, and iron.</w:t>
            </w:r>
          </w:p>
        </w:tc>
      </w:tr>
      <w:tr w:rsidR="00F46AB9" w:rsidRPr="008C25D1" w14:paraId="632F6E11" w14:textId="77777777" w:rsidTr="00E6211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74" w:type="dxa"/>
            <w:tcBorders>
              <w:right w:val="single" w:sz="4" w:space="0" w:color="auto"/>
            </w:tcBorders>
            <w:shd w:val="clear" w:color="auto" w:fill="FFFFFF" w:themeFill="background1"/>
            <w:vAlign w:val="center"/>
          </w:tcPr>
          <w:p w14:paraId="4A22857A" w14:textId="77777777" w:rsidR="00F46AB9" w:rsidRPr="009E5947" w:rsidRDefault="00F46AB9" w:rsidP="00BC5468">
            <w:pPr>
              <w:rPr>
                <w:rFonts w:asciiTheme="minorHAnsi" w:hAnsiTheme="minorHAnsi" w:cstheme="minorHAnsi"/>
                <w:bCs w:val="0"/>
                <w:i/>
                <w:sz w:val="18"/>
                <w:szCs w:val="18"/>
              </w:rPr>
            </w:pPr>
            <w:r w:rsidRPr="009E5947">
              <w:rPr>
                <w:rFonts w:asciiTheme="minorHAnsi" w:hAnsiTheme="minorHAnsi" w:cstheme="minorHAnsi"/>
                <w:bCs w:val="0"/>
                <w:i/>
                <w:sz w:val="18"/>
                <w:szCs w:val="18"/>
              </w:rPr>
              <w:t>7.5.1</w:t>
            </w:r>
          </w:p>
        </w:tc>
        <w:tc>
          <w:tcPr>
            <w:tcW w:w="2515" w:type="dxa"/>
            <w:tcBorders>
              <w:left w:val="none" w:sz="0" w:space="0" w:color="auto"/>
              <w:right w:val="single" w:sz="4" w:space="0" w:color="auto"/>
            </w:tcBorders>
            <w:shd w:val="clear" w:color="auto" w:fill="FFFFFF" w:themeFill="background1"/>
          </w:tcPr>
          <w:p w14:paraId="29677ABB" w14:textId="77777777" w:rsidR="00F46AB9" w:rsidRPr="008C25D1" w:rsidRDefault="00F46AB9" w:rsidP="00BC546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18"/>
                <w:szCs w:val="18"/>
              </w:rPr>
            </w:pPr>
            <w:r>
              <w:rPr>
                <w:rFonts w:asciiTheme="minorHAnsi" w:hAnsiTheme="minorHAnsi" w:cstheme="minorHAnsi"/>
                <w:bCs/>
                <w:sz w:val="18"/>
                <w:szCs w:val="18"/>
              </w:rPr>
              <w:t xml:space="preserve">β-carotene: </w:t>
            </w:r>
            <w:r w:rsidRPr="008C25D1">
              <w:rPr>
                <w:rFonts w:asciiTheme="minorHAnsi" w:hAnsiTheme="minorHAnsi" w:cstheme="minorHAnsi"/>
                <w:bCs/>
                <w:sz w:val="18"/>
                <w:szCs w:val="18"/>
              </w:rPr>
              <w:t>purpose of its use as a permitted form of vitamin A and whether it is included</w:t>
            </w:r>
            <w:r>
              <w:rPr>
                <w:rFonts w:asciiTheme="minorHAnsi" w:hAnsiTheme="minorHAnsi" w:cstheme="minorHAnsi"/>
                <w:bCs/>
                <w:sz w:val="18"/>
                <w:szCs w:val="18"/>
              </w:rPr>
              <w:t xml:space="preserve"> in the total vitamin A content</w:t>
            </w:r>
          </w:p>
        </w:tc>
        <w:tc>
          <w:tcPr>
            <w:tcW w:w="1290" w:type="dxa"/>
            <w:tcBorders>
              <w:left w:val="none" w:sz="0" w:space="0" w:color="auto"/>
              <w:right w:val="single" w:sz="4" w:space="0" w:color="auto"/>
            </w:tcBorders>
            <w:shd w:val="clear" w:color="auto" w:fill="FFFFFF" w:themeFill="background1"/>
          </w:tcPr>
          <w:p w14:paraId="01DC1082" w14:textId="77777777" w:rsidR="00F46AB9" w:rsidRPr="008C25D1" w:rsidRDefault="00F46AB9" w:rsidP="00BC5468">
            <w:pPr>
              <w:ind w:left="113" w:hanging="113"/>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8C25D1">
              <w:rPr>
                <w:rFonts w:asciiTheme="minorHAnsi" w:hAnsiTheme="minorHAnsi" w:cstheme="minorHAnsi"/>
                <w:sz w:val="18"/>
                <w:szCs w:val="18"/>
              </w:rPr>
              <w:t>8</w:t>
            </w:r>
          </w:p>
          <w:p w14:paraId="72720405" w14:textId="77777777" w:rsidR="00F46AB9" w:rsidRPr="008C25D1" w:rsidRDefault="00F46AB9" w:rsidP="00BC5468">
            <w:pPr>
              <w:ind w:left="113" w:hanging="113"/>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8C25D1">
              <w:rPr>
                <w:rFonts w:asciiTheme="minorHAnsi" w:hAnsiTheme="minorHAnsi" w:cstheme="minorHAnsi"/>
                <w:sz w:val="18"/>
                <w:szCs w:val="18"/>
              </w:rPr>
              <w:t>(6I, 2G)</w:t>
            </w:r>
          </w:p>
        </w:tc>
        <w:tc>
          <w:tcPr>
            <w:tcW w:w="4525" w:type="dxa"/>
            <w:tcBorders>
              <w:left w:val="single" w:sz="4" w:space="0" w:color="auto"/>
              <w:right w:val="single" w:sz="4" w:space="0" w:color="auto"/>
            </w:tcBorders>
            <w:shd w:val="clear" w:color="auto" w:fill="FFFFFF" w:themeFill="background1"/>
          </w:tcPr>
          <w:p w14:paraId="1B1127E3" w14:textId="7B6BA5E3" w:rsidR="00F46AB9" w:rsidRPr="008C25D1" w:rsidRDefault="00F46AB9" w:rsidP="00BC5468">
            <w:pPr>
              <w:keepNext/>
              <w:keepLine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8C25D1">
              <w:rPr>
                <w:rFonts w:asciiTheme="minorHAnsi" w:hAnsiTheme="minorHAnsi" w:cstheme="minorHAnsi"/>
                <w:sz w:val="18"/>
                <w:szCs w:val="18"/>
              </w:rPr>
              <w:t>Industry submitters supp</w:t>
            </w:r>
            <w:r>
              <w:rPr>
                <w:rFonts w:asciiTheme="minorHAnsi" w:hAnsiTheme="minorHAnsi" w:cstheme="minorHAnsi"/>
                <w:sz w:val="18"/>
                <w:szCs w:val="18"/>
              </w:rPr>
              <w:t>orted retaining the current Standard</w:t>
            </w:r>
            <w:r w:rsidRPr="008C25D1">
              <w:rPr>
                <w:rFonts w:asciiTheme="minorHAnsi" w:hAnsiTheme="minorHAnsi" w:cstheme="minorHAnsi"/>
                <w:sz w:val="18"/>
                <w:szCs w:val="18"/>
              </w:rPr>
              <w:t xml:space="preserve"> 2.9.1  permission and commented that </w:t>
            </w:r>
            <w:r w:rsidRPr="008C25D1">
              <w:rPr>
                <w:rFonts w:asciiTheme="minorHAnsi" w:hAnsiTheme="minorHAnsi" w:cstheme="minorHAnsi"/>
                <w:bCs/>
                <w:sz w:val="18"/>
                <w:szCs w:val="18"/>
              </w:rPr>
              <w:t>β</w:t>
            </w:r>
            <w:r w:rsidRPr="008C25D1">
              <w:rPr>
                <w:rFonts w:asciiTheme="minorHAnsi" w:hAnsiTheme="minorHAnsi" w:cstheme="minorHAnsi"/>
                <w:sz w:val="18"/>
                <w:szCs w:val="18"/>
              </w:rPr>
              <w:t xml:space="preserve">-carotene is a colouring agent and anti-oxidant in foods and many products are formulated to include this nutrient for these purposes. Government submitters either opposed </w:t>
            </w:r>
            <w:r w:rsidRPr="008C25D1">
              <w:rPr>
                <w:rFonts w:asciiTheme="minorHAnsi" w:hAnsiTheme="minorHAnsi" w:cstheme="minorHAnsi"/>
                <w:bCs/>
                <w:sz w:val="18"/>
                <w:szCs w:val="18"/>
              </w:rPr>
              <w:t>β-</w:t>
            </w:r>
            <w:r w:rsidRPr="008C25D1">
              <w:rPr>
                <w:rFonts w:asciiTheme="minorHAnsi" w:hAnsiTheme="minorHAnsi" w:cstheme="minorHAnsi"/>
                <w:sz w:val="18"/>
                <w:szCs w:val="18"/>
              </w:rPr>
              <w:t>carotene addition or requested furth</w:t>
            </w:r>
            <w:r>
              <w:rPr>
                <w:rFonts w:asciiTheme="minorHAnsi" w:hAnsiTheme="minorHAnsi" w:cstheme="minorHAnsi"/>
                <w:sz w:val="18"/>
                <w:szCs w:val="18"/>
              </w:rPr>
              <w:t xml:space="preserve">er consideration to justify </w:t>
            </w:r>
            <w:r w:rsidR="00713CAC">
              <w:rPr>
                <w:rFonts w:asciiTheme="minorHAnsi" w:hAnsiTheme="minorHAnsi" w:cstheme="minorHAnsi"/>
                <w:sz w:val="18"/>
                <w:szCs w:val="18"/>
              </w:rPr>
              <w:t>its</w:t>
            </w:r>
            <w:r w:rsidRPr="008C25D1">
              <w:rPr>
                <w:rFonts w:asciiTheme="minorHAnsi" w:hAnsiTheme="minorHAnsi" w:cstheme="minorHAnsi"/>
                <w:sz w:val="18"/>
                <w:szCs w:val="18"/>
              </w:rPr>
              <w:t xml:space="preserve"> addition.</w:t>
            </w:r>
          </w:p>
          <w:p w14:paraId="7C33E170" w14:textId="77777777" w:rsidR="00F46AB9" w:rsidRPr="008C25D1" w:rsidRDefault="00F46AB9" w:rsidP="00BC5468">
            <w:pPr>
              <w:keepNext/>
              <w:keepLine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4783" w:type="dxa"/>
            <w:tcBorders>
              <w:left w:val="single" w:sz="4" w:space="0" w:color="auto"/>
            </w:tcBorders>
            <w:shd w:val="clear" w:color="auto" w:fill="FFFFFF" w:themeFill="background1"/>
          </w:tcPr>
          <w:p w14:paraId="6D5C8BCF" w14:textId="77777777" w:rsidR="00F46AB9" w:rsidRPr="008C25D1" w:rsidRDefault="00F46AB9" w:rsidP="00BC5468">
            <w:pPr>
              <w:keepNext/>
              <w:keepLine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8C25D1">
              <w:rPr>
                <w:rFonts w:asciiTheme="minorHAnsi" w:hAnsiTheme="minorHAnsi" w:cstheme="minorHAnsi"/>
                <w:sz w:val="18"/>
                <w:szCs w:val="18"/>
              </w:rPr>
              <w:t xml:space="preserve">For international harmonisation, FSANZ proposes to retain permission for </w:t>
            </w:r>
            <w:r w:rsidRPr="008C25D1">
              <w:rPr>
                <w:rFonts w:asciiTheme="minorHAnsi" w:hAnsiTheme="minorHAnsi" w:cstheme="minorHAnsi"/>
                <w:bCs/>
                <w:sz w:val="18"/>
                <w:szCs w:val="18"/>
              </w:rPr>
              <w:t>β</w:t>
            </w:r>
            <w:r w:rsidRPr="008C25D1">
              <w:rPr>
                <w:rFonts w:asciiTheme="minorHAnsi" w:hAnsiTheme="minorHAnsi" w:cstheme="minorHAnsi"/>
                <w:sz w:val="18"/>
                <w:szCs w:val="18"/>
              </w:rPr>
              <w:t xml:space="preserve">-carotene as a permitted form but this will not be included in the vitamin A content. </w:t>
            </w:r>
          </w:p>
          <w:p w14:paraId="126C6370" w14:textId="77777777" w:rsidR="00F46AB9" w:rsidRPr="008C25D1" w:rsidRDefault="00F46AB9" w:rsidP="00BC5468">
            <w:pPr>
              <w:keepNext/>
              <w:keepLine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r>
      <w:tr w:rsidR="00F46AB9" w:rsidRPr="008C25D1" w14:paraId="0034A716" w14:textId="77777777" w:rsidTr="00E62112">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74" w:type="dxa"/>
            <w:tcBorders>
              <w:right w:val="single" w:sz="4" w:space="0" w:color="auto"/>
            </w:tcBorders>
            <w:shd w:val="clear" w:color="auto" w:fill="EAF1DD" w:themeFill="accent3" w:themeFillTint="33"/>
            <w:vAlign w:val="center"/>
          </w:tcPr>
          <w:p w14:paraId="2D9E6CBA" w14:textId="77777777" w:rsidR="00F46AB9" w:rsidRPr="009E5947" w:rsidRDefault="00F46AB9" w:rsidP="00BC5468">
            <w:pPr>
              <w:rPr>
                <w:rFonts w:asciiTheme="minorHAnsi" w:hAnsiTheme="minorHAnsi" w:cstheme="minorHAnsi"/>
                <w:bCs w:val="0"/>
                <w:i/>
                <w:sz w:val="18"/>
                <w:szCs w:val="18"/>
              </w:rPr>
            </w:pPr>
            <w:r w:rsidRPr="009E5947">
              <w:rPr>
                <w:rFonts w:asciiTheme="minorHAnsi" w:hAnsiTheme="minorHAnsi" w:cstheme="minorHAnsi"/>
                <w:bCs w:val="0"/>
                <w:i/>
                <w:sz w:val="18"/>
                <w:szCs w:val="18"/>
              </w:rPr>
              <w:t>7.5.2</w:t>
            </w:r>
          </w:p>
        </w:tc>
        <w:tc>
          <w:tcPr>
            <w:tcW w:w="2515" w:type="dxa"/>
            <w:tcBorders>
              <w:left w:val="none" w:sz="0" w:space="0" w:color="auto"/>
              <w:right w:val="single" w:sz="4" w:space="0" w:color="auto"/>
            </w:tcBorders>
            <w:shd w:val="clear" w:color="auto" w:fill="EAF1DD" w:themeFill="accent3" w:themeFillTint="33"/>
          </w:tcPr>
          <w:p w14:paraId="31BDDA49" w14:textId="77777777" w:rsidR="00F46AB9" w:rsidRPr="008C25D1" w:rsidRDefault="00F46AB9" w:rsidP="00BC5468">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Cs/>
                <w:sz w:val="18"/>
                <w:szCs w:val="18"/>
              </w:rPr>
            </w:pPr>
            <w:r w:rsidRPr="008C25D1">
              <w:rPr>
                <w:rFonts w:asciiTheme="minorHAnsi" w:hAnsiTheme="minorHAnsi" w:cstheme="minorHAnsi"/>
                <w:bCs/>
                <w:sz w:val="18"/>
                <w:szCs w:val="18"/>
              </w:rPr>
              <w:t>Vitamin D</w:t>
            </w:r>
            <w:r w:rsidRPr="009B353C">
              <w:rPr>
                <w:rFonts w:asciiTheme="minorHAnsi" w:hAnsiTheme="minorHAnsi" w:cstheme="minorHAnsi"/>
                <w:bCs/>
                <w:sz w:val="18"/>
                <w:szCs w:val="18"/>
                <w:vertAlign w:val="subscript"/>
              </w:rPr>
              <w:t>2</w:t>
            </w:r>
            <w:r w:rsidRPr="008C25D1">
              <w:rPr>
                <w:rFonts w:asciiTheme="minorHAnsi" w:hAnsiTheme="minorHAnsi" w:cstheme="minorHAnsi"/>
                <w:bCs/>
                <w:sz w:val="18"/>
                <w:szCs w:val="18"/>
              </w:rPr>
              <w:t xml:space="preserve"> and bioavailability compared to vitamin D</w:t>
            </w:r>
            <w:r w:rsidRPr="009B353C">
              <w:rPr>
                <w:rFonts w:asciiTheme="minorHAnsi" w:hAnsiTheme="minorHAnsi" w:cstheme="minorHAnsi"/>
                <w:bCs/>
                <w:sz w:val="18"/>
                <w:szCs w:val="18"/>
                <w:vertAlign w:val="subscript"/>
              </w:rPr>
              <w:t>3</w:t>
            </w:r>
          </w:p>
        </w:tc>
        <w:tc>
          <w:tcPr>
            <w:tcW w:w="1290" w:type="dxa"/>
            <w:tcBorders>
              <w:left w:val="none" w:sz="0" w:space="0" w:color="auto"/>
              <w:right w:val="single" w:sz="4" w:space="0" w:color="auto"/>
            </w:tcBorders>
            <w:shd w:val="clear" w:color="auto" w:fill="EAF1DD" w:themeFill="accent3" w:themeFillTint="33"/>
          </w:tcPr>
          <w:p w14:paraId="5B6BFDA2" w14:textId="77777777" w:rsidR="00F46AB9" w:rsidRPr="008C25D1" w:rsidRDefault="00F46AB9" w:rsidP="00BC5468">
            <w:pPr>
              <w:ind w:left="113" w:hanging="113"/>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8C25D1">
              <w:rPr>
                <w:rFonts w:asciiTheme="minorHAnsi" w:hAnsiTheme="minorHAnsi" w:cstheme="minorHAnsi"/>
                <w:sz w:val="18"/>
                <w:szCs w:val="18"/>
              </w:rPr>
              <w:t>2</w:t>
            </w:r>
          </w:p>
          <w:p w14:paraId="58EE04E5" w14:textId="77777777" w:rsidR="00F46AB9" w:rsidRPr="008C25D1" w:rsidRDefault="00F46AB9" w:rsidP="00BC5468">
            <w:pPr>
              <w:ind w:left="113" w:hanging="113"/>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8C25D1">
              <w:rPr>
                <w:rFonts w:asciiTheme="minorHAnsi" w:hAnsiTheme="minorHAnsi" w:cstheme="minorHAnsi"/>
                <w:sz w:val="18"/>
                <w:szCs w:val="18"/>
              </w:rPr>
              <w:t>(1I, 1G)</w:t>
            </w:r>
          </w:p>
        </w:tc>
        <w:tc>
          <w:tcPr>
            <w:tcW w:w="4525" w:type="dxa"/>
            <w:tcBorders>
              <w:left w:val="single" w:sz="4" w:space="0" w:color="auto"/>
              <w:right w:val="single" w:sz="4" w:space="0" w:color="auto"/>
            </w:tcBorders>
            <w:shd w:val="clear" w:color="auto" w:fill="EAF1DD" w:themeFill="accent3" w:themeFillTint="33"/>
          </w:tcPr>
          <w:p w14:paraId="3E3EA540" w14:textId="77777777" w:rsidR="00F46AB9" w:rsidRPr="008C25D1" w:rsidRDefault="00F46AB9" w:rsidP="00BC5468">
            <w:pPr>
              <w:keepNext/>
              <w:keepLines/>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8C25D1">
              <w:rPr>
                <w:rFonts w:asciiTheme="minorHAnsi" w:hAnsiTheme="minorHAnsi" w:cstheme="minorHAnsi"/>
                <w:sz w:val="18"/>
                <w:szCs w:val="18"/>
              </w:rPr>
              <w:t>Industry supported retaining both forms of vitamin D as permitted forms. The government submitter considered that vitamin D</w:t>
            </w:r>
            <w:r w:rsidRPr="009B353C">
              <w:rPr>
                <w:rFonts w:asciiTheme="minorHAnsi" w:hAnsiTheme="minorHAnsi" w:cstheme="minorHAnsi"/>
                <w:sz w:val="18"/>
                <w:szCs w:val="18"/>
                <w:vertAlign w:val="subscript"/>
              </w:rPr>
              <w:t>2</w:t>
            </w:r>
            <w:r w:rsidRPr="008C25D1">
              <w:rPr>
                <w:rFonts w:asciiTheme="minorHAnsi" w:hAnsiTheme="minorHAnsi" w:cstheme="minorHAnsi"/>
                <w:sz w:val="18"/>
                <w:szCs w:val="18"/>
              </w:rPr>
              <w:t xml:space="preserve"> should only be permitted with evidence that it is equally bioavailable to vitamin D</w:t>
            </w:r>
            <w:r w:rsidRPr="009B353C">
              <w:rPr>
                <w:rFonts w:asciiTheme="minorHAnsi" w:hAnsiTheme="minorHAnsi" w:cstheme="minorHAnsi"/>
                <w:sz w:val="18"/>
                <w:szCs w:val="18"/>
                <w:vertAlign w:val="subscript"/>
              </w:rPr>
              <w:t>3</w:t>
            </w:r>
            <w:r w:rsidRPr="008C25D1">
              <w:rPr>
                <w:rFonts w:asciiTheme="minorHAnsi" w:hAnsiTheme="minorHAnsi" w:cstheme="minorHAnsi"/>
                <w:sz w:val="18"/>
                <w:szCs w:val="18"/>
              </w:rPr>
              <w:t xml:space="preserve">. </w:t>
            </w:r>
          </w:p>
        </w:tc>
        <w:tc>
          <w:tcPr>
            <w:tcW w:w="4783" w:type="dxa"/>
            <w:tcBorders>
              <w:left w:val="single" w:sz="4" w:space="0" w:color="auto"/>
            </w:tcBorders>
            <w:shd w:val="clear" w:color="auto" w:fill="EAF1DD" w:themeFill="accent3" w:themeFillTint="33"/>
          </w:tcPr>
          <w:p w14:paraId="04565CD9" w14:textId="4E628BED" w:rsidR="00F46AB9" w:rsidRPr="008C25D1" w:rsidRDefault="00F46AB9" w:rsidP="00B96544">
            <w:pPr>
              <w:keepNext/>
              <w:keepLines/>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lang w:val="en-AU"/>
              </w:rPr>
            </w:pPr>
            <w:r w:rsidRPr="008C25D1">
              <w:rPr>
                <w:rFonts w:asciiTheme="minorHAnsi" w:hAnsiTheme="minorHAnsi" w:cstheme="minorHAnsi"/>
                <w:sz w:val="18"/>
                <w:szCs w:val="18"/>
                <w:lang w:val="en-AU"/>
              </w:rPr>
              <w:t>Based on further</w:t>
            </w:r>
            <w:r w:rsidR="003B6F75">
              <w:rPr>
                <w:rFonts w:asciiTheme="minorHAnsi" w:hAnsiTheme="minorHAnsi" w:cstheme="minorHAnsi"/>
                <w:sz w:val="18"/>
                <w:szCs w:val="18"/>
                <w:lang w:val="en-AU"/>
              </w:rPr>
              <w:t xml:space="preserve"> nutrition</w:t>
            </w:r>
            <w:r w:rsidRPr="008C25D1">
              <w:rPr>
                <w:rFonts w:asciiTheme="minorHAnsi" w:hAnsiTheme="minorHAnsi" w:cstheme="minorHAnsi"/>
                <w:sz w:val="18"/>
                <w:szCs w:val="18"/>
                <w:lang w:val="en-AU"/>
              </w:rPr>
              <w:t xml:space="preserve"> risk assessment and the conclusions of </w:t>
            </w:r>
            <w:r w:rsidR="00B96544">
              <w:rPr>
                <w:rFonts w:asciiTheme="minorHAnsi" w:hAnsiTheme="minorHAnsi" w:cstheme="minorHAnsi"/>
                <w:sz w:val="18"/>
                <w:szCs w:val="18"/>
                <w:lang w:val="en-AU"/>
              </w:rPr>
              <w:t xml:space="preserve">the </w:t>
            </w:r>
            <w:r w:rsidR="00B96544">
              <w:t>Codex Draft Standard for FUF</w:t>
            </w:r>
            <w:r>
              <w:rPr>
                <w:rFonts w:asciiTheme="minorHAnsi" w:hAnsiTheme="minorHAnsi" w:cstheme="minorHAnsi"/>
                <w:sz w:val="18"/>
                <w:szCs w:val="18"/>
                <w:lang w:val="en-AU"/>
              </w:rPr>
              <w:t>, FSANZ proposes to retain</w:t>
            </w:r>
            <w:r w:rsidRPr="008C25D1">
              <w:rPr>
                <w:rFonts w:asciiTheme="minorHAnsi" w:hAnsiTheme="minorHAnsi" w:cstheme="minorHAnsi"/>
                <w:sz w:val="18"/>
                <w:szCs w:val="18"/>
                <w:lang w:val="en-AU"/>
              </w:rPr>
              <w:t xml:space="preserve"> both vitamin D</w:t>
            </w:r>
            <w:r w:rsidRPr="009B353C">
              <w:rPr>
                <w:rFonts w:asciiTheme="minorHAnsi" w:hAnsiTheme="minorHAnsi" w:cstheme="minorHAnsi"/>
                <w:sz w:val="18"/>
                <w:szCs w:val="18"/>
                <w:vertAlign w:val="subscript"/>
                <w:lang w:val="en-AU"/>
              </w:rPr>
              <w:t>2</w:t>
            </w:r>
            <w:r w:rsidRPr="008C25D1">
              <w:rPr>
                <w:rFonts w:asciiTheme="minorHAnsi" w:hAnsiTheme="minorHAnsi" w:cstheme="minorHAnsi"/>
                <w:sz w:val="18"/>
                <w:szCs w:val="18"/>
                <w:lang w:val="en-AU"/>
              </w:rPr>
              <w:t xml:space="preserve"> and vitam</w:t>
            </w:r>
            <w:r>
              <w:rPr>
                <w:rFonts w:asciiTheme="minorHAnsi" w:hAnsiTheme="minorHAnsi" w:cstheme="minorHAnsi"/>
                <w:sz w:val="18"/>
                <w:szCs w:val="18"/>
                <w:lang w:val="en-AU"/>
              </w:rPr>
              <w:t>in D</w:t>
            </w:r>
            <w:r w:rsidRPr="009B353C">
              <w:rPr>
                <w:rFonts w:asciiTheme="minorHAnsi" w:hAnsiTheme="minorHAnsi" w:cstheme="minorHAnsi"/>
                <w:sz w:val="18"/>
                <w:szCs w:val="18"/>
                <w:vertAlign w:val="subscript"/>
                <w:lang w:val="en-AU"/>
              </w:rPr>
              <w:t>3</w:t>
            </w:r>
            <w:r>
              <w:rPr>
                <w:rFonts w:asciiTheme="minorHAnsi" w:hAnsiTheme="minorHAnsi" w:cstheme="minorHAnsi"/>
                <w:sz w:val="18"/>
                <w:szCs w:val="18"/>
                <w:lang w:val="en-AU"/>
              </w:rPr>
              <w:t xml:space="preserve"> as permitted forms in Standard 2.9.1.</w:t>
            </w:r>
          </w:p>
        </w:tc>
      </w:tr>
      <w:tr w:rsidR="00F46AB9" w:rsidRPr="008C25D1" w14:paraId="6E962FDB" w14:textId="77777777" w:rsidTr="00BC5468">
        <w:trPr>
          <w:cnfStyle w:val="000000100000" w:firstRow="0" w:lastRow="0" w:firstColumn="0" w:lastColumn="0" w:oddVBand="0" w:evenVBand="0" w:oddHBand="1" w:evenHBand="0" w:firstRowFirstColumn="0" w:firstRowLastColumn="0" w:lastRowFirstColumn="0" w:lastRowLastColumn="0"/>
          <w:cantSplit/>
          <w:trHeight w:val="340"/>
        </w:trPr>
        <w:tc>
          <w:tcPr>
            <w:cnfStyle w:val="001000000000" w:firstRow="0" w:lastRow="0" w:firstColumn="1" w:lastColumn="0" w:oddVBand="0" w:evenVBand="0" w:oddHBand="0" w:evenHBand="0" w:firstRowFirstColumn="0" w:firstRowLastColumn="0" w:lastRowFirstColumn="0" w:lastRowLastColumn="0"/>
            <w:tcW w:w="13987" w:type="dxa"/>
            <w:gridSpan w:val="5"/>
            <w:shd w:val="clear" w:color="auto" w:fill="F2F2F2" w:themeFill="background1" w:themeFillShade="F2"/>
            <w:vAlign w:val="center"/>
          </w:tcPr>
          <w:p w14:paraId="7EFA9795" w14:textId="77777777" w:rsidR="00F46AB9" w:rsidRPr="009E5947" w:rsidRDefault="00F46AB9" w:rsidP="00BC5468">
            <w:pPr>
              <w:keepNext/>
              <w:keepLines/>
              <w:rPr>
                <w:rFonts w:asciiTheme="minorHAnsi" w:hAnsiTheme="minorHAnsi" w:cstheme="minorHAnsi"/>
                <w:i/>
                <w:sz w:val="18"/>
                <w:szCs w:val="18"/>
              </w:rPr>
            </w:pPr>
            <w:r w:rsidRPr="009E5947">
              <w:rPr>
                <w:rFonts w:asciiTheme="minorHAnsi" w:hAnsiTheme="minorHAnsi" w:cstheme="minorHAnsi"/>
                <w:bCs w:val="0"/>
                <w:i/>
                <w:szCs w:val="18"/>
              </w:rPr>
              <w:t>OTHER OPTIONAL SUBSTANCES</w:t>
            </w:r>
          </w:p>
        </w:tc>
      </w:tr>
      <w:tr w:rsidR="00F46AB9" w:rsidRPr="008C25D1" w14:paraId="79109616" w14:textId="77777777" w:rsidTr="00E62112">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74" w:type="dxa"/>
            <w:tcBorders>
              <w:right w:val="single" w:sz="4" w:space="0" w:color="auto"/>
            </w:tcBorders>
            <w:shd w:val="clear" w:color="auto" w:fill="FFFFFF" w:themeFill="background1"/>
            <w:vAlign w:val="center"/>
          </w:tcPr>
          <w:p w14:paraId="12B6CF09" w14:textId="77777777" w:rsidR="00F46AB9" w:rsidRPr="009E5947" w:rsidRDefault="00F46AB9" w:rsidP="00BC5468">
            <w:pPr>
              <w:rPr>
                <w:rFonts w:asciiTheme="minorHAnsi" w:hAnsiTheme="minorHAnsi" w:cstheme="minorHAnsi"/>
                <w:bCs w:val="0"/>
                <w:i/>
                <w:sz w:val="18"/>
                <w:szCs w:val="18"/>
              </w:rPr>
            </w:pPr>
            <w:r w:rsidRPr="009E5947">
              <w:rPr>
                <w:rFonts w:asciiTheme="minorHAnsi" w:hAnsiTheme="minorHAnsi" w:cstheme="minorHAnsi"/>
                <w:bCs w:val="0"/>
                <w:i/>
                <w:sz w:val="18"/>
                <w:szCs w:val="18"/>
              </w:rPr>
              <w:t>8.1</w:t>
            </w:r>
          </w:p>
        </w:tc>
        <w:tc>
          <w:tcPr>
            <w:tcW w:w="2515" w:type="dxa"/>
            <w:tcBorders>
              <w:left w:val="none" w:sz="0" w:space="0" w:color="auto"/>
              <w:right w:val="single" w:sz="4" w:space="0" w:color="auto"/>
            </w:tcBorders>
            <w:shd w:val="clear" w:color="auto" w:fill="FFFFFF" w:themeFill="background1"/>
          </w:tcPr>
          <w:p w14:paraId="0A314418" w14:textId="77777777" w:rsidR="00F46AB9" w:rsidRPr="008C25D1" w:rsidRDefault="00F46AB9" w:rsidP="00BC5468">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Cs/>
                <w:sz w:val="18"/>
                <w:szCs w:val="18"/>
              </w:rPr>
            </w:pPr>
            <w:r w:rsidRPr="008C25D1">
              <w:rPr>
                <w:rFonts w:asciiTheme="minorHAnsi" w:hAnsiTheme="minorHAnsi" w:cstheme="minorHAnsi"/>
                <w:bCs/>
                <w:sz w:val="18"/>
                <w:szCs w:val="18"/>
              </w:rPr>
              <w:t>Choline</w:t>
            </w:r>
            <w:r>
              <w:rPr>
                <w:rFonts w:asciiTheme="minorHAnsi" w:hAnsiTheme="minorHAnsi" w:cstheme="minorHAnsi"/>
                <w:bCs/>
                <w:sz w:val="18"/>
                <w:szCs w:val="18"/>
              </w:rPr>
              <w:t>:</w:t>
            </w:r>
            <w:r w:rsidRPr="008C25D1">
              <w:rPr>
                <w:rFonts w:asciiTheme="minorHAnsi" w:hAnsiTheme="minorHAnsi" w:cstheme="minorHAnsi"/>
                <w:bCs/>
                <w:sz w:val="18"/>
                <w:szCs w:val="18"/>
              </w:rPr>
              <w:t xml:space="preserve"> permitted range and forms</w:t>
            </w:r>
          </w:p>
        </w:tc>
        <w:tc>
          <w:tcPr>
            <w:tcW w:w="1290" w:type="dxa"/>
            <w:tcBorders>
              <w:left w:val="none" w:sz="0" w:space="0" w:color="auto"/>
              <w:right w:val="single" w:sz="4" w:space="0" w:color="auto"/>
            </w:tcBorders>
            <w:shd w:val="clear" w:color="auto" w:fill="FFFFFF" w:themeFill="background1"/>
          </w:tcPr>
          <w:p w14:paraId="1F0E0C8F" w14:textId="77777777" w:rsidR="00F46AB9" w:rsidRPr="008C25D1" w:rsidRDefault="00F46AB9" w:rsidP="00BC5468">
            <w:pPr>
              <w:ind w:left="113" w:hanging="113"/>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8C25D1">
              <w:rPr>
                <w:rFonts w:asciiTheme="minorHAnsi" w:hAnsiTheme="minorHAnsi" w:cstheme="minorHAnsi"/>
                <w:sz w:val="18"/>
                <w:szCs w:val="18"/>
              </w:rPr>
              <w:t>13</w:t>
            </w:r>
          </w:p>
          <w:p w14:paraId="79049A7E" w14:textId="77777777" w:rsidR="00F46AB9" w:rsidRPr="008C25D1" w:rsidRDefault="00F46AB9" w:rsidP="00BC5468">
            <w:pPr>
              <w:ind w:left="113" w:hanging="113"/>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8C25D1">
              <w:rPr>
                <w:rFonts w:asciiTheme="minorHAnsi" w:hAnsiTheme="minorHAnsi" w:cstheme="minorHAnsi"/>
                <w:sz w:val="18"/>
                <w:szCs w:val="18"/>
              </w:rPr>
              <w:t>(11I, 2G)</w:t>
            </w:r>
          </w:p>
        </w:tc>
        <w:tc>
          <w:tcPr>
            <w:tcW w:w="4525" w:type="dxa"/>
            <w:tcBorders>
              <w:left w:val="single" w:sz="4" w:space="0" w:color="auto"/>
              <w:right w:val="single" w:sz="4" w:space="0" w:color="auto"/>
            </w:tcBorders>
            <w:shd w:val="clear" w:color="auto" w:fill="FFFFFF" w:themeFill="background1"/>
          </w:tcPr>
          <w:p w14:paraId="40A7DE17" w14:textId="77777777" w:rsidR="00F46AB9" w:rsidRPr="008C25D1" w:rsidRDefault="00F46AB9" w:rsidP="00BC5468">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8C25D1">
              <w:rPr>
                <w:rFonts w:asciiTheme="minorHAnsi" w:hAnsiTheme="minorHAnsi" w:cstheme="minorHAnsi"/>
                <w:sz w:val="18"/>
                <w:szCs w:val="18"/>
                <w:lang w:eastAsia="en-AU"/>
              </w:rPr>
              <w:t xml:space="preserve">All submitters supported listing choline as a mandatory substance in infant formula with a range of 1.7 – 12 mg/100 kJ. The majority also noted that the upper amount should be presented as a GUL as per Codex STAN 72-1981. </w:t>
            </w:r>
          </w:p>
          <w:p w14:paraId="02FFFE30" w14:textId="77777777" w:rsidR="00F46AB9" w:rsidRPr="008C25D1" w:rsidRDefault="00F46AB9" w:rsidP="00BC5468">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lang w:eastAsia="en-AU"/>
              </w:rPr>
            </w:pPr>
          </w:p>
          <w:p w14:paraId="31C72525" w14:textId="77777777" w:rsidR="00F46AB9" w:rsidRPr="008C25D1" w:rsidRDefault="00F46AB9" w:rsidP="00BC5468">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lang w:val="en-AU"/>
              </w:rPr>
            </w:pPr>
            <w:r w:rsidRPr="008C25D1">
              <w:rPr>
                <w:rFonts w:asciiTheme="minorHAnsi" w:hAnsiTheme="minorHAnsi" w:cstheme="minorHAnsi"/>
                <w:sz w:val="18"/>
                <w:szCs w:val="18"/>
                <w:lang w:eastAsia="en-AU"/>
              </w:rPr>
              <w:t>Industry submitters supported the inclusions of the additional forms.</w:t>
            </w:r>
          </w:p>
          <w:p w14:paraId="3FE8CEA4" w14:textId="77777777" w:rsidR="00F46AB9" w:rsidRPr="008C25D1" w:rsidRDefault="00F46AB9" w:rsidP="00BC5468">
            <w:pPr>
              <w:keepNext/>
              <w:keepLines/>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p>
        </w:tc>
        <w:tc>
          <w:tcPr>
            <w:tcW w:w="4783" w:type="dxa"/>
            <w:tcBorders>
              <w:left w:val="single" w:sz="4" w:space="0" w:color="auto"/>
            </w:tcBorders>
            <w:shd w:val="clear" w:color="auto" w:fill="FFFFFF" w:themeFill="background1"/>
          </w:tcPr>
          <w:p w14:paraId="614C3E05" w14:textId="77777777" w:rsidR="00F46AB9" w:rsidRPr="008C25D1" w:rsidRDefault="00F46AB9" w:rsidP="00BC5468">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lang w:val="en-AU"/>
              </w:rPr>
            </w:pPr>
            <w:r w:rsidRPr="008C25D1">
              <w:rPr>
                <w:rFonts w:asciiTheme="minorHAnsi" w:hAnsiTheme="minorHAnsi" w:cstheme="minorHAnsi"/>
                <w:sz w:val="18"/>
                <w:szCs w:val="18"/>
                <w:lang w:val="en-AU"/>
              </w:rPr>
              <w:t xml:space="preserve">FSANZ proposes that choline should be permitted </w:t>
            </w:r>
            <w:r w:rsidRPr="008C25D1">
              <w:rPr>
                <w:rFonts w:asciiTheme="minorHAnsi" w:hAnsiTheme="minorHAnsi" w:cstheme="minorHAnsi"/>
                <w:sz w:val="18"/>
                <w:szCs w:val="18"/>
                <w:lang w:eastAsia="en-AU"/>
              </w:rPr>
              <w:t xml:space="preserve">within </w:t>
            </w:r>
            <w:r>
              <w:rPr>
                <w:rFonts w:asciiTheme="minorHAnsi" w:hAnsiTheme="minorHAnsi" w:cstheme="minorHAnsi"/>
                <w:sz w:val="18"/>
                <w:szCs w:val="18"/>
                <w:lang w:eastAsia="en-AU"/>
              </w:rPr>
              <w:t>Schedule 29</w:t>
            </w:r>
            <w:r w:rsidRPr="008C25D1">
              <w:rPr>
                <w:rFonts w:asciiTheme="minorHAnsi" w:hAnsiTheme="minorHAnsi" w:cstheme="minorHAnsi"/>
                <w:sz w:val="18"/>
                <w:szCs w:val="18"/>
                <w:lang w:eastAsia="en-AU"/>
              </w:rPr>
              <w:t xml:space="preserve"> as a mandatory substance in infant formula with </w:t>
            </w:r>
            <w:r>
              <w:rPr>
                <w:rFonts w:asciiTheme="minorHAnsi" w:hAnsiTheme="minorHAnsi" w:cstheme="minorHAnsi"/>
                <w:sz w:val="18"/>
                <w:szCs w:val="18"/>
                <w:lang w:eastAsia="en-AU"/>
              </w:rPr>
              <w:t>a</w:t>
            </w:r>
            <w:r w:rsidRPr="008C25D1">
              <w:rPr>
                <w:rFonts w:asciiTheme="minorHAnsi" w:hAnsiTheme="minorHAnsi" w:cstheme="minorHAnsi"/>
                <w:sz w:val="18"/>
                <w:szCs w:val="18"/>
                <w:lang w:eastAsia="en-AU"/>
              </w:rPr>
              <w:t xml:space="preserve"> range of 1.7 – 12 mg/100 kJ, to align with the Codex STAN 72-1981. The proposed approach also notes that the maximum should be presented as a GUL.</w:t>
            </w:r>
          </w:p>
          <w:p w14:paraId="44F43ADB" w14:textId="77777777" w:rsidR="00F46AB9" w:rsidRPr="008C25D1" w:rsidRDefault="00F46AB9" w:rsidP="00BC5468">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lang w:val="en-AU"/>
              </w:rPr>
            </w:pPr>
          </w:p>
          <w:p w14:paraId="6882B2C1" w14:textId="77777777" w:rsidR="00F46AB9" w:rsidRPr="008C25D1" w:rsidRDefault="00F46AB9" w:rsidP="00BC5468">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lang w:val="en-AU"/>
              </w:rPr>
            </w:pPr>
            <w:r w:rsidRPr="008C25D1">
              <w:rPr>
                <w:rFonts w:asciiTheme="minorHAnsi" w:hAnsiTheme="minorHAnsi" w:cstheme="minorHAnsi"/>
                <w:sz w:val="18"/>
                <w:szCs w:val="18"/>
                <w:lang w:val="en-AU"/>
              </w:rPr>
              <w:t xml:space="preserve">It is proposed that choline should be permitted as the following forms in </w:t>
            </w:r>
            <w:r>
              <w:rPr>
                <w:rFonts w:asciiTheme="minorHAnsi" w:hAnsiTheme="minorHAnsi" w:cstheme="minorHAnsi"/>
                <w:sz w:val="18"/>
                <w:szCs w:val="18"/>
                <w:lang w:eastAsia="en-AU"/>
              </w:rPr>
              <w:t>Schedule 29</w:t>
            </w:r>
            <w:r w:rsidRPr="008C25D1">
              <w:rPr>
                <w:rFonts w:asciiTheme="minorHAnsi" w:hAnsiTheme="minorHAnsi" w:cstheme="minorHAnsi"/>
                <w:sz w:val="18"/>
                <w:szCs w:val="18"/>
                <w:lang w:eastAsia="en-AU"/>
              </w:rPr>
              <w:t>: choline chloride, choline bitartrate, choline, choline citrate and choline hydrogren tartrate.</w:t>
            </w:r>
          </w:p>
        </w:tc>
      </w:tr>
      <w:tr w:rsidR="00F46AB9" w:rsidRPr="008C25D1" w14:paraId="018EAF22" w14:textId="77777777" w:rsidTr="00E6211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74" w:type="dxa"/>
            <w:tcBorders>
              <w:right w:val="single" w:sz="4" w:space="0" w:color="auto"/>
            </w:tcBorders>
            <w:shd w:val="clear" w:color="auto" w:fill="EAF1DD" w:themeFill="accent3" w:themeFillTint="33"/>
            <w:vAlign w:val="center"/>
          </w:tcPr>
          <w:p w14:paraId="0C5AD37D" w14:textId="77777777" w:rsidR="00F46AB9" w:rsidRPr="009E5947" w:rsidRDefault="00F46AB9" w:rsidP="00BC5468">
            <w:pPr>
              <w:rPr>
                <w:rFonts w:asciiTheme="minorHAnsi" w:hAnsiTheme="minorHAnsi" w:cstheme="minorHAnsi"/>
                <w:bCs w:val="0"/>
                <w:i/>
                <w:sz w:val="18"/>
                <w:szCs w:val="18"/>
              </w:rPr>
            </w:pPr>
            <w:r w:rsidRPr="009E5947">
              <w:rPr>
                <w:rFonts w:asciiTheme="minorHAnsi" w:hAnsiTheme="minorHAnsi" w:cstheme="minorHAnsi"/>
                <w:bCs w:val="0"/>
                <w:i/>
                <w:sz w:val="18"/>
                <w:szCs w:val="18"/>
              </w:rPr>
              <w:lastRenderedPageBreak/>
              <w:t>8.2</w:t>
            </w:r>
          </w:p>
        </w:tc>
        <w:tc>
          <w:tcPr>
            <w:tcW w:w="2515" w:type="dxa"/>
            <w:tcBorders>
              <w:left w:val="none" w:sz="0" w:space="0" w:color="auto"/>
              <w:right w:val="single" w:sz="4" w:space="0" w:color="auto"/>
            </w:tcBorders>
            <w:shd w:val="clear" w:color="auto" w:fill="EAF1DD" w:themeFill="accent3" w:themeFillTint="33"/>
          </w:tcPr>
          <w:p w14:paraId="137021E1" w14:textId="77777777" w:rsidR="00F46AB9" w:rsidRPr="008C25D1" w:rsidRDefault="00F46AB9" w:rsidP="00BC546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18"/>
                <w:szCs w:val="18"/>
              </w:rPr>
            </w:pPr>
            <w:r w:rsidRPr="008C25D1">
              <w:rPr>
                <w:rFonts w:asciiTheme="minorHAnsi" w:hAnsiTheme="minorHAnsi" w:cstheme="minorHAnsi"/>
                <w:bCs/>
                <w:sz w:val="18"/>
                <w:szCs w:val="18"/>
              </w:rPr>
              <w:t>L-carnitine</w:t>
            </w:r>
            <w:r>
              <w:rPr>
                <w:rFonts w:asciiTheme="minorHAnsi" w:hAnsiTheme="minorHAnsi" w:cstheme="minorHAnsi"/>
                <w:bCs/>
                <w:sz w:val="18"/>
                <w:szCs w:val="18"/>
              </w:rPr>
              <w:t>:</w:t>
            </w:r>
            <w:r w:rsidRPr="008C25D1">
              <w:rPr>
                <w:rFonts w:asciiTheme="minorHAnsi" w:hAnsiTheme="minorHAnsi" w:cstheme="minorHAnsi"/>
                <w:bCs/>
                <w:sz w:val="18"/>
                <w:szCs w:val="18"/>
              </w:rPr>
              <w:t xml:space="preserve"> permitted range and forms</w:t>
            </w:r>
          </w:p>
        </w:tc>
        <w:tc>
          <w:tcPr>
            <w:tcW w:w="1290" w:type="dxa"/>
            <w:tcBorders>
              <w:left w:val="none" w:sz="0" w:space="0" w:color="auto"/>
              <w:right w:val="single" w:sz="4" w:space="0" w:color="auto"/>
            </w:tcBorders>
            <w:shd w:val="clear" w:color="auto" w:fill="EAF1DD" w:themeFill="accent3" w:themeFillTint="33"/>
          </w:tcPr>
          <w:p w14:paraId="4FD06272" w14:textId="77777777" w:rsidR="00F46AB9" w:rsidRPr="008C25D1" w:rsidRDefault="00F46AB9" w:rsidP="00BC5468">
            <w:pPr>
              <w:ind w:left="113" w:hanging="113"/>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8C25D1">
              <w:rPr>
                <w:rFonts w:asciiTheme="minorHAnsi" w:hAnsiTheme="minorHAnsi" w:cstheme="minorHAnsi"/>
                <w:sz w:val="18"/>
                <w:szCs w:val="18"/>
              </w:rPr>
              <w:t>14</w:t>
            </w:r>
          </w:p>
          <w:p w14:paraId="085D819D" w14:textId="77777777" w:rsidR="00F46AB9" w:rsidRPr="008C25D1" w:rsidRDefault="00F46AB9" w:rsidP="00BC5468">
            <w:pPr>
              <w:ind w:left="113" w:hanging="113"/>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8C25D1">
              <w:rPr>
                <w:rFonts w:asciiTheme="minorHAnsi" w:hAnsiTheme="minorHAnsi" w:cstheme="minorHAnsi"/>
                <w:sz w:val="18"/>
                <w:szCs w:val="18"/>
              </w:rPr>
              <w:t>(11I, 2G, 1HP)</w:t>
            </w:r>
          </w:p>
        </w:tc>
        <w:tc>
          <w:tcPr>
            <w:tcW w:w="4525" w:type="dxa"/>
            <w:tcBorders>
              <w:left w:val="single" w:sz="4" w:space="0" w:color="auto"/>
              <w:right w:val="single" w:sz="4" w:space="0" w:color="auto"/>
            </w:tcBorders>
            <w:shd w:val="clear" w:color="auto" w:fill="EAF1DD" w:themeFill="accent3" w:themeFillTint="33"/>
          </w:tcPr>
          <w:p w14:paraId="0642217B" w14:textId="77777777" w:rsidR="00F46AB9" w:rsidRPr="008C25D1" w:rsidRDefault="00F46AB9" w:rsidP="00BC5468">
            <w:pPr>
              <w:keepNext/>
              <w:keepLine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en-AU"/>
              </w:rPr>
            </w:pPr>
            <w:r w:rsidRPr="008C25D1">
              <w:rPr>
                <w:rFonts w:asciiTheme="minorHAnsi" w:hAnsiTheme="minorHAnsi" w:cstheme="minorHAnsi"/>
                <w:sz w:val="18"/>
                <w:szCs w:val="18"/>
                <w:lang w:eastAsia="en-AU"/>
              </w:rPr>
              <w:t xml:space="preserve">Majority of submitters supported listing L-carnitine as a mandatory substance in infant formula. Submitters also supported the use of a higher minimum level to align with the </w:t>
            </w:r>
            <w:r>
              <w:rPr>
                <w:rFonts w:asciiTheme="minorHAnsi" w:hAnsiTheme="minorHAnsi" w:cstheme="minorHAnsi"/>
                <w:sz w:val="18"/>
                <w:szCs w:val="18"/>
              </w:rPr>
              <w:t>Codex STAN 72-1981</w:t>
            </w:r>
            <w:r w:rsidRPr="008C25D1">
              <w:rPr>
                <w:rFonts w:asciiTheme="minorHAnsi" w:hAnsiTheme="minorHAnsi" w:cstheme="minorHAnsi"/>
                <w:sz w:val="18"/>
                <w:szCs w:val="18"/>
              </w:rPr>
              <w:t>. The majority noted concerns of achieving the proposed maximum and noted that a GUL is more appropriate.</w:t>
            </w:r>
          </w:p>
          <w:p w14:paraId="320B1D10" w14:textId="77777777" w:rsidR="00F46AB9" w:rsidRPr="008C25D1" w:rsidRDefault="00F46AB9" w:rsidP="00BC546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en-AU"/>
              </w:rPr>
            </w:pPr>
          </w:p>
          <w:p w14:paraId="6F66BD2F" w14:textId="77777777" w:rsidR="00F46AB9" w:rsidRPr="008C25D1" w:rsidRDefault="00F46AB9" w:rsidP="00BC546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en-AU"/>
              </w:rPr>
            </w:pPr>
            <w:r w:rsidRPr="008C25D1">
              <w:rPr>
                <w:rFonts w:asciiTheme="minorHAnsi" w:hAnsiTheme="minorHAnsi" w:cstheme="minorHAnsi"/>
                <w:sz w:val="18"/>
                <w:szCs w:val="18"/>
                <w:lang w:eastAsia="en-AU"/>
              </w:rPr>
              <w:t>The majority of submitters supported the use of L-carnitine hydrochloride and/or L-carnitine tartrate in infant formula and provided technological justification.</w:t>
            </w:r>
          </w:p>
        </w:tc>
        <w:tc>
          <w:tcPr>
            <w:tcW w:w="4783" w:type="dxa"/>
            <w:tcBorders>
              <w:left w:val="single" w:sz="4" w:space="0" w:color="auto"/>
            </w:tcBorders>
            <w:shd w:val="clear" w:color="auto" w:fill="EAF1DD" w:themeFill="accent3" w:themeFillTint="33"/>
          </w:tcPr>
          <w:p w14:paraId="5374B420" w14:textId="77777777" w:rsidR="00F46AB9" w:rsidRPr="008C25D1" w:rsidRDefault="00F46AB9" w:rsidP="00BC546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AU"/>
              </w:rPr>
            </w:pPr>
            <w:r w:rsidRPr="008C25D1">
              <w:rPr>
                <w:rFonts w:asciiTheme="minorHAnsi" w:hAnsiTheme="minorHAnsi" w:cstheme="minorHAnsi"/>
                <w:sz w:val="18"/>
                <w:szCs w:val="18"/>
              </w:rPr>
              <w:t>For international harmonisation,</w:t>
            </w:r>
            <w:r w:rsidRPr="008C25D1">
              <w:rPr>
                <w:rFonts w:asciiTheme="minorHAnsi" w:hAnsiTheme="minorHAnsi" w:cstheme="minorHAnsi"/>
                <w:sz w:val="18"/>
                <w:szCs w:val="18"/>
                <w:lang w:val="en-AU"/>
              </w:rPr>
              <w:t xml:space="preserve"> FSANZ proposes to permit L-carnitine </w:t>
            </w:r>
            <w:r w:rsidRPr="008C25D1">
              <w:rPr>
                <w:rFonts w:asciiTheme="minorHAnsi" w:hAnsiTheme="minorHAnsi" w:cstheme="minorHAnsi"/>
                <w:sz w:val="18"/>
                <w:szCs w:val="18"/>
                <w:lang w:eastAsia="en-AU"/>
              </w:rPr>
              <w:t xml:space="preserve">as a mandatory minimum of 0.3g/100 kJ and a GUL of 0.8mg/100kJ. </w:t>
            </w:r>
          </w:p>
          <w:p w14:paraId="3F2F19CC" w14:textId="77777777" w:rsidR="00F46AB9" w:rsidRPr="008C25D1" w:rsidRDefault="00F46AB9" w:rsidP="00BC546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AU"/>
              </w:rPr>
            </w:pPr>
          </w:p>
          <w:p w14:paraId="0CFD8FB6" w14:textId="77777777" w:rsidR="00F46AB9" w:rsidRPr="008C25D1" w:rsidRDefault="00F46AB9" w:rsidP="00BC546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AU"/>
              </w:rPr>
            </w:pPr>
            <w:r w:rsidRPr="008C25D1">
              <w:rPr>
                <w:rFonts w:asciiTheme="minorHAnsi" w:hAnsiTheme="minorHAnsi" w:cstheme="minorHAnsi"/>
                <w:sz w:val="18"/>
                <w:szCs w:val="18"/>
                <w:lang w:val="en-AU"/>
              </w:rPr>
              <w:t xml:space="preserve">Based on the safety conclusions of </w:t>
            </w:r>
            <w:r w:rsidRPr="008C25D1">
              <w:rPr>
                <w:rFonts w:asciiTheme="minorHAnsi" w:hAnsiTheme="minorHAnsi" w:cstheme="minorHAnsi"/>
                <w:sz w:val="18"/>
                <w:szCs w:val="18"/>
              </w:rPr>
              <w:t xml:space="preserve">Codex STAN 72-1981 and </w:t>
            </w:r>
            <w:r w:rsidRPr="008C25D1">
              <w:rPr>
                <w:rFonts w:asciiTheme="minorHAnsi" w:hAnsiTheme="minorHAnsi" w:cstheme="minorHAnsi"/>
                <w:i/>
                <w:sz w:val="18"/>
                <w:szCs w:val="18"/>
              </w:rPr>
              <w:t xml:space="preserve">A1102 – L-carnitine in Food, </w:t>
            </w:r>
            <w:r w:rsidRPr="008C25D1">
              <w:rPr>
                <w:rFonts w:asciiTheme="minorHAnsi" w:hAnsiTheme="minorHAnsi" w:cstheme="minorHAnsi"/>
                <w:sz w:val="18"/>
                <w:szCs w:val="18"/>
              </w:rPr>
              <w:t xml:space="preserve">FSANZ proposes that </w:t>
            </w:r>
            <w:r w:rsidRPr="008C25D1">
              <w:rPr>
                <w:rFonts w:asciiTheme="minorHAnsi" w:hAnsiTheme="minorHAnsi" w:cstheme="minorHAnsi"/>
                <w:sz w:val="18"/>
                <w:szCs w:val="18"/>
                <w:lang w:val="en-AU"/>
              </w:rPr>
              <w:t xml:space="preserve">L-carnitine should be permitted as L-carnitine hydrochloride and L-carnitine tartrate in </w:t>
            </w:r>
            <w:r>
              <w:rPr>
                <w:rFonts w:asciiTheme="minorHAnsi" w:hAnsiTheme="minorHAnsi" w:cstheme="minorHAnsi"/>
                <w:sz w:val="18"/>
                <w:szCs w:val="18"/>
                <w:lang w:eastAsia="en-AU"/>
              </w:rPr>
              <w:t>Schedule 29</w:t>
            </w:r>
            <w:r w:rsidRPr="008C25D1">
              <w:rPr>
                <w:rFonts w:asciiTheme="minorHAnsi" w:hAnsiTheme="minorHAnsi" w:cstheme="minorHAnsi"/>
                <w:sz w:val="18"/>
                <w:szCs w:val="18"/>
                <w:lang w:eastAsia="en-AU"/>
              </w:rPr>
              <w:t>.</w:t>
            </w:r>
          </w:p>
          <w:p w14:paraId="767F0278" w14:textId="77777777" w:rsidR="00F46AB9" w:rsidRPr="008C25D1" w:rsidRDefault="00F46AB9" w:rsidP="00BC5468">
            <w:pPr>
              <w:keepNext/>
              <w:keepLine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r>
      <w:tr w:rsidR="00F46AB9" w:rsidRPr="008C25D1" w14:paraId="10D99D93" w14:textId="77777777" w:rsidTr="00E62112">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74" w:type="dxa"/>
            <w:tcBorders>
              <w:right w:val="single" w:sz="4" w:space="0" w:color="auto"/>
            </w:tcBorders>
            <w:shd w:val="clear" w:color="auto" w:fill="FFFFFF" w:themeFill="background1"/>
            <w:vAlign w:val="center"/>
          </w:tcPr>
          <w:p w14:paraId="59E15071" w14:textId="77777777" w:rsidR="00F46AB9" w:rsidRPr="009E5947" w:rsidRDefault="00F46AB9" w:rsidP="00BC5468">
            <w:pPr>
              <w:rPr>
                <w:rFonts w:asciiTheme="minorHAnsi" w:hAnsiTheme="minorHAnsi" w:cstheme="minorHAnsi"/>
                <w:bCs w:val="0"/>
                <w:i/>
                <w:sz w:val="18"/>
                <w:szCs w:val="18"/>
              </w:rPr>
            </w:pPr>
            <w:r w:rsidRPr="009E5947">
              <w:rPr>
                <w:rFonts w:asciiTheme="minorHAnsi" w:hAnsiTheme="minorHAnsi" w:cstheme="minorHAnsi"/>
                <w:bCs w:val="0"/>
                <w:i/>
                <w:sz w:val="18"/>
                <w:szCs w:val="18"/>
              </w:rPr>
              <w:t>8.3</w:t>
            </w:r>
          </w:p>
        </w:tc>
        <w:tc>
          <w:tcPr>
            <w:tcW w:w="2515" w:type="dxa"/>
            <w:tcBorders>
              <w:left w:val="none" w:sz="0" w:space="0" w:color="auto"/>
              <w:right w:val="single" w:sz="4" w:space="0" w:color="auto"/>
            </w:tcBorders>
            <w:shd w:val="clear" w:color="auto" w:fill="FFFFFF" w:themeFill="background1"/>
          </w:tcPr>
          <w:p w14:paraId="33D7D585" w14:textId="77777777" w:rsidR="00F46AB9" w:rsidRPr="008C25D1" w:rsidRDefault="00F46AB9" w:rsidP="00BC5468">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Cs/>
                <w:sz w:val="18"/>
                <w:szCs w:val="18"/>
              </w:rPr>
            </w:pPr>
            <w:r w:rsidRPr="008C25D1">
              <w:rPr>
                <w:rFonts w:asciiTheme="minorHAnsi" w:hAnsiTheme="minorHAnsi" w:cstheme="minorHAnsi"/>
                <w:bCs/>
                <w:sz w:val="18"/>
                <w:szCs w:val="18"/>
              </w:rPr>
              <w:t>Inositol</w:t>
            </w:r>
            <w:r>
              <w:rPr>
                <w:rFonts w:asciiTheme="minorHAnsi" w:hAnsiTheme="minorHAnsi" w:cstheme="minorHAnsi"/>
                <w:bCs/>
                <w:sz w:val="18"/>
                <w:szCs w:val="18"/>
              </w:rPr>
              <w:t>:</w:t>
            </w:r>
            <w:r w:rsidRPr="008C25D1">
              <w:rPr>
                <w:rFonts w:asciiTheme="minorHAnsi" w:hAnsiTheme="minorHAnsi" w:cstheme="minorHAnsi"/>
                <w:bCs/>
                <w:sz w:val="18"/>
                <w:szCs w:val="18"/>
              </w:rPr>
              <w:t xml:space="preserve"> permitted range and forms</w:t>
            </w:r>
          </w:p>
        </w:tc>
        <w:tc>
          <w:tcPr>
            <w:tcW w:w="1290" w:type="dxa"/>
            <w:tcBorders>
              <w:left w:val="none" w:sz="0" w:space="0" w:color="auto"/>
              <w:right w:val="single" w:sz="4" w:space="0" w:color="auto"/>
            </w:tcBorders>
            <w:shd w:val="clear" w:color="auto" w:fill="FFFFFF" w:themeFill="background1"/>
          </w:tcPr>
          <w:p w14:paraId="7A2725C8" w14:textId="77777777" w:rsidR="00F46AB9" w:rsidRPr="008C25D1" w:rsidRDefault="00F46AB9" w:rsidP="00BC5468">
            <w:pPr>
              <w:ind w:left="113" w:hanging="113"/>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8C25D1">
              <w:rPr>
                <w:rFonts w:asciiTheme="minorHAnsi" w:hAnsiTheme="minorHAnsi" w:cstheme="minorHAnsi"/>
                <w:sz w:val="18"/>
                <w:szCs w:val="18"/>
              </w:rPr>
              <w:t>9</w:t>
            </w:r>
          </w:p>
          <w:p w14:paraId="4AE15B06" w14:textId="77777777" w:rsidR="00F46AB9" w:rsidRPr="008C25D1" w:rsidRDefault="00F46AB9" w:rsidP="00BC5468">
            <w:pPr>
              <w:ind w:left="113" w:hanging="113"/>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8C25D1">
              <w:rPr>
                <w:rFonts w:asciiTheme="minorHAnsi" w:hAnsiTheme="minorHAnsi" w:cstheme="minorHAnsi"/>
                <w:sz w:val="18"/>
                <w:szCs w:val="18"/>
              </w:rPr>
              <w:t>(7I, 2G)</w:t>
            </w:r>
          </w:p>
        </w:tc>
        <w:tc>
          <w:tcPr>
            <w:tcW w:w="4525" w:type="dxa"/>
            <w:tcBorders>
              <w:left w:val="single" w:sz="4" w:space="0" w:color="auto"/>
              <w:right w:val="single" w:sz="4" w:space="0" w:color="auto"/>
            </w:tcBorders>
            <w:shd w:val="clear" w:color="auto" w:fill="FFFFFF" w:themeFill="background1"/>
          </w:tcPr>
          <w:p w14:paraId="426DC846" w14:textId="77777777" w:rsidR="00F46AB9" w:rsidRPr="008C25D1" w:rsidRDefault="00F46AB9" w:rsidP="00BC5468">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lang w:eastAsia="en-AU"/>
              </w:rPr>
            </w:pPr>
            <w:r w:rsidRPr="008C25D1">
              <w:rPr>
                <w:rFonts w:asciiTheme="minorHAnsi" w:hAnsiTheme="minorHAnsi" w:cstheme="minorHAnsi"/>
                <w:sz w:val="18"/>
                <w:szCs w:val="18"/>
                <w:lang w:eastAsia="en-AU"/>
              </w:rPr>
              <w:t>All submitters supported listing inositol as a mandatory substance in infant formula and listing the permitted form of inositol as myo-inositol.</w:t>
            </w:r>
          </w:p>
          <w:p w14:paraId="08A91022" w14:textId="77777777" w:rsidR="00F46AB9" w:rsidRPr="008C25D1" w:rsidRDefault="00F46AB9" w:rsidP="00BC5468">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lang w:eastAsia="en-AU"/>
              </w:rPr>
            </w:pPr>
          </w:p>
          <w:p w14:paraId="58DC8EA4" w14:textId="77777777" w:rsidR="00F46AB9" w:rsidRPr="008C25D1" w:rsidRDefault="00F46AB9" w:rsidP="00BC5468">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lang w:eastAsia="en-AU"/>
              </w:rPr>
            </w:pPr>
            <w:r w:rsidRPr="008C25D1">
              <w:rPr>
                <w:rFonts w:asciiTheme="minorHAnsi" w:hAnsiTheme="minorHAnsi" w:cstheme="minorHAnsi"/>
                <w:sz w:val="18"/>
                <w:szCs w:val="18"/>
                <w:lang w:eastAsia="en-AU"/>
              </w:rPr>
              <w:t xml:space="preserve">Industry submitters supported the change to a GUL rather than a maximum </w:t>
            </w:r>
            <w:r>
              <w:rPr>
                <w:rFonts w:asciiTheme="minorHAnsi" w:hAnsiTheme="minorHAnsi" w:cstheme="minorHAnsi"/>
                <w:sz w:val="18"/>
                <w:szCs w:val="18"/>
                <w:lang w:eastAsia="en-AU"/>
              </w:rPr>
              <w:t xml:space="preserve">upper level, to align with </w:t>
            </w:r>
            <w:r w:rsidRPr="008C25D1">
              <w:rPr>
                <w:rFonts w:asciiTheme="minorHAnsi" w:hAnsiTheme="minorHAnsi" w:cstheme="minorHAnsi"/>
                <w:sz w:val="18"/>
                <w:szCs w:val="18"/>
              </w:rPr>
              <w:t>Codex STAN 72-1981</w:t>
            </w:r>
            <w:r w:rsidRPr="008C25D1">
              <w:rPr>
                <w:rFonts w:asciiTheme="minorHAnsi" w:hAnsiTheme="minorHAnsi" w:cstheme="minorHAnsi"/>
                <w:sz w:val="18"/>
                <w:szCs w:val="18"/>
                <w:lang w:eastAsia="en-AU"/>
              </w:rPr>
              <w:t xml:space="preserve">. </w:t>
            </w:r>
          </w:p>
        </w:tc>
        <w:tc>
          <w:tcPr>
            <w:tcW w:w="4783" w:type="dxa"/>
            <w:tcBorders>
              <w:left w:val="single" w:sz="4" w:space="0" w:color="auto"/>
            </w:tcBorders>
            <w:shd w:val="clear" w:color="auto" w:fill="FFFFFF" w:themeFill="background1"/>
          </w:tcPr>
          <w:p w14:paraId="2058FC73" w14:textId="77777777" w:rsidR="00F46AB9" w:rsidRPr="008C25D1" w:rsidRDefault="00F46AB9" w:rsidP="00BC5468">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lang w:eastAsia="en-AU"/>
              </w:rPr>
            </w:pPr>
            <w:r w:rsidRPr="008C25D1">
              <w:rPr>
                <w:rFonts w:asciiTheme="minorHAnsi" w:hAnsiTheme="minorHAnsi" w:cstheme="minorHAnsi"/>
                <w:sz w:val="18"/>
                <w:szCs w:val="18"/>
                <w:lang w:val="en-AU"/>
              </w:rPr>
              <w:t xml:space="preserve">Based on alignment with </w:t>
            </w:r>
            <w:r w:rsidRPr="008C25D1">
              <w:rPr>
                <w:rFonts w:asciiTheme="minorHAnsi" w:hAnsiTheme="minorHAnsi" w:cstheme="minorHAnsi"/>
                <w:sz w:val="18"/>
                <w:szCs w:val="18"/>
              </w:rPr>
              <w:t xml:space="preserve">Codex STAN 72-1981, </w:t>
            </w:r>
            <w:r w:rsidRPr="008C25D1">
              <w:rPr>
                <w:rFonts w:asciiTheme="minorHAnsi" w:hAnsiTheme="minorHAnsi" w:cstheme="minorHAnsi"/>
                <w:sz w:val="18"/>
                <w:szCs w:val="18"/>
                <w:lang w:val="en-AU"/>
              </w:rPr>
              <w:t xml:space="preserve">FSANZ proposes that inositol should be permitted </w:t>
            </w:r>
            <w:r w:rsidRPr="008C25D1">
              <w:rPr>
                <w:rFonts w:asciiTheme="minorHAnsi" w:hAnsiTheme="minorHAnsi" w:cstheme="minorHAnsi"/>
                <w:sz w:val="18"/>
                <w:szCs w:val="18"/>
                <w:lang w:eastAsia="en-AU"/>
              </w:rPr>
              <w:t xml:space="preserve">within </w:t>
            </w:r>
            <w:r>
              <w:rPr>
                <w:rFonts w:asciiTheme="minorHAnsi" w:hAnsiTheme="minorHAnsi" w:cstheme="minorHAnsi"/>
                <w:sz w:val="18"/>
                <w:szCs w:val="18"/>
                <w:lang w:eastAsia="en-AU"/>
              </w:rPr>
              <w:t>Schedule 29</w:t>
            </w:r>
            <w:r w:rsidRPr="008C25D1">
              <w:rPr>
                <w:rFonts w:asciiTheme="minorHAnsi" w:hAnsiTheme="minorHAnsi" w:cstheme="minorHAnsi"/>
                <w:sz w:val="18"/>
                <w:szCs w:val="18"/>
                <w:lang w:eastAsia="en-AU"/>
              </w:rPr>
              <w:t xml:space="preserve"> as a mandatory substance in infant formula wit</w:t>
            </w:r>
            <w:r>
              <w:rPr>
                <w:rFonts w:asciiTheme="minorHAnsi" w:hAnsiTheme="minorHAnsi" w:cstheme="minorHAnsi"/>
                <w:sz w:val="18"/>
                <w:szCs w:val="18"/>
                <w:lang w:eastAsia="en-AU"/>
              </w:rPr>
              <w:t>h a minimum of 1.0 mg/100 kJ,</w:t>
            </w:r>
            <w:r w:rsidRPr="008C25D1">
              <w:rPr>
                <w:rFonts w:asciiTheme="minorHAnsi" w:hAnsiTheme="minorHAnsi" w:cstheme="minorHAnsi"/>
                <w:sz w:val="18"/>
                <w:szCs w:val="18"/>
                <w:lang w:eastAsia="en-AU"/>
              </w:rPr>
              <w:t xml:space="preserve"> GUL of 9.5 mg/100 kJ and listing </w:t>
            </w:r>
            <w:r w:rsidRPr="008C25D1">
              <w:rPr>
                <w:rFonts w:asciiTheme="minorHAnsi" w:hAnsiTheme="minorHAnsi" w:cstheme="minorHAnsi"/>
                <w:sz w:val="18"/>
                <w:szCs w:val="18"/>
              </w:rPr>
              <w:t>the permitted form of inositol as myo-inositol.</w:t>
            </w:r>
          </w:p>
        </w:tc>
      </w:tr>
      <w:tr w:rsidR="00F46AB9" w:rsidRPr="008C25D1" w14:paraId="00971884" w14:textId="77777777" w:rsidTr="00E6211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74" w:type="dxa"/>
            <w:tcBorders>
              <w:right w:val="single" w:sz="4" w:space="0" w:color="auto"/>
            </w:tcBorders>
            <w:shd w:val="clear" w:color="auto" w:fill="EAF1DD" w:themeFill="accent3" w:themeFillTint="33"/>
            <w:vAlign w:val="center"/>
          </w:tcPr>
          <w:p w14:paraId="077EC30F" w14:textId="77777777" w:rsidR="00F46AB9" w:rsidRPr="009E5947" w:rsidRDefault="00F46AB9" w:rsidP="00BC5468">
            <w:pPr>
              <w:rPr>
                <w:rFonts w:asciiTheme="minorHAnsi" w:hAnsiTheme="minorHAnsi" w:cstheme="minorHAnsi"/>
                <w:bCs w:val="0"/>
                <w:i/>
                <w:sz w:val="18"/>
                <w:szCs w:val="18"/>
              </w:rPr>
            </w:pPr>
            <w:r w:rsidRPr="009E5947">
              <w:rPr>
                <w:rFonts w:asciiTheme="minorHAnsi" w:hAnsiTheme="minorHAnsi" w:cstheme="minorHAnsi"/>
                <w:bCs w:val="0"/>
                <w:i/>
                <w:sz w:val="18"/>
                <w:szCs w:val="18"/>
              </w:rPr>
              <w:t>8.4</w:t>
            </w:r>
          </w:p>
        </w:tc>
        <w:tc>
          <w:tcPr>
            <w:tcW w:w="2515" w:type="dxa"/>
            <w:tcBorders>
              <w:left w:val="none" w:sz="0" w:space="0" w:color="auto"/>
              <w:right w:val="single" w:sz="4" w:space="0" w:color="auto"/>
            </w:tcBorders>
            <w:shd w:val="clear" w:color="auto" w:fill="EAF1DD" w:themeFill="accent3" w:themeFillTint="33"/>
          </w:tcPr>
          <w:p w14:paraId="250DC1D6" w14:textId="77777777" w:rsidR="00F46AB9" w:rsidRPr="008C25D1" w:rsidRDefault="00F46AB9" w:rsidP="00BC546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18"/>
                <w:szCs w:val="18"/>
              </w:rPr>
            </w:pPr>
            <w:r w:rsidRPr="008C25D1">
              <w:rPr>
                <w:rFonts w:asciiTheme="minorHAnsi" w:hAnsiTheme="minorHAnsi" w:cstheme="minorHAnsi"/>
                <w:bCs/>
                <w:sz w:val="18"/>
                <w:szCs w:val="18"/>
              </w:rPr>
              <w:t>Nucleotides</w:t>
            </w:r>
            <w:r>
              <w:rPr>
                <w:rFonts w:asciiTheme="minorHAnsi" w:hAnsiTheme="minorHAnsi" w:cstheme="minorHAnsi"/>
                <w:bCs/>
                <w:sz w:val="18"/>
                <w:szCs w:val="18"/>
              </w:rPr>
              <w:t>:</w:t>
            </w:r>
            <w:r w:rsidRPr="008C25D1">
              <w:rPr>
                <w:rFonts w:asciiTheme="minorHAnsi" w:hAnsiTheme="minorHAnsi" w:cstheme="minorHAnsi"/>
                <w:bCs/>
                <w:sz w:val="18"/>
                <w:szCs w:val="18"/>
              </w:rPr>
              <w:t xml:space="preserve"> permitted range and forms</w:t>
            </w:r>
          </w:p>
        </w:tc>
        <w:tc>
          <w:tcPr>
            <w:tcW w:w="1290" w:type="dxa"/>
            <w:tcBorders>
              <w:left w:val="none" w:sz="0" w:space="0" w:color="auto"/>
              <w:right w:val="single" w:sz="4" w:space="0" w:color="auto"/>
            </w:tcBorders>
            <w:shd w:val="clear" w:color="auto" w:fill="EAF1DD" w:themeFill="accent3" w:themeFillTint="33"/>
          </w:tcPr>
          <w:p w14:paraId="1BD1E8BD" w14:textId="77777777" w:rsidR="00F46AB9" w:rsidRPr="008C25D1" w:rsidRDefault="00F46AB9" w:rsidP="00BC5468">
            <w:pPr>
              <w:ind w:left="113" w:hanging="113"/>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8C25D1">
              <w:rPr>
                <w:rFonts w:asciiTheme="minorHAnsi" w:hAnsiTheme="minorHAnsi" w:cstheme="minorHAnsi"/>
                <w:sz w:val="18"/>
                <w:szCs w:val="18"/>
              </w:rPr>
              <w:t>7</w:t>
            </w:r>
          </w:p>
          <w:p w14:paraId="5EDA64C3" w14:textId="77777777" w:rsidR="00F46AB9" w:rsidRPr="008C25D1" w:rsidRDefault="00F46AB9" w:rsidP="00BC5468">
            <w:pPr>
              <w:ind w:left="113" w:hanging="113"/>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8C25D1">
              <w:rPr>
                <w:rFonts w:asciiTheme="minorHAnsi" w:hAnsiTheme="minorHAnsi" w:cstheme="minorHAnsi"/>
                <w:sz w:val="18"/>
                <w:szCs w:val="18"/>
              </w:rPr>
              <w:t>(5I, 2G)</w:t>
            </w:r>
          </w:p>
        </w:tc>
        <w:tc>
          <w:tcPr>
            <w:tcW w:w="4525" w:type="dxa"/>
            <w:tcBorders>
              <w:left w:val="single" w:sz="4" w:space="0" w:color="auto"/>
              <w:right w:val="single" w:sz="4" w:space="0" w:color="auto"/>
            </w:tcBorders>
            <w:shd w:val="clear" w:color="auto" w:fill="EAF1DD" w:themeFill="accent3" w:themeFillTint="33"/>
          </w:tcPr>
          <w:p w14:paraId="7B587F54" w14:textId="77777777" w:rsidR="00F46AB9" w:rsidRPr="008C25D1" w:rsidRDefault="00F46AB9" w:rsidP="00BC546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AU"/>
              </w:rPr>
            </w:pPr>
            <w:r w:rsidRPr="008C25D1">
              <w:rPr>
                <w:rFonts w:asciiTheme="minorHAnsi" w:hAnsiTheme="minorHAnsi" w:cstheme="minorHAnsi"/>
                <w:sz w:val="18"/>
                <w:szCs w:val="18"/>
                <w:lang w:val="en-AU"/>
              </w:rPr>
              <w:t xml:space="preserve">Industry supported retaining the current permission and maximum combined total limit of nucleotides. </w:t>
            </w:r>
          </w:p>
          <w:p w14:paraId="0D19A857" w14:textId="77777777" w:rsidR="00F46AB9" w:rsidRPr="008C25D1" w:rsidRDefault="00F46AB9" w:rsidP="00BC546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AU"/>
              </w:rPr>
            </w:pPr>
          </w:p>
          <w:p w14:paraId="2C5BB798" w14:textId="77777777" w:rsidR="00F46AB9" w:rsidRPr="008C25D1" w:rsidRDefault="00F46AB9" w:rsidP="00BC546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AU"/>
              </w:rPr>
            </w:pPr>
            <w:r w:rsidRPr="008C25D1">
              <w:rPr>
                <w:rFonts w:asciiTheme="minorHAnsi" w:hAnsiTheme="minorHAnsi" w:cstheme="minorHAnsi"/>
                <w:sz w:val="18"/>
                <w:szCs w:val="18"/>
                <w:lang w:val="en-AU"/>
              </w:rPr>
              <w:t xml:space="preserve">All submitters commented on the clarity of the drafting for the maximum amount of nucleotides in the Code, of which four industry submitters commented on considering that the combined total content should only apply when nucleotides are added to </w:t>
            </w:r>
            <w:r w:rsidRPr="008C25D1">
              <w:rPr>
                <w:rFonts w:asciiTheme="minorHAnsi" w:hAnsiTheme="minorHAnsi" w:cstheme="minorHAnsi"/>
                <w:sz w:val="18"/>
                <w:szCs w:val="18"/>
                <w:lang w:eastAsia="en-AU"/>
              </w:rPr>
              <w:t>infant formula</w:t>
            </w:r>
            <w:r w:rsidRPr="008C25D1">
              <w:rPr>
                <w:rFonts w:asciiTheme="minorHAnsi" w:hAnsiTheme="minorHAnsi" w:cstheme="minorHAnsi"/>
                <w:sz w:val="18"/>
                <w:szCs w:val="18"/>
                <w:lang w:val="en-AU"/>
              </w:rPr>
              <w:t>.</w:t>
            </w:r>
          </w:p>
        </w:tc>
        <w:tc>
          <w:tcPr>
            <w:tcW w:w="4783" w:type="dxa"/>
            <w:tcBorders>
              <w:left w:val="single" w:sz="4" w:space="0" w:color="auto"/>
            </w:tcBorders>
            <w:shd w:val="clear" w:color="auto" w:fill="EAF1DD" w:themeFill="accent3" w:themeFillTint="33"/>
          </w:tcPr>
          <w:p w14:paraId="559F1F94" w14:textId="77777777" w:rsidR="00F46AB9" w:rsidRPr="008C25D1" w:rsidRDefault="00F46AB9" w:rsidP="00BC546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8C25D1">
              <w:rPr>
                <w:rFonts w:asciiTheme="minorHAnsi" w:hAnsiTheme="minorHAnsi" w:cstheme="minorHAnsi"/>
                <w:sz w:val="18"/>
                <w:szCs w:val="18"/>
                <w:lang w:val="en-AU"/>
              </w:rPr>
              <w:t xml:space="preserve">FSANZ proposes retaining the current permission and maximum total limit of nucleotides </w:t>
            </w:r>
            <w:r w:rsidRPr="008C25D1">
              <w:rPr>
                <w:rFonts w:asciiTheme="minorHAnsi" w:hAnsiTheme="minorHAnsi" w:cstheme="minorHAnsi"/>
                <w:sz w:val="18"/>
                <w:szCs w:val="18"/>
                <w:lang w:eastAsia="en-AU"/>
              </w:rPr>
              <w:t xml:space="preserve">within </w:t>
            </w:r>
            <w:r>
              <w:rPr>
                <w:rFonts w:asciiTheme="minorHAnsi" w:hAnsiTheme="minorHAnsi" w:cstheme="minorHAnsi"/>
                <w:sz w:val="18"/>
                <w:szCs w:val="18"/>
                <w:lang w:eastAsia="en-AU"/>
              </w:rPr>
              <w:t>Schedule 29</w:t>
            </w:r>
            <w:r w:rsidRPr="008C25D1">
              <w:rPr>
                <w:rFonts w:asciiTheme="minorHAnsi" w:hAnsiTheme="minorHAnsi" w:cstheme="minorHAnsi"/>
                <w:sz w:val="18"/>
                <w:szCs w:val="18"/>
                <w:lang w:eastAsia="en-AU"/>
              </w:rPr>
              <w:t xml:space="preserve">. </w:t>
            </w:r>
          </w:p>
          <w:p w14:paraId="548B570B" w14:textId="77777777" w:rsidR="00F46AB9" w:rsidRPr="008C25D1" w:rsidRDefault="00F46AB9" w:rsidP="00BC5468">
            <w:pPr>
              <w:keepNext/>
              <w:keepLine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r>
      <w:tr w:rsidR="00F46AB9" w:rsidRPr="008C25D1" w14:paraId="346BCA4A" w14:textId="77777777" w:rsidTr="00BC5468">
        <w:trPr>
          <w:cnfStyle w:val="000000010000" w:firstRow="0" w:lastRow="0" w:firstColumn="0" w:lastColumn="0" w:oddVBand="0" w:evenVBand="0" w:oddHBand="0" w:evenHBand="1" w:firstRowFirstColumn="0" w:firstRowLastColumn="0" w:lastRowFirstColumn="0" w:lastRowLastColumn="0"/>
          <w:cantSplit/>
          <w:trHeight w:val="340"/>
        </w:trPr>
        <w:tc>
          <w:tcPr>
            <w:cnfStyle w:val="001000000000" w:firstRow="0" w:lastRow="0" w:firstColumn="1" w:lastColumn="0" w:oddVBand="0" w:evenVBand="0" w:oddHBand="0" w:evenHBand="0" w:firstRowFirstColumn="0" w:firstRowLastColumn="0" w:lastRowFirstColumn="0" w:lastRowLastColumn="0"/>
            <w:tcW w:w="13987" w:type="dxa"/>
            <w:gridSpan w:val="5"/>
            <w:shd w:val="clear" w:color="auto" w:fill="F2F2F2" w:themeFill="background1" w:themeFillShade="F2"/>
            <w:vAlign w:val="center"/>
          </w:tcPr>
          <w:p w14:paraId="3F94396C" w14:textId="77777777" w:rsidR="00F46AB9" w:rsidRPr="008C25D1" w:rsidRDefault="00F46AB9" w:rsidP="00BC5468">
            <w:pPr>
              <w:keepNext/>
              <w:keepLines/>
              <w:rPr>
                <w:rFonts w:asciiTheme="minorHAnsi" w:hAnsiTheme="minorHAnsi" w:cstheme="minorHAnsi"/>
                <w:sz w:val="18"/>
                <w:szCs w:val="18"/>
              </w:rPr>
            </w:pPr>
            <w:r w:rsidRPr="008C25D1">
              <w:rPr>
                <w:rFonts w:asciiTheme="minorHAnsi" w:hAnsiTheme="minorHAnsi" w:cstheme="minorHAnsi"/>
                <w:bCs w:val="0"/>
                <w:i/>
                <w:szCs w:val="18"/>
              </w:rPr>
              <w:t>OTHER COMPOSITION ISSUES RAISED IN SUBMISSIONS</w:t>
            </w:r>
          </w:p>
        </w:tc>
      </w:tr>
      <w:tr w:rsidR="00F46AB9" w:rsidRPr="008C25D1" w14:paraId="717B092E" w14:textId="77777777" w:rsidTr="00BC5468">
        <w:trPr>
          <w:cnfStyle w:val="000000100000" w:firstRow="0" w:lastRow="0" w:firstColumn="0" w:lastColumn="0" w:oddVBand="0" w:evenVBand="0" w:oddHBand="1" w:evenHBand="0" w:firstRowFirstColumn="0" w:firstRowLastColumn="0" w:lastRowFirstColumn="0" w:lastRowLastColumn="0"/>
          <w:cantSplit/>
          <w:trHeight w:val="233"/>
        </w:trPr>
        <w:tc>
          <w:tcPr>
            <w:cnfStyle w:val="001000000000" w:firstRow="0" w:lastRow="0" w:firstColumn="1" w:lastColumn="0" w:oddVBand="0" w:evenVBand="0" w:oddHBand="0" w:evenHBand="0" w:firstRowFirstColumn="0" w:firstRowLastColumn="0" w:lastRowFirstColumn="0" w:lastRowLastColumn="0"/>
            <w:tcW w:w="13987" w:type="dxa"/>
            <w:gridSpan w:val="5"/>
            <w:shd w:val="clear" w:color="auto" w:fill="auto"/>
          </w:tcPr>
          <w:p w14:paraId="263C46F6" w14:textId="77777777" w:rsidR="00F46AB9" w:rsidRPr="008C25D1" w:rsidRDefault="00F46AB9" w:rsidP="00BC5468">
            <w:pPr>
              <w:keepNext/>
              <w:keepLines/>
              <w:rPr>
                <w:rFonts w:asciiTheme="minorHAnsi" w:hAnsiTheme="minorHAnsi" w:cstheme="minorHAnsi"/>
                <w:b w:val="0"/>
                <w:bCs w:val="0"/>
                <w:i/>
                <w:sz w:val="18"/>
                <w:szCs w:val="18"/>
                <w:lang w:val="en-AU"/>
              </w:rPr>
            </w:pPr>
            <w:r w:rsidRPr="008C25D1">
              <w:rPr>
                <w:rFonts w:asciiTheme="minorHAnsi" w:hAnsiTheme="minorHAnsi" w:cstheme="minorHAnsi"/>
                <w:b w:val="0"/>
                <w:bCs w:val="0"/>
                <w:i/>
                <w:sz w:val="18"/>
                <w:szCs w:val="18"/>
                <w:lang w:val="en-AU"/>
              </w:rPr>
              <w:t>Nil raised.</w:t>
            </w:r>
          </w:p>
        </w:tc>
      </w:tr>
    </w:tbl>
    <w:p w14:paraId="181C244C" w14:textId="77777777" w:rsidR="00F46AB9" w:rsidRPr="00F46AB9" w:rsidRDefault="00F46AB9" w:rsidP="00F46AB9">
      <w:pPr>
        <w:rPr>
          <w:i/>
          <w:sz w:val="20"/>
          <w:szCs w:val="20"/>
        </w:rPr>
      </w:pPr>
      <w:r w:rsidRPr="00F46AB9">
        <w:rPr>
          <w:i/>
          <w:sz w:val="18"/>
          <w:szCs w:val="20"/>
          <w:vertAlign w:val="superscript"/>
        </w:rPr>
        <w:t>1</w:t>
      </w:r>
      <w:r w:rsidRPr="00F46AB9">
        <w:rPr>
          <w:i/>
          <w:sz w:val="18"/>
          <w:szCs w:val="20"/>
        </w:rPr>
        <w:t xml:space="preserve"> Indicates number of submissions that commented on this issue; I = Industry, G = Government, HP = Health Professional</w:t>
      </w:r>
    </w:p>
    <w:p w14:paraId="1BE5821E" w14:textId="362CB1E4" w:rsidR="00B177E5" w:rsidRPr="003139BB" w:rsidRDefault="00561BD5" w:rsidP="00B177E5">
      <w:pPr>
        <w:rPr>
          <w:rFonts w:eastAsiaTheme="majorEastAsia" w:cstheme="majorBidi"/>
          <w:sz w:val="36"/>
          <w:szCs w:val="28"/>
        </w:rPr>
        <w:sectPr w:rsidR="00B177E5" w:rsidRPr="003139BB" w:rsidSect="00C377DD">
          <w:footerReference w:type="default" r:id="rId93"/>
          <w:pgSz w:w="16838" w:h="11906" w:orient="landscape"/>
          <w:pgMar w:top="1440" w:right="1440" w:bottom="1558" w:left="1276" w:header="709" w:footer="709" w:gutter="0"/>
          <w:cols w:space="708"/>
          <w:docGrid w:linePitch="360"/>
        </w:sectPr>
      </w:pPr>
      <w:r>
        <w:br w:type="page"/>
      </w:r>
    </w:p>
    <w:p w14:paraId="05A9BD28" w14:textId="3910E657" w:rsidR="00D0347A" w:rsidRDefault="00C377DD" w:rsidP="00D0347A">
      <w:pPr>
        <w:pStyle w:val="Heading1"/>
        <w:ind w:left="0" w:firstLine="0"/>
      </w:pPr>
      <w:bookmarkStart w:id="484" w:name="_Toc73455664"/>
      <w:bookmarkStart w:id="485" w:name="_Toc73624937"/>
      <w:bookmarkStart w:id="486" w:name="_Toc76138305"/>
      <w:r>
        <w:lastRenderedPageBreak/>
        <w:t>A</w:t>
      </w:r>
      <w:r w:rsidR="00B177E5">
        <w:t xml:space="preserve">ppendix </w:t>
      </w:r>
      <w:r w:rsidR="003139BB">
        <w:t>2</w:t>
      </w:r>
      <w:r>
        <w:t xml:space="preserve">: </w:t>
      </w:r>
      <w:r w:rsidR="00D0347A">
        <w:t>Nitrogen conversion factors - examples for illustrative purposes</w:t>
      </w:r>
      <w:bookmarkEnd w:id="484"/>
      <w:bookmarkEnd w:id="485"/>
      <w:bookmarkEnd w:id="486"/>
    </w:p>
    <w:tbl>
      <w:tblPr>
        <w:tblStyle w:val="TableGrid"/>
        <w:tblW w:w="0" w:type="auto"/>
        <w:tblInd w:w="-5" w:type="dxa"/>
        <w:tblLook w:val="04A0" w:firstRow="1" w:lastRow="0" w:firstColumn="1" w:lastColumn="0" w:noHBand="0" w:noVBand="1"/>
        <w:tblCaption w:val="Basis for NCF"/>
        <w:tblDescription w:val="This table summarises the basis for NCF."/>
      </w:tblPr>
      <w:tblGrid>
        <w:gridCol w:w="999"/>
        <w:gridCol w:w="2266"/>
        <w:gridCol w:w="5638"/>
      </w:tblGrid>
      <w:tr w:rsidR="00D0347A" w:rsidRPr="00A02C58" w14:paraId="2233503F" w14:textId="77777777" w:rsidTr="00B177E5">
        <w:trPr>
          <w:trHeight w:val="359"/>
        </w:trPr>
        <w:tc>
          <w:tcPr>
            <w:tcW w:w="999" w:type="dxa"/>
            <w:shd w:val="clear" w:color="auto" w:fill="DBE5F1" w:themeFill="accent1" w:themeFillTint="33"/>
          </w:tcPr>
          <w:p w14:paraId="5BCA4E45" w14:textId="77777777" w:rsidR="00D0347A" w:rsidRPr="0082588A" w:rsidRDefault="00D0347A" w:rsidP="00B177E5">
            <w:pPr>
              <w:rPr>
                <w:rFonts w:cs="Arial"/>
                <w:b/>
                <w:szCs w:val="20"/>
              </w:rPr>
            </w:pPr>
            <w:r w:rsidRPr="0082588A">
              <w:rPr>
                <w:rFonts w:cs="Arial"/>
                <w:b/>
                <w:szCs w:val="20"/>
              </w:rPr>
              <w:t>Protein source</w:t>
            </w:r>
          </w:p>
        </w:tc>
        <w:tc>
          <w:tcPr>
            <w:tcW w:w="2266" w:type="dxa"/>
            <w:shd w:val="clear" w:color="auto" w:fill="DBE5F1" w:themeFill="accent1" w:themeFillTint="33"/>
          </w:tcPr>
          <w:p w14:paraId="7B298361" w14:textId="77777777" w:rsidR="00D0347A" w:rsidRPr="0082588A" w:rsidRDefault="00D0347A" w:rsidP="00B177E5">
            <w:pPr>
              <w:rPr>
                <w:rFonts w:cs="Arial"/>
                <w:b/>
                <w:szCs w:val="20"/>
              </w:rPr>
            </w:pPr>
            <w:r w:rsidRPr="0082588A">
              <w:rPr>
                <w:rFonts w:cs="Arial"/>
                <w:b/>
                <w:szCs w:val="20"/>
              </w:rPr>
              <w:t>NCF</w:t>
            </w:r>
          </w:p>
        </w:tc>
        <w:tc>
          <w:tcPr>
            <w:tcW w:w="5638" w:type="dxa"/>
            <w:shd w:val="clear" w:color="auto" w:fill="DBE5F1" w:themeFill="accent1" w:themeFillTint="33"/>
          </w:tcPr>
          <w:p w14:paraId="02A22A09" w14:textId="77777777" w:rsidR="00D0347A" w:rsidRPr="0082588A" w:rsidRDefault="00D0347A" w:rsidP="00B177E5">
            <w:pPr>
              <w:rPr>
                <w:rFonts w:cs="Arial"/>
                <w:b/>
                <w:szCs w:val="20"/>
              </w:rPr>
            </w:pPr>
            <w:r w:rsidRPr="0082588A">
              <w:rPr>
                <w:rFonts w:cs="Arial"/>
                <w:b/>
                <w:szCs w:val="20"/>
              </w:rPr>
              <w:t>Basis</w:t>
            </w:r>
          </w:p>
        </w:tc>
      </w:tr>
      <w:tr w:rsidR="00D0347A" w:rsidRPr="0082588A" w14:paraId="13484173" w14:textId="77777777" w:rsidTr="00B177E5">
        <w:trPr>
          <w:trHeight w:val="397"/>
        </w:trPr>
        <w:tc>
          <w:tcPr>
            <w:tcW w:w="999" w:type="dxa"/>
          </w:tcPr>
          <w:p w14:paraId="259A447A" w14:textId="77777777" w:rsidR="00D0347A" w:rsidRPr="0082588A" w:rsidRDefault="00D0347A" w:rsidP="00B177E5">
            <w:pPr>
              <w:rPr>
                <w:rFonts w:cs="Arial"/>
                <w:szCs w:val="20"/>
              </w:rPr>
            </w:pPr>
            <w:r w:rsidRPr="0082588A">
              <w:rPr>
                <w:rFonts w:cs="Arial"/>
                <w:szCs w:val="20"/>
              </w:rPr>
              <w:t>Soy</w:t>
            </w:r>
          </w:p>
        </w:tc>
        <w:tc>
          <w:tcPr>
            <w:tcW w:w="2266" w:type="dxa"/>
          </w:tcPr>
          <w:p w14:paraId="2A41C0A8" w14:textId="77777777" w:rsidR="00D0347A" w:rsidRPr="0082588A" w:rsidRDefault="00D0347A" w:rsidP="00B177E5">
            <w:pPr>
              <w:rPr>
                <w:rFonts w:cs="Arial"/>
                <w:szCs w:val="20"/>
              </w:rPr>
            </w:pPr>
            <w:r w:rsidRPr="0082588A">
              <w:rPr>
                <w:rFonts w:cs="Arial"/>
                <w:szCs w:val="20"/>
              </w:rPr>
              <w:t>1 g N = 5.71 g protein</w:t>
            </w:r>
          </w:p>
        </w:tc>
        <w:tc>
          <w:tcPr>
            <w:tcW w:w="5638" w:type="dxa"/>
          </w:tcPr>
          <w:p w14:paraId="3788B9AF" w14:textId="77777777" w:rsidR="00D0347A" w:rsidRPr="0082588A" w:rsidRDefault="00D0347A" w:rsidP="00B177E5">
            <w:pPr>
              <w:rPr>
                <w:rFonts w:cs="Arial"/>
                <w:szCs w:val="20"/>
              </w:rPr>
            </w:pPr>
            <w:r w:rsidRPr="0082588A">
              <w:rPr>
                <w:rFonts w:cs="Arial"/>
                <w:szCs w:val="20"/>
              </w:rPr>
              <w:t>Experimentally determined, scien</w:t>
            </w:r>
            <w:r>
              <w:rPr>
                <w:rFonts w:cs="Arial"/>
                <w:szCs w:val="20"/>
              </w:rPr>
              <w:t>ce</w:t>
            </w:r>
            <w:r w:rsidRPr="0082588A">
              <w:rPr>
                <w:rFonts w:cs="Arial"/>
                <w:szCs w:val="20"/>
              </w:rPr>
              <w:t>-based NCF for soy protein sources (</w:t>
            </w:r>
            <w:r w:rsidRPr="001F2573">
              <w:rPr>
                <w:rFonts w:cs="Arial"/>
                <w:szCs w:val="20"/>
              </w:rPr>
              <w:t>Maubois and Laurient 2015</w:t>
            </w:r>
            <w:r w:rsidRPr="0082588A">
              <w:rPr>
                <w:rFonts w:cs="Arial"/>
                <w:szCs w:val="20"/>
              </w:rPr>
              <w:t>)</w:t>
            </w:r>
            <w:r>
              <w:rPr>
                <w:rFonts w:cs="Arial"/>
                <w:szCs w:val="20"/>
              </w:rPr>
              <w:t>.</w:t>
            </w:r>
          </w:p>
        </w:tc>
      </w:tr>
      <w:tr w:rsidR="00D0347A" w:rsidRPr="0082588A" w14:paraId="3D4BD5EC" w14:textId="77777777" w:rsidTr="00B177E5">
        <w:trPr>
          <w:trHeight w:val="397"/>
        </w:trPr>
        <w:tc>
          <w:tcPr>
            <w:tcW w:w="999" w:type="dxa"/>
          </w:tcPr>
          <w:p w14:paraId="56038835" w14:textId="77777777" w:rsidR="00D0347A" w:rsidRPr="0082588A" w:rsidRDefault="00D0347A" w:rsidP="00B177E5">
            <w:pPr>
              <w:rPr>
                <w:rFonts w:cs="Arial"/>
                <w:szCs w:val="20"/>
              </w:rPr>
            </w:pPr>
            <w:r w:rsidRPr="0082588A">
              <w:rPr>
                <w:rFonts w:cs="Arial"/>
                <w:szCs w:val="20"/>
              </w:rPr>
              <w:t>General</w:t>
            </w:r>
          </w:p>
        </w:tc>
        <w:tc>
          <w:tcPr>
            <w:tcW w:w="2266" w:type="dxa"/>
          </w:tcPr>
          <w:p w14:paraId="608D3244" w14:textId="77777777" w:rsidR="00D0347A" w:rsidRPr="0082588A" w:rsidRDefault="00D0347A" w:rsidP="00B177E5">
            <w:pPr>
              <w:rPr>
                <w:rFonts w:cs="Arial"/>
                <w:szCs w:val="20"/>
              </w:rPr>
            </w:pPr>
            <w:r w:rsidRPr="0082588A">
              <w:rPr>
                <w:rFonts w:cs="Arial"/>
                <w:szCs w:val="20"/>
              </w:rPr>
              <w:t>1 g N = 6.25 g protein</w:t>
            </w:r>
          </w:p>
        </w:tc>
        <w:tc>
          <w:tcPr>
            <w:tcW w:w="5638" w:type="dxa"/>
          </w:tcPr>
          <w:p w14:paraId="23CE52D1" w14:textId="77777777" w:rsidR="00D0347A" w:rsidRPr="0082588A" w:rsidRDefault="00D0347A" w:rsidP="00B177E5">
            <w:pPr>
              <w:rPr>
                <w:rFonts w:cs="Arial"/>
                <w:szCs w:val="20"/>
              </w:rPr>
            </w:pPr>
            <w:r w:rsidRPr="0082588A">
              <w:rPr>
                <w:rFonts w:cs="Arial"/>
                <w:szCs w:val="20"/>
              </w:rPr>
              <w:t>An approximated conversion factor for all protein sources based on average nitrogen content of mixed food proteins which is approximately 16%</w:t>
            </w:r>
          </w:p>
        </w:tc>
      </w:tr>
      <w:tr w:rsidR="00D0347A" w:rsidRPr="0082588A" w14:paraId="34B443E4" w14:textId="77777777" w:rsidTr="00B177E5">
        <w:trPr>
          <w:trHeight w:val="397"/>
        </w:trPr>
        <w:tc>
          <w:tcPr>
            <w:tcW w:w="999" w:type="dxa"/>
          </w:tcPr>
          <w:p w14:paraId="215A88D7" w14:textId="77777777" w:rsidR="00D0347A" w:rsidRPr="0082588A" w:rsidRDefault="00D0347A" w:rsidP="00B177E5">
            <w:pPr>
              <w:rPr>
                <w:rFonts w:cs="Arial"/>
                <w:szCs w:val="20"/>
              </w:rPr>
            </w:pPr>
            <w:r w:rsidRPr="0082588A">
              <w:rPr>
                <w:rFonts w:cs="Arial"/>
                <w:szCs w:val="20"/>
              </w:rPr>
              <w:t xml:space="preserve">Cow’s milk </w:t>
            </w:r>
          </w:p>
        </w:tc>
        <w:tc>
          <w:tcPr>
            <w:tcW w:w="2266" w:type="dxa"/>
          </w:tcPr>
          <w:p w14:paraId="29406C3C" w14:textId="77777777" w:rsidR="00D0347A" w:rsidRPr="0082588A" w:rsidRDefault="00D0347A" w:rsidP="00B177E5">
            <w:pPr>
              <w:rPr>
                <w:rFonts w:cs="Arial"/>
                <w:szCs w:val="20"/>
              </w:rPr>
            </w:pPr>
            <w:r w:rsidRPr="0082588A">
              <w:rPr>
                <w:rFonts w:cs="Arial"/>
                <w:szCs w:val="20"/>
              </w:rPr>
              <w:t>1 g N = 6.38 g protein</w:t>
            </w:r>
          </w:p>
        </w:tc>
        <w:tc>
          <w:tcPr>
            <w:tcW w:w="5638" w:type="dxa"/>
          </w:tcPr>
          <w:p w14:paraId="27850241" w14:textId="77777777" w:rsidR="00D0347A" w:rsidRPr="0082588A" w:rsidRDefault="00D0347A" w:rsidP="00B177E5">
            <w:pPr>
              <w:rPr>
                <w:rFonts w:cs="Arial"/>
                <w:szCs w:val="20"/>
              </w:rPr>
            </w:pPr>
            <w:r w:rsidRPr="0082588A">
              <w:rPr>
                <w:rFonts w:cs="Arial"/>
                <w:szCs w:val="20"/>
              </w:rPr>
              <w:t>Experimentally determined, scien</w:t>
            </w:r>
            <w:r>
              <w:rPr>
                <w:rFonts w:cs="Arial"/>
                <w:szCs w:val="20"/>
              </w:rPr>
              <w:t>ce</w:t>
            </w:r>
            <w:r w:rsidRPr="0082588A">
              <w:rPr>
                <w:rFonts w:cs="Arial"/>
                <w:szCs w:val="20"/>
              </w:rPr>
              <w:t>-based NCF for dairy protein sources (</w:t>
            </w:r>
            <w:r w:rsidRPr="001F2573">
              <w:rPr>
                <w:rFonts w:cs="Arial"/>
                <w:szCs w:val="20"/>
              </w:rPr>
              <w:t>Maubois and Laurient 2015).</w:t>
            </w:r>
          </w:p>
        </w:tc>
      </w:tr>
    </w:tbl>
    <w:p w14:paraId="029D5839" w14:textId="77777777" w:rsidR="00D0347A" w:rsidRDefault="00D0347A" w:rsidP="00D0347A">
      <w:pPr>
        <w:ind w:left="567"/>
        <w:rPr>
          <w:b/>
          <w:i/>
        </w:rPr>
      </w:pPr>
    </w:p>
    <w:p w14:paraId="694E46BD" w14:textId="77777777" w:rsidR="00D0347A" w:rsidRDefault="00D0347A" w:rsidP="00D0347A">
      <w:pPr>
        <w:rPr>
          <w:b/>
          <w:i/>
        </w:rPr>
      </w:pPr>
      <w:r w:rsidRPr="003A5328">
        <w:rPr>
          <w:b/>
          <w:i/>
        </w:rPr>
        <w:t xml:space="preserve">How much SPI is needed for 100 g IF at minimum protein </w:t>
      </w:r>
      <w:r>
        <w:rPr>
          <w:b/>
          <w:i/>
        </w:rPr>
        <w:t>level</w:t>
      </w:r>
      <w:r w:rsidRPr="003A5328">
        <w:rPr>
          <w:b/>
          <w:i/>
        </w:rPr>
        <w:t xml:space="preserve"> of 0.45 g/100 kJ using NCF of 5.71 or 6.25?</w:t>
      </w:r>
    </w:p>
    <w:p w14:paraId="7AFCBE2A" w14:textId="77777777" w:rsidR="00D0347A" w:rsidRDefault="00D0347A" w:rsidP="00D0347A">
      <w:pPr>
        <w:ind w:left="567"/>
        <w:rPr>
          <w:b/>
          <w:i/>
        </w:rPr>
      </w:pPr>
    </w:p>
    <w:p w14:paraId="4D184B9E" w14:textId="77777777" w:rsidR="00D0347A" w:rsidRDefault="00D0347A" w:rsidP="00D0347A">
      <w:r>
        <w:t xml:space="preserve">Required minimum: 0.45 g P /100 kJ = 1.23 g P /100 g IF </w:t>
      </w:r>
    </w:p>
    <w:p w14:paraId="3819B7B4" w14:textId="77777777" w:rsidR="00D0347A" w:rsidRDefault="00D0347A" w:rsidP="00D0347A">
      <w:r>
        <w:t xml:space="preserve">(assuming 2725 kJ/L and 1ml IF = 1 g IF) </w:t>
      </w:r>
    </w:p>
    <w:p w14:paraId="4DA93CEC" w14:textId="77777777" w:rsidR="00D0347A" w:rsidRDefault="00D0347A" w:rsidP="00D0347A"/>
    <w:p w14:paraId="7092FCFA" w14:textId="5B36482F" w:rsidR="00D0347A" w:rsidRDefault="003D7B66" w:rsidP="00D0347A">
      <w:r>
        <w:t xml:space="preserve">For illustrative purposes, </w:t>
      </w:r>
      <w:r w:rsidR="00D0347A">
        <w:t>the measured nitrogen in SPI is 10 g N/100 g SPI.</w:t>
      </w:r>
    </w:p>
    <w:p w14:paraId="51FFFB74" w14:textId="77777777" w:rsidR="00D0347A" w:rsidRDefault="00D0347A" w:rsidP="00D0347A"/>
    <w:p w14:paraId="645E7C10" w14:textId="77777777" w:rsidR="00D0347A" w:rsidRPr="00537452" w:rsidRDefault="00D0347A" w:rsidP="00D0347A">
      <w:pPr>
        <w:rPr>
          <w:color w:val="548DD4" w:themeColor="text2" w:themeTint="99"/>
        </w:rPr>
      </w:pPr>
      <w:r w:rsidRPr="00537452">
        <w:rPr>
          <w:b/>
          <w:i/>
          <w:color w:val="548DD4" w:themeColor="text2" w:themeTint="99"/>
        </w:rPr>
        <w:t>Using NCF = 5.71</w:t>
      </w:r>
      <w:r w:rsidRPr="00537452">
        <w:rPr>
          <w:color w:val="548DD4" w:themeColor="text2" w:themeTint="99"/>
        </w:rPr>
        <w:t>:</w:t>
      </w:r>
    </w:p>
    <w:p w14:paraId="17CA535F" w14:textId="77777777" w:rsidR="00D0347A" w:rsidRDefault="00D0347A" w:rsidP="00D0347A"/>
    <w:p w14:paraId="47ED2A05" w14:textId="77777777" w:rsidR="00D0347A" w:rsidRDefault="001938AB" w:rsidP="00D0347A">
      <m:oMathPara>
        <m:oMath>
          <m:f>
            <m:fPr>
              <m:ctrlPr>
                <w:rPr>
                  <w:rFonts w:ascii="Cambria Math" w:hAnsi="Cambria Math"/>
                  <w:i/>
                </w:rPr>
              </m:ctrlPr>
            </m:fPr>
            <m:num>
              <m:r>
                <w:rPr>
                  <w:rFonts w:ascii="Cambria Math" w:hAnsi="Cambria Math"/>
                </w:rPr>
                <m:t>10 g N</m:t>
              </m:r>
            </m:num>
            <m:den>
              <m:r>
                <w:rPr>
                  <w:rFonts w:ascii="Cambria Math" w:hAnsi="Cambria Math"/>
                </w:rPr>
                <m:t>100 g SPI</m:t>
              </m:r>
            </m:den>
          </m:f>
          <m:r>
            <w:rPr>
              <w:rFonts w:ascii="Cambria Math" w:hAnsi="Cambria Math"/>
            </w:rPr>
            <m:t xml:space="preserve">    ×    </m:t>
          </m:r>
          <m:f>
            <m:fPr>
              <m:ctrlPr>
                <w:rPr>
                  <w:rFonts w:ascii="Cambria Math" w:hAnsi="Cambria Math"/>
                  <w:i/>
                </w:rPr>
              </m:ctrlPr>
            </m:fPr>
            <m:num>
              <m:r>
                <w:rPr>
                  <w:rFonts w:ascii="Cambria Math" w:hAnsi="Cambria Math"/>
                </w:rPr>
                <m:t>5.71 g protein</m:t>
              </m:r>
            </m:num>
            <m:den>
              <m:r>
                <w:rPr>
                  <w:rFonts w:ascii="Cambria Math" w:hAnsi="Cambria Math"/>
                </w:rPr>
                <m:t>g N</m:t>
              </m:r>
            </m:den>
          </m:f>
          <m:r>
            <w:rPr>
              <w:rFonts w:ascii="Cambria Math" w:eastAsiaTheme="majorEastAsia" w:hAnsi="Cambria Math" w:cstheme="majorBidi"/>
            </w:rPr>
            <m:t xml:space="preserve">    =   </m:t>
          </m:r>
          <m:f>
            <m:fPr>
              <m:ctrlPr>
                <w:rPr>
                  <w:rFonts w:ascii="Cambria Math" w:eastAsiaTheme="majorEastAsia" w:hAnsi="Cambria Math" w:cstheme="majorBidi"/>
                  <w:i/>
                </w:rPr>
              </m:ctrlPr>
            </m:fPr>
            <m:num>
              <m:r>
                <w:rPr>
                  <w:rFonts w:ascii="Cambria Math" w:eastAsiaTheme="majorEastAsia" w:hAnsi="Cambria Math" w:cstheme="majorBidi"/>
                </w:rPr>
                <m:t>0.517 g protein</m:t>
              </m:r>
            </m:num>
            <m:den>
              <m:r>
                <w:rPr>
                  <w:rFonts w:ascii="Cambria Math" w:eastAsiaTheme="majorEastAsia" w:hAnsi="Cambria Math" w:cstheme="majorBidi"/>
                </w:rPr>
                <m:t>g SPI</m:t>
              </m:r>
            </m:den>
          </m:f>
        </m:oMath>
      </m:oMathPara>
    </w:p>
    <w:p w14:paraId="7071D8BB" w14:textId="77777777" w:rsidR="00D0347A" w:rsidRDefault="00D0347A" w:rsidP="00D0347A">
      <w:pPr>
        <w:rPr>
          <w:rFonts w:eastAsiaTheme="minorEastAsia"/>
        </w:rPr>
      </w:pPr>
    </w:p>
    <w:p w14:paraId="5A9472BF" w14:textId="77777777" w:rsidR="00D0347A" w:rsidRDefault="00D0347A" w:rsidP="00D0347A"/>
    <w:p w14:paraId="0C02EA1F" w14:textId="77777777" w:rsidR="00D0347A" w:rsidRDefault="001938AB" w:rsidP="00D0347A">
      <m:oMathPara>
        <m:oMath>
          <m:f>
            <m:fPr>
              <m:ctrlPr>
                <w:rPr>
                  <w:rFonts w:ascii="Cambria Math" w:hAnsi="Cambria Math"/>
                  <w:i/>
                </w:rPr>
              </m:ctrlPr>
            </m:fPr>
            <m:num>
              <m:r>
                <w:rPr>
                  <w:rFonts w:ascii="Cambria Math" w:hAnsi="Cambria Math"/>
                </w:rPr>
                <m:t>0.571 g protein</m:t>
              </m:r>
            </m:num>
            <m:den>
              <m:r>
                <w:rPr>
                  <w:rFonts w:ascii="Cambria Math" w:hAnsi="Cambria Math"/>
                </w:rPr>
                <m:t xml:space="preserve"> g SPI</m:t>
              </m:r>
            </m:den>
          </m:f>
          <m:r>
            <w:rPr>
              <w:rFonts w:ascii="Cambria Math" w:hAnsi="Cambria Math"/>
            </w:rPr>
            <m:t xml:space="preserve">       ×         X g SPI                   </m:t>
          </m:r>
          <m:r>
            <w:rPr>
              <w:rFonts w:ascii="Cambria Math" w:eastAsiaTheme="majorEastAsia" w:hAnsi="Cambria Math" w:cstheme="majorBidi"/>
            </w:rPr>
            <m:t xml:space="preserve">=     </m:t>
          </m:r>
          <m:f>
            <m:fPr>
              <m:ctrlPr>
                <w:rPr>
                  <w:rFonts w:ascii="Cambria Math" w:eastAsiaTheme="majorEastAsia" w:hAnsi="Cambria Math" w:cstheme="majorBidi"/>
                  <w:i/>
                </w:rPr>
              </m:ctrlPr>
            </m:fPr>
            <m:num>
              <m:r>
                <w:rPr>
                  <w:rFonts w:ascii="Cambria Math" w:eastAsiaTheme="majorEastAsia" w:hAnsi="Cambria Math" w:cstheme="majorBidi"/>
                </w:rPr>
                <m:t>1.23 g protein</m:t>
              </m:r>
            </m:num>
            <m:den>
              <m:r>
                <w:rPr>
                  <w:rFonts w:ascii="Cambria Math" w:eastAsiaTheme="majorEastAsia" w:hAnsi="Cambria Math" w:cstheme="majorBidi"/>
                </w:rPr>
                <m:t>100 g IF</m:t>
              </m:r>
            </m:den>
          </m:f>
        </m:oMath>
      </m:oMathPara>
    </w:p>
    <w:p w14:paraId="66DC6DD8" w14:textId="77777777" w:rsidR="00D0347A" w:rsidRDefault="00D0347A" w:rsidP="00D0347A"/>
    <w:p w14:paraId="316ED55B" w14:textId="77777777" w:rsidR="00D0347A" w:rsidRPr="006A51F6" w:rsidRDefault="00D0347A" w:rsidP="00D0347A">
      <w:r>
        <w:rPr>
          <w:noProof/>
          <w:lang w:eastAsia="en-GB" w:bidi="ar-SA"/>
        </w:rPr>
        <mc:AlternateContent>
          <mc:Choice Requires="wps">
            <w:drawing>
              <wp:anchor distT="45720" distB="45720" distL="114300" distR="114300" simplePos="0" relativeHeight="251658243" behindDoc="0" locked="0" layoutInCell="1" allowOverlap="1" wp14:anchorId="1771199E" wp14:editId="68F07DBD">
                <wp:simplePos x="0" y="0"/>
                <wp:positionH relativeFrom="column">
                  <wp:posOffset>3853077</wp:posOffset>
                </wp:positionH>
                <wp:positionV relativeFrom="page">
                  <wp:posOffset>5978998</wp:posOffset>
                </wp:positionV>
                <wp:extent cx="1081405" cy="334010"/>
                <wp:effectExtent l="0" t="0" r="23495" b="2794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1405" cy="334010"/>
                        </a:xfrm>
                        <a:prstGeom prst="rect">
                          <a:avLst/>
                        </a:prstGeom>
                        <a:solidFill>
                          <a:srgbClr val="9BBB59">
                            <a:lumMod val="20000"/>
                            <a:lumOff val="80000"/>
                          </a:srgbClr>
                        </a:solidFill>
                        <a:ln w="9525">
                          <a:solidFill>
                            <a:srgbClr val="000000"/>
                          </a:solidFill>
                          <a:miter lim="800000"/>
                          <a:headEnd/>
                          <a:tailEnd/>
                        </a:ln>
                      </wps:spPr>
                      <wps:txbx>
                        <w:txbxContent>
                          <w:p w14:paraId="64FDB99D" w14:textId="77777777" w:rsidR="00EC27CD" w:rsidRPr="00D77659" w:rsidRDefault="00EC27CD" w:rsidP="00D0347A">
                            <w:pPr>
                              <w:rPr>
                                <w:sz w:val="16"/>
                                <w:szCs w:val="16"/>
                              </w:rPr>
                            </w:pPr>
                            <w:r>
                              <w:rPr>
                                <w:sz w:val="16"/>
                                <w:szCs w:val="16"/>
                              </w:rPr>
                              <w:t xml:space="preserve">Minimum level of protein under FSC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71199E" id="_x0000_t202" coordsize="21600,21600" o:spt="202" path="m,l,21600r21600,l21600,xe">
                <v:stroke joinstyle="miter"/>
                <v:path gradientshapeok="t" o:connecttype="rect"/>
              </v:shapetype>
              <v:shape id="Text Box 4" o:spid="_x0000_s1026" type="#_x0000_t202" style="position:absolute;margin-left:303.4pt;margin-top:470.8pt;width:85.15pt;height:26.3pt;z-index:251658243;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" fillcolor="#ebf1de">
                <v:textbox style="mso-fit-shape-to-text:t">
                  <w:txbxContent>
                    <w:p w14:paraId="64FDB99D" w14:textId="77777777" w:rsidR="00EC27CD" w:rsidRPr="00D77659" w:rsidRDefault="00EC27CD" w:rsidP="00D0347A">
                      <w:pPr>
                        <w:rPr>
                          <w:sz w:val="16"/>
                          <w:szCs w:val="16"/>
                        </w:rPr>
                      </w:pPr>
                      <w:r>
                        <w:rPr>
                          <w:sz w:val="16"/>
                          <w:szCs w:val="16"/>
                        </w:rPr>
                        <w:t xml:space="preserve">Minimum level of protein under FSC </w:t>
                      </w:r>
                    </w:p>
                  </w:txbxContent>
                </v:textbox>
                <w10:wrap type="square" anchory="page"/>
              </v:shape>
            </w:pict>
          </mc:Fallback>
        </mc:AlternateContent>
      </w:r>
      <w:r>
        <w:rPr>
          <w:noProof/>
          <w:lang w:eastAsia="en-GB" w:bidi="ar-SA"/>
        </w:rPr>
        <mc:AlternateContent>
          <mc:Choice Requires="wps">
            <w:drawing>
              <wp:anchor distT="45720" distB="45720" distL="114300" distR="114300" simplePos="0" relativeHeight="251658242" behindDoc="0" locked="0" layoutInCell="1" allowOverlap="1" wp14:anchorId="6D14B677" wp14:editId="4EA8E845">
                <wp:simplePos x="0" y="0"/>
                <wp:positionH relativeFrom="column">
                  <wp:posOffset>2287905</wp:posOffset>
                </wp:positionH>
                <wp:positionV relativeFrom="page">
                  <wp:posOffset>5975070</wp:posOffset>
                </wp:positionV>
                <wp:extent cx="1294130" cy="450850"/>
                <wp:effectExtent l="0" t="0" r="20320" b="2540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4130" cy="450850"/>
                        </a:xfrm>
                        <a:prstGeom prst="rect">
                          <a:avLst/>
                        </a:prstGeom>
                        <a:solidFill>
                          <a:srgbClr val="9BBB59">
                            <a:lumMod val="20000"/>
                            <a:lumOff val="80000"/>
                          </a:srgbClr>
                        </a:solidFill>
                        <a:ln w="9525">
                          <a:solidFill>
                            <a:srgbClr val="000000"/>
                          </a:solidFill>
                          <a:miter lim="800000"/>
                          <a:headEnd/>
                          <a:tailEnd/>
                        </a:ln>
                      </wps:spPr>
                      <wps:txbx>
                        <w:txbxContent>
                          <w:p w14:paraId="05057ACC" w14:textId="77777777" w:rsidR="00EC27CD" w:rsidRPr="00552405" w:rsidRDefault="00EC27CD" w:rsidP="00D0347A">
                            <w:pPr>
                              <w:rPr>
                                <w:b/>
                                <w:sz w:val="16"/>
                                <w:szCs w:val="16"/>
                              </w:rPr>
                            </w:pPr>
                            <w:r w:rsidRPr="00552405">
                              <w:rPr>
                                <w:b/>
                                <w:sz w:val="16"/>
                                <w:szCs w:val="16"/>
                              </w:rPr>
                              <w:t>Calculate how much SPI to give 1.23 g Protein per 100 g IF</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D14B677" id="Text Box 2" o:spid="_x0000_s1027" type="#_x0000_t202" style="position:absolute;margin-left:180.15pt;margin-top:470.5pt;width:101.9pt;height:35.5pt;z-index:251658242;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" fillcolor="#ebf1de">
                <v:textbox style="mso-fit-shape-to-text:t">
                  <w:txbxContent>
                    <w:p w14:paraId="05057ACC" w14:textId="77777777" w:rsidR="00EC27CD" w:rsidRPr="00552405" w:rsidRDefault="00EC27CD" w:rsidP="00D0347A">
                      <w:pPr>
                        <w:rPr>
                          <w:b/>
                          <w:sz w:val="16"/>
                          <w:szCs w:val="16"/>
                        </w:rPr>
                      </w:pPr>
                      <w:r w:rsidRPr="00552405">
                        <w:rPr>
                          <w:b/>
                          <w:sz w:val="16"/>
                          <w:szCs w:val="16"/>
                        </w:rPr>
                        <w:t>Calculate how much SPI to give 1.23 g Protein per 100 g IF</w:t>
                      </w:r>
                    </w:p>
                  </w:txbxContent>
                </v:textbox>
                <w10:wrap type="square" anchory="page"/>
              </v:shape>
            </w:pict>
          </mc:Fallback>
        </mc:AlternateContent>
      </w:r>
      <w:r>
        <w:rPr>
          <w:noProof/>
          <w:lang w:eastAsia="en-GB" w:bidi="ar-SA"/>
        </w:rPr>
        <mc:AlternateContent>
          <mc:Choice Requires="wps">
            <w:drawing>
              <wp:anchor distT="45720" distB="45720" distL="114300" distR="114300" simplePos="0" relativeHeight="251658241" behindDoc="0" locked="0" layoutInCell="1" allowOverlap="1" wp14:anchorId="40E36E6A" wp14:editId="700FC00E">
                <wp:simplePos x="0" y="0"/>
                <wp:positionH relativeFrom="column">
                  <wp:posOffset>906677</wp:posOffset>
                </wp:positionH>
                <wp:positionV relativeFrom="page">
                  <wp:posOffset>5976443</wp:posOffset>
                </wp:positionV>
                <wp:extent cx="1035050" cy="450850"/>
                <wp:effectExtent l="0" t="0" r="1270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5050" cy="450850"/>
                        </a:xfrm>
                        <a:prstGeom prst="rect">
                          <a:avLst/>
                        </a:prstGeom>
                        <a:solidFill>
                          <a:schemeClr val="accent3">
                            <a:lumMod val="20000"/>
                            <a:lumOff val="80000"/>
                          </a:schemeClr>
                        </a:solidFill>
                        <a:ln w="9525">
                          <a:solidFill>
                            <a:srgbClr val="000000"/>
                          </a:solidFill>
                          <a:miter lim="800000"/>
                          <a:headEnd/>
                          <a:tailEnd/>
                        </a:ln>
                      </wps:spPr>
                      <wps:txbx>
                        <w:txbxContent>
                          <w:p w14:paraId="66DFF987" w14:textId="77777777" w:rsidR="00EC27CD" w:rsidRPr="00D77659" w:rsidRDefault="00EC27CD" w:rsidP="00D0347A">
                            <w:pPr>
                              <w:rPr>
                                <w:sz w:val="16"/>
                                <w:szCs w:val="16"/>
                              </w:rPr>
                            </w:pPr>
                            <w:r w:rsidRPr="00D77659">
                              <w:rPr>
                                <w:sz w:val="16"/>
                                <w:szCs w:val="16"/>
                              </w:rPr>
                              <w:t xml:space="preserve">Concentration of protein </w:t>
                            </w:r>
                            <w:r>
                              <w:rPr>
                                <w:sz w:val="16"/>
                                <w:szCs w:val="16"/>
                              </w:rPr>
                              <w:t>in source</w:t>
                            </w:r>
                            <w:r w:rsidRPr="00D77659">
                              <w:rPr>
                                <w:sz w:val="16"/>
                                <w:szCs w:val="16"/>
                              </w:rPr>
                              <w:t xml:space="preserve"> (measured </w:t>
                            </w:r>
                            <w:r>
                              <w:rPr>
                                <w:sz w:val="16"/>
                                <w:szCs w:val="16"/>
                              </w:rPr>
                              <w:t>as</w:t>
                            </w:r>
                            <w:r w:rsidRPr="00D77659">
                              <w:rPr>
                                <w:sz w:val="16"/>
                                <w:szCs w:val="16"/>
                              </w:rPr>
                              <w:t xml:space="preserve"> 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0E36E6A" id="_x0000_s1028" type="#_x0000_t202" style="position:absolute;margin-left:71.4pt;margin-top:470.6pt;width:81.5pt;height:35.5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" fillcolor="#eaf1dd [662]">
                <v:textbox style="mso-fit-shape-to-text:t">
                  <w:txbxContent>
                    <w:p w14:paraId="66DFF987" w14:textId="77777777" w:rsidR="00EC27CD" w:rsidRPr="00D77659" w:rsidRDefault="00EC27CD" w:rsidP="00D0347A">
                      <w:pPr>
                        <w:rPr>
                          <w:sz w:val="16"/>
                          <w:szCs w:val="16"/>
                        </w:rPr>
                      </w:pPr>
                      <w:r w:rsidRPr="00D77659">
                        <w:rPr>
                          <w:sz w:val="16"/>
                          <w:szCs w:val="16"/>
                        </w:rPr>
                        <w:t xml:space="preserve">Concentration of protein </w:t>
                      </w:r>
                      <w:r>
                        <w:rPr>
                          <w:sz w:val="16"/>
                          <w:szCs w:val="16"/>
                        </w:rPr>
                        <w:t>in source</w:t>
                      </w:r>
                      <w:r w:rsidRPr="00D77659">
                        <w:rPr>
                          <w:sz w:val="16"/>
                          <w:szCs w:val="16"/>
                        </w:rPr>
                        <w:t xml:space="preserve"> (measured </w:t>
                      </w:r>
                      <w:r>
                        <w:rPr>
                          <w:sz w:val="16"/>
                          <w:szCs w:val="16"/>
                        </w:rPr>
                        <w:t>as</w:t>
                      </w:r>
                      <w:r w:rsidRPr="00D77659">
                        <w:rPr>
                          <w:sz w:val="16"/>
                          <w:szCs w:val="16"/>
                        </w:rPr>
                        <w:t xml:space="preserve"> N)</w:t>
                      </w:r>
                    </w:p>
                  </w:txbxContent>
                </v:textbox>
                <w10:wrap type="square" anchory="page"/>
              </v:shape>
            </w:pict>
          </mc:Fallback>
        </mc:AlternateContent>
      </w:r>
    </w:p>
    <w:p w14:paraId="03FBCE64" w14:textId="77777777" w:rsidR="00D0347A" w:rsidRPr="006A51F6" w:rsidRDefault="00D0347A" w:rsidP="00D0347A"/>
    <w:p w14:paraId="6E298CFF" w14:textId="77777777" w:rsidR="00D0347A" w:rsidRDefault="00D0347A" w:rsidP="00D0347A"/>
    <w:p w14:paraId="4B12F518" w14:textId="77777777" w:rsidR="00D0347A" w:rsidRDefault="00D0347A" w:rsidP="00D0347A"/>
    <w:p w14:paraId="31516745" w14:textId="77777777" w:rsidR="00D0347A" w:rsidRDefault="00D0347A" w:rsidP="00D0347A">
      <m:oMathPara>
        <m:oMath>
          <m:r>
            <w:rPr>
              <w:rFonts w:ascii="Cambria Math" w:hAnsi="Cambria Math"/>
            </w:rPr>
            <m:t xml:space="preserve"> X g SPI  </m:t>
          </m:r>
          <m:r>
            <w:rPr>
              <w:rFonts w:ascii="Cambria Math" w:eastAsiaTheme="majorEastAsia" w:hAnsi="Cambria Math" w:cstheme="majorBidi"/>
            </w:rPr>
            <m:t xml:space="preserve">=   </m:t>
          </m:r>
          <m:f>
            <m:fPr>
              <m:ctrlPr>
                <w:rPr>
                  <w:rFonts w:ascii="Cambria Math" w:eastAsiaTheme="majorEastAsia" w:hAnsi="Cambria Math" w:cstheme="majorBidi"/>
                  <w:i/>
                </w:rPr>
              </m:ctrlPr>
            </m:fPr>
            <m:num>
              <m:r>
                <w:rPr>
                  <w:rFonts w:ascii="Cambria Math" w:eastAsiaTheme="majorEastAsia" w:hAnsi="Cambria Math" w:cstheme="majorBidi"/>
                </w:rPr>
                <m:t>1.23 g protein</m:t>
              </m:r>
            </m:num>
            <m:den>
              <m:r>
                <w:rPr>
                  <w:rFonts w:ascii="Cambria Math" w:eastAsiaTheme="majorEastAsia" w:hAnsi="Cambria Math" w:cstheme="majorBidi"/>
                </w:rPr>
                <m:t>100 g IF</m:t>
              </m:r>
            </m:den>
          </m:f>
          <m:r>
            <w:rPr>
              <w:rFonts w:ascii="Cambria Math" w:eastAsiaTheme="majorEastAsia" w:hAnsi="Cambria Math" w:cstheme="majorBidi"/>
            </w:rPr>
            <m:t xml:space="preserve"> </m:t>
          </m:r>
          <m:r>
            <w:rPr>
              <w:rFonts w:ascii="Cambria Math" w:hAnsi="Cambria Math"/>
            </w:rPr>
            <m:t xml:space="preserve">  ×    </m:t>
          </m:r>
          <m:f>
            <m:fPr>
              <m:ctrlPr>
                <w:rPr>
                  <w:rFonts w:ascii="Cambria Math" w:hAnsi="Cambria Math"/>
                  <w:i/>
                </w:rPr>
              </m:ctrlPr>
            </m:fPr>
            <m:num>
              <m:r>
                <w:rPr>
                  <w:rFonts w:ascii="Cambria Math" w:hAnsi="Cambria Math"/>
                </w:rPr>
                <m:t>g SPI</m:t>
              </m:r>
            </m:num>
            <m:den>
              <m:r>
                <w:rPr>
                  <w:rFonts w:ascii="Cambria Math" w:hAnsi="Cambria Math"/>
                </w:rPr>
                <m:t>g 0.571 g protein</m:t>
              </m:r>
            </m:den>
          </m:f>
          <m:r>
            <w:rPr>
              <w:rFonts w:ascii="Cambria Math" w:eastAsiaTheme="majorEastAsia" w:hAnsi="Cambria Math" w:cstheme="majorBidi"/>
            </w:rPr>
            <m:t xml:space="preserve">  =   </m:t>
          </m:r>
          <m:f>
            <m:fPr>
              <m:ctrlPr>
                <w:rPr>
                  <w:rFonts w:ascii="Cambria Math" w:eastAsiaTheme="majorEastAsia" w:hAnsi="Cambria Math" w:cstheme="majorBidi"/>
                  <w:i/>
                  <w:highlight w:val="yellow"/>
                </w:rPr>
              </m:ctrlPr>
            </m:fPr>
            <m:num>
              <m:r>
                <w:rPr>
                  <w:rFonts w:ascii="Cambria Math" w:eastAsiaTheme="majorEastAsia" w:hAnsi="Cambria Math" w:cstheme="majorBidi"/>
                  <w:highlight w:val="yellow"/>
                </w:rPr>
                <m:t>2.51 g SPI</m:t>
              </m:r>
            </m:num>
            <m:den>
              <m:r>
                <w:rPr>
                  <w:rFonts w:ascii="Cambria Math" w:eastAsiaTheme="majorEastAsia" w:hAnsi="Cambria Math" w:cstheme="majorBidi"/>
                  <w:highlight w:val="yellow"/>
                </w:rPr>
                <m:t>100 g IF</m:t>
              </m:r>
            </m:den>
          </m:f>
          <m:r>
            <w:rPr>
              <w:rFonts w:ascii="Cambria Math" w:eastAsiaTheme="majorEastAsia" w:hAnsi="Cambria Math" w:cstheme="majorBidi"/>
            </w:rPr>
            <m:t xml:space="preserve"> </m:t>
          </m:r>
        </m:oMath>
      </m:oMathPara>
    </w:p>
    <w:p w14:paraId="1AF39BD5" w14:textId="77777777" w:rsidR="00D0347A" w:rsidRDefault="00D0347A" w:rsidP="00D0347A"/>
    <w:p w14:paraId="0EAE0516" w14:textId="77777777" w:rsidR="00D0347A" w:rsidRPr="00537452" w:rsidRDefault="00D0347A" w:rsidP="00D0347A">
      <w:pPr>
        <w:rPr>
          <w:b/>
          <w:i/>
          <w:color w:val="548DD4" w:themeColor="text2" w:themeTint="99"/>
        </w:rPr>
      </w:pPr>
      <w:r w:rsidRPr="00537452">
        <w:rPr>
          <w:b/>
          <w:i/>
          <w:color w:val="548DD4" w:themeColor="text2" w:themeTint="99"/>
        </w:rPr>
        <w:t>Using NCF = 6.25</w:t>
      </w:r>
    </w:p>
    <w:p w14:paraId="4505D424" w14:textId="77777777" w:rsidR="00D0347A" w:rsidRDefault="00D0347A" w:rsidP="00D0347A"/>
    <w:p w14:paraId="0BA836EF" w14:textId="77777777" w:rsidR="00D0347A" w:rsidRDefault="00D0347A" w:rsidP="00D0347A">
      <w:pPr>
        <w:rPr>
          <w:rFonts w:eastAsiaTheme="minorEastAsia"/>
        </w:rPr>
      </w:pPr>
      <m:oMathPara>
        <m:oMath>
          <m:r>
            <w:rPr>
              <w:rFonts w:ascii="Cambria Math" w:hAnsi="Cambria Math"/>
            </w:rPr>
            <m:t xml:space="preserve">X g SPI  </m:t>
          </m:r>
          <m:r>
            <w:rPr>
              <w:rFonts w:ascii="Cambria Math" w:eastAsiaTheme="majorEastAsia" w:hAnsi="Cambria Math" w:cstheme="majorBidi"/>
            </w:rPr>
            <m:t xml:space="preserve">=   </m:t>
          </m:r>
          <m:f>
            <m:fPr>
              <m:ctrlPr>
                <w:rPr>
                  <w:rFonts w:ascii="Cambria Math" w:eastAsiaTheme="majorEastAsia" w:hAnsi="Cambria Math" w:cstheme="majorBidi"/>
                  <w:i/>
                </w:rPr>
              </m:ctrlPr>
            </m:fPr>
            <m:num>
              <m:r>
                <w:rPr>
                  <w:rFonts w:ascii="Cambria Math" w:eastAsiaTheme="majorEastAsia" w:hAnsi="Cambria Math" w:cstheme="majorBidi"/>
                </w:rPr>
                <m:t>1.23 g protein</m:t>
              </m:r>
            </m:num>
            <m:den>
              <m:r>
                <w:rPr>
                  <w:rFonts w:ascii="Cambria Math" w:eastAsiaTheme="majorEastAsia" w:hAnsi="Cambria Math" w:cstheme="majorBidi"/>
                </w:rPr>
                <m:t>100 g IF</m:t>
              </m:r>
            </m:den>
          </m:f>
          <m:r>
            <w:rPr>
              <w:rFonts w:ascii="Cambria Math" w:eastAsiaTheme="majorEastAsia" w:hAnsi="Cambria Math" w:cstheme="majorBidi"/>
            </w:rPr>
            <m:t xml:space="preserve"> </m:t>
          </m:r>
          <m:r>
            <w:rPr>
              <w:rFonts w:ascii="Cambria Math" w:hAnsi="Cambria Math"/>
            </w:rPr>
            <m:t xml:space="preserve">  ×    </m:t>
          </m:r>
          <m:f>
            <m:fPr>
              <m:ctrlPr>
                <w:rPr>
                  <w:rFonts w:ascii="Cambria Math" w:hAnsi="Cambria Math"/>
                  <w:i/>
                </w:rPr>
              </m:ctrlPr>
            </m:fPr>
            <m:num>
              <m:r>
                <w:rPr>
                  <w:rFonts w:ascii="Cambria Math" w:hAnsi="Cambria Math"/>
                </w:rPr>
                <m:t>g SPI</m:t>
              </m:r>
            </m:num>
            <m:den>
              <m:r>
                <w:rPr>
                  <w:rFonts w:ascii="Cambria Math" w:hAnsi="Cambria Math"/>
                </w:rPr>
                <m:t>g 0.6.25 g protein</m:t>
              </m:r>
            </m:den>
          </m:f>
          <m:r>
            <w:rPr>
              <w:rFonts w:ascii="Cambria Math" w:eastAsiaTheme="majorEastAsia" w:hAnsi="Cambria Math" w:cstheme="majorBidi"/>
            </w:rPr>
            <m:t xml:space="preserve">  =   </m:t>
          </m:r>
          <m:f>
            <m:fPr>
              <m:ctrlPr>
                <w:rPr>
                  <w:rFonts w:ascii="Cambria Math" w:eastAsiaTheme="majorEastAsia" w:hAnsi="Cambria Math" w:cstheme="majorBidi"/>
                  <w:i/>
                  <w:highlight w:val="yellow"/>
                </w:rPr>
              </m:ctrlPr>
            </m:fPr>
            <m:num>
              <m:r>
                <w:rPr>
                  <w:rFonts w:ascii="Cambria Math" w:eastAsiaTheme="majorEastAsia" w:hAnsi="Cambria Math" w:cstheme="majorBidi"/>
                  <w:highlight w:val="yellow"/>
                </w:rPr>
                <m:t>1.97 g SPI</m:t>
              </m:r>
            </m:num>
            <m:den>
              <m:r>
                <w:rPr>
                  <w:rFonts w:ascii="Cambria Math" w:eastAsiaTheme="majorEastAsia" w:hAnsi="Cambria Math" w:cstheme="majorBidi"/>
                  <w:highlight w:val="yellow"/>
                </w:rPr>
                <m:t>100 g IF</m:t>
              </m:r>
            </m:den>
          </m:f>
        </m:oMath>
      </m:oMathPara>
    </w:p>
    <w:p w14:paraId="4F5017BC" w14:textId="77777777" w:rsidR="00D0347A" w:rsidRDefault="00D0347A" w:rsidP="00D0347A">
      <w:pPr>
        <w:rPr>
          <w:rFonts w:eastAsiaTheme="minorEastAsia"/>
        </w:rPr>
      </w:pPr>
    </w:p>
    <w:p w14:paraId="20BD01C0" w14:textId="45E8939B" w:rsidR="00D0347A" w:rsidRPr="00D0347A" w:rsidRDefault="00D0347A" w:rsidP="00D0347A">
      <w:r w:rsidRPr="00D0347A">
        <w:t>Therefore, using 6.25 (instead of 5.71) as the NCF means that 8.4% less SPI needs to be added to meet the minimum protein amount. In other words, using 6.25, the protein content is over-estimated from the true protein content</w:t>
      </w:r>
      <w:r>
        <w:t xml:space="preserve">. </w:t>
      </w:r>
      <w:r w:rsidR="003D7B66">
        <w:t xml:space="preserve">One way to address this </w:t>
      </w:r>
      <w:r w:rsidRPr="00D0347A">
        <w:t xml:space="preserve">would be </w:t>
      </w:r>
      <w:r w:rsidR="003D7B66">
        <w:t xml:space="preserve">to </w:t>
      </w:r>
      <w:r w:rsidRPr="00D0347A">
        <w:t xml:space="preserve">use </w:t>
      </w:r>
      <w:r w:rsidR="003D7B66">
        <w:t xml:space="preserve">NCF of </w:t>
      </w:r>
      <w:r w:rsidRPr="00D0347A">
        <w:t>6.25 but increase minimum protein content for soy-based formulas by 10%.</w:t>
      </w:r>
    </w:p>
    <w:p w14:paraId="0DF8E284" w14:textId="77777777" w:rsidR="00D0347A" w:rsidRDefault="00D0347A" w:rsidP="00D0347A">
      <w:pPr>
        <w:rPr>
          <w:rFonts w:eastAsiaTheme="minorEastAsia"/>
          <w:b/>
        </w:rPr>
      </w:pPr>
    </w:p>
    <w:p w14:paraId="2016AB89" w14:textId="77777777" w:rsidR="00D0347A" w:rsidRDefault="00D0347A" w:rsidP="00D0347A">
      <w:pPr>
        <w:rPr>
          <w:rFonts w:eastAsiaTheme="minorEastAsia"/>
          <w:b/>
        </w:rPr>
      </w:pPr>
      <w:r>
        <w:rPr>
          <w:rFonts w:eastAsiaTheme="minorEastAsia"/>
          <w:b/>
        </w:rPr>
        <w:br w:type="page"/>
      </w:r>
      <w:r>
        <w:rPr>
          <w:rFonts w:eastAsiaTheme="minorEastAsia"/>
          <w:b/>
        </w:rPr>
        <w:lastRenderedPageBreak/>
        <w:t xml:space="preserve">For cow’s milk protein </w:t>
      </w:r>
    </w:p>
    <w:p w14:paraId="20BF687C" w14:textId="77777777" w:rsidR="00D0347A" w:rsidRDefault="00D0347A" w:rsidP="00D0347A">
      <w:pPr>
        <w:rPr>
          <w:rFonts w:eastAsiaTheme="minorEastAsia"/>
          <w:b/>
        </w:rPr>
      </w:pPr>
    </w:p>
    <w:p w14:paraId="6A181BFC" w14:textId="7F719A42" w:rsidR="00D0347A" w:rsidRDefault="00D0347A" w:rsidP="00D0347A">
      <w:pPr>
        <w:ind w:left="567"/>
        <w:rPr>
          <w:b/>
          <w:i/>
        </w:rPr>
      </w:pPr>
      <w:r w:rsidRPr="003A5328">
        <w:rPr>
          <w:b/>
          <w:i/>
        </w:rPr>
        <w:t xml:space="preserve">How much </w:t>
      </w:r>
      <w:r>
        <w:rPr>
          <w:b/>
          <w:i/>
        </w:rPr>
        <w:t>cow</w:t>
      </w:r>
      <w:r w:rsidR="003D7B66">
        <w:rPr>
          <w:b/>
          <w:i/>
        </w:rPr>
        <w:t>’s</w:t>
      </w:r>
      <w:r>
        <w:rPr>
          <w:b/>
          <w:i/>
        </w:rPr>
        <w:t xml:space="preserve"> milk protein </w:t>
      </w:r>
      <w:r w:rsidRPr="003A5328">
        <w:rPr>
          <w:b/>
          <w:i/>
        </w:rPr>
        <w:t xml:space="preserve">is needed for 100 g IF at minimum protein </w:t>
      </w:r>
      <w:r>
        <w:rPr>
          <w:b/>
          <w:i/>
        </w:rPr>
        <w:t>level</w:t>
      </w:r>
      <w:r w:rsidRPr="003A5328">
        <w:rPr>
          <w:b/>
          <w:i/>
        </w:rPr>
        <w:t xml:space="preserve"> of 0.45 g/100 kJ using NCF of </w:t>
      </w:r>
      <w:r>
        <w:rPr>
          <w:b/>
          <w:i/>
        </w:rPr>
        <w:t>6.25</w:t>
      </w:r>
      <w:r w:rsidRPr="003A5328">
        <w:rPr>
          <w:b/>
          <w:i/>
        </w:rPr>
        <w:t xml:space="preserve"> or 6.</w:t>
      </w:r>
      <w:r>
        <w:rPr>
          <w:b/>
          <w:i/>
        </w:rPr>
        <w:t>38?</w:t>
      </w:r>
    </w:p>
    <w:p w14:paraId="39F68291" w14:textId="77777777" w:rsidR="00D0347A" w:rsidRDefault="00D0347A" w:rsidP="00D0347A">
      <w:pPr>
        <w:rPr>
          <w:b/>
        </w:rPr>
      </w:pPr>
    </w:p>
    <w:p w14:paraId="40FBBD5B" w14:textId="39EE2679" w:rsidR="00D0347A" w:rsidRDefault="003D7B66" w:rsidP="00D0347A">
      <w:r>
        <w:t>For illustrative purposes, the measured nitrogen in cow</w:t>
      </w:r>
      <w:r w:rsidR="00D0347A">
        <w:t>’</w:t>
      </w:r>
      <w:r>
        <w:t>s</w:t>
      </w:r>
      <w:r w:rsidR="00D0347A">
        <w:t xml:space="preserve"> milk protein is 10 g N/100 g protein.</w:t>
      </w:r>
    </w:p>
    <w:p w14:paraId="149C2D3E" w14:textId="77777777" w:rsidR="00D0347A" w:rsidRDefault="00D0347A" w:rsidP="00D0347A"/>
    <w:p w14:paraId="46806D8D" w14:textId="77777777" w:rsidR="00D0347A" w:rsidRDefault="00D0347A" w:rsidP="00D0347A">
      <w:r>
        <w:t>Similar calculation:</w:t>
      </w:r>
    </w:p>
    <w:p w14:paraId="47F7A5BF" w14:textId="77777777" w:rsidR="00D0347A" w:rsidRDefault="00D0347A" w:rsidP="00D0347A"/>
    <w:p w14:paraId="029E5CF8" w14:textId="77777777" w:rsidR="00D0347A" w:rsidRDefault="00D0347A" w:rsidP="00D0347A">
      <w:r>
        <w:t>Required minimum: 0.45 g P /100 kJ = 1.23 g P /100 g IF</w:t>
      </w:r>
    </w:p>
    <w:p w14:paraId="10613BA3" w14:textId="77777777" w:rsidR="00D0347A" w:rsidRDefault="00D0347A" w:rsidP="00D0347A">
      <w:r>
        <w:t xml:space="preserve">(assuming 2725 kJ/L and 1ml IF = 1 g IF) </w:t>
      </w:r>
    </w:p>
    <w:p w14:paraId="7D398FC4" w14:textId="77777777" w:rsidR="00D0347A" w:rsidRDefault="00D0347A" w:rsidP="00D0347A"/>
    <w:p w14:paraId="244D41D9" w14:textId="77777777" w:rsidR="00D0347A" w:rsidRPr="006A51F6" w:rsidRDefault="00D0347A" w:rsidP="00D0347A">
      <w:r w:rsidRPr="006A51F6">
        <w:t>Using NCF</w:t>
      </w:r>
      <w:r>
        <w:t xml:space="preserve"> = 6.25:</w:t>
      </w:r>
    </w:p>
    <w:p w14:paraId="42E3EE2F" w14:textId="77777777" w:rsidR="00D0347A" w:rsidRDefault="00D0347A" w:rsidP="00D0347A"/>
    <w:p w14:paraId="3D355E6F" w14:textId="77777777" w:rsidR="00D0347A" w:rsidRDefault="001938AB" w:rsidP="00D0347A">
      <m:oMathPara>
        <m:oMath>
          <m:f>
            <m:fPr>
              <m:ctrlPr>
                <w:rPr>
                  <w:rFonts w:ascii="Cambria Math" w:hAnsi="Cambria Math"/>
                  <w:i/>
                </w:rPr>
              </m:ctrlPr>
            </m:fPr>
            <m:num>
              <m:r>
                <w:rPr>
                  <w:rFonts w:ascii="Cambria Math" w:hAnsi="Cambria Math"/>
                </w:rPr>
                <m:t>10 g N</m:t>
              </m:r>
            </m:num>
            <m:den>
              <m:r>
                <w:rPr>
                  <w:rFonts w:ascii="Cambria Math" w:hAnsi="Cambria Math"/>
                </w:rPr>
                <m:t>100 g protein</m:t>
              </m:r>
            </m:den>
          </m:f>
          <m:r>
            <w:rPr>
              <w:rFonts w:ascii="Cambria Math" w:hAnsi="Cambria Math"/>
            </w:rPr>
            <m:t xml:space="preserve">    ×    </m:t>
          </m:r>
          <m:f>
            <m:fPr>
              <m:ctrlPr>
                <w:rPr>
                  <w:rFonts w:ascii="Cambria Math" w:hAnsi="Cambria Math"/>
                  <w:i/>
                </w:rPr>
              </m:ctrlPr>
            </m:fPr>
            <m:num>
              <m:r>
                <w:rPr>
                  <w:rFonts w:ascii="Cambria Math" w:hAnsi="Cambria Math"/>
                </w:rPr>
                <m:t>6.25 g protein</m:t>
              </m:r>
            </m:num>
            <m:den>
              <m:r>
                <w:rPr>
                  <w:rFonts w:ascii="Cambria Math" w:hAnsi="Cambria Math"/>
                </w:rPr>
                <m:t>g N</m:t>
              </m:r>
            </m:den>
          </m:f>
          <m:r>
            <w:rPr>
              <w:rFonts w:ascii="Cambria Math" w:eastAsiaTheme="majorEastAsia" w:hAnsi="Cambria Math" w:cstheme="majorBidi"/>
            </w:rPr>
            <m:t xml:space="preserve">    =   </m:t>
          </m:r>
          <m:f>
            <m:fPr>
              <m:ctrlPr>
                <w:rPr>
                  <w:rFonts w:ascii="Cambria Math" w:eastAsiaTheme="majorEastAsia" w:hAnsi="Cambria Math" w:cstheme="majorBidi"/>
                  <w:i/>
                </w:rPr>
              </m:ctrlPr>
            </m:fPr>
            <m:num>
              <m:r>
                <w:rPr>
                  <w:rFonts w:ascii="Cambria Math" w:eastAsiaTheme="majorEastAsia" w:hAnsi="Cambria Math" w:cstheme="majorBidi"/>
                </w:rPr>
                <m:t>0.625 g protein</m:t>
              </m:r>
            </m:num>
            <m:den>
              <m:r>
                <w:rPr>
                  <w:rFonts w:ascii="Cambria Math" w:eastAsiaTheme="majorEastAsia" w:hAnsi="Cambria Math" w:cstheme="majorBidi"/>
                </w:rPr>
                <m:t>g protein</m:t>
              </m:r>
            </m:den>
          </m:f>
        </m:oMath>
      </m:oMathPara>
    </w:p>
    <w:p w14:paraId="4374AE9A" w14:textId="77777777" w:rsidR="00D0347A" w:rsidRDefault="00D0347A" w:rsidP="00D0347A">
      <w:pPr>
        <w:rPr>
          <w:rFonts w:eastAsiaTheme="minorEastAsia"/>
        </w:rPr>
      </w:pPr>
    </w:p>
    <w:p w14:paraId="6E5B2176" w14:textId="77777777" w:rsidR="00D0347A" w:rsidRDefault="00D0347A" w:rsidP="00D0347A"/>
    <w:p w14:paraId="391F8BB4" w14:textId="4B85464A" w:rsidR="00D0347A" w:rsidRDefault="001938AB" w:rsidP="00D0347A">
      <m:oMathPara>
        <m:oMath>
          <m:f>
            <m:fPr>
              <m:ctrlPr>
                <w:rPr>
                  <w:rFonts w:ascii="Cambria Math" w:hAnsi="Cambria Math"/>
                  <w:i/>
                </w:rPr>
              </m:ctrlPr>
            </m:fPr>
            <m:num>
              <m:r>
                <w:rPr>
                  <w:rFonts w:ascii="Cambria Math" w:hAnsi="Cambria Math"/>
                </w:rPr>
                <m:t>0.625 g protein</m:t>
              </m:r>
            </m:num>
            <m:den>
              <m:r>
                <w:rPr>
                  <w:rFonts w:ascii="Cambria Math" w:hAnsi="Cambria Math"/>
                </w:rPr>
                <m:t xml:space="preserve"> g protein</m:t>
              </m:r>
            </m:den>
          </m:f>
          <m:r>
            <w:rPr>
              <w:rFonts w:ascii="Cambria Math" w:hAnsi="Cambria Math"/>
            </w:rPr>
            <m:t xml:space="preserve">     ×        X g co</m:t>
          </m:r>
          <m:sSup>
            <m:sSupPr>
              <m:ctrlPr>
                <w:rPr>
                  <w:rFonts w:ascii="Cambria Math" w:hAnsi="Cambria Math"/>
                  <w:i/>
                </w:rPr>
              </m:ctrlPr>
            </m:sSupPr>
            <m:e>
              <m:r>
                <w:rPr>
                  <w:rFonts w:ascii="Cambria Math" w:hAnsi="Cambria Math"/>
                </w:rPr>
                <m:t>w</m:t>
              </m:r>
            </m:e>
            <m:sup>
              <m:r>
                <w:rPr>
                  <w:rFonts w:ascii="Cambria Math" w:hAnsi="Cambria Math"/>
                </w:rPr>
                <m:t>'</m:t>
              </m:r>
            </m:sup>
          </m:sSup>
          <m:r>
            <w:rPr>
              <w:rFonts w:ascii="Cambria Math" w:hAnsi="Cambria Math"/>
            </w:rPr>
            <m:t xml:space="preserve">s milk protein     </m:t>
          </m:r>
          <m:r>
            <w:rPr>
              <w:rFonts w:ascii="Cambria Math" w:eastAsiaTheme="majorEastAsia" w:hAnsi="Cambria Math" w:cstheme="majorBidi"/>
            </w:rPr>
            <m:t xml:space="preserve">=      </m:t>
          </m:r>
          <m:f>
            <m:fPr>
              <m:ctrlPr>
                <w:rPr>
                  <w:rFonts w:ascii="Cambria Math" w:eastAsiaTheme="majorEastAsia" w:hAnsi="Cambria Math" w:cstheme="majorBidi"/>
                  <w:i/>
                </w:rPr>
              </m:ctrlPr>
            </m:fPr>
            <m:num>
              <m:r>
                <w:rPr>
                  <w:rFonts w:ascii="Cambria Math" w:eastAsiaTheme="majorEastAsia" w:hAnsi="Cambria Math" w:cstheme="majorBidi"/>
                </w:rPr>
                <m:t>1.23 g protein</m:t>
              </m:r>
            </m:num>
            <m:den>
              <m:r>
                <w:rPr>
                  <w:rFonts w:ascii="Cambria Math" w:eastAsiaTheme="majorEastAsia" w:hAnsi="Cambria Math" w:cstheme="majorBidi"/>
                </w:rPr>
                <m:t>100 g IF</m:t>
              </m:r>
            </m:den>
          </m:f>
        </m:oMath>
      </m:oMathPara>
    </w:p>
    <w:p w14:paraId="0A3F3829" w14:textId="77777777" w:rsidR="00D0347A" w:rsidRDefault="00D0347A" w:rsidP="00D0347A"/>
    <w:p w14:paraId="365A201D" w14:textId="77777777" w:rsidR="00D0347A" w:rsidRPr="006A51F6" w:rsidRDefault="00D0347A" w:rsidP="00D0347A">
      <w:r>
        <w:rPr>
          <w:noProof/>
          <w:lang w:eastAsia="en-GB" w:bidi="ar-SA"/>
        </w:rPr>
        <mc:AlternateContent>
          <mc:Choice Requires="wps">
            <w:drawing>
              <wp:anchor distT="45720" distB="45720" distL="114300" distR="114300" simplePos="0" relativeHeight="251658246" behindDoc="0" locked="0" layoutInCell="1" allowOverlap="1" wp14:anchorId="2747DA57" wp14:editId="0A8FFBD3">
                <wp:simplePos x="0" y="0"/>
                <wp:positionH relativeFrom="column">
                  <wp:posOffset>4093783</wp:posOffset>
                </wp:positionH>
                <wp:positionV relativeFrom="page">
                  <wp:posOffset>4335145</wp:posOffset>
                </wp:positionV>
                <wp:extent cx="1155700" cy="334010"/>
                <wp:effectExtent l="0" t="0" r="25400" b="2794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5700" cy="334010"/>
                        </a:xfrm>
                        <a:prstGeom prst="rect">
                          <a:avLst/>
                        </a:prstGeom>
                        <a:solidFill>
                          <a:srgbClr val="9BBB59">
                            <a:lumMod val="20000"/>
                            <a:lumOff val="80000"/>
                          </a:srgbClr>
                        </a:solidFill>
                        <a:ln w="9525">
                          <a:solidFill>
                            <a:srgbClr val="000000"/>
                          </a:solidFill>
                          <a:miter lim="800000"/>
                          <a:headEnd/>
                          <a:tailEnd/>
                        </a:ln>
                      </wps:spPr>
                      <wps:txbx>
                        <w:txbxContent>
                          <w:p w14:paraId="483EE4BD" w14:textId="77777777" w:rsidR="00EC27CD" w:rsidRPr="00D77659" w:rsidRDefault="00EC27CD" w:rsidP="00D0347A">
                            <w:pPr>
                              <w:rPr>
                                <w:sz w:val="16"/>
                                <w:szCs w:val="16"/>
                              </w:rPr>
                            </w:pPr>
                            <w:r>
                              <w:rPr>
                                <w:sz w:val="16"/>
                                <w:szCs w:val="16"/>
                              </w:rPr>
                              <w:t xml:space="preserve">Minimum level of protein under FSC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747DA57" id="Text Box 12" o:spid="_x0000_s1029" type="#_x0000_t202" style="position:absolute;margin-left:322.35pt;margin-top:341.35pt;width:91pt;height:26.3pt;z-index:251658246;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" fillcolor="#ebf1de">
                <v:textbox style="mso-fit-shape-to-text:t">
                  <w:txbxContent>
                    <w:p w14:paraId="483EE4BD" w14:textId="77777777" w:rsidR="00EC27CD" w:rsidRPr="00D77659" w:rsidRDefault="00EC27CD" w:rsidP="00D0347A">
                      <w:pPr>
                        <w:rPr>
                          <w:sz w:val="16"/>
                          <w:szCs w:val="16"/>
                        </w:rPr>
                      </w:pPr>
                      <w:r>
                        <w:rPr>
                          <w:sz w:val="16"/>
                          <w:szCs w:val="16"/>
                        </w:rPr>
                        <w:t xml:space="preserve">Minimum level of protein under FSC </w:t>
                      </w:r>
                    </w:p>
                  </w:txbxContent>
                </v:textbox>
                <w10:wrap type="square" anchory="page"/>
              </v:shape>
            </w:pict>
          </mc:Fallback>
        </mc:AlternateContent>
      </w:r>
      <w:r>
        <w:rPr>
          <w:noProof/>
          <w:lang w:eastAsia="en-GB" w:bidi="ar-SA"/>
        </w:rPr>
        <mc:AlternateContent>
          <mc:Choice Requires="wps">
            <w:drawing>
              <wp:anchor distT="45720" distB="45720" distL="114300" distR="114300" simplePos="0" relativeHeight="251658244" behindDoc="0" locked="0" layoutInCell="1" allowOverlap="1" wp14:anchorId="50BC7451" wp14:editId="68C716C6">
                <wp:simplePos x="0" y="0"/>
                <wp:positionH relativeFrom="column">
                  <wp:posOffset>732933</wp:posOffset>
                </wp:positionH>
                <wp:positionV relativeFrom="page">
                  <wp:posOffset>4335145</wp:posOffset>
                </wp:positionV>
                <wp:extent cx="1035050" cy="450850"/>
                <wp:effectExtent l="0" t="0" r="12700" b="2540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5050" cy="450850"/>
                        </a:xfrm>
                        <a:prstGeom prst="rect">
                          <a:avLst/>
                        </a:prstGeom>
                        <a:solidFill>
                          <a:srgbClr val="9BBB59">
                            <a:lumMod val="20000"/>
                            <a:lumOff val="80000"/>
                          </a:srgbClr>
                        </a:solidFill>
                        <a:ln w="9525">
                          <a:solidFill>
                            <a:srgbClr val="000000"/>
                          </a:solidFill>
                          <a:miter lim="800000"/>
                          <a:headEnd/>
                          <a:tailEnd/>
                        </a:ln>
                      </wps:spPr>
                      <wps:txbx>
                        <w:txbxContent>
                          <w:p w14:paraId="57695628" w14:textId="77777777" w:rsidR="00EC27CD" w:rsidRPr="00D77659" w:rsidRDefault="00EC27CD" w:rsidP="00D0347A">
                            <w:pPr>
                              <w:rPr>
                                <w:sz w:val="16"/>
                                <w:szCs w:val="16"/>
                              </w:rPr>
                            </w:pPr>
                            <w:r w:rsidRPr="00D77659">
                              <w:rPr>
                                <w:sz w:val="16"/>
                                <w:szCs w:val="16"/>
                              </w:rPr>
                              <w:t xml:space="preserve">Concentration of protein in </w:t>
                            </w:r>
                            <w:r>
                              <w:rPr>
                                <w:sz w:val="16"/>
                                <w:szCs w:val="16"/>
                              </w:rPr>
                              <w:t>source</w:t>
                            </w:r>
                            <w:r w:rsidRPr="00D77659">
                              <w:rPr>
                                <w:sz w:val="16"/>
                                <w:szCs w:val="16"/>
                              </w:rPr>
                              <w:t xml:space="preserve"> (measured and 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0BC7451" id="_x0000_s1030" type="#_x0000_t202" style="position:absolute;margin-left:57.7pt;margin-top:341.35pt;width:81.5pt;height:35.5pt;z-index:2516582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" fillcolor="#ebf1de">
                <v:textbox style="mso-fit-shape-to-text:t">
                  <w:txbxContent>
                    <w:p w14:paraId="57695628" w14:textId="77777777" w:rsidR="00EC27CD" w:rsidRPr="00D77659" w:rsidRDefault="00EC27CD" w:rsidP="00D0347A">
                      <w:pPr>
                        <w:rPr>
                          <w:sz w:val="16"/>
                          <w:szCs w:val="16"/>
                        </w:rPr>
                      </w:pPr>
                      <w:r w:rsidRPr="00D77659">
                        <w:rPr>
                          <w:sz w:val="16"/>
                          <w:szCs w:val="16"/>
                        </w:rPr>
                        <w:t xml:space="preserve">Concentration of protein in </w:t>
                      </w:r>
                      <w:r>
                        <w:rPr>
                          <w:sz w:val="16"/>
                          <w:szCs w:val="16"/>
                        </w:rPr>
                        <w:t>source</w:t>
                      </w:r>
                      <w:r w:rsidRPr="00D77659">
                        <w:rPr>
                          <w:sz w:val="16"/>
                          <w:szCs w:val="16"/>
                        </w:rPr>
                        <w:t xml:space="preserve"> (measured and N)</w:t>
                      </w:r>
                    </w:p>
                  </w:txbxContent>
                </v:textbox>
                <w10:wrap type="square" anchory="page"/>
              </v:shape>
            </w:pict>
          </mc:Fallback>
        </mc:AlternateContent>
      </w:r>
      <w:r>
        <w:rPr>
          <w:noProof/>
          <w:lang w:eastAsia="en-GB" w:bidi="ar-SA"/>
        </w:rPr>
        <mc:AlternateContent>
          <mc:Choice Requires="wps">
            <w:drawing>
              <wp:anchor distT="45720" distB="45720" distL="114300" distR="114300" simplePos="0" relativeHeight="251658245" behindDoc="0" locked="0" layoutInCell="1" allowOverlap="1" wp14:anchorId="38C1917B" wp14:editId="74F6F692">
                <wp:simplePos x="0" y="0"/>
                <wp:positionH relativeFrom="column">
                  <wp:posOffset>2382008</wp:posOffset>
                </wp:positionH>
                <wp:positionV relativeFrom="page">
                  <wp:posOffset>4334510</wp:posOffset>
                </wp:positionV>
                <wp:extent cx="1155700" cy="450850"/>
                <wp:effectExtent l="0" t="0" r="25400" b="2540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5700" cy="450850"/>
                        </a:xfrm>
                        <a:prstGeom prst="rect">
                          <a:avLst/>
                        </a:prstGeom>
                        <a:solidFill>
                          <a:srgbClr val="9BBB59">
                            <a:lumMod val="20000"/>
                            <a:lumOff val="80000"/>
                          </a:srgbClr>
                        </a:solidFill>
                        <a:ln w="9525">
                          <a:solidFill>
                            <a:srgbClr val="000000"/>
                          </a:solidFill>
                          <a:miter lim="800000"/>
                          <a:headEnd/>
                          <a:tailEnd/>
                        </a:ln>
                      </wps:spPr>
                      <wps:txbx>
                        <w:txbxContent>
                          <w:p w14:paraId="4EA5FBA1" w14:textId="560A364F" w:rsidR="00EC27CD" w:rsidRPr="00D77659" w:rsidRDefault="00EC27CD" w:rsidP="00D0347A">
                            <w:pPr>
                              <w:rPr>
                                <w:sz w:val="16"/>
                                <w:szCs w:val="16"/>
                              </w:rPr>
                            </w:pPr>
                            <w:r>
                              <w:rPr>
                                <w:sz w:val="16"/>
                                <w:szCs w:val="16"/>
                              </w:rPr>
                              <w:t>Calculate how much cow’s milk protein to give 1.23 g protein per 100 g IF</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8C1917B" id="_x0000_s1031" type="#_x0000_t202" style="position:absolute;margin-left:187.55pt;margin-top:341.3pt;width:91pt;height:35.5pt;z-index:251658245;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" fillcolor="#ebf1de">
                <v:textbox style="mso-fit-shape-to-text:t">
                  <w:txbxContent>
                    <w:p w14:paraId="4EA5FBA1" w14:textId="560A364F" w:rsidR="00EC27CD" w:rsidRPr="00D77659" w:rsidRDefault="00EC27CD" w:rsidP="00D0347A">
                      <w:pPr>
                        <w:rPr>
                          <w:sz w:val="16"/>
                          <w:szCs w:val="16"/>
                        </w:rPr>
                      </w:pPr>
                      <w:r>
                        <w:rPr>
                          <w:sz w:val="16"/>
                          <w:szCs w:val="16"/>
                        </w:rPr>
                        <w:t>Calculate how much cow’s milk protein to give 1.23 g protein per 100 g IF</w:t>
                      </w:r>
                    </w:p>
                  </w:txbxContent>
                </v:textbox>
                <w10:wrap type="square" anchory="page"/>
              </v:shape>
            </w:pict>
          </mc:Fallback>
        </mc:AlternateContent>
      </w:r>
    </w:p>
    <w:p w14:paraId="0B43CA42" w14:textId="77777777" w:rsidR="00D0347A" w:rsidRDefault="00D0347A" w:rsidP="00D0347A"/>
    <w:p w14:paraId="42B31002" w14:textId="77777777" w:rsidR="00D0347A" w:rsidRDefault="00D0347A" w:rsidP="00D0347A"/>
    <w:p w14:paraId="6A79E1E2" w14:textId="5DFB0CC8" w:rsidR="00D0347A" w:rsidRDefault="00D0347A" w:rsidP="00D0347A">
      <m:oMathPara>
        <m:oMath>
          <m:r>
            <w:rPr>
              <w:rFonts w:ascii="Cambria Math" w:hAnsi="Cambria Math"/>
            </w:rPr>
            <m:t xml:space="preserve"> Amount cows' milk protein  </m:t>
          </m:r>
          <m:r>
            <w:rPr>
              <w:rFonts w:ascii="Cambria Math" w:eastAsiaTheme="majorEastAsia" w:hAnsi="Cambria Math" w:cstheme="majorBidi"/>
            </w:rPr>
            <m:t xml:space="preserve">=   </m:t>
          </m:r>
          <m:f>
            <m:fPr>
              <m:ctrlPr>
                <w:rPr>
                  <w:rFonts w:ascii="Cambria Math" w:eastAsiaTheme="majorEastAsia" w:hAnsi="Cambria Math" w:cstheme="majorBidi"/>
                  <w:i/>
                </w:rPr>
              </m:ctrlPr>
            </m:fPr>
            <m:num>
              <m:r>
                <w:rPr>
                  <w:rFonts w:ascii="Cambria Math" w:eastAsiaTheme="majorEastAsia" w:hAnsi="Cambria Math" w:cstheme="majorBidi"/>
                </w:rPr>
                <m:t>1.23 g protein</m:t>
              </m:r>
            </m:num>
            <m:den>
              <m:r>
                <w:rPr>
                  <w:rFonts w:ascii="Cambria Math" w:eastAsiaTheme="majorEastAsia" w:hAnsi="Cambria Math" w:cstheme="majorBidi"/>
                </w:rPr>
                <m:t>100 g IF</m:t>
              </m:r>
            </m:den>
          </m:f>
          <m:r>
            <w:rPr>
              <w:rFonts w:ascii="Cambria Math" w:eastAsiaTheme="majorEastAsia" w:hAnsi="Cambria Math" w:cstheme="majorBidi"/>
            </w:rPr>
            <m:t xml:space="preserve"> </m:t>
          </m:r>
          <m:r>
            <w:rPr>
              <w:rFonts w:ascii="Cambria Math" w:hAnsi="Cambria Math"/>
            </w:rPr>
            <m:t xml:space="preserve">  ×    </m:t>
          </m:r>
          <m:f>
            <m:fPr>
              <m:ctrlPr>
                <w:rPr>
                  <w:rFonts w:ascii="Cambria Math" w:hAnsi="Cambria Math"/>
                  <w:i/>
                </w:rPr>
              </m:ctrlPr>
            </m:fPr>
            <m:num>
              <m:r>
                <w:rPr>
                  <w:rFonts w:ascii="Cambria Math" w:hAnsi="Cambria Math"/>
                </w:rPr>
                <m:t>g co</m:t>
              </m:r>
              <m:sSup>
                <m:sSupPr>
                  <m:ctrlPr>
                    <w:rPr>
                      <w:rFonts w:ascii="Cambria Math" w:hAnsi="Cambria Math"/>
                      <w:i/>
                    </w:rPr>
                  </m:ctrlPr>
                </m:sSupPr>
                <m:e>
                  <m:r>
                    <w:rPr>
                      <w:rFonts w:ascii="Cambria Math" w:hAnsi="Cambria Math"/>
                    </w:rPr>
                    <m:t>w</m:t>
                  </m:r>
                </m:e>
                <m:sup>
                  <m:r>
                    <w:rPr>
                      <w:rFonts w:ascii="Cambria Math" w:hAnsi="Cambria Math"/>
                    </w:rPr>
                    <m:t>'</m:t>
                  </m:r>
                </m:sup>
              </m:sSup>
              <m:r>
                <w:rPr>
                  <w:rFonts w:ascii="Cambria Math" w:hAnsi="Cambria Math"/>
                </w:rPr>
                <m:t xml:space="preserve">s milk protein </m:t>
              </m:r>
            </m:num>
            <m:den>
              <m:r>
                <w:rPr>
                  <w:rFonts w:ascii="Cambria Math" w:hAnsi="Cambria Math"/>
                </w:rPr>
                <m:t>g 0.625 g protein</m:t>
              </m:r>
            </m:den>
          </m:f>
          <m:r>
            <w:rPr>
              <w:rFonts w:ascii="Cambria Math" w:eastAsiaTheme="majorEastAsia" w:hAnsi="Cambria Math" w:cstheme="majorBidi"/>
            </w:rPr>
            <m:t xml:space="preserve">  =   </m:t>
          </m:r>
          <m:f>
            <m:fPr>
              <m:ctrlPr>
                <w:rPr>
                  <w:rFonts w:ascii="Cambria Math" w:eastAsiaTheme="majorEastAsia" w:hAnsi="Cambria Math" w:cstheme="majorBidi"/>
                  <w:i/>
                  <w:highlight w:val="yellow"/>
                </w:rPr>
              </m:ctrlPr>
            </m:fPr>
            <m:num>
              <m:r>
                <w:rPr>
                  <w:rFonts w:ascii="Cambria Math" w:eastAsiaTheme="majorEastAsia" w:hAnsi="Cambria Math" w:cstheme="majorBidi"/>
                  <w:highlight w:val="yellow"/>
                </w:rPr>
                <m:t xml:space="preserve">1.97 g </m:t>
              </m:r>
            </m:num>
            <m:den>
              <m:r>
                <w:rPr>
                  <w:rFonts w:ascii="Cambria Math" w:eastAsiaTheme="majorEastAsia" w:hAnsi="Cambria Math" w:cstheme="majorBidi"/>
                  <w:highlight w:val="yellow"/>
                </w:rPr>
                <m:t>100 g IF</m:t>
              </m:r>
            </m:den>
          </m:f>
          <m:r>
            <w:rPr>
              <w:rFonts w:ascii="Cambria Math" w:eastAsiaTheme="majorEastAsia" w:hAnsi="Cambria Math" w:cstheme="majorBidi"/>
            </w:rPr>
            <m:t xml:space="preserve"> </m:t>
          </m:r>
        </m:oMath>
      </m:oMathPara>
    </w:p>
    <w:p w14:paraId="60DB8E0A" w14:textId="77777777" w:rsidR="00D0347A" w:rsidRDefault="00D0347A" w:rsidP="00D0347A"/>
    <w:p w14:paraId="61E507E6" w14:textId="77777777" w:rsidR="00D0347A" w:rsidRDefault="00D0347A" w:rsidP="00D0347A"/>
    <w:p w14:paraId="2A6CDC78" w14:textId="77777777" w:rsidR="00D0347A" w:rsidRPr="006A51F6" w:rsidRDefault="00D0347A" w:rsidP="00D0347A">
      <w:r w:rsidRPr="006A51F6">
        <w:t>Using NCF</w:t>
      </w:r>
      <w:r>
        <w:t xml:space="preserve"> = 6.38</w:t>
      </w:r>
    </w:p>
    <w:p w14:paraId="2D52C03C" w14:textId="77777777" w:rsidR="00D0347A" w:rsidRDefault="00D0347A" w:rsidP="00D0347A"/>
    <w:p w14:paraId="5AA59310" w14:textId="79174A17" w:rsidR="00D0347A" w:rsidRDefault="00D0347A" w:rsidP="00D0347A">
      <w:pPr>
        <w:rPr>
          <w:rFonts w:eastAsiaTheme="minorEastAsia"/>
        </w:rPr>
      </w:pPr>
      <m:oMathPara>
        <m:oMath>
          <m:r>
            <w:rPr>
              <w:rFonts w:ascii="Cambria Math" w:hAnsi="Cambria Math"/>
            </w:rPr>
            <m:t>Amount co</m:t>
          </m:r>
          <m:sSup>
            <m:sSupPr>
              <m:ctrlPr>
                <w:rPr>
                  <w:rFonts w:ascii="Cambria Math" w:hAnsi="Cambria Math"/>
                  <w:i/>
                </w:rPr>
              </m:ctrlPr>
            </m:sSupPr>
            <m:e>
              <m:r>
                <w:rPr>
                  <w:rFonts w:ascii="Cambria Math" w:hAnsi="Cambria Math"/>
                </w:rPr>
                <m:t>w</m:t>
              </m:r>
            </m:e>
            <m:sup>
              <m:r>
                <w:rPr>
                  <w:rFonts w:ascii="Cambria Math" w:hAnsi="Cambria Math"/>
                </w:rPr>
                <m:t>'</m:t>
              </m:r>
            </m:sup>
          </m:sSup>
          <m:r>
            <w:rPr>
              <w:rFonts w:ascii="Cambria Math" w:hAnsi="Cambria Math"/>
            </w:rPr>
            <m:t>s milk protein</m:t>
          </m:r>
          <m:r>
            <w:rPr>
              <w:rFonts w:ascii="Cambria Math" w:eastAsiaTheme="majorEastAsia" w:hAnsi="Cambria Math" w:cstheme="majorBidi"/>
            </w:rPr>
            <m:t xml:space="preserve">=   </m:t>
          </m:r>
          <m:f>
            <m:fPr>
              <m:ctrlPr>
                <w:rPr>
                  <w:rFonts w:ascii="Cambria Math" w:eastAsiaTheme="majorEastAsia" w:hAnsi="Cambria Math" w:cstheme="majorBidi"/>
                  <w:i/>
                </w:rPr>
              </m:ctrlPr>
            </m:fPr>
            <m:num>
              <m:r>
                <w:rPr>
                  <w:rFonts w:ascii="Cambria Math" w:eastAsiaTheme="majorEastAsia" w:hAnsi="Cambria Math" w:cstheme="majorBidi"/>
                </w:rPr>
                <m:t>1.23 g protein</m:t>
              </m:r>
            </m:num>
            <m:den>
              <m:r>
                <w:rPr>
                  <w:rFonts w:ascii="Cambria Math" w:eastAsiaTheme="majorEastAsia" w:hAnsi="Cambria Math" w:cstheme="majorBidi"/>
                </w:rPr>
                <m:t>100 g IF</m:t>
              </m:r>
            </m:den>
          </m:f>
          <m:r>
            <w:rPr>
              <w:rFonts w:ascii="Cambria Math" w:eastAsiaTheme="majorEastAsia" w:hAnsi="Cambria Math" w:cstheme="majorBidi"/>
            </w:rPr>
            <m:t xml:space="preserve"> </m:t>
          </m:r>
          <m:r>
            <w:rPr>
              <w:rFonts w:ascii="Cambria Math" w:hAnsi="Cambria Math"/>
            </w:rPr>
            <m:t xml:space="preserve"> × </m:t>
          </m:r>
          <m:f>
            <m:fPr>
              <m:ctrlPr>
                <w:rPr>
                  <w:rFonts w:ascii="Cambria Math" w:hAnsi="Cambria Math"/>
                  <w:i/>
                </w:rPr>
              </m:ctrlPr>
            </m:fPr>
            <m:num>
              <m:r>
                <w:rPr>
                  <w:rFonts w:ascii="Cambria Math" w:hAnsi="Cambria Math"/>
                </w:rPr>
                <m:t>g cow's milk protein</m:t>
              </m:r>
            </m:num>
            <m:den>
              <m:r>
                <w:rPr>
                  <w:rFonts w:ascii="Cambria Math" w:hAnsi="Cambria Math"/>
                </w:rPr>
                <m:t>0.638 g protein</m:t>
              </m:r>
            </m:den>
          </m:f>
          <m:r>
            <w:rPr>
              <w:rFonts w:ascii="Cambria Math" w:eastAsiaTheme="majorEastAsia" w:hAnsi="Cambria Math" w:cstheme="majorBidi"/>
            </w:rPr>
            <m:t xml:space="preserve">  =   </m:t>
          </m:r>
          <m:f>
            <m:fPr>
              <m:ctrlPr>
                <w:rPr>
                  <w:rFonts w:ascii="Cambria Math" w:eastAsiaTheme="majorEastAsia" w:hAnsi="Cambria Math" w:cstheme="majorBidi"/>
                  <w:i/>
                  <w:highlight w:val="yellow"/>
                </w:rPr>
              </m:ctrlPr>
            </m:fPr>
            <m:num>
              <m:r>
                <w:rPr>
                  <w:rFonts w:ascii="Cambria Math" w:eastAsiaTheme="majorEastAsia" w:hAnsi="Cambria Math" w:cstheme="majorBidi"/>
                  <w:highlight w:val="yellow"/>
                </w:rPr>
                <m:t xml:space="preserve">1.93 g </m:t>
              </m:r>
            </m:num>
            <m:den>
              <m:r>
                <w:rPr>
                  <w:rFonts w:ascii="Cambria Math" w:eastAsiaTheme="majorEastAsia" w:hAnsi="Cambria Math" w:cstheme="majorBidi"/>
                  <w:highlight w:val="yellow"/>
                </w:rPr>
                <m:t>100 g IF</m:t>
              </m:r>
            </m:den>
          </m:f>
        </m:oMath>
      </m:oMathPara>
    </w:p>
    <w:p w14:paraId="1D07C1C7" w14:textId="77777777" w:rsidR="00D0347A" w:rsidRDefault="00D0347A" w:rsidP="00D0347A">
      <w:pPr>
        <w:rPr>
          <w:rFonts w:eastAsiaTheme="minorEastAsia"/>
        </w:rPr>
      </w:pPr>
    </w:p>
    <w:p w14:paraId="4DA1B786" w14:textId="77777777" w:rsidR="00D0347A" w:rsidRDefault="00D0347A" w:rsidP="00D0347A">
      <w:pPr>
        <w:rPr>
          <w:rFonts w:eastAsiaTheme="minorEastAsia"/>
        </w:rPr>
      </w:pPr>
    </w:p>
    <w:p w14:paraId="500A6D6A" w14:textId="5D8EF5D4" w:rsidR="00D0347A" w:rsidRPr="00B83EEF" w:rsidRDefault="00D0347A" w:rsidP="00D0347A">
      <w:pPr>
        <w:rPr>
          <w:rFonts w:eastAsiaTheme="minorEastAsia"/>
        </w:rPr>
      </w:pPr>
      <w:r w:rsidRPr="00B83EEF">
        <w:rPr>
          <w:rFonts w:eastAsiaTheme="minorEastAsia"/>
        </w:rPr>
        <w:t>Therefore, using 6.25 (instead of 6.38) as the NCF means that 2.0% more cows’ milk protein needs to be added to meet the minimum protein amount</w:t>
      </w:r>
      <w:r w:rsidR="008401A5" w:rsidRPr="00B83EEF">
        <w:rPr>
          <w:rFonts w:eastAsiaTheme="minorEastAsia"/>
        </w:rPr>
        <w:t xml:space="preserve">. </w:t>
      </w:r>
    </w:p>
    <w:p w14:paraId="3B145E44" w14:textId="77777777" w:rsidR="00D0347A" w:rsidRPr="004265AE" w:rsidRDefault="00D0347A" w:rsidP="00D0347A">
      <w:pPr>
        <w:rPr>
          <w:b/>
        </w:rPr>
      </w:pPr>
    </w:p>
    <w:p w14:paraId="5CDB465E" w14:textId="673BE08B" w:rsidR="00BA537C" w:rsidRDefault="00BA537C">
      <w:pPr>
        <w:rPr>
          <w:rFonts w:eastAsiaTheme="majorEastAsia" w:cs="Arial"/>
          <w:b/>
          <w:bCs/>
          <w:sz w:val="28"/>
          <w:szCs w:val="22"/>
          <w:lang w:bidi="ar-SA"/>
        </w:rPr>
      </w:pPr>
      <w:r>
        <w:rPr>
          <w:rFonts w:eastAsiaTheme="majorEastAsia" w:cs="Arial"/>
          <w:b/>
          <w:bCs/>
          <w:sz w:val="28"/>
          <w:szCs w:val="22"/>
          <w:lang w:bidi="ar-SA"/>
        </w:rPr>
        <w:br w:type="page"/>
      </w:r>
    </w:p>
    <w:p w14:paraId="409A1D9F" w14:textId="0E4DABE6" w:rsidR="00607FAB" w:rsidRPr="00842BA0" w:rsidRDefault="00BA537C" w:rsidP="00842BA0">
      <w:pPr>
        <w:pStyle w:val="Heading1"/>
        <w:ind w:left="0" w:firstLine="0"/>
      </w:pPr>
      <w:bookmarkStart w:id="487" w:name="_Toc73624938"/>
      <w:bookmarkStart w:id="488" w:name="_Toc76138306"/>
      <w:bookmarkStart w:id="489" w:name="_Toc73455665"/>
      <w:r>
        <w:lastRenderedPageBreak/>
        <w:t xml:space="preserve">Appendix 3: </w:t>
      </w:r>
      <w:r w:rsidR="00607FAB">
        <w:t>Fluoride and infant formula calculation</w:t>
      </w:r>
      <w:bookmarkEnd w:id="487"/>
      <w:bookmarkEnd w:id="488"/>
      <w:r w:rsidR="00607FAB">
        <w:t xml:space="preserve"> </w:t>
      </w:r>
      <w:bookmarkEnd w:id="489"/>
    </w:p>
    <w:p w14:paraId="0BBCAD10" w14:textId="018F90E2" w:rsidR="00607FAB" w:rsidRDefault="00607FAB" w:rsidP="00607FAB">
      <w:pPr>
        <w:rPr>
          <w:lang w:val="en-AU"/>
        </w:rPr>
      </w:pPr>
      <w:r>
        <w:rPr>
          <w:lang w:val="en-AU"/>
        </w:rPr>
        <w:t>The recently revised AU and NZ NRVs for fluoride have:</w:t>
      </w:r>
    </w:p>
    <w:p w14:paraId="6047EBD8" w14:textId="77777777" w:rsidR="00607FAB" w:rsidRDefault="00607FAB" w:rsidP="00774FC6">
      <w:pPr>
        <w:pStyle w:val="ListParagraph"/>
        <w:numPr>
          <w:ilvl w:val="0"/>
          <w:numId w:val="28"/>
        </w:numPr>
        <w:ind w:left="567" w:hanging="567"/>
        <w:rPr>
          <w:lang w:val="en-AU"/>
        </w:rPr>
      </w:pPr>
      <w:r>
        <w:rPr>
          <w:lang w:val="en-AU"/>
        </w:rPr>
        <w:t xml:space="preserve">Reaffirmed the AI for children aged 7 months to 8 years to be </w:t>
      </w:r>
      <w:r w:rsidRPr="008401A5">
        <w:rPr>
          <w:lang w:val="en-AU"/>
        </w:rPr>
        <w:t>0.05 mg/kg bw/day</w:t>
      </w:r>
    </w:p>
    <w:p w14:paraId="422F9DAD" w14:textId="77777777" w:rsidR="00607FAB" w:rsidRDefault="00607FAB" w:rsidP="00774FC6">
      <w:pPr>
        <w:pStyle w:val="ListParagraph"/>
        <w:numPr>
          <w:ilvl w:val="0"/>
          <w:numId w:val="28"/>
        </w:numPr>
        <w:ind w:left="567" w:hanging="567"/>
        <w:rPr>
          <w:lang w:val="en-AU"/>
        </w:rPr>
      </w:pPr>
      <w:r w:rsidRPr="008401A5">
        <w:rPr>
          <w:lang w:val="en-AU"/>
        </w:rPr>
        <w:t>Withdrawn</w:t>
      </w:r>
      <w:r>
        <w:rPr>
          <w:lang w:val="en-AU"/>
        </w:rPr>
        <w:t xml:space="preserve"> the AI for infants aged 0 - 6 months</w:t>
      </w:r>
    </w:p>
    <w:p w14:paraId="7C39D59B" w14:textId="28DA38C0" w:rsidR="00607FAB" w:rsidRDefault="00607FAB" w:rsidP="00774FC6">
      <w:pPr>
        <w:pStyle w:val="ListParagraph"/>
        <w:numPr>
          <w:ilvl w:val="0"/>
          <w:numId w:val="28"/>
        </w:numPr>
        <w:ind w:left="567" w:hanging="567"/>
        <w:rPr>
          <w:lang w:val="en-AU"/>
        </w:rPr>
      </w:pPr>
      <w:r>
        <w:rPr>
          <w:lang w:val="en-AU"/>
        </w:rPr>
        <w:t xml:space="preserve">Revised the UL for fluoride for infants and children up to 8 years from 0.10 to </w:t>
      </w:r>
      <w:r w:rsidRPr="008401A5">
        <w:rPr>
          <w:lang w:val="en-AU"/>
        </w:rPr>
        <w:t>0.20 mg/kg bw/day</w:t>
      </w:r>
      <w:r>
        <w:rPr>
          <w:lang w:val="en-AU"/>
        </w:rPr>
        <w:t xml:space="preserve">. Updated bodyweight information was used to present the UL as </w:t>
      </w:r>
      <w:r w:rsidRPr="008401A5">
        <w:rPr>
          <w:lang w:val="en-AU"/>
        </w:rPr>
        <w:t>1.2 mg/day</w:t>
      </w:r>
      <w:r>
        <w:rPr>
          <w:lang w:val="en-AU"/>
        </w:rPr>
        <w:t xml:space="preserve"> for infants aged 0 – 6 months and </w:t>
      </w:r>
      <w:r w:rsidRPr="008401A5">
        <w:rPr>
          <w:lang w:val="en-AU"/>
        </w:rPr>
        <w:t>1.8 mg/day</w:t>
      </w:r>
      <w:r>
        <w:rPr>
          <w:lang w:val="en-AU"/>
        </w:rPr>
        <w:t xml:space="preserve"> for infants aged 7 – 12 months</w:t>
      </w:r>
    </w:p>
    <w:p w14:paraId="56BFE90D" w14:textId="77777777" w:rsidR="003312AF" w:rsidRPr="003312AF" w:rsidRDefault="003312AF" w:rsidP="003312AF">
      <w:pPr>
        <w:rPr>
          <w:lang w:val="en-AU"/>
        </w:rPr>
      </w:pPr>
    </w:p>
    <w:p w14:paraId="51C48961" w14:textId="0E1DE33D" w:rsidR="00607FAB" w:rsidRPr="001F1801" w:rsidRDefault="00607FAB" w:rsidP="003312AF">
      <w:pPr>
        <w:pStyle w:val="FSTitle"/>
        <w:rPr>
          <w:lang w:val="en-AU"/>
        </w:rPr>
      </w:pPr>
      <w:bookmarkStart w:id="490" w:name="_Toc74061261"/>
      <w:r w:rsidRPr="001F1801">
        <w:rPr>
          <w:lang w:val="en-AU"/>
        </w:rPr>
        <w:t>NHMRC Nutrient Reference Values</w:t>
      </w:r>
      <w:bookmarkEnd w:id="490"/>
    </w:p>
    <w:tbl>
      <w:tblPr>
        <w:tblStyle w:val="TableGrid"/>
        <w:tblW w:w="0" w:type="auto"/>
        <w:tblLook w:val="04A0" w:firstRow="1" w:lastRow="0" w:firstColumn="1" w:lastColumn="0" w:noHBand="0" w:noVBand="1"/>
        <w:tblCaption w:val="Table 1 NHMRC Nutrient Reference Values"/>
        <w:tblDescription w:val="This table summarises the Upper Level of Intake for infants aged 0-6 months and 7-12 months. "/>
      </w:tblPr>
      <w:tblGrid>
        <w:gridCol w:w="3095"/>
        <w:gridCol w:w="3095"/>
      </w:tblGrid>
      <w:tr w:rsidR="00607FAB" w14:paraId="299E35FB" w14:textId="77777777" w:rsidTr="00836448">
        <w:tc>
          <w:tcPr>
            <w:tcW w:w="3095" w:type="dxa"/>
            <w:shd w:val="clear" w:color="auto" w:fill="DAEEF3" w:themeFill="accent5" w:themeFillTint="33"/>
          </w:tcPr>
          <w:p w14:paraId="7BD721A1" w14:textId="77777777" w:rsidR="00607FAB" w:rsidRPr="00836448" w:rsidRDefault="00607FAB" w:rsidP="00607FAB">
            <w:pPr>
              <w:pStyle w:val="FSTableColumnRowheading"/>
              <w:rPr>
                <w:rFonts w:ascii="Arial" w:hAnsi="Arial" w:cs="Arial"/>
                <w:lang w:val="en-AU"/>
              </w:rPr>
            </w:pPr>
            <w:r w:rsidRPr="00836448">
              <w:rPr>
                <w:rFonts w:ascii="Arial" w:hAnsi="Arial" w:cs="Arial"/>
                <w:lang w:val="en-AU"/>
              </w:rPr>
              <w:t>Age</w:t>
            </w:r>
          </w:p>
        </w:tc>
        <w:tc>
          <w:tcPr>
            <w:tcW w:w="3095" w:type="dxa"/>
            <w:shd w:val="clear" w:color="auto" w:fill="DAEEF3" w:themeFill="accent5" w:themeFillTint="33"/>
          </w:tcPr>
          <w:p w14:paraId="07322410" w14:textId="77777777" w:rsidR="00607FAB" w:rsidRPr="00836448" w:rsidRDefault="00607FAB" w:rsidP="00607FAB">
            <w:pPr>
              <w:pStyle w:val="FSTableColumnRowheading"/>
              <w:rPr>
                <w:rFonts w:ascii="Arial" w:hAnsi="Arial" w:cs="Arial"/>
                <w:lang w:val="en-AU"/>
              </w:rPr>
            </w:pPr>
            <w:r w:rsidRPr="00836448">
              <w:rPr>
                <w:rFonts w:ascii="Arial" w:hAnsi="Arial" w:cs="Arial"/>
                <w:lang w:val="en-AU"/>
              </w:rPr>
              <w:t xml:space="preserve">Upper level of intake </w:t>
            </w:r>
          </w:p>
        </w:tc>
      </w:tr>
      <w:tr w:rsidR="00607FAB" w14:paraId="04384592" w14:textId="77777777" w:rsidTr="00607FAB">
        <w:tc>
          <w:tcPr>
            <w:tcW w:w="3095" w:type="dxa"/>
          </w:tcPr>
          <w:p w14:paraId="3589B28E" w14:textId="77777777" w:rsidR="00607FAB" w:rsidRPr="00836448" w:rsidRDefault="00607FAB" w:rsidP="00607FAB">
            <w:pPr>
              <w:rPr>
                <w:rFonts w:ascii="Arial" w:hAnsi="Arial" w:cs="Arial"/>
                <w:lang w:val="en-AU"/>
              </w:rPr>
            </w:pPr>
            <w:r w:rsidRPr="00836448">
              <w:rPr>
                <w:rFonts w:ascii="Arial" w:hAnsi="Arial" w:cs="Arial"/>
                <w:lang w:val="en-AU"/>
              </w:rPr>
              <w:t>0 – 6 months</w:t>
            </w:r>
          </w:p>
        </w:tc>
        <w:tc>
          <w:tcPr>
            <w:tcW w:w="3095" w:type="dxa"/>
          </w:tcPr>
          <w:p w14:paraId="7E93B94A" w14:textId="77777777" w:rsidR="00607FAB" w:rsidRPr="00836448" w:rsidRDefault="00607FAB" w:rsidP="00607FAB">
            <w:pPr>
              <w:rPr>
                <w:rFonts w:ascii="Arial" w:hAnsi="Arial" w:cs="Arial"/>
                <w:lang w:val="en-AU"/>
              </w:rPr>
            </w:pPr>
            <w:r w:rsidRPr="00836448">
              <w:rPr>
                <w:rFonts w:ascii="Arial" w:hAnsi="Arial" w:cs="Arial"/>
                <w:lang w:val="en-AU"/>
              </w:rPr>
              <w:t>1.2 mg/day</w:t>
            </w:r>
          </w:p>
        </w:tc>
      </w:tr>
      <w:tr w:rsidR="00607FAB" w14:paraId="05EAA68B" w14:textId="77777777" w:rsidTr="00607FAB">
        <w:tc>
          <w:tcPr>
            <w:tcW w:w="3095" w:type="dxa"/>
          </w:tcPr>
          <w:p w14:paraId="7DD1A4E9" w14:textId="77777777" w:rsidR="00607FAB" w:rsidRPr="00836448" w:rsidRDefault="00607FAB" w:rsidP="00607FAB">
            <w:pPr>
              <w:rPr>
                <w:rFonts w:ascii="Arial" w:hAnsi="Arial" w:cs="Arial"/>
                <w:lang w:val="en-AU"/>
              </w:rPr>
            </w:pPr>
            <w:r w:rsidRPr="00836448">
              <w:rPr>
                <w:rFonts w:ascii="Arial" w:hAnsi="Arial" w:cs="Arial"/>
                <w:lang w:val="en-AU"/>
              </w:rPr>
              <w:t>7 - 12 months</w:t>
            </w:r>
          </w:p>
        </w:tc>
        <w:tc>
          <w:tcPr>
            <w:tcW w:w="3095" w:type="dxa"/>
          </w:tcPr>
          <w:p w14:paraId="6EB08BA8" w14:textId="77777777" w:rsidR="00607FAB" w:rsidRPr="00836448" w:rsidRDefault="00607FAB" w:rsidP="00607FAB">
            <w:pPr>
              <w:rPr>
                <w:rFonts w:ascii="Arial" w:hAnsi="Arial" w:cs="Arial"/>
                <w:lang w:val="en-AU"/>
              </w:rPr>
            </w:pPr>
            <w:r w:rsidRPr="00836448">
              <w:rPr>
                <w:rFonts w:ascii="Arial" w:hAnsi="Arial" w:cs="Arial"/>
                <w:lang w:val="en-AU"/>
              </w:rPr>
              <w:t>1.8 mg/day</w:t>
            </w:r>
          </w:p>
        </w:tc>
      </w:tr>
    </w:tbl>
    <w:p w14:paraId="1603D560" w14:textId="77777777" w:rsidR="00607FAB" w:rsidRDefault="00607FAB" w:rsidP="00607FAB">
      <w:pPr>
        <w:rPr>
          <w:lang w:val="en-AU"/>
        </w:rPr>
      </w:pPr>
    </w:p>
    <w:p w14:paraId="2C1D842A" w14:textId="77777777" w:rsidR="00607FAB" w:rsidRPr="001F1801" w:rsidRDefault="00607FAB" w:rsidP="00607FAB">
      <w:pPr>
        <w:rPr>
          <w:b/>
          <w:lang w:val="en-AU"/>
        </w:rPr>
      </w:pPr>
      <w:r w:rsidRPr="001F1801">
        <w:rPr>
          <w:b/>
          <w:lang w:val="en-AU"/>
        </w:rPr>
        <w:t>Under Australian Drinking water guidelines (NHMRC 2011)</w:t>
      </w:r>
    </w:p>
    <w:p w14:paraId="03641342" w14:textId="77777777" w:rsidR="00607FAB" w:rsidRDefault="00607FAB" w:rsidP="00774FC6">
      <w:pPr>
        <w:pStyle w:val="ListParagraph"/>
        <w:numPr>
          <w:ilvl w:val="0"/>
          <w:numId w:val="28"/>
        </w:numPr>
        <w:ind w:left="567" w:hanging="567"/>
        <w:rPr>
          <w:lang w:val="en-AU"/>
        </w:rPr>
      </w:pPr>
      <w:r>
        <w:rPr>
          <w:lang w:val="en-AU"/>
        </w:rPr>
        <w:t>Maximum permitted fluoride concentration in drinking water = 1.5 mg/L</w:t>
      </w:r>
    </w:p>
    <w:p w14:paraId="31436FD8" w14:textId="77777777" w:rsidR="00607FAB" w:rsidRDefault="00607FAB" w:rsidP="00774FC6">
      <w:pPr>
        <w:pStyle w:val="ListParagraph"/>
        <w:numPr>
          <w:ilvl w:val="0"/>
          <w:numId w:val="28"/>
        </w:numPr>
        <w:ind w:left="567" w:hanging="567"/>
        <w:rPr>
          <w:lang w:val="en-AU"/>
        </w:rPr>
      </w:pPr>
      <w:r>
        <w:rPr>
          <w:lang w:val="en-AU"/>
        </w:rPr>
        <w:t>Minimum level for a protective effect against dental caries is about 0.5 mg/L</w:t>
      </w:r>
    </w:p>
    <w:p w14:paraId="03267309" w14:textId="77777777" w:rsidR="00607FAB" w:rsidRDefault="00607FAB" w:rsidP="00774FC6">
      <w:pPr>
        <w:pStyle w:val="ListParagraph"/>
        <w:numPr>
          <w:ilvl w:val="0"/>
          <w:numId w:val="28"/>
        </w:numPr>
        <w:ind w:left="567" w:hanging="567"/>
        <w:rPr>
          <w:lang w:val="en-AU"/>
        </w:rPr>
      </w:pPr>
      <w:r>
        <w:rPr>
          <w:lang w:val="en-AU"/>
        </w:rPr>
        <w:t xml:space="preserve">The critical figure is 1.0 mg/L as this is the point at which maximal protection against dental caries is reached with minimum risk of dental fluorosis. </w:t>
      </w:r>
    </w:p>
    <w:p w14:paraId="7517D145" w14:textId="77777777" w:rsidR="00607FAB" w:rsidRDefault="00607FAB" w:rsidP="00607FAB">
      <w:pPr>
        <w:pStyle w:val="ListParagraph"/>
        <w:rPr>
          <w:lang w:val="en-AU"/>
        </w:rPr>
      </w:pPr>
    </w:p>
    <w:p w14:paraId="2DC43C55" w14:textId="77777777" w:rsidR="00607FAB" w:rsidRDefault="00607FAB" w:rsidP="00607FAB">
      <w:pPr>
        <w:pStyle w:val="ListParagraph"/>
        <w:ind w:left="0"/>
        <w:rPr>
          <w:lang w:val="en-AU"/>
        </w:rPr>
      </w:pPr>
      <w:r w:rsidRPr="001F1801">
        <w:rPr>
          <w:b/>
          <w:lang w:val="en-AU"/>
        </w:rPr>
        <w:t>Under Standard 2.9.1 Infant formula, fluorosis statement if</w:t>
      </w:r>
      <w:r>
        <w:rPr>
          <w:lang w:val="en-AU"/>
        </w:rPr>
        <w:t xml:space="preserve">: </w:t>
      </w:r>
    </w:p>
    <w:p w14:paraId="5C4B4173" w14:textId="77777777" w:rsidR="00607FAB" w:rsidRDefault="00607FAB" w:rsidP="00774FC6">
      <w:pPr>
        <w:pStyle w:val="ListParagraph"/>
        <w:numPr>
          <w:ilvl w:val="0"/>
          <w:numId w:val="28"/>
        </w:numPr>
        <w:ind w:left="567" w:hanging="567"/>
        <w:rPr>
          <w:lang w:val="en-AU"/>
        </w:rPr>
      </w:pPr>
      <w:r>
        <w:rPr>
          <w:lang w:val="en-AU"/>
        </w:rPr>
        <w:t xml:space="preserve">Fluoride level in IF </w:t>
      </w:r>
      <w:r w:rsidRPr="008401A5">
        <w:rPr>
          <w:lang w:val="en-AU"/>
        </w:rPr>
        <w:t>powder ˃</w:t>
      </w:r>
      <w:r>
        <w:rPr>
          <w:lang w:val="en-AU"/>
        </w:rPr>
        <w:t xml:space="preserve"> </w:t>
      </w:r>
      <w:r w:rsidRPr="008401A5">
        <w:rPr>
          <w:lang w:val="en-AU"/>
        </w:rPr>
        <w:t xml:space="preserve">17µg/100kJ </w:t>
      </w:r>
    </w:p>
    <w:p w14:paraId="4E1AB7F0" w14:textId="77777777" w:rsidR="00607FAB" w:rsidRDefault="00607FAB" w:rsidP="00607FAB">
      <w:pPr>
        <w:pStyle w:val="ListParagraph"/>
        <w:ind w:left="0"/>
        <w:rPr>
          <w:lang w:val="en-AU"/>
        </w:rPr>
      </w:pPr>
    </w:p>
    <w:p w14:paraId="720F3FE3" w14:textId="77777777" w:rsidR="00607FAB" w:rsidRPr="001F1801" w:rsidRDefault="00607FAB" w:rsidP="00607FAB">
      <w:pPr>
        <w:pStyle w:val="ListParagraph"/>
        <w:ind w:left="0"/>
        <w:rPr>
          <w:b/>
          <w:lang w:val="en-AU"/>
        </w:rPr>
      </w:pPr>
      <w:r w:rsidRPr="001F1801">
        <w:rPr>
          <w:b/>
          <w:lang w:val="en-AU"/>
        </w:rPr>
        <w:t>Under Codex STAN72- 1981 when prepared ‘</w:t>
      </w:r>
      <w:r w:rsidRPr="00E75831">
        <w:rPr>
          <w:b/>
          <w:i/>
          <w:lang w:val="en-AU"/>
        </w:rPr>
        <w:t>as recommended’</w:t>
      </w:r>
      <w:r>
        <w:rPr>
          <w:b/>
          <w:lang w:val="en-AU"/>
        </w:rPr>
        <w:t>:</w:t>
      </w:r>
      <w:r w:rsidRPr="001F1801">
        <w:rPr>
          <w:b/>
          <w:lang w:val="en-AU"/>
        </w:rPr>
        <w:t xml:space="preserve"> </w:t>
      </w:r>
    </w:p>
    <w:p w14:paraId="42A26715" w14:textId="54636ACB" w:rsidR="00607FAB" w:rsidRPr="008401A5" w:rsidRDefault="00607FAB" w:rsidP="00774FC6">
      <w:pPr>
        <w:pStyle w:val="ListParagraph"/>
        <w:numPr>
          <w:ilvl w:val="0"/>
          <w:numId w:val="28"/>
        </w:numPr>
        <w:ind w:left="567" w:hanging="567"/>
        <w:rPr>
          <w:lang w:val="en-AU"/>
        </w:rPr>
      </w:pPr>
      <w:r>
        <w:rPr>
          <w:lang w:val="en-AU"/>
        </w:rPr>
        <w:t xml:space="preserve">Maximum fluoride should not exceed </w:t>
      </w:r>
      <w:r w:rsidRPr="008401A5">
        <w:rPr>
          <w:lang w:val="en-AU"/>
        </w:rPr>
        <w:t>24µg/ 100kJ</w:t>
      </w:r>
    </w:p>
    <w:p w14:paraId="0504C38B" w14:textId="71AB76B2" w:rsidR="00836448" w:rsidRDefault="00836448" w:rsidP="00836448">
      <w:pPr>
        <w:rPr>
          <w:b/>
          <w:lang w:val="en-AU"/>
        </w:rPr>
      </w:pPr>
    </w:p>
    <w:p w14:paraId="59F580AD" w14:textId="664A3A1F" w:rsidR="008401A5" w:rsidRDefault="008401A5" w:rsidP="00836448">
      <w:pPr>
        <w:rPr>
          <w:b/>
          <w:lang w:val="en-AU"/>
        </w:rPr>
      </w:pPr>
    </w:p>
    <w:p w14:paraId="48A4AFBF" w14:textId="77777777" w:rsidR="008401A5" w:rsidRDefault="008401A5" w:rsidP="00836448">
      <w:pPr>
        <w:rPr>
          <w:b/>
          <w:lang w:val="en-AU"/>
        </w:rPr>
      </w:pPr>
    </w:p>
    <w:p w14:paraId="3BFF0134" w14:textId="77777777" w:rsidR="008401A5" w:rsidRDefault="008401A5" w:rsidP="008401A5">
      <w:pPr>
        <w:rPr>
          <w:b/>
          <w:lang w:val="en-AU"/>
        </w:rPr>
      </w:pPr>
      <w:r w:rsidRPr="00842BA0">
        <w:rPr>
          <w:b/>
          <w:lang w:val="en-AU"/>
        </w:rPr>
        <w:t>Question 1: Does powdered infant formula prepared with tap water contain levels of fluoride that may pose a risk to health and safety if consumed?</w:t>
      </w:r>
    </w:p>
    <w:p w14:paraId="40DE0686" w14:textId="77777777" w:rsidR="008401A5" w:rsidRPr="00842BA0" w:rsidRDefault="008401A5" w:rsidP="008401A5">
      <w:pPr>
        <w:rPr>
          <w:b/>
          <w:lang w:val="en-AU"/>
        </w:rPr>
      </w:pPr>
    </w:p>
    <w:p w14:paraId="20AD2C55" w14:textId="77777777" w:rsidR="008401A5" w:rsidRDefault="008401A5" w:rsidP="008401A5">
      <w:pPr>
        <w:rPr>
          <w:lang w:val="en-AU"/>
        </w:rPr>
      </w:pPr>
      <w:r>
        <w:rPr>
          <w:lang w:val="en-AU"/>
        </w:rPr>
        <w:t xml:space="preserve">Several calculations were performed using a popular brands of infant formula powder and water fluoride contents of 0, 0.5, 1.0 and 1.5 mg F/L. It is important to note that the critical level for water fluoridation is 1.0 mg/L and the maximal level of 1.5 mg/L is not considered generally relevant to Australian conditions. </w:t>
      </w:r>
    </w:p>
    <w:p w14:paraId="5431DA5C" w14:textId="40154C14" w:rsidR="008401A5" w:rsidRDefault="008401A5" w:rsidP="00836448">
      <w:pPr>
        <w:rPr>
          <w:b/>
          <w:lang w:val="en-AU"/>
        </w:rPr>
      </w:pPr>
    </w:p>
    <w:p w14:paraId="351C7D08" w14:textId="77777777" w:rsidR="008401A5" w:rsidRDefault="008401A5">
      <w:pPr>
        <w:rPr>
          <w:b/>
          <w:lang w:val="en-AU"/>
        </w:rPr>
      </w:pPr>
      <w:r>
        <w:rPr>
          <w:b/>
          <w:lang w:val="en-AU"/>
        </w:rPr>
        <w:br w:type="page"/>
      </w:r>
    </w:p>
    <w:p w14:paraId="546624B7" w14:textId="7E14987A" w:rsidR="00607FAB" w:rsidRPr="00842BA0" w:rsidRDefault="003312AF" w:rsidP="00842BA0">
      <w:pPr>
        <w:rPr>
          <w:b/>
          <w:i/>
          <w:lang w:val="en-AU"/>
        </w:rPr>
      </w:pPr>
      <w:r>
        <w:rPr>
          <w:b/>
          <w:i/>
          <w:lang w:val="en-AU"/>
        </w:rPr>
        <w:lastRenderedPageBreak/>
        <w:t>Example brand 1</w:t>
      </w:r>
      <w:r w:rsidRPr="00842BA0">
        <w:rPr>
          <w:b/>
          <w:i/>
          <w:lang w:val="en-AU"/>
        </w:rPr>
        <w:t xml:space="preserve"> formula powder </w:t>
      </w:r>
      <w:r>
        <w:rPr>
          <w:b/>
          <w:i/>
          <w:lang w:val="en-AU"/>
        </w:rPr>
        <w:t xml:space="preserve">for </w:t>
      </w:r>
      <w:r w:rsidR="00607FAB" w:rsidRPr="00842BA0">
        <w:rPr>
          <w:b/>
          <w:i/>
          <w:lang w:val="en-AU"/>
        </w:rPr>
        <w:t>one-month-old male infant (4.4 kg):</w:t>
      </w:r>
    </w:p>
    <w:p w14:paraId="6D9B6BC6" w14:textId="77777777" w:rsidR="00607FAB" w:rsidRDefault="00607FAB" w:rsidP="00774FC6">
      <w:pPr>
        <w:pStyle w:val="ListParagraph"/>
        <w:numPr>
          <w:ilvl w:val="0"/>
          <w:numId w:val="21"/>
        </w:numPr>
        <w:rPr>
          <w:lang w:val="en-AU"/>
        </w:rPr>
      </w:pPr>
      <w:r>
        <w:rPr>
          <w:lang w:val="en-AU"/>
        </w:rPr>
        <w:t>Formula energy content = 280 kJ/100 mL as prepared</w:t>
      </w:r>
    </w:p>
    <w:p w14:paraId="7E828F53" w14:textId="77777777" w:rsidR="00607FAB" w:rsidRDefault="00607FAB" w:rsidP="00774FC6">
      <w:pPr>
        <w:pStyle w:val="ListParagraph"/>
        <w:numPr>
          <w:ilvl w:val="0"/>
          <w:numId w:val="21"/>
        </w:numPr>
        <w:rPr>
          <w:lang w:val="en-AU"/>
        </w:rPr>
      </w:pPr>
      <w:r>
        <w:rPr>
          <w:lang w:val="en-AU"/>
        </w:rPr>
        <w:t>Recommended energy intake (EER) = 2000 kJ/day</w:t>
      </w:r>
    </w:p>
    <w:p w14:paraId="71C161DA" w14:textId="43B71975" w:rsidR="00607FAB" w:rsidRDefault="00607FAB" w:rsidP="00774FC6">
      <w:pPr>
        <w:pStyle w:val="ListParagraph"/>
        <w:numPr>
          <w:ilvl w:val="0"/>
          <w:numId w:val="21"/>
        </w:numPr>
        <w:rPr>
          <w:lang w:val="en-AU"/>
        </w:rPr>
      </w:pPr>
      <w:r>
        <w:rPr>
          <w:lang w:val="en-AU"/>
        </w:rPr>
        <w:t>Prepared with 12.5 g powder + 90mL water (to provide 280 kJ)</w:t>
      </w:r>
    </w:p>
    <w:p w14:paraId="6258735F" w14:textId="77777777" w:rsidR="008401A5" w:rsidRDefault="008401A5" w:rsidP="00774FC6">
      <w:pPr>
        <w:pStyle w:val="ListParagraph"/>
        <w:numPr>
          <w:ilvl w:val="0"/>
          <w:numId w:val="21"/>
        </w:numPr>
        <w:rPr>
          <w:lang w:val="en-AU"/>
        </w:rPr>
      </w:pPr>
      <w:r w:rsidRPr="008401A5">
        <w:rPr>
          <w:lang w:val="en-AU"/>
        </w:rPr>
        <w:t>Estimated formula volume = 715 mL Estimated water volume = 626 mL water (and 87 g infant formula powder) per 2000 kJ</w:t>
      </w:r>
    </w:p>
    <w:p w14:paraId="78E74A15" w14:textId="7D2E5219" w:rsidR="00607FAB" w:rsidRPr="00E75831" w:rsidRDefault="00607FAB" w:rsidP="00FA28CD">
      <w:pPr>
        <w:pStyle w:val="FSTitle"/>
        <w:rPr>
          <w:lang w:val="en-AU"/>
        </w:rPr>
      </w:pPr>
      <w:bookmarkStart w:id="491" w:name="_Toc74061262"/>
      <w:r>
        <w:rPr>
          <w:lang w:val="en-AU"/>
        </w:rPr>
        <w:lastRenderedPageBreak/>
        <w:t xml:space="preserve">Table </w:t>
      </w:r>
      <w:r w:rsidR="00113BD1">
        <w:rPr>
          <w:lang w:val="en-AU"/>
        </w:rPr>
        <w:t>A</w:t>
      </w:r>
      <w:r>
        <w:rPr>
          <w:lang w:val="en-AU"/>
        </w:rPr>
        <w:t>1: Male infant one-month-</w:t>
      </w:r>
      <w:r w:rsidRPr="00E75831">
        <w:rPr>
          <w:lang w:val="en-AU"/>
        </w:rPr>
        <w:t xml:space="preserve">old </w:t>
      </w:r>
      <w:r w:rsidR="003312AF">
        <w:rPr>
          <w:lang w:val="en-AU"/>
        </w:rPr>
        <w:t>using brand 1</w:t>
      </w:r>
      <w:r w:rsidRPr="00E75831">
        <w:rPr>
          <w:lang w:val="en-AU"/>
        </w:rPr>
        <w:t xml:space="preserve"> formula </w:t>
      </w:r>
      <w:r w:rsidR="003312AF">
        <w:rPr>
          <w:lang w:val="en-AU"/>
        </w:rPr>
        <w:t>powder</w:t>
      </w:r>
      <w:bookmarkEnd w:id="491"/>
    </w:p>
    <w:tbl>
      <w:tblPr>
        <w:tblStyle w:val="TableGrid"/>
        <w:tblW w:w="0" w:type="auto"/>
        <w:tblLook w:val="04A0" w:firstRow="1" w:lastRow="0" w:firstColumn="1" w:lastColumn="0" w:noHBand="0" w:noVBand="1"/>
        <w:tblCaption w:val="Table 1: Male infant one-month-old using brand 1 formula powder"/>
        <w:tblDescription w:val="Calculations for Brand 1 forumla powder"/>
      </w:tblPr>
      <w:tblGrid>
        <w:gridCol w:w="1787"/>
        <w:gridCol w:w="1790"/>
        <w:gridCol w:w="1773"/>
        <w:gridCol w:w="1774"/>
        <w:gridCol w:w="1774"/>
      </w:tblGrid>
      <w:tr w:rsidR="00607FAB" w:rsidRPr="00E75831" w14:paraId="359450D8" w14:textId="77777777" w:rsidTr="00607FAB">
        <w:tc>
          <w:tcPr>
            <w:tcW w:w="1816" w:type="dxa"/>
          </w:tcPr>
          <w:p w14:paraId="5C11EFB4" w14:textId="77777777" w:rsidR="00607FAB" w:rsidRPr="00E75831" w:rsidRDefault="00607FAB" w:rsidP="00774FC6">
            <w:pPr>
              <w:pStyle w:val="ListParagraph"/>
              <w:keepNext/>
              <w:keepLines/>
              <w:numPr>
                <w:ilvl w:val="0"/>
                <w:numId w:val="20"/>
              </w:numPr>
              <w:jc w:val="center"/>
              <w:rPr>
                <w:b/>
                <w:sz w:val="18"/>
                <w:lang w:val="en-AU"/>
              </w:rPr>
            </w:pPr>
          </w:p>
        </w:tc>
        <w:tc>
          <w:tcPr>
            <w:tcW w:w="1818" w:type="dxa"/>
          </w:tcPr>
          <w:p w14:paraId="3725B1C5" w14:textId="77777777" w:rsidR="00607FAB" w:rsidRPr="00E75831" w:rsidRDefault="00607FAB" w:rsidP="00774FC6">
            <w:pPr>
              <w:pStyle w:val="ListParagraph"/>
              <w:keepNext/>
              <w:keepLines/>
              <w:numPr>
                <w:ilvl w:val="0"/>
                <w:numId w:val="20"/>
              </w:numPr>
              <w:jc w:val="center"/>
              <w:rPr>
                <w:b/>
                <w:sz w:val="18"/>
                <w:lang w:val="en-AU"/>
              </w:rPr>
            </w:pPr>
          </w:p>
        </w:tc>
        <w:tc>
          <w:tcPr>
            <w:tcW w:w="1808" w:type="dxa"/>
          </w:tcPr>
          <w:p w14:paraId="3C21A331" w14:textId="77777777" w:rsidR="00607FAB" w:rsidRPr="00E75831" w:rsidRDefault="00607FAB" w:rsidP="00774FC6">
            <w:pPr>
              <w:pStyle w:val="ListParagraph"/>
              <w:keepNext/>
              <w:keepLines/>
              <w:numPr>
                <w:ilvl w:val="0"/>
                <w:numId w:val="20"/>
              </w:numPr>
              <w:jc w:val="center"/>
              <w:rPr>
                <w:b/>
                <w:sz w:val="18"/>
                <w:lang w:val="en-AU"/>
              </w:rPr>
            </w:pPr>
          </w:p>
        </w:tc>
        <w:tc>
          <w:tcPr>
            <w:tcW w:w="1809" w:type="dxa"/>
          </w:tcPr>
          <w:p w14:paraId="717E535C" w14:textId="77777777" w:rsidR="00607FAB" w:rsidRPr="00E75831" w:rsidRDefault="00607FAB" w:rsidP="00774FC6">
            <w:pPr>
              <w:pStyle w:val="ListParagraph"/>
              <w:keepNext/>
              <w:keepLines/>
              <w:numPr>
                <w:ilvl w:val="0"/>
                <w:numId w:val="20"/>
              </w:numPr>
              <w:jc w:val="center"/>
              <w:rPr>
                <w:b/>
                <w:sz w:val="18"/>
                <w:lang w:val="en-AU"/>
              </w:rPr>
            </w:pPr>
          </w:p>
        </w:tc>
        <w:tc>
          <w:tcPr>
            <w:tcW w:w="1809" w:type="dxa"/>
          </w:tcPr>
          <w:p w14:paraId="1650D1FB" w14:textId="77777777" w:rsidR="00607FAB" w:rsidRPr="00E75831" w:rsidRDefault="00607FAB" w:rsidP="00607FAB">
            <w:pPr>
              <w:keepNext/>
              <w:keepLines/>
              <w:jc w:val="center"/>
              <w:rPr>
                <w:b/>
                <w:sz w:val="18"/>
                <w:lang w:val="en-AU"/>
              </w:rPr>
            </w:pPr>
            <w:r w:rsidRPr="00E75831">
              <w:rPr>
                <w:b/>
                <w:sz w:val="18"/>
                <w:lang w:val="en-AU"/>
              </w:rPr>
              <w:t>(3) + (4)</w:t>
            </w:r>
          </w:p>
        </w:tc>
      </w:tr>
      <w:tr w:rsidR="00607FAB" w:rsidRPr="00E75831" w14:paraId="316C9981" w14:textId="77777777" w:rsidTr="00607FAB">
        <w:tc>
          <w:tcPr>
            <w:tcW w:w="1816" w:type="dxa"/>
          </w:tcPr>
          <w:p w14:paraId="15EE2CF6" w14:textId="77777777" w:rsidR="00607FAB" w:rsidRPr="00E75831" w:rsidRDefault="00607FAB" w:rsidP="00607FAB">
            <w:pPr>
              <w:keepNext/>
              <w:keepLines/>
              <w:jc w:val="center"/>
              <w:rPr>
                <w:b/>
                <w:sz w:val="18"/>
                <w:lang w:val="en-AU"/>
              </w:rPr>
            </w:pPr>
            <w:r w:rsidRPr="00E75831">
              <w:rPr>
                <w:b/>
                <w:sz w:val="18"/>
                <w:lang w:val="en-AU"/>
              </w:rPr>
              <w:t>F level in water</w:t>
            </w:r>
          </w:p>
          <w:p w14:paraId="6D3F9F93" w14:textId="77777777" w:rsidR="00607FAB" w:rsidRPr="00E75831" w:rsidRDefault="00607FAB" w:rsidP="00607FAB">
            <w:pPr>
              <w:keepNext/>
              <w:keepLines/>
              <w:jc w:val="center"/>
              <w:rPr>
                <w:b/>
                <w:sz w:val="18"/>
                <w:lang w:val="en-AU"/>
              </w:rPr>
            </w:pPr>
            <w:r w:rsidRPr="00E75831">
              <w:rPr>
                <w:b/>
                <w:sz w:val="18"/>
                <w:lang w:val="en-AU"/>
              </w:rPr>
              <w:t>mg/L</w:t>
            </w:r>
            <w:r>
              <w:rPr>
                <w:rStyle w:val="FootnoteReference"/>
                <w:b/>
                <w:sz w:val="18"/>
                <w:lang w:val="en-AU"/>
              </w:rPr>
              <w:footnoteReference w:id="15"/>
            </w:r>
          </w:p>
        </w:tc>
        <w:tc>
          <w:tcPr>
            <w:tcW w:w="1818" w:type="dxa"/>
          </w:tcPr>
          <w:p w14:paraId="3CD9ABCF" w14:textId="77777777" w:rsidR="00607FAB" w:rsidRPr="00E75831" w:rsidRDefault="00607FAB" w:rsidP="00607FAB">
            <w:pPr>
              <w:keepNext/>
              <w:keepLines/>
              <w:jc w:val="center"/>
              <w:rPr>
                <w:b/>
                <w:sz w:val="18"/>
                <w:lang w:val="en-AU"/>
              </w:rPr>
            </w:pPr>
            <w:r w:rsidRPr="00E75831">
              <w:rPr>
                <w:b/>
                <w:sz w:val="18"/>
                <w:lang w:val="en-AU"/>
              </w:rPr>
              <w:t>F level in IF powder</w:t>
            </w:r>
          </w:p>
          <w:p w14:paraId="05A10323" w14:textId="77777777" w:rsidR="00607FAB" w:rsidRPr="00E75831" w:rsidRDefault="00607FAB" w:rsidP="00607FAB">
            <w:pPr>
              <w:keepNext/>
              <w:keepLines/>
              <w:jc w:val="center"/>
              <w:rPr>
                <w:b/>
                <w:sz w:val="18"/>
                <w:lang w:val="en-AU"/>
              </w:rPr>
            </w:pPr>
            <w:r w:rsidRPr="00E75831">
              <w:rPr>
                <w:rFonts w:cs="Arial"/>
                <w:b/>
                <w:sz w:val="18"/>
                <w:lang w:val="en-AU"/>
              </w:rPr>
              <w:t>µ</w:t>
            </w:r>
            <w:r w:rsidRPr="00E75831">
              <w:rPr>
                <w:b/>
                <w:sz w:val="18"/>
                <w:lang w:val="en-AU"/>
              </w:rPr>
              <w:t>g/100kJ</w:t>
            </w:r>
            <w:r w:rsidRPr="00E75831">
              <w:rPr>
                <w:rStyle w:val="FootnoteReference"/>
                <w:b/>
                <w:sz w:val="18"/>
                <w:lang w:val="en-AU"/>
              </w:rPr>
              <w:footnoteReference w:id="16"/>
            </w:r>
          </w:p>
          <w:p w14:paraId="0D020E84" w14:textId="77777777" w:rsidR="00607FAB" w:rsidRPr="00E75831" w:rsidRDefault="00607FAB" w:rsidP="00607FAB">
            <w:pPr>
              <w:keepNext/>
              <w:keepLines/>
              <w:jc w:val="center"/>
              <w:rPr>
                <w:b/>
                <w:sz w:val="18"/>
                <w:lang w:val="en-AU"/>
              </w:rPr>
            </w:pPr>
            <w:r w:rsidRPr="00E75831">
              <w:rPr>
                <w:b/>
                <w:sz w:val="18"/>
                <w:lang w:val="en-AU"/>
              </w:rPr>
              <w:t>(</w:t>
            </w:r>
            <w:r w:rsidRPr="00E75831">
              <w:rPr>
                <w:rFonts w:cs="Arial"/>
                <w:b/>
                <w:sz w:val="18"/>
                <w:lang w:val="en-AU"/>
              </w:rPr>
              <w:t>µ</w:t>
            </w:r>
            <w:r w:rsidRPr="00E75831">
              <w:rPr>
                <w:b/>
                <w:sz w:val="18"/>
                <w:lang w:val="en-AU"/>
              </w:rPr>
              <w:t xml:space="preserve">g/2000 kJ or </w:t>
            </w:r>
            <w:r w:rsidRPr="00E75831">
              <w:rPr>
                <w:rFonts w:cs="Arial"/>
                <w:b/>
                <w:sz w:val="18"/>
                <w:lang w:val="en-AU"/>
              </w:rPr>
              <w:t>µg</w:t>
            </w:r>
            <w:r w:rsidRPr="00E75831">
              <w:rPr>
                <w:b/>
                <w:sz w:val="18"/>
                <w:lang w:val="en-AU"/>
              </w:rPr>
              <w:t>/day</w:t>
            </w:r>
            <w:r>
              <w:rPr>
                <w:rStyle w:val="FootnoteReference"/>
                <w:b/>
                <w:sz w:val="18"/>
                <w:lang w:val="en-AU"/>
              </w:rPr>
              <w:footnoteReference w:id="17"/>
            </w:r>
            <w:r w:rsidRPr="00E75831">
              <w:rPr>
                <w:b/>
                <w:sz w:val="18"/>
                <w:lang w:val="en-AU"/>
              </w:rPr>
              <w:t>)</w:t>
            </w:r>
          </w:p>
        </w:tc>
        <w:tc>
          <w:tcPr>
            <w:tcW w:w="1808" w:type="dxa"/>
          </w:tcPr>
          <w:p w14:paraId="22F3854B" w14:textId="77777777" w:rsidR="00607FAB" w:rsidRPr="00E75831" w:rsidRDefault="00607FAB" w:rsidP="00607FAB">
            <w:pPr>
              <w:keepNext/>
              <w:keepLines/>
              <w:jc w:val="center"/>
              <w:rPr>
                <w:b/>
                <w:sz w:val="18"/>
                <w:lang w:val="en-AU"/>
              </w:rPr>
            </w:pPr>
            <w:r w:rsidRPr="00E75831">
              <w:rPr>
                <w:b/>
                <w:sz w:val="18"/>
                <w:lang w:val="en-AU"/>
              </w:rPr>
              <w:t>F intake water</w:t>
            </w:r>
          </w:p>
          <w:p w14:paraId="734D4F95" w14:textId="77777777" w:rsidR="00607FAB" w:rsidRPr="00E75831" w:rsidRDefault="00607FAB" w:rsidP="00607FAB">
            <w:pPr>
              <w:keepNext/>
              <w:keepLines/>
              <w:jc w:val="center"/>
              <w:rPr>
                <w:b/>
                <w:sz w:val="18"/>
                <w:lang w:val="en-AU"/>
              </w:rPr>
            </w:pPr>
            <w:r w:rsidRPr="00E75831">
              <w:rPr>
                <w:b/>
                <w:sz w:val="18"/>
                <w:lang w:val="en-AU"/>
              </w:rPr>
              <w:t>mg/day</w:t>
            </w:r>
          </w:p>
          <w:p w14:paraId="77F2EFF3" w14:textId="77777777" w:rsidR="00607FAB" w:rsidRPr="00E75831" w:rsidRDefault="00607FAB" w:rsidP="00607FAB">
            <w:pPr>
              <w:keepNext/>
              <w:keepLines/>
              <w:jc w:val="center"/>
              <w:rPr>
                <w:b/>
                <w:sz w:val="18"/>
                <w:lang w:val="en-AU"/>
              </w:rPr>
            </w:pPr>
            <w:r w:rsidRPr="00E75831">
              <w:rPr>
                <w:b/>
                <w:sz w:val="18"/>
                <w:lang w:val="en-AU"/>
              </w:rPr>
              <w:t>(per 626 mL)</w:t>
            </w:r>
          </w:p>
        </w:tc>
        <w:tc>
          <w:tcPr>
            <w:tcW w:w="1809" w:type="dxa"/>
          </w:tcPr>
          <w:p w14:paraId="3DEC41FA" w14:textId="77777777" w:rsidR="00607FAB" w:rsidRPr="00E75831" w:rsidRDefault="00607FAB" w:rsidP="00607FAB">
            <w:pPr>
              <w:keepNext/>
              <w:keepLines/>
              <w:jc w:val="center"/>
              <w:rPr>
                <w:b/>
                <w:sz w:val="18"/>
                <w:lang w:val="en-AU"/>
              </w:rPr>
            </w:pPr>
            <w:r w:rsidRPr="00E75831">
              <w:rPr>
                <w:b/>
                <w:sz w:val="18"/>
                <w:lang w:val="en-AU"/>
              </w:rPr>
              <w:t>F intake IF powder</w:t>
            </w:r>
          </w:p>
          <w:p w14:paraId="2BABE1AC" w14:textId="77777777" w:rsidR="00607FAB" w:rsidRPr="00E75831" w:rsidRDefault="00607FAB" w:rsidP="00607FAB">
            <w:pPr>
              <w:keepNext/>
              <w:keepLines/>
              <w:jc w:val="center"/>
              <w:rPr>
                <w:b/>
                <w:sz w:val="18"/>
                <w:lang w:val="en-AU"/>
              </w:rPr>
            </w:pPr>
            <w:r w:rsidRPr="00E75831">
              <w:rPr>
                <w:b/>
                <w:sz w:val="18"/>
                <w:lang w:val="en-AU"/>
              </w:rPr>
              <w:t>mg/day</w:t>
            </w:r>
          </w:p>
          <w:p w14:paraId="7BFD52C1" w14:textId="77777777" w:rsidR="00607FAB" w:rsidRPr="00E75831" w:rsidRDefault="00607FAB" w:rsidP="00607FAB">
            <w:pPr>
              <w:keepNext/>
              <w:keepLines/>
              <w:jc w:val="center"/>
              <w:rPr>
                <w:b/>
                <w:sz w:val="18"/>
                <w:lang w:val="en-AU"/>
              </w:rPr>
            </w:pPr>
          </w:p>
        </w:tc>
        <w:tc>
          <w:tcPr>
            <w:tcW w:w="1809" w:type="dxa"/>
          </w:tcPr>
          <w:p w14:paraId="405CBD0F" w14:textId="77777777" w:rsidR="00607FAB" w:rsidRPr="00E75831" w:rsidRDefault="00607FAB" w:rsidP="00607FAB">
            <w:pPr>
              <w:keepNext/>
              <w:keepLines/>
              <w:jc w:val="center"/>
              <w:rPr>
                <w:b/>
                <w:sz w:val="18"/>
                <w:lang w:val="en-AU"/>
              </w:rPr>
            </w:pPr>
            <w:r w:rsidRPr="00E75831">
              <w:rPr>
                <w:b/>
                <w:sz w:val="18"/>
                <w:lang w:val="en-AU"/>
              </w:rPr>
              <w:t>Total est. F intake</w:t>
            </w:r>
          </w:p>
          <w:p w14:paraId="40CDC789" w14:textId="77777777" w:rsidR="00607FAB" w:rsidRPr="00E75831" w:rsidRDefault="00607FAB" w:rsidP="00607FAB">
            <w:pPr>
              <w:keepNext/>
              <w:keepLines/>
              <w:jc w:val="center"/>
              <w:rPr>
                <w:b/>
                <w:sz w:val="18"/>
                <w:lang w:val="en-AU"/>
              </w:rPr>
            </w:pPr>
            <w:r w:rsidRPr="00E75831">
              <w:rPr>
                <w:b/>
                <w:sz w:val="18"/>
                <w:lang w:val="en-AU"/>
              </w:rPr>
              <w:t>mg/day</w:t>
            </w:r>
          </w:p>
        </w:tc>
      </w:tr>
      <w:tr w:rsidR="00607FAB" w:rsidRPr="00E75831" w14:paraId="3A6E8F9E" w14:textId="77777777" w:rsidTr="00607FAB">
        <w:trPr>
          <w:trHeight w:val="216"/>
        </w:trPr>
        <w:tc>
          <w:tcPr>
            <w:tcW w:w="1816" w:type="dxa"/>
            <w:vMerge w:val="restart"/>
          </w:tcPr>
          <w:p w14:paraId="2E49AF53" w14:textId="77777777" w:rsidR="00607FAB" w:rsidRPr="00E75831" w:rsidRDefault="00607FAB" w:rsidP="00607FAB">
            <w:pPr>
              <w:keepNext/>
              <w:keepLines/>
              <w:shd w:val="clear" w:color="auto" w:fill="B6DDE8" w:themeFill="accent5" w:themeFillTint="66"/>
              <w:jc w:val="center"/>
              <w:rPr>
                <w:sz w:val="18"/>
                <w:lang w:val="en-AU"/>
              </w:rPr>
            </w:pPr>
            <w:r w:rsidRPr="00E75831">
              <w:rPr>
                <w:sz w:val="18"/>
                <w:lang w:val="en-AU"/>
              </w:rPr>
              <w:t>Median level found in Au IF powder</w:t>
            </w:r>
          </w:p>
          <w:p w14:paraId="5BD7C53D" w14:textId="77777777" w:rsidR="00607FAB" w:rsidRPr="00E75831" w:rsidRDefault="00607FAB" w:rsidP="00607FAB">
            <w:pPr>
              <w:keepNext/>
              <w:keepLines/>
              <w:jc w:val="center"/>
              <w:rPr>
                <w:sz w:val="18"/>
                <w:lang w:val="en-AU"/>
              </w:rPr>
            </w:pPr>
          </w:p>
          <w:p w14:paraId="7FB696F0" w14:textId="77777777" w:rsidR="00607FAB" w:rsidRPr="00C657C3" w:rsidRDefault="00607FAB" w:rsidP="00607FAB">
            <w:pPr>
              <w:keepNext/>
              <w:keepLines/>
              <w:jc w:val="center"/>
              <w:rPr>
                <w:b/>
                <w:sz w:val="18"/>
                <w:lang w:val="en-AU"/>
              </w:rPr>
            </w:pPr>
            <w:r w:rsidRPr="00C657C3">
              <w:rPr>
                <w:b/>
                <w:sz w:val="18"/>
                <w:lang w:val="en-AU"/>
              </w:rPr>
              <w:t>0</w:t>
            </w:r>
          </w:p>
          <w:p w14:paraId="1AC976F7" w14:textId="77777777" w:rsidR="00607FAB" w:rsidRPr="00E75831" w:rsidRDefault="00607FAB" w:rsidP="00607FAB">
            <w:pPr>
              <w:keepNext/>
              <w:keepLines/>
              <w:jc w:val="center"/>
              <w:rPr>
                <w:sz w:val="18"/>
                <w:lang w:val="en-AU"/>
              </w:rPr>
            </w:pPr>
            <w:r w:rsidRPr="00E75831">
              <w:rPr>
                <w:sz w:val="18"/>
                <w:shd w:val="clear" w:color="auto" w:fill="C4BC96" w:themeFill="background2" w:themeFillShade="BF"/>
                <w:lang w:val="en-AU"/>
              </w:rPr>
              <w:t>2.9.1 Fluorosis statement required</w:t>
            </w:r>
            <w:r w:rsidRPr="00E75831">
              <w:rPr>
                <w:rFonts w:cs="Arial"/>
                <w:sz w:val="18"/>
                <w:shd w:val="clear" w:color="auto" w:fill="C4BC96" w:themeFill="background2" w:themeFillShade="BF"/>
                <w:lang w:val="en-AU"/>
              </w:rPr>
              <w:t xml:space="preserve"> ˃</w:t>
            </w:r>
            <w:r w:rsidRPr="00E75831">
              <w:rPr>
                <w:sz w:val="18"/>
                <w:shd w:val="clear" w:color="auto" w:fill="C4BC96" w:themeFill="background2" w:themeFillShade="BF"/>
                <w:lang w:val="en-AU"/>
              </w:rPr>
              <w:t xml:space="preserve">17 </w:t>
            </w:r>
            <w:r w:rsidRPr="00E75831">
              <w:rPr>
                <w:rFonts w:cs="Arial"/>
                <w:sz w:val="18"/>
                <w:shd w:val="clear" w:color="auto" w:fill="C4BC96" w:themeFill="background2" w:themeFillShade="BF"/>
                <w:lang w:val="en-AU"/>
              </w:rPr>
              <w:t>µ</w:t>
            </w:r>
            <w:r w:rsidRPr="00E75831">
              <w:rPr>
                <w:sz w:val="18"/>
                <w:shd w:val="clear" w:color="auto" w:fill="C4BC96" w:themeFill="background2" w:themeFillShade="BF"/>
                <w:lang w:val="en-AU"/>
              </w:rPr>
              <w:t>g/100kJ</w:t>
            </w:r>
          </w:p>
        </w:tc>
        <w:tc>
          <w:tcPr>
            <w:tcW w:w="1818" w:type="dxa"/>
          </w:tcPr>
          <w:p w14:paraId="3DE5AC49" w14:textId="77777777" w:rsidR="00607FAB" w:rsidRPr="00E75831" w:rsidRDefault="00607FAB" w:rsidP="00607FAB">
            <w:pPr>
              <w:keepNext/>
              <w:keepLines/>
              <w:jc w:val="center"/>
              <w:rPr>
                <w:sz w:val="18"/>
                <w:lang w:val="en-AU"/>
              </w:rPr>
            </w:pPr>
            <w:r w:rsidRPr="00E75831">
              <w:rPr>
                <w:sz w:val="18"/>
                <w:lang w:val="en-AU"/>
              </w:rPr>
              <w:t>0 (0)</w:t>
            </w:r>
          </w:p>
        </w:tc>
        <w:tc>
          <w:tcPr>
            <w:tcW w:w="1808" w:type="dxa"/>
          </w:tcPr>
          <w:p w14:paraId="2F0F3C18" w14:textId="77777777" w:rsidR="00607FAB" w:rsidRPr="00E75831" w:rsidRDefault="00607FAB" w:rsidP="00607FAB">
            <w:pPr>
              <w:keepNext/>
              <w:keepLines/>
              <w:jc w:val="center"/>
              <w:rPr>
                <w:sz w:val="18"/>
                <w:lang w:val="en-AU"/>
              </w:rPr>
            </w:pPr>
            <w:r w:rsidRPr="00E75831">
              <w:rPr>
                <w:sz w:val="18"/>
                <w:lang w:val="en-AU"/>
              </w:rPr>
              <w:t>0</w:t>
            </w:r>
          </w:p>
        </w:tc>
        <w:tc>
          <w:tcPr>
            <w:tcW w:w="1809" w:type="dxa"/>
          </w:tcPr>
          <w:p w14:paraId="76813ACF" w14:textId="77777777" w:rsidR="00607FAB" w:rsidRPr="00E75831" w:rsidRDefault="00607FAB" w:rsidP="00607FAB">
            <w:pPr>
              <w:keepNext/>
              <w:keepLines/>
              <w:jc w:val="center"/>
              <w:rPr>
                <w:sz w:val="18"/>
                <w:lang w:val="en-AU"/>
              </w:rPr>
            </w:pPr>
            <w:r w:rsidRPr="00E75831">
              <w:rPr>
                <w:sz w:val="18"/>
                <w:lang w:val="en-AU"/>
              </w:rPr>
              <w:t>0.00</w:t>
            </w:r>
          </w:p>
        </w:tc>
        <w:tc>
          <w:tcPr>
            <w:tcW w:w="1809" w:type="dxa"/>
          </w:tcPr>
          <w:p w14:paraId="56BA0C16" w14:textId="77777777" w:rsidR="00607FAB" w:rsidRPr="00E75831" w:rsidRDefault="00607FAB" w:rsidP="00607FAB">
            <w:pPr>
              <w:keepNext/>
              <w:keepLines/>
              <w:jc w:val="center"/>
              <w:rPr>
                <w:sz w:val="18"/>
                <w:lang w:val="en-AU"/>
              </w:rPr>
            </w:pPr>
            <w:r w:rsidRPr="00E75831">
              <w:rPr>
                <w:sz w:val="18"/>
                <w:lang w:val="en-AU"/>
              </w:rPr>
              <w:t>0.00</w:t>
            </w:r>
          </w:p>
        </w:tc>
      </w:tr>
      <w:tr w:rsidR="00607FAB" w:rsidRPr="00E75831" w14:paraId="50ADE277" w14:textId="77777777" w:rsidTr="00607FAB">
        <w:trPr>
          <w:trHeight w:val="216"/>
        </w:trPr>
        <w:tc>
          <w:tcPr>
            <w:tcW w:w="1816" w:type="dxa"/>
            <w:vMerge/>
            <w:shd w:val="clear" w:color="auto" w:fill="B6DDE8" w:themeFill="accent5" w:themeFillTint="66"/>
          </w:tcPr>
          <w:p w14:paraId="3E888241" w14:textId="77777777" w:rsidR="00607FAB" w:rsidRPr="00E75831" w:rsidRDefault="00607FAB" w:rsidP="00607FAB">
            <w:pPr>
              <w:keepNext/>
              <w:keepLines/>
              <w:jc w:val="center"/>
              <w:rPr>
                <w:sz w:val="18"/>
                <w:lang w:val="en-AU"/>
              </w:rPr>
            </w:pPr>
          </w:p>
        </w:tc>
        <w:tc>
          <w:tcPr>
            <w:tcW w:w="1818" w:type="dxa"/>
            <w:shd w:val="clear" w:color="auto" w:fill="B6DDE8" w:themeFill="accent5" w:themeFillTint="66"/>
          </w:tcPr>
          <w:p w14:paraId="15F9D9FF" w14:textId="77777777" w:rsidR="00607FAB" w:rsidRPr="00E75831" w:rsidRDefault="00607FAB" w:rsidP="00607FAB">
            <w:pPr>
              <w:keepNext/>
              <w:keepLines/>
              <w:jc w:val="center"/>
              <w:rPr>
                <w:sz w:val="18"/>
                <w:lang w:val="en-AU"/>
              </w:rPr>
            </w:pPr>
            <w:r w:rsidRPr="00E75831">
              <w:rPr>
                <w:sz w:val="18"/>
                <w:lang w:val="en-AU"/>
              </w:rPr>
              <w:t>2 (40)</w:t>
            </w:r>
          </w:p>
        </w:tc>
        <w:tc>
          <w:tcPr>
            <w:tcW w:w="1808" w:type="dxa"/>
            <w:shd w:val="clear" w:color="auto" w:fill="B6DDE8" w:themeFill="accent5" w:themeFillTint="66"/>
          </w:tcPr>
          <w:p w14:paraId="2D2CD212" w14:textId="77777777" w:rsidR="00607FAB" w:rsidRPr="00E75831" w:rsidRDefault="00607FAB" w:rsidP="00607FAB">
            <w:pPr>
              <w:keepNext/>
              <w:keepLines/>
              <w:jc w:val="center"/>
              <w:rPr>
                <w:sz w:val="18"/>
                <w:lang w:val="en-AU"/>
              </w:rPr>
            </w:pPr>
            <w:r w:rsidRPr="00E75831">
              <w:rPr>
                <w:sz w:val="18"/>
                <w:lang w:val="en-AU"/>
              </w:rPr>
              <w:t>0</w:t>
            </w:r>
          </w:p>
        </w:tc>
        <w:tc>
          <w:tcPr>
            <w:tcW w:w="1809" w:type="dxa"/>
            <w:shd w:val="clear" w:color="auto" w:fill="B6DDE8" w:themeFill="accent5" w:themeFillTint="66"/>
          </w:tcPr>
          <w:p w14:paraId="2B83CC7D" w14:textId="77777777" w:rsidR="00607FAB" w:rsidRPr="00E75831" w:rsidRDefault="00607FAB" w:rsidP="00607FAB">
            <w:pPr>
              <w:keepNext/>
              <w:keepLines/>
              <w:jc w:val="center"/>
              <w:rPr>
                <w:sz w:val="18"/>
                <w:lang w:val="en-AU"/>
              </w:rPr>
            </w:pPr>
            <w:r w:rsidRPr="00E75831">
              <w:rPr>
                <w:sz w:val="18"/>
                <w:lang w:val="en-AU"/>
              </w:rPr>
              <w:t>0.04</w:t>
            </w:r>
          </w:p>
        </w:tc>
        <w:tc>
          <w:tcPr>
            <w:tcW w:w="1809" w:type="dxa"/>
            <w:shd w:val="clear" w:color="auto" w:fill="B6DDE8" w:themeFill="accent5" w:themeFillTint="66"/>
          </w:tcPr>
          <w:p w14:paraId="7A48A9FA" w14:textId="77777777" w:rsidR="00607FAB" w:rsidRPr="00E75831" w:rsidRDefault="00607FAB" w:rsidP="00607FAB">
            <w:pPr>
              <w:keepNext/>
              <w:keepLines/>
              <w:jc w:val="center"/>
              <w:rPr>
                <w:sz w:val="18"/>
                <w:lang w:val="en-AU"/>
              </w:rPr>
            </w:pPr>
            <w:r w:rsidRPr="00E75831">
              <w:rPr>
                <w:sz w:val="18"/>
                <w:lang w:val="en-AU"/>
              </w:rPr>
              <w:t>0.04</w:t>
            </w:r>
          </w:p>
        </w:tc>
      </w:tr>
      <w:tr w:rsidR="00607FAB" w:rsidRPr="00E75831" w14:paraId="080F3506" w14:textId="77777777" w:rsidTr="00607FAB">
        <w:trPr>
          <w:trHeight w:val="216"/>
        </w:trPr>
        <w:tc>
          <w:tcPr>
            <w:tcW w:w="1816" w:type="dxa"/>
            <w:vMerge/>
          </w:tcPr>
          <w:p w14:paraId="39D5D8CE" w14:textId="77777777" w:rsidR="00607FAB" w:rsidRPr="00E75831" w:rsidRDefault="00607FAB" w:rsidP="00607FAB">
            <w:pPr>
              <w:keepNext/>
              <w:keepLines/>
              <w:jc w:val="center"/>
              <w:rPr>
                <w:sz w:val="18"/>
                <w:lang w:val="en-AU"/>
              </w:rPr>
            </w:pPr>
          </w:p>
        </w:tc>
        <w:tc>
          <w:tcPr>
            <w:tcW w:w="1818" w:type="dxa"/>
          </w:tcPr>
          <w:p w14:paraId="5BEB2E0D" w14:textId="77777777" w:rsidR="00607FAB" w:rsidRPr="00E75831" w:rsidRDefault="00607FAB" w:rsidP="00607FAB">
            <w:pPr>
              <w:keepNext/>
              <w:keepLines/>
              <w:jc w:val="center"/>
              <w:rPr>
                <w:sz w:val="18"/>
                <w:lang w:val="en-AU"/>
              </w:rPr>
            </w:pPr>
            <w:r w:rsidRPr="00E75831">
              <w:rPr>
                <w:sz w:val="18"/>
                <w:lang w:val="en-AU"/>
              </w:rPr>
              <w:t>4 (80)</w:t>
            </w:r>
          </w:p>
        </w:tc>
        <w:tc>
          <w:tcPr>
            <w:tcW w:w="1808" w:type="dxa"/>
          </w:tcPr>
          <w:p w14:paraId="6852930B" w14:textId="77777777" w:rsidR="00607FAB" w:rsidRPr="00E75831" w:rsidRDefault="00607FAB" w:rsidP="00607FAB">
            <w:pPr>
              <w:keepNext/>
              <w:keepLines/>
              <w:jc w:val="center"/>
              <w:rPr>
                <w:sz w:val="18"/>
                <w:lang w:val="en-AU"/>
              </w:rPr>
            </w:pPr>
            <w:r w:rsidRPr="00E75831">
              <w:rPr>
                <w:sz w:val="18"/>
                <w:lang w:val="en-AU"/>
              </w:rPr>
              <w:t>0</w:t>
            </w:r>
          </w:p>
        </w:tc>
        <w:tc>
          <w:tcPr>
            <w:tcW w:w="1809" w:type="dxa"/>
          </w:tcPr>
          <w:p w14:paraId="42E00388" w14:textId="77777777" w:rsidR="00607FAB" w:rsidRPr="00E75831" w:rsidRDefault="00607FAB" w:rsidP="00607FAB">
            <w:pPr>
              <w:keepNext/>
              <w:keepLines/>
              <w:jc w:val="center"/>
              <w:rPr>
                <w:sz w:val="18"/>
                <w:lang w:val="en-AU"/>
              </w:rPr>
            </w:pPr>
            <w:r w:rsidRPr="00E75831">
              <w:rPr>
                <w:sz w:val="18"/>
                <w:lang w:val="en-AU"/>
              </w:rPr>
              <w:t>0.08</w:t>
            </w:r>
          </w:p>
        </w:tc>
        <w:tc>
          <w:tcPr>
            <w:tcW w:w="1809" w:type="dxa"/>
          </w:tcPr>
          <w:p w14:paraId="26F45FE2" w14:textId="77777777" w:rsidR="00607FAB" w:rsidRPr="00E75831" w:rsidRDefault="00607FAB" w:rsidP="00607FAB">
            <w:pPr>
              <w:keepNext/>
              <w:keepLines/>
              <w:jc w:val="center"/>
              <w:rPr>
                <w:sz w:val="18"/>
                <w:lang w:val="en-AU"/>
              </w:rPr>
            </w:pPr>
            <w:r w:rsidRPr="00E75831">
              <w:rPr>
                <w:sz w:val="18"/>
                <w:lang w:val="en-AU"/>
              </w:rPr>
              <w:t>0.08</w:t>
            </w:r>
          </w:p>
        </w:tc>
      </w:tr>
      <w:tr w:rsidR="00607FAB" w:rsidRPr="00E75831" w14:paraId="05014D95" w14:textId="77777777" w:rsidTr="00607FAB">
        <w:trPr>
          <w:trHeight w:val="216"/>
        </w:trPr>
        <w:tc>
          <w:tcPr>
            <w:tcW w:w="1816" w:type="dxa"/>
            <w:vMerge/>
          </w:tcPr>
          <w:p w14:paraId="4A71EB70" w14:textId="77777777" w:rsidR="00607FAB" w:rsidRPr="00E75831" w:rsidRDefault="00607FAB" w:rsidP="00607FAB">
            <w:pPr>
              <w:keepNext/>
              <w:keepLines/>
              <w:jc w:val="center"/>
              <w:rPr>
                <w:sz w:val="18"/>
                <w:lang w:val="en-AU"/>
              </w:rPr>
            </w:pPr>
          </w:p>
        </w:tc>
        <w:tc>
          <w:tcPr>
            <w:tcW w:w="1818" w:type="dxa"/>
          </w:tcPr>
          <w:p w14:paraId="0F6213BD" w14:textId="77777777" w:rsidR="00607FAB" w:rsidRPr="00E75831" w:rsidRDefault="00607FAB" w:rsidP="00607FAB">
            <w:pPr>
              <w:keepNext/>
              <w:keepLines/>
              <w:jc w:val="center"/>
              <w:rPr>
                <w:sz w:val="18"/>
                <w:lang w:val="en-AU"/>
              </w:rPr>
            </w:pPr>
            <w:r w:rsidRPr="00E75831">
              <w:rPr>
                <w:sz w:val="18"/>
                <w:lang w:val="en-AU"/>
              </w:rPr>
              <w:t>8 (160)</w:t>
            </w:r>
          </w:p>
        </w:tc>
        <w:tc>
          <w:tcPr>
            <w:tcW w:w="1808" w:type="dxa"/>
          </w:tcPr>
          <w:p w14:paraId="409BEA4A" w14:textId="77777777" w:rsidR="00607FAB" w:rsidRPr="00E75831" w:rsidRDefault="00607FAB" w:rsidP="00607FAB">
            <w:pPr>
              <w:keepNext/>
              <w:keepLines/>
              <w:jc w:val="center"/>
              <w:rPr>
                <w:sz w:val="18"/>
                <w:lang w:val="en-AU"/>
              </w:rPr>
            </w:pPr>
            <w:r w:rsidRPr="00E75831">
              <w:rPr>
                <w:sz w:val="18"/>
                <w:lang w:val="en-AU"/>
              </w:rPr>
              <w:t>0</w:t>
            </w:r>
          </w:p>
        </w:tc>
        <w:tc>
          <w:tcPr>
            <w:tcW w:w="1809" w:type="dxa"/>
          </w:tcPr>
          <w:p w14:paraId="3877EE4D" w14:textId="77777777" w:rsidR="00607FAB" w:rsidRPr="00E75831" w:rsidRDefault="00607FAB" w:rsidP="00607FAB">
            <w:pPr>
              <w:keepNext/>
              <w:keepLines/>
              <w:jc w:val="center"/>
              <w:rPr>
                <w:sz w:val="18"/>
                <w:lang w:val="en-AU"/>
              </w:rPr>
            </w:pPr>
            <w:r w:rsidRPr="00E75831">
              <w:rPr>
                <w:sz w:val="18"/>
                <w:lang w:val="en-AU"/>
              </w:rPr>
              <w:t>0.16</w:t>
            </w:r>
          </w:p>
        </w:tc>
        <w:tc>
          <w:tcPr>
            <w:tcW w:w="1809" w:type="dxa"/>
          </w:tcPr>
          <w:p w14:paraId="6BFDDC82" w14:textId="77777777" w:rsidR="00607FAB" w:rsidRPr="00E75831" w:rsidRDefault="00607FAB" w:rsidP="00607FAB">
            <w:pPr>
              <w:keepNext/>
              <w:keepLines/>
              <w:jc w:val="center"/>
              <w:rPr>
                <w:sz w:val="18"/>
                <w:lang w:val="en-AU"/>
              </w:rPr>
            </w:pPr>
            <w:r w:rsidRPr="00E75831">
              <w:rPr>
                <w:sz w:val="18"/>
                <w:lang w:val="en-AU"/>
              </w:rPr>
              <w:t>0.16</w:t>
            </w:r>
          </w:p>
        </w:tc>
      </w:tr>
      <w:tr w:rsidR="00607FAB" w:rsidRPr="00E75831" w14:paraId="64B2DEB9" w14:textId="77777777" w:rsidTr="00607FAB">
        <w:trPr>
          <w:trHeight w:val="216"/>
        </w:trPr>
        <w:tc>
          <w:tcPr>
            <w:tcW w:w="1816" w:type="dxa"/>
            <w:vMerge/>
          </w:tcPr>
          <w:p w14:paraId="1E0A0567" w14:textId="77777777" w:rsidR="00607FAB" w:rsidRPr="00E75831" w:rsidRDefault="00607FAB" w:rsidP="00607FAB">
            <w:pPr>
              <w:keepNext/>
              <w:keepLines/>
              <w:jc w:val="center"/>
              <w:rPr>
                <w:sz w:val="18"/>
                <w:lang w:val="en-AU"/>
              </w:rPr>
            </w:pPr>
          </w:p>
        </w:tc>
        <w:tc>
          <w:tcPr>
            <w:tcW w:w="1818" w:type="dxa"/>
          </w:tcPr>
          <w:p w14:paraId="017E03B5" w14:textId="77777777" w:rsidR="00607FAB" w:rsidRPr="00E75831" w:rsidRDefault="00607FAB" w:rsidP="00607FAB">
            <w:pPr>
              <w:keepNext/>
              <w:keepLines/>
              <w:jc w:val="center"/>
              <w:rPr>
                <w:sz w:val="18"/>
                <w:lang w:val="en-AU"/>
              </w:rPr>
            </w:pPr>
            <w:r w:rsidRPr="00E75831">
              <w:rPr>
                <w:sz w:val="18"/>
                <w:lang w:val="en-AU"/>
              </w:rPr>
              <w:t>16 (320)</w:t>
            </w:r>
          </w:p>
        </w:tc>
        <w:tc>
          <w:tcPr>
            <w:tcW w:w="1808" w:type="dxa"/>
          </w:tcPr>
          <w:p w14:paraId="5A60EE93" w14:textId="77777777" w:rsidR="00607FAB" w:rsidRPr="00E75831" w:rsidRDefault="00607FAB" w:rsidP="00607FAB">
            <w:pPr>
              <w:keepNext/>
              <w:keepLines/>
              <w:jc w:val="center"/>
              <w:rPr>
                <w:sz w:val="18"/>
                <w:lang w:val="en-AU"/>
              </w:rPr>
            </w:pPr>
            <w:r w:rsidRPr="00E75831">
              <w:rPr>
                <w:sz w:val="18"/>
                <w:lang w:val="en-AU"/>
              </w:rPr>
              <w:t>0</w:t>
            </w:r>
          </w:p>
        </w:tc>
        <w:tc>
          <w:tcPr>
            <w:tcW w:w="1809" w:type="dxa"/>
          </w:tcPr>
          <w:p w14:paraId="53AD639B" w14:textId="77777777" w:rsidR="00607FAB" w:rsidRPr="00E75831" w:rsidRDefault="00607FAB" w:rsidP="00607FAB">
            <w:pPr>
              <w:keepNext/>
              <w:keepLines/>
              <w:jc w:val="center"/>
              <w:rPr>
                <w:sz w:val="18"/>
                <w:lang w:val="en-AU"/>
              </w:rPr>
            </w:pPr>
            <w:r w:rsidRPr="00E75831">
              <w:rPr>
                <w:sz w:val="18"/>
                <w:lang w:val="en-AU"/>
              </w:rPr>
              <w:t>0.32</w:t>
            </w:r>
          </w:p>
        </w:tc>
        <w:tc>
          <w:tcPr>
            <w:tcW w:w="1809" w:type="dxa"/>
          </w:tcPr>
          <w:p w14:paraId="3DD30D52" w14:textId="77777777" w:rsidR="00607FAB" w:rsidRPr="00E75831" w:rsidRDefault="00607FAB" w:rsidP="00607FAB">
            <w:pPr>
              <w:keepNext/>
              <w:keepLines/>
              <w:jc w:val="center"/>
              <w:rPr>
                <w:sz w:val="18"/>
                <w:lang w:val="en-AU"/>
              </w:rPr>
            </w:pPr>
            <w:r w:rsidRPr="00E75831">
              <w:rPr>
                <w:sz w:val="18"/>
                <w:lang w:val="en-AU"/>
              </w:rPr>
              <w:t>0.32</w:t>
            </w:r>
          </w:p>
        </w:tc>
      </w:tr>
      <w:tr w:rsidR="00607FAB" w:rsidRPr="00E75831" w14:paraId="3677684B" w14:textId="77777777" w:rsidTr="00607FAB">
        <w:trPr>
          <w:trHeight w:val="216"/>
        </w:trPr>
        <w:tc>
          <w:tcPr>
            <w:tcW w:w="1816" w:type="dxa"/>
            <w:vMerge/>
          </w:tcPr>
          <w:p w14:paraId="3D175A8A" w14:textId="77777777" w:rsidR="00607FAB" w:rsidRPr="00E75831" w:rsidRDefault="00607FAB" w:rsidP="00607FAB">
            <w:pPr>
              <w:keepNext/>
              <w:keepLines/>
              <w:jc w:val="center"/>
              <w:rPr>
                <w:sz w:val="18"/>
                <w:lang w:val="en-AU"/>
              </w:rPr>
            </w:pPr>
          </w:p>
        </w:tc>
        <w:tc>
          <w:tcPr>
            <w:tcW w:w="1818" w:type="dxa"/>
            <w:shd w:val="clear" w:color="auto" w:fill="C4BC96" w:themeFill="background2" w:themeFillShade="BF"/>
          </w:tcPr>
          <w:p w14:paraId="43F93939" w14:textId="77777777" w:rsidR="00607FAB" w:rsidRPr="00E75831" w:rsidRDefault="00607FAB" w:rsidP="00607FAB">
            <w:pPr>
              <w:keepNext/>
              <w:keepLines/>
              <w:jc w:val="center"/>
              <w:rPr>
                <w:sz w:val="18"/>
                <w:lang w:val="en-AU"/>
              </w:rPr>
            </w:pPr>
            <w:r w:rsidRPr="00E75831">
              <w:rPr>
                <w:sz w:val="18"/>
                <w:lang w:val="en-AU"/>
              </w:rPr>
              <w:t>20 (400)</w:t>
            </w:r>
          </w:p>
        </w:tc>
        <w:tc>
          <w:tcPr>
            <w:tcW w:w="1808" w:type="dxa"/>
            <w:shd w:val="clear" w:color="auto" w:fill="C4BC96" w:themeFill="background2" w:themeFillShade="BF"/>
          </w:tcPr>
          <w:p w14:paraId="4B15186C" w14:textId="77777777" w:rsidR="00607FAB" w:rsidRPr="00E75831" w:rsidRDefault="00607FAB" w:rsidP="00607FAB">
            <w:pPr>
              <w:keepNext/>
              <w:keepLines/>
              <w:jc w:val="center"/>
              <w:rPr>
                <w:sz w:val="18"/>
                <w:lang w:val="en-AU"/>
              </w:rPr>
            </w:pPr>
            <w:r w:rsidRPr="00E75831">
              <w:rPr>
                <w:sz w:val="18"/>
                <w:lang w:val="en-AU"/>
              </w:rPr>
              <w:t>0</w:t>
            </w:r>
          </w:p>
        </w:tc>
        <w:tc>
          <w:tcPr>
            <w:tcW w:w="1809" w:type="dxa"/>
            <w:shd w:val="clear" w:color="auto" w:fill="C4BC96" w:themeFill="background2" w:themeFillShade="BF"/>
          </w:tcPr>
          <w:p w14:paraId="0356C37A" w14:textId="77777777" w:rsidR="00607FAB" w:rsidRPr="00E75831" w:rsidRDefault="00607FAB" w:rsidP="00607FAB">
            <w:pPr>
              <w:keepNext/>
              <w:keepLines/>
              <w:jc w:val="center"/>
              <w:rPr>
                <w:sz w:val="18"/>
                <w:lang w:val="en-AU"/>
              </w:rPr>
            </w:pPr>
            <w:r w:rsidRPr="00E75831">
              <w:rPr>
                <w:sz w:val="18"/>
                <w:lang w:val="en-AU"/>
              </w:rPr>
              <w:t>0.40</w:t>
            </w:r>
          </w:p>
        </w:tc>
        <w:tc>
          <w:tcPr>
            <w:tcW w:w="1809" w:type="dxa"/>
            <w:shd w:val="clear" w:color="auto" w:fill="C4BC96" w:themeFill="background2" w:themeFillShade="BF"/>
          </w:tcPr>
          <w:p w14:paraId="3295C370" w14:textId="77777777" w:rsidR="00607FAB" w:rsidRPr="00E75831" w:rsidRDefault="00607FAB" w:rsidP="00607FAB">
            <w:pPr>
              <w:keepNext/>
              <w:keepLines/>
              <w:jc w:val="center"/>
              <w:rPr>
                <w:sz w:val="18"/>
                <w:lang w:val="en-AU"/>
              </w:rPr>
            </w:pPr>
            <w:r w:rsidRPr="00E75831">
              <w:rPr>
                <w:sz w:val="18"/>
                <w:lang w:val="en-AU"/>
              </w:rPr>
              <w:t>0.40</w:t>
            </w:r>
          </w:p>
        </w:tc>
      </w:tr>
      <w:tr w:rsidR="00607FAB" w:rsidRPr="00E75831" w14:paraId="32B9F2E8" w14:textId="77777777" w:rsidTr="00607FAB">
        <w:trPr>
          <w:trHeight w:val="216"/>
        </w:trPr>
        <w:tc>
          <w:tcPr>
            <w:tcW w:w="1816" w:type="dxa"/>
            <w:shd w:val="clear" w:color="auto" w:fill="C2D69B" w:themeFill="accent3" w:themeFillTint="99"/>
          </w:tcPr>
          <w:p w14:paraId="1DE8DF76" w14:textId="77777777" w:rsidR="00607FAB" w:rsidRPr="00E75831" w:rsidRDefault="00607FAB" w:rsidP="00607FAB">
            <w:pPr>
              <w:keepNext/>
              <w:keepLines/>
              <w:jc w:val="center"/>
              <w:rPr>
                <w:sz w:val="18"/>
                <w:lang w:val="en-AU"/>
              </w:rPr>
            </w:pPr>
            <w:r w:rsidRPr="00E75831">
              <w:rPr>
                <w:sz w:val="18"/>
                <w:lang w:val="en-AU"/>
              </w:rPr>
              <w:t>STAN 72-1981 max</w:t>
            </w:r>
          </w:p>
        </w:tc>
        <w:tc>
          <w:tcPr>
            <w:tcW w:w="1818" w:type="dxa"/>
            <w:shd w:val="clear" w:color="auto" w:fill="C2D69B" w:themeFill="accent3" w:themeFillTint="99"/>
          </w:tcPr>
          <w:p w14:paraId="09D18005" w14:textId="77777777" w:rsidR="00607FAB" w:rsidRPr="00E75831" w:rsidRDefault="00607FAB" w:rsidP="00607FAB">
            <w:pPr>
              <w:keepNext/>
              <w:keepLines/>
              <w:jc w:val="center"/>
              <w:rPr>
                <w:sz w:val="18"/>
                <w:lang w:val="en-AU"/>
              </w:rPr>
            </w:pPr>
            <w:r w:rsidRPr="00E75831">
              <w:rPr>
                <w:sz w:val="18"/>
                <w:lang w:val="en-AU"/>
              </w:rPr>
              <w:t>24 (480)</w:t>
            </w:r>
          </w:p>
        </w:tc>
        <w:tc>
          <w:tcPr>
            <w:tcW w:w="1808" w:type="dxa"/>
            <w:shd w:val="clear" w:color="auto" w:fill="C2D69B" w:themeFill="accent3" w:themeFillTint="99"/>
          </w:tcPr>
          <w:p w14:paraId="4529049A" w14:textId="77777777" w:rsidR="00607FAB" w:rsidRPr="00E75831" w:rsidRDefault="00607FAB" w:rsidP="00607FAB">
            <w:pPr>
              <w:keepNext/>
              <w:keepLines/>
              <w:jc w:val="center"/>
              <w:rPr>
                <w:sz w:val="18"/>
                <w:lang w:val="en-AU"/>
              </w:rPr>
            </w:pPr>
            <w:r w:rsidRPr="00E75831">
              <w:rPr>
                <w:sz w:val="18"/>
                <w:lang w:val="en-AU"/>
              </w:rPr>
              <w:t>0</w:t>
            </w:r>
          </w:p>
        </w:tc>
        <w:tc>
          <w:tcPr>
            <w:tcW w:w="1809" w:type="dxa"/>
            <w:shd w:val="clear" w:color="auto" w:fill="C2D69B" w:themeFill="accent3" w:themeFillTint="99"/>
          </w:tcPr>
          <w:p w14:paraId="51A2580B" w14:textId="77777777" w:rsidR="00607FAB" w:rsidRPr="00E75831" w:rsidRDefault="00607FAB" w:rsidP="00607FAB">
            <w:pPr>
              <w:keepNext/>
              <w:keepLines/>
              <w:jc w:val="center"/>
              <w:rPr>
                <w:sz w:val="18"/>
                <w:lang w:val="en-AU"/>
              </w:rPr>
            </w:pPr>
            <w:r w:rsidRPr="00E75831">
              <w:rPr>
                <w:sz w:val="18"/>
                <w:lang w:val="en-AU"/>
              </w:rPr>
              <w:t>0.48</w:t>
            </w:r>
          </w:p>
        </w:tc>
        <w:tc>
          <w:tcPr>
            <w:tcW w:w="1809" w:type="dxa"/>
            <w:shd w:val="clear" w:color="auto" w:fill="C2D69B" w:themeFill="accent3" w:themeFillTint="99"/>
          </w:tcPr>
          <w:p w14:paraId="5C187E81" w14:textId="77777777" w:rsidR="00607FAB" w:rsidRPr="00E75831" w:rsidRDefault="00607FAB" w:rsidP="00607FAB">
            <w:pPr>
              <w:keepNext/>
              <w:keepLines/>
              <w:jc w:val="center"/>
              <w:rPr>
                <w:sz w:val="18"/>
                <w:lang w:val="en-AU"/>
              </w:rPr>
            </w:pPr>
            <w:r w:rsidRPr="00E75831">
              <w:rPr>
                <w:sz w:val="18"/>
                <w:lang w:val="en-AU"/>
              </w:rPr>
              <w:t>0.48</w:t>
            </w:r>
          </w:p>
        </w:tc>
      </w:tr>
      <w:tr w:rsidR="00607FAB" w:rsidRPr="00E75831" w14:paraId="3E6309FD" w14:textId="77777777" w:rsidTr="00607FAB">
        <w:trPr>
          <w:trHeight w:val="216"/>
        </w:trPr>
        <w:tc>
          <w:tcPr>
            <w:tcW w:w="1816" w:type="dxa"/>
          </w:tcPr>
          <w:p w14:paraId="22A8722B" w14:textId="77777777" w:rsidR="00607FAB" w:rsidRPr="00E75831" w:rsidRDefault="00607FAB" w:rsidP="00607FAB">
            <w:pPr>
              <w:keepNext/>
              <w:keepLines/>
              <w:jc w:val="center"/>
              <w:rPr>
                <w:sz w:val="18"/>
                <w:lang w:val="en-AU"/>
              </w:rPr>
            </w:pPr>
          </w:p>
        </w:tc>
        <w:tc>
          <w:tcPr>
            <w:tcW w:w="1818" w:type="dxa"/>
            <w:shd w:val="clear" w:color="auto" w:fill="C4BC96" w:themeFill="background2" w:themeFillShade="BF"/>
          </w:tcPr>
          <w:p w14:paraId="3330A4D4" w14:textId="77777777" w:rsidR="00607FAB" w:rsidRPr="00E75831" w:rsidRDefault="00607FAB" w:rsidP="00607FAB">
            <w:pPr>
              <w:keepNext/>
              <w:keepLines/>
              <w:jc w:val="center"/>
              <w:rPr>
                <w:sz w:val="18"/>
                <w:lang w:val="en-AU"/>
              </w:rPr>
            </w:pPr>
            <w:r w:rsidRPr="00E75831">
              <w:rPr>
                <w:sz w:val="18"/>
                <w:lang w:val="en-AU"/>
              </w:rPr>
              <w:t>25 (500)</w:t>
            </w:r>
          </w:p>
        </w:tc>
        <w:tc>
          <w:tcPr>
            <w:tcW w:w="1808" w:type="dxa"/>
            <w:shd w:val="clear" w:color="auto" w:fill="C4BC96" w:themeFill="background2" w:themeFillShade="BF"/>
          </w:tcPr>
          <w:p w14:paraId="6C301E3F" w14:textId="77777777" w:rsidR="00607FAB" w:rsidRPr="00E75831" w:rsidRDefault="00607FAB" w:rsidP="00607FAB">
            <w:pPr>
              <w:keepNext/>
              <w:keepLines/>
              <w:jc w:val="center"/>
              <w:rPr>
                <w:sz w:val="18"/>
                <w:lang w:val="en-AU"/>
              </w:rPr>
            </w:pPr>
            <w:r w:rsidRPr="00E75831">
              <w:rPr>
                <w:sz w:val="18"/>
                <w:lang w:val="en-AU"/>
              </w:rPr>
              <w:t>0</w:t>
            </w:r>
          </w:p>
        </w:tc>
        <w:tc>
          <w:tcPr>
            <w:tcW w:w="1809" w:type="dxa"/>
            <w:shd w:val="clear" w:color="auto" w:fill="C4BC96" w:themeFill="background2" w:themeFillShade="BF"/>
          </w:tcPr>
          <w:p w14:paraId="0D0550CC" w14:textId="77777777" w:rsidR="00607FAB" w:rsidRPr="00E75831" w:rsidRDefault="00607FAB" w:rsidP="00607FAB">
            <w:pPr>
              <w:keepNext/>
              <w:keepLines/>
              <w:jc w:val="center"/>
              <w:rPr>
                <w:sz w:val="18"/>
                <w:lang w:val="en-AU"/>
              </w:rPr>
            </w:pPr>
            <w:r w:rsidRPr="00E75831">
              <w:rPr>
                <w:sz w:val="18"/>
                <w:lang w:val="en-AU"/>
              </w:rPr>
              <w:t>0.50</w:t>
            </w:r>
          </w:p>
        </w:tc>
        <w:tc>
          <w:tcPr>
            <w:tcW w:w="1809" w:type="dxa"/>
            <w:shd w:val="clear" w:color="auto" w:fill="C4BC96" w:themeFill="background2" w:themeFillShade="BF"/>
          </w:tcPr>
          <w:p w14:paraId="1FF969F8" w14:textId="77777777" w:rsidR="00607FAB" w:rsidRPr="00E75831" w:rsidRDefault="00607FAB" w:rsidP="00607FAB">
            <w:pPr>
              <w:keepNext/>
              <w:keepLines/>
              <w:jc w:val="center"/>
              <w:rPr>
                <w:sz w:val="18"/>
                <w:lang w:val="en-AU"/>
              </w:rPr>
            </w:pPr>
            <w:r w:rsidRPr="00E75831">
              <w:rPr>
                <w:sz w:val="18"/>
                <w:lang w:val="en-AU"/>
              </w:rPr>
              <w:t>0.50</w:t>
            </w:r>
          </w:p>
        </w:tc>
      </w:tr>
      <w:tr w:rsidR="00607FAB" w:rsidRPr="00E75831" w14:paraId="57C638E6" w14:textId="77777777" w:rsidTr="00607FAB">
        <w:trPr>
          <w:trHeight w:val="180"/>
        </w:trPr>
        <w:tc>
          <w:tcPr>
            <w:tcW w:w="1816" w:type="dxa"/>
            <w:vMerge w:val="restart"/>
          </w:tcPr>
          <w:p w14:paraId="7882FFE8" w14:textId="77777777" w:rsidR="00607FAB" w:rsidRPr="00E75831" w:rsidRDefault="00607FAB" w:rsidP="00607FAB">
            <w:pPr>
              <w:keepNext/>
              <w:keepLines/>
              <w:shd w:val="clear" w:color="auto" w:fill="B6DDE8" w:themeFill="accent5" w:themeFillTint="66"/>
              <w:jc w:val="center"/>
              <w:rPr>
                <w:sz w:val="18"/>
                <w:lang w:val="en-AU"/>
              </w:rPr>
            </w:pPr>
            <w:r w:rsidRPr="00E75831">
              <w:rPr>
                <w:sz w:val="18"/>
                <w:lang w:val="en-AU"/>
              </w:rPr>
              <w:t>Median level found in Au IF powder</w:t>
            </w:r>
          </w:p>
          <w:p w14:paraId="54A04EAE" w14:textId="77777777" w:rsidR="00607FAB" w:rsidRPr="00E75831" w:rsidRDefault="00607FAB" w:rsidP="00607FAB">
            <w:pPr>
              <w:keepNext/>
              <w:keepLines/>
              <w:jc w:val="center"/>
              <w:rPr>
                <w:sz w:val="18"/>
                <w:lang w:val="en-AU"/>
              </w:rPr>
            </w:pPr>
          </w:p>
          <w:p w14:paraId="24F75C87" w14:textId="77777777" w:rsidR="00607FAB" w:rsidRPr="00C657C3" w:rsidRDefault="00607FAB" w:rsidP="00607FAB">
            <w:pPr>
              <w:keepNext/>
              <w:keepLines/>
              <w:jc w:val="center"/>
              <w:rPr>
                <w:b/>
                <w:sz w:val="18"/>
                <w:lang w:val="en-AU"/>
              </w:rPr>
            </w:pPr>
            <w:r w:rsidRPr="00C657C3">
              <w:rPr>
                <w:b/>
                <w:sz w:val="18"/>
                <w:lang w:val="en-AU"/>
              </w:rPr>
              <w:t>0.5</w:t>
            </w:r>
          </w:p>
          <w:p w14:paraId="40A56F6D" w14:textId="77777777" w:rsidR="00607FAB" w:rsidRPr="00E75831" w:rsidRDefault="00607FAB" w:rsidP="00607FAB">
            <w:pPr>
              <w:keepNext/>
              <w:keepLines/>
              <w:jc w:val="center"/>
              <w:rPr>
                <w:sz w:val="18"/>
                <w:lang w:val="en-AU"/>
              </w:rPr>
            </w:pPr>
            <w:r w:rsidRPr="00E75831">
              <w:rPr>
                <w:sz w:val="18"/>
                <w:shd w:val="clear" w:color="auto" w:fill="C4BC96" w:themeFill="background2" w:themeFillShade="BF"/>
                <w:lang w:val="en-AU"/>
              </w:rPr>
              <w:t>2.9.1 Fluorosis statement required</w:t>
            </w:r>
            <w:r w:rsidRPr="00E75831">
              <w:rPr>
                <w:rFonts w:cs="Arial"/>
                <w:sz w:val="18"/>
                <w:shd w:val="clear" w:color="auto" w:fill="C4BC96" w:themeFill="background2" w:themeFillShade="BF"/>
                <w:lang w:val="en-AU"/>
              </w:rPr>
              <w:t xml:space="preserve"> ˃</w:t>
            </w:r>
            <w:r w:rsidRPr="00E75831">
              <w:rPr>
                <w:sz w:val="18"/>
                <w:shd w:val="clear" w:color="auto" w:fill="C4BC96" w:themeFill="background2" w:themeFillShade="BF"/>
                <w:lang w:val="en-AU"/>
              </w:rPr>
              <w:t xml:space="preserve">17 </w:t>
            </w:r>
            <w:r w:rsidRPr="00E75831">
              <w:rPr>
                <w:rFonts w:cs="Arial"/>
                <w:sz w:val="18"/>
                <w:shd w:val="clear" w:color="auto" w:fill="C4BC96" w:themeFill="background2" w:themeFillShade="BF"/>
                <w:lang w:val="en-AU"/>
              </w:rPr>
              <w:t>µ</w:t>
            </w:r>
            <w:r w:rsidRPr="00E75831">
              <w:rPr>
                <w:sz w:val="18"/>
                <w:shd w:val="clear" w:color="auto" w:fill="C4BC96" w:themeFill="background2" w:themeFillShade="BF"/>
                <w:lang w:val="en-AU"/>
              </w:rPr>
              <w:t>g/100kJ</w:t>
            </w:r>
          </w:p>
        </w:tc>
        <w:tc>
          <w:tcPr>
            <w:tcW w:w="1818" w:type="dxa"/>
          </w:tcPr>
          <w:p w14:paraId="25B06DE9" w14:textId="77777777" w:rsidR="00607FAB" w:rsidRPr="00E75831" w:rsidRDefault="00607FAB" w:rsidP="00607FAB">
            <w:pPr>
              <w:keepNext/>
              <w:keepLines/>
              <w:jc w:val="center"/>
              <w:rPr>
                <w:sz w:val="18"/>
                <w:lang w:val="en-AU"/>
              </w:rPr>
            </w:pPr>
            <w:r w:rsidRPr="00E75831">
              <w:rPr>
                <w:sz w:val="18"/>
                <w:lang w:val="en-AU"/>
              </w:rPr>
              <w:t>0 (0)</w:t>
            </w:r>
          </w:p>
        </w:tc>
        <w:tc>
          <w:tcPr>
            <w:tcW w:w="1808" w:type="dxa"/>
          </w:tcPr>
          <w:p w14:paraId="7C7537CB" w14:textId="77777777" w:rsidR="00607FAB" w:rsidRPr="00E75831" w:rsidRDefault="00607FAB" w:rsidP="00607FAB">
            <w:pPr>
              <w:keepNext/>
              <w:keepLines/>
              <w:jc w:val="center"/>
              <w:rPr>
                <w:sz w:val="18"/>
                <w:lang w:val="en-AU"/>
              </w:rPr>
            </w:pPr>
            <w:r w:rsidRPr="00E75831">
              <w:rPr>
                <w:sz w:val="18"/>
                <w:lang w:val="en-AU"/>
              </w:rPr>
              <w:t>0.31</w:t>
            </w:r>
          </w:p>
        </w:tc>
        <w:tc>
          <w:tcPr>
            <w:tcW w:w="1809" w:type="dxa"/>
          </w:tcPr>
          <w:p w14:paraId="37EA50C5" w14:textId="77777777" w:rsidR="00607FAB" w:rsidRPr="00E75831" w:rsidRDefault="00607FAB" w:rsidP="00607FAB">
            <w:pPr>
              <w:keepNext/>
              <w:keepLines/>
              <w:jc w:val="center"/>
              <w:rPr>
                <w:sz w:val="18"/>
                <w:lang w:val="en-AU"/>
              </w:rPr>
            </w:pPr>
            <w:r w:rsidRPr="00E75831">
              <w:rPr>
                <w:sz w:val="18"/>
                <w:lang w:val="en-AU"/>
              </w:rPr>
              <w:t>0.00</w:t>
            </w:r>
          </w:p>
        </w:tc>
        <w:tc>
          <w:tcPr>
            <w:tcW w:w="1809" w:type="dxa"/>
          </w:tcPr>
          <w:p w14:paraId="3329704E" w14:textId="77777777" w:rsidR="00607FAB" w:rsidRPr="00E75831" w:rsidRDefault="00607FAB" w:rsidP="00607FAB">
            <w:pPr>
              <w:keepNext/>
              <w:keepLines/>
              <w:jc w:val="center"/>
              <w:rPr>
                <w:sz w:val="18"/>
                <w:lang w:val="en-AU"/>
              </w:rPr>
            </w:pPr>
            <w:r w:rsidRPr="00E75831">
              <w:rPr>
                <w:sz w:val="18"/>
                <w:lang w:val="en-AU"/>
              </w:rPr>
              <w:t>0.31</w:t>
            </w:r>
          </w:p>
        </w:tc>
      </w:tr>
      <w:tr w:rsidR="00607FAB" w:rsidRPr="00E75831" w14:paraId="36738404" w14:textId="77777777" w:rsidTr="00607FAB">
        <w:trPr>
          <w:trHeight w:val="180"/>
        </w:trPr>
        <w:tc>
          <w:tcPr>
            <w:tcW w:w="1816" w:type="dxa"/>
            <w:vMerge/>
            <w:shd w:val="clear" w:color="auto" w:fill="B6DDE8" w:themeFill="accent5" w:themeFillTint="66"/>
          </w:tcPr>
          <w:p w14:paraId="6A81C437" w14:textId="77777777" w:rsidR="00607FAB" w:rsidRPr="00E75831" w:rsidRDefault="00607FAB" w:rsidP="00607FAB">
            <w:pPr>
              <w:keepNext/>
              <w:keepLines/>
              <w:jc w:val="center"/>
              <w:rPr>
                <w:sz w:val="18"/>
                <w:lang w:val="en-AU"/>
              </w:rPr>
            </w:pPr>
          </w:p>
        </w:tc>
        <w:tc>
          <w:tcPr>
            <w:tcW w:w="1818" w:type="dxa"/>
            <w:shd w:val="clear" w:color="auto" w:fill="B6DDE8" w:themeFill="accent5" w:themeFillTint="66"/>
          </w:tcPr>
          <w:p w14:paraId="0F516B11" w14:textId="77777777" w:rsidR="00607FAB" w:rsidRPr="00E75831" w:rsidRDefault="00607FAB" w:rsidP="00607FAB">
            <w:pPr>
              <w:keepNext/>
              <w:keepLines/>
              <w:jc w:val="center"/>
              <w:rPr>
                <w:sz w:val="18"/>
                <w:lang w:val="en-AU"/>
              </w:rPr>
            </w:pPr>
            <w:r w:rsidRPr="00E75831">
              <w:rPr>
                <w:sz w:val="18"/>
                <w:lang w:val="en-AU"/>
              </w:rPr>
              <w:t>2 (40)</w:t>
            </w:r>
          </w:p>
        </w:tc>
        <w:tc>
          <w:tcPr>
            <w:tcW w:w="1808" w:type="dxa"/>
            <w:shd w:val="clear" w:color="auto" w:fill="B6DDE8" w:themeFill="accent5" w:themeFillTint="66"/>
          </w:tcPr>
          <w:p w14:paraId="41853308" w14:textId="77777777" w:rsidR="00607FAB" w:rsidRPr="00E75831" w:rsidRDefault="00607FAB" w:rsidP="00607FAB">
            <w:pPr>
              <w:keepNext/>
              <w:keepLines/>
              <w:jc w:val="center"/>
              <w:rPr>
                <w:sz w:val="18"/>
                <w:lang w:val="en-AU"/>
              </w:rPr>
            </w:pPr>
            <w:r w:rsidRPr="00E75831">
              <w:rPr>
                <w:sz w:val="18"/>
                <w:lang w:val="en-AU"/>
              </w:rPr>
              <w:t>0.31</w:t>
            </w:r>
          </w:p>
        </w:tc>
        <w:tc>
          <w:tcPr>
            <w:tcW w:w="1809" w:type="dxa"/>
            <w:shd w:val="clear" w:color="auto" w:fill="B6DDE8" w:themeFill="accent5" w:themeFillTint="66"/>
          </w:tcPr>
          <w:p w14:paraId="2E039B2A" w14:textId="77777777" w:rsidR="00607FAB" w:rsidRPr="00E75831" w:rsidRDefault="00607FAB" w:rsidP="00607FAB">
            <w:pPr>
              <w:keepNext/>
              <w:keepLines/>
              <w:jc w:val="center"/>
              <w:rPr>
                <w:sz w:val="18"/>
                <w:lang w:val="en-AU"/>
              </w:rPr>
            </w:pPr>
            <w:r w:rsidRPr="00E75831">
              <w:rPr>
                <w:sz w:val="18"/>
                <w:lang w:val="en-AU"/>
              </w:rPr>
              <w:t>0.04</w:t>
            </w:r>
          </w:p>
        </w:tc>
        <w:tc>
          <w:tcPr>
            <w:tcW w:w="1809" w:type="dxa"/>
            <w:shd w:val="clear" w:color="auto" w:fill="B6DDE8" w:themeFill="accent5" w:themeFillTint="66"/>
          </w:tcPr>
          <w:p w14:paraId="5B646B41" w14:textId="77777777" w:rsidR="00607FAB" w:rsidRPr="00E75831" w:rsidRDefault="00607FAB" w:rsidP="00607FAB">
            <w:pPr>
              <w:keepNext/>
              <w:keepLines/>
              <w:jc w:val="center"/>
              <w:rPr>
                <w:sz w:val="18"/>
                <w:lang w:val="en-AU"/>
              </w:rPr>
            </w:pPr>
            <w:r w:rsidRPr="00E75831">
              <w:rPr>
                <w:sz w:val="18"/>
                <w:lang w:val="en-AU"/>
              </w:rPr>
              <w:t>0.35</w:t>
            </w:r>
          </w:p>
        </w:tc>
      </w:tr>
      <w:tr w:rsidR="00607FAB" w:rsidRPr="00E75831" w14:paraId="3B8E2AEC" w14:textId="77777777" w:rsidTr="00607FAB">
        <w:trPr>
          <w:trHeight w:val="180"/>
        </w:trPr>
        <w:tc>
          <w:tcPr>
            <w:tcW w:w="1816" w:type="dxa"/>
            <w:vMerge/>
          </w:tcPr>
          <w:p w14:paraId="089C5A68" w14:textId="77777777" w:rsidR="00607FAB" w:rsidRPr="00E75831" w:rsidRDefault="00607FAB" w:rsidP="00607FAB">
            <w:pPr>
              <w:keepNext/>
              <w:keepLines/>
              <w:jc w:val="center"/>
              <w:rPr>
                <w:sz w:val="18"/>
                <w:lang w:val="en-AU"/>
              </w:rPr>
            </w:pPr>
          </w:p>
        </w:tc>
        <w:tc>
          <w:tcPr>
            <w:tcW w:w="1818" w:type="dxa"/>
          </w:tcPr>
          <w:p w14:paraId="71451029" w14:textId="77777777" w:rsidR="00607FAB" w:rsidRPr="00E75831" w:rsidRDefault="00607FAB" w:rsidP="00607FAB">
            <w:pPr>
              <w:keepNext/>
              <w:keepLines/>
              <w:jc w:val="center"/>
              <w:rPr>
                <w:sz w:val="18"/>
                <w:lang w:val="en-AU"/>
              </w:rPr>
            </w:pPr>
            <w:r w:rsidRPr="00E75831">
              <w:rPr>
                <w:sz w:val="18"/>
                <w:lang w:val="en-AU"/>
              </w:rPr>
              <w:t>4 (80)</w:t>
            </w:r>
          </w:p>
        </w:tc>
        <w:tc>
          <w:tcPr>
            <w:tcW w:w="1808" w:type="dxa"/>
          </w:tcPr>
          <w:p w14:paraId="0189E092" w14:textId="77777777" w:rsidR="00607FAB" w:rsidRPr="00E75831" w:rsidRDefault="00607FAB" w:rsidP="00607FAB">
            <w:pPr>
              <w:keepNext/>
              <w:keepLines/>
              <w:jc w:val="center"/>
              <w:rPr>
                <w:sz w:val="18"/>
                <w:lang w:val="en-AU"/>
              </w:rPr>
            </w:pPr>
            <w:r w:rsidRPr="00E75831">
              <w:rPr>
                <w:sz w:val="18"/>
                <w:lang w:val="en-AU"/>
              </w:rPr>
              <w:t>0.31</w:t>
            </w:r>
          </w:p>
        </w:tc>
        <w:tc>
          <w:tcPr>
            <w:tcW w:w="1809" w:type="dxa"/>
          </w:tcPr>
          <w:p w14:paraId="2178F544" w14:textId="77777777" w:rsidR="00607FAB" w:rsidRPr="00E75831" w:rsidRDefault="00607FAB" w:rsidP="00607FAB">
            <w:pPr>
              <w:keepNext/>
              <w:keepLines/>
              <w:jc w:val="center"/>
              <w:rPr>
                <w:sz w:val="18"/>
                <w:lang w:val="en-AU"/>
              </w:rPr>
            </w:pPr>
            <w:r w:rsidRPr="00E75831">
              <w:rPr>
                <w:sz w:val="18"/>
                <w:lang w:val="en-AU"/>
              </w:rPr>
              <w:t>0.08</w:t>
            </w:r>
          </w:p>
        </w:tc>
        <w:tc>
          <w:tcPr>
            <w:tcW w:w="1809" w:type="dxa"/>
          </w:tcPr>
          <w:p w14:paraId="3865FC55" w14:textId="77777777" w:rsidR="00607FAB" w:rsidRPr="00E75831" w:rsidRDefault="00607FAB" w:rsidP="00607FAB">
            <w:pPr>
              <w:keepNext/>
              <w:keepLines/>
              <w:jc w:val="center"/>
              <w:rPr>
                <w:sz w:val="18"/>
                <w:lang w:val="en-AU"/>
              </w:rPr>
            </w:pPr>
            <w:r w:rsidRPr="00E75831">
              <w:rPr>
                <w:sz w:val="18"/>
                <w:lang w:val="en-AU"/>
              </w:rPr>
              <w:t>0.39</w:t>
            </w:r>
          </w:p>
        </w:tc>
      </w:tr>
      <w:tr w:rsidR="00607FAB" w:rsidRPr="00E75831" w14:paraId="6C153EBA" w14:textId="77777777" w:rsidTr="00607FAB">
        <w:trPr>
          <w:trHeight w:val="180"/>
        </w:trPr>
        <w:tc>
          <w:tcPr>
            <w:tcW w:w="1816" w:type="dxa"/>
            <w:vMerge/>
          </w:tcPr>
          <w:p w14:paraId="58118064" w14:textId="77777777" w:rsidR="00607FAB" w:rsidRPr="00E75831" w:rsidRDefault="00607FAB" w:rsidP="00607FAB">
            <w:pPr>
              <w:keepNext/>
              <w:keepLines/>
              <w:jc w:val="center"/>
              <w:rPr>
                <w:sz w:val="18"/>
                <w:lang w:val="en-AU"/>
              </w:rPr>
            </w:pPr>
          </w:p>
        </w:tc>
        <w:tc>
          <w:tcPr>
            <w:tcW w:w="1818" w:type="dxa"/>
          </w:tcPr>
          <w:p w14:paraId="3277624F" w14:textId="77777777" w:rsidR="00607FAB" w:rsidRPr="00E75831" w:rsidRDefault="00607FAB" w:rsidP="00607FAB">
            <w:pPr>
              <w:keepNext/>
              <w:keepLines/>
              <w:jc w:val="center"/>
              <w:rPr>
                <w:sz w:val="18"/>
                <w:lang w:val="en-AU"/>
              </w:rPr>
            </w:pPr>
            <w:r w:rsidRPr="00E75831">
              <w:rPr>
                <w:sz w:val="18"/>
                <w:lang w:val="en-AU"/>
              </w:rPr>
              <w:t>8 (160)</w:t>
            </w:r>
          </w:p>
        </w:tc>
        <w:tc>
          <w:tcPr>
            <w:tcW w:w="1808" w:type="dxa"/>
          </w:tcPr>
          <w:p w14:paraId="29032C58" w14:textId="77777777" w:rsidR="00607FAB" w:rsidRPr="00E75831" w:rsidRDefault="00607FAB" w:rsidP="00607FAB">
            <w:pPr>
              <w:keepNext/>
              <w:keepLines/>
              <w:jc w:val="center"/>
              <w:rPr>
                <w:sz w:val="18"/>
                <w:lang w:val="en-AU"/>
              </w:rPr>
            </w:pPr>
            <w:r w:rsidRPr="00E75831">
              <w:rPr>
                <w:sz w:val="18"/>
                <w:lang w:val="en-AU"/>
              </w:rPr>
              <w:t>0.31</w:t>
            </w:r>
          </w:p>
        </w:tc>
        <w:tc>
          <w:tcPr>
            <w:tcW w:w="1809" w:type="dxa"/>
          </w:tcPr>
          <w:p w14:paraId="79C8F5EB" w14:textId="77777777" w:rsidR="00607FAB" w:rsidRPr="00E75831" w:rsidRDefault="00607FAB" w:rsidP="00607FAB">
            <w:pPr>
              <w:keepNext/>
              <w:keepLines/>
              <w:jc w:val="center"/>
              <w:rPr>
                <w:sz w:val="18"/>
                <w:lang w:val="en-AU"/>
              </w:rPr>
            </w:pPr>
            <w:r w:rsidRPr="00E75831">
              <w:rPr>
                <w:sz w:val="18"/>
                <w:lang w:val="en-AU"/>
              </w:rPr>
              <w:t>0.16</w:t>
            </w:r>
          </w:p>
        </w:tc>
        <w:tc>
          <w:tcPr>
            <w:tcW w:w="1809" w:type="dxa"/>
          </w:tcPr>
          <w:p w14:paraId="2D8F434A" w14:textId="77777777" w:rsidR="00607FAB" w:rsidRPr="00E75831" w:rsidRDefault="00607FAB" w:rsidP="00607FAB">
            <w:pPr>
              <w:keepNext/>
              <w:keepLines/>
              <w:jc w:val="center"/>
              <w:rPr>
                <w:sz w:val="18"/>
                <w:lang w:val="en-AU"/>
              </w:rPr>
            </w:pPr>
            <w:r w:rsidRPr="00E75831">
              <w:rPr>
                <w:sz w:val="18"/>
                <w:lang w:val="en-AU"/>
              </w:rPr>
              <w:t>0.47</w:t>
            </w:r>
          </w:p>
        </w:tc>
      </w:tr>
      <w:tr w:rsidR="00607FAB" w:rsidRPr="00E75831" w14:paraId="0ED1F585" w14:textId="77777777" w:rsidTr="00607FAB">
        <w:trPr>
          <w:trHeight w:val="180"/>
        </w:trPr>
        <w:tc>
          <w:tcPr>
            <w:tcW w:w="1816" w:type="dxa"/>
            <w:vMerge/>
          </w:tcPr>
          <w:p w14:paraId="06146567" w14:textId="77777777" w:rsidR="00607FAB" w:rsidRPr="00E75831" w:rsidRDefault="00607FAB" w:rsidP="00607FAB">
            <w:pPr>
              <w:keepNext/>
              <w:keepLines/>
              <w:jc w:val="center"/>
              <w:rPr>
                <w:sz w:val="18"/>
                <w:lang w:val="en-AU"/>
              </w:rPr>
            </w:pPr>
          </w:p>
        </w:tc>
        <w:tc>
          <w:tcPr>
            <w:tcW w:w="1818" w:type="dxa"/>
          </w:tcPr>
          <w:p w14:paraId="5782CF66" w14:textId="77777777" w:rsidR="00607FAB" w:rsidRPr="00E75831" w:rsidRDefault="00607FAB" w:rsidP="00607FAB">
            <w:pPr>
              <w:keepNext/>
              <w:keepLines/>
              <w:jc w:val="center"/>
              <w:rPr>
                <w:sz w:val="18"/>
                <w:lang w:val="en-AU"/>
              </w:rPr>
            </w:pPr>
            <w:r w:rsidRPr="00E75831">
              <w:rPr>
                <w:sz w:val="18"/>
                <w:lang w:val="en-AU"/>
              </w:rPr>
              <w:t>16 (320)</w:t>
            </w:r>
          </w:p>
        </w:tc>
        <w:tc>
          <w:tcPr>
            <w:tcW w:w="1808" w:type="dxa"/>
          </w:tcPr>
          <w:p w14:paraId="505B519F" w14:textId="77777777" w:rsidR="00607FAB" w:rsidRPr="00E75831" w:rsidRDefault="00607FAB" w:rsidP="00607FAB">
            <w:pPr>
              <w:keepNext/>
              <w:keepLines/>
              <w:jc w:val="center"/>
              <w:rPr>
                <w:sz w:val="18"/>
                <w:lang w:val="en-AU"/>
              </w:rPr>
            </w:pPr>
            <w:r w:rsidRPr="00E75831">
              <w:rPr>
                <w:sz w:val="18"/>
                <w:lang w:val="en-AU"/>
              </w:rPr>
              <w:t>0.31</w:t>
            </w:r>
          </w:p>
        </w:tc>
        <w:tc>
          <w:tcPr>
            <w:tcW w:w="1809" w:type="dxa"/>
          </w:tcPr>
          <w:p w14:paraId="5A572B3C" w14:textId="77777777" w:rsidR="00607FAB" w:rsidRPr="00E75831" w:rsidRDefault="00607FAB" w:rsidP="00607FAB">
            <w:pPr>
              <w:keepNext/>
              <w:keepLines/>
              <w:jc w:val="center"/>
              <w:rPr>
                <w:sz w:val="18"/>
                <w:lang w:val="en-AU"/>
              </w:rPr>
            </w:pPr>
            <w:r w:rsidRPr="00E75831">
              <w:rPr>
                <w:sz w:val="18"/>
                <w:lang w:val="en-AU"/>
              </w:rPr>
              <w:t>0.32</w:t>
            </w:r>
          </w:p>
        </w:tc>
        <w:tc>
          <w:tcPr>
            <w:tcW w:w="1809" w:type="dxa"/>
          </w:tcPr>
          <w:p w14:paraId="5D227AE8" w14:textId="77777777" w:rsidR="00607FAB" w:rsidRPr="00E75831" w:rsidRDefault="00607FAB" w:rsidP="00607FAB">
            <w:pPr>
              <w:keepNext/>
              <w:keepLines/>
              <w:jc w:val="center"/>
              <w:rPr>
                <w:sz w:val="18"/>
                <w:lang w:val="en-AU"/>
              </w:rPr>
            </w:pPr>
            <w:r w:rsidRPr="00E75831">
              <w:rPr>
                <w:sz w:val="18"/>
                <w:lang w:val="en-AU"/>
              </w:rPr>
              <w:t>0.63</w:t>
            </w:r>
          </w:p>
        </w:tc>
      </w:tr>
      <w:tr w:rsidR="00607FAB" w:rsidRPr="00E75831" w14:paraId="43609644" w14:textId="77777777" w:rsidTr="00607FAB">
        <w:trPr>
          <w:trHeight w:val="180"/>
        </w:trPr>
        <w:tc>
          <w:tcPr>
            <w:tcW w:w="1816" w:type="dxa"/>
            <w:vMerge/>
          </w:tcPr>
          <w:p w14:paraId="27C49DA0" w14:textId="77777777" w:rsidR="00607FAB" w:rsidRPr="00E75831" w:rsidRDefault="00607FAB" w:rsidP="00607FAB">
            <w:pPr>
              <w:keepNext/>
              <w:keepLines/>
              <w:jc w:val="center"/>
              <w:rPr>
                <w:sz w:val="18"/>
                <w:lang w:val="en-AU"/>
              </w:rPr>
            </w:pPr>
          </w:p>
        </w:tc>
        <w:tc>
          <w:tcPr>
            <w:tcW w:w="1818" w:type="dxa"/>
            <w:shd w:val="clear" w:color="auto" w:fill="C4BC96" w:themeFill="background2" w:themeFillShade="BF"/>
          </w:tcPr>
          <w:p w14:paraId="3CDFC058" w14:textId="77777777" w:rsidR="00607FAB" w:rsidRPr="00E75831" w:rsidRDefault="00607FAB" w:rsidP="00607FAB">
            <w:pPr>
              <w:keepNext/>
              <w:keepLines/>
              <w:jc w:val="center"/>
              <w:rPr>
                <w:sz w:val="18"/>
                <w:lang w:val="en-AU"/>
              </w:rPr>
            </w:pPr>
            <w:r w:rsidRPr="00E75831">
              <w:rPr>
                <w:sz w:val="18"/>
                <w:lang w:val="en-AU"/>
              </w:rPr>
              <w:t>20 (400)</w:t>
            </w:r>
          </w:p>
        </w:tc>
        <w:tc>
          <w:tcPr>
            <w:tcW w:w="1808" w:type="dxa"/>
            <w:shd w:val="clear" w:color="auto" w:fill="C4BC96" w:themeFill="background2" w:themeFillShade="BF"/>
          </w:tcPr>
          <w:p w14:paraId="6EE2B2CD" w14:textId="77777777" w:rsidR="00607FAB" w:rsidRPr="00E75831" w:rsidRDefault="00607FAB" w:rsidP="00607FAB">
            <w:pPr>
              <w:keepNext/>
              <w:keepLines/>
              <w:jc w:val="center"/>
              <w:rPr>
                <w:sz w:val="18"/>
                <w:lang w:val="en-AU"/>
              </w:rPr>
            </w:pPr>
            <w:r w:rsidRPr="00E75831">
              <w:rPr>
                <w:sz w:val="18"/>
                <w:lang w:val="en-AU"/>
              </w:rPr>
              <w:t>0.31</w:t>
            </w:r>
          </w:p>
        </w:tc>
        <w:tc>
          <w:tcPr>
            <w:tcW w:w="1809" w:type="dxa"/>
            <w:shd w:val="clear" w:color="auto" w:fill="C4BC96" w:themeFill="background2" w:themeFillShade="BF"/>
          </w:tcPr>
          <w:p w14:paraId="09F26394" w14:textId="77777777" w:rsidR="00607FAB" w:rsidRPr="00E75831" w:rsidRDefault="00607FAB" w:rsidP="00607FAB">
            <w:pPr>
              <w:keepNext/>
              <w:keepLines/>
              <w:jc w:val="center"/>
              <w:rPr>
                <w:sz w:val="18"/>
                <w:lang w:val="en-AU"/>
              </w:rPr>
            </w:pPr>
            <w:r w:rsidRPr="00E75831">
              <w:rPr>
                <w:sz w:val="18"/>
                <w:lang w:val="en-AU"/>
              </w:rPr>
              <w:t>0.40</w:t>
            </w:r>
          </w:p>
        </w:tc>
        <w:tc>
          <w:tcPr>
            <w:tcW w:w="1809" w:type="dxa"/>
            <w:shd w:val="clear" w:color="auto" w:fill="C4BC96" w:themeFill="background2" w:themeFillShade="BF"/>
          </w:tcPr>
          <w:p w14:paraId="32E2D70B" w14:textId="77777777" w:rsidR="00607FAB" w:rsidRPr="00E75831" w:rsidRDefault="00607FAB" w:rsidP="00607FAB">
            <w:pPr>
              <w:keepNext/>
              <w:keepLines/>
              <w:jc w:val="center"/>
              <w:rPr>
                <w:sz w:val="18"/>
                <w:lang w:val="en-AU"/>
              </w:rPr>
            </w:pPr>
            <w:r w:rsidRPr="00E75831">
              <w:rPr>
                <w:sz w:val="18"/>
                <w:lang w:val="en-AU"/>
              </w:rPr>
              <w:t>0.71</w:t>
            </w:r>
          </w:p>
        </w:tc>
      </w:tr>
      <w:tr w:rsidR="00607FAB" w:rsidRPr="00E75831" w14:paraId="5195877C" w14:textId="77777777" w:rsidTr="00607FAB">
        <w:trPr>
          <w:trHeight w:val="180"/>
        </w:trPr>
        <w:tc>
          <w:tcPr>
            <w:tcW w:w="1816" w:type="dxa"/>
            <w:vMerge/>
            <w:tcBorders>
              <w:bottom w:val="single" w:sz="18" w:space="0" w:color="auto"/>
            </w:tcBorders>
          </w:tcPr>
          <w:p w14:paraId="6B717D4D" w14:textId="77777777" w:rsidR="00607FAB" w:rsidRPr="00E75831" w:rsidRDefault="00607FAB" w:rsidP="00607FAB">
            <w:pPr>
              <w:keepNext/>
              <w:keepLines/>
              <w:jc w:val="center"/>
              <w:rPr>
                <w:sz w:val="18"/>
                <w:lang w:val="en-AU"/>
              </w:rPr>
            </w:pPr>
          </w:p>
        </w:tc>
        <w:tc>
          <w:tcPr>
            <w:tcW w:w="1818" w:type="dxa"/>
            <w:tcBorders>
              <w:top w:val="single" w:sz="6" w:space="0" w:color="auto"/>
              <w:bottom w:val="single" w:sz="18" w:space="0" w:color="auto"/>
            </w:tcBorders>
            <w:shd w:val="clear" w:color="auto" w:fill="C4BC96" w:themeFill="background2" w:themeFillShade="BF"/>
          </w:tcPr>
          <w:p w14:paraId="7BE0E190" w14:textId="77777777" w:rsidR="00607FAB" w:rsidRPr="00E75831" w:rsidRDefault="00607FAB" w:rsidP="00607FAB">
            <w:pPr>
              <w:keepNext/>
              <w:keepLines/>
              <w:jc w:val="center"/>
              <w:rPr>
                <w:sz w:val="18"/>
                <w:lang w:val="en-AU"/>
              </w:rPr>
            </w:pPr>
            <w:r w:rsidRPr="00E75831">
              <w:rPr>
                <w:sz w:val="18"/>
                <w:lang w:val="en-AU"/>
              </w:rPr>
              <w:t>25 (500)</w:t>
            </w:r>
          </w:p>
        </w:tc>
        <w:tc>
          <w:tcPr>
            <w:tcW w:w="1808" w:type="dxa"/>
            <w:tcBorders>
              <w:top w:val="single" w:sz="6" w:space="0" w:color="auto"/>
              <w:bottom w:val="single" w:sz="18" w:space="0" w:color="auto"/>
            </w:tcBorders>
            <w:shd w:val="clear" w:color="auto" w:fill="C4BC96" w:themeFill="background2" w:themeFillShade="BF"/>
          </w:tcPr>
          <w:p w14:paraId="7D3A5568" w14:textId="77777777" w:rsidR="00607FAB" w:rsidRPr="00E75831" w:rsidRDefault="00607FAB" w:rsidP="00607FAB">
            <w:pPr>
              <w:keepNext/>
              <w:keepLines/>
              <w:jc w:val="center"/>
              <w:rPr>
                <w:sz w:val="18"/>
                <w:lang w:val="en-AU"/>
              </w:rPr>
            </w:pPr>
            <w:r w:rsidRPr="00E75831">
              <w:rPr>
                <w:sz w:val="18"/>
                <w:lang w:val="en-AU"/>
              </w:rPr>
              <w:t>0.31</w:t>
            </w:r>
          </w:p>
        </w:tc>
        <w:tc>
          <w:tcPr>
            <w:tcW w:w="1809" w:type="dxa"/>
            <w:tcBorders>
              <w:top w:val="single" w:sz="6" w:space="0" w:color="auto"/>
              <w:bottom w:val="single" w:sz="18" w:space="0" w:color="auto"/>
            </w:tcBorders>
            <w:shd w:val="clear" w:color="auto" w:fill="C4BC96" w:themeFill="background2" w:themeFillShade="BF"/>
          </w:tcPr>
          <w:p w14:paraId="41EB7FFA" w14:textId="77777777" w:rsidR="00607FAB" w:rsidRPr="00E75831" w:rsidRDefault="00607FAB" w:rsidP="00607FAB">
            <w:pPr>
              <w:keepNext/>
              <w:keepLines/>
              <w:jc w:val="center"/>
              <w:rPr>
                <w:sz w:val="18"/>
                <w:lang w:val="en-AU"/>
              </w:rPr>
            </w:pPr>
            <w:r w:rsidRPr="00E75831">
              <w:rPr>
                <w:sz w:val="18"/>
                <w:lang w:val="en-AU"/>
              </w:rPr>
              <w:t>0.50</w:t>
            </w:r>
          </w:p>
        </w:tc>
        <w:tc>
          <w:tcPr>
            <w:tcW w:w="1809" w:type="dxa"/>
            <w:tcBorders>
              <w:top w:val="single" w:sz="6" w:space="0" w:color="auto"/>
              <w:bottom w:val="single" w:sz="18" w:space="0" w:color="auto"/>
            </w:tcBorders>
            <w:shd w:val="clear" w:color="auto" w:fill="C4BC96" w:themeFill="background2" w:themeFillShade="BF"/>
          </w:tcPr>
          <w:p w14:paraId="029963C7" w14:textId="77777777" w:rsidR="00607FAB" w:rsidRPr="00E75831" w:rsidRDefault="00607FAB" w:rsidP="00607FAB">
            <w:pPr>
              <w:keepNext/>
              <w:keepLines/>
              <w:jc w:val="center"/>
              <w:rPr>
                <w:sz w:val="18"/>
                <w:lang w:val="en-AU"/>
              </w:rPr>
            </w:pPr>
            <w:r w:rsidRPr="00E75831">
              <w:rPr>
                <w:sz w:val="18"/>
                <w:lang w:val="en-AU"/>
              </w:rPr>
              <w:t>0.81</w:t>
            </w:r>
          </w:p>
        </w:tc>
      </w:tr>
      <w:tr w:rsidR="00607FAB" w:rsidRPr="00E75831" w14:paraId="1A109067" w14:textId="77777777" w:rsidTr="00607FAB">
        <w:trPr>
          <w:trHeight w:val="180"/>
        </w:trPr>
        <w:tc>
          <w:tcPr>
            <w:tcW w:w="1816" w:type="dxa"/>
            <w:vMerge w:val="restart"/>
            <w:tcBorders>
              <w:top w:val="single" w:sz="18" w:space="0" w:color="auto"/>
              <w:left w:val="single" w:sz="18" w:space="0" w:color="auto"/>
            </w:tcBorders>
          </w:tcPr>
          <w:p w14:paraId="707B70BF" w14:textId="77777777" w:rsidR="00607FAB" w:rsidRPr="00E75831" w:rsidRDefault="00607FAB" w:rsidP="00607FAB">
            <w:pPr>
              <w:keepNext/>
              <w:keepLines/>
              <w:shd w:val="clear" w:color="auto" w:fill="B6DDE8" w:themeFill="accent5" w:themeFillTint="66"/>
              <w:jc w:val="center"/>
              <w:rPr>
                <w:sz w:val="18"/>
                <w:lang w:val="en-AU"/>
              </w:rPr>
            </w:pPr>
            <w:r w:rsidRPr="00E75831">
              <w:rPr>
                <w:sz w:val="18"/>
                <w:lang w:val="en-AU"/>
              </w:rPr>
              <w:t>Med</w:t>
            </w:r>
            <w:r>
              <w:rPr>
                <w:sz w:val="18"/>
                <w:lang w:val="en-AU"/>
              </w:rPr>
              <w:t>ian level found in Au IF powder</w:t>
            </w:r>
          </w:p>
          <w:p w14:paraId="4AA131EB" w14:textId="77777777" w:rsidR="00607FAB" w:rsidRDefault="00607FAB" w:rsidP="00607FAB">
            <w:pPr>
              <w:keepNext/>
              <w:keepLines/>
              <w:jc w:val="center"/>
              <w:rPr>
                <w:b/>
                <w:sz w:val="18"/>
                <w:lang w:val="en-AU"/>
              </w:rPr>
            </w:pPr>
          </w:p>
          <w:p w14:paraId="2504D8D1" w14:textId="77777777" w:rsidR="00607FAB" w:rsidRDefault="00607FAB" w:rsidP="00607FAB">
            <w:pPr>
              <w:keepNext/>
              <w:keepLines/>
              <w:jc w:val="center"/>
              <w:rPr>
                <w:b/>
                <w:sz w:val="18"/>
                <w:lang w:val="en-AU"/>
              </w:rPr>
            </w:pPr>
            <w:r w:rsidRPr="00EE2F9D">
              <w:rPr>
                <w:b/>
                <w:sz w:val="18"/>
                <w:lang w:val="en-AU"/>
              </w:rPr>
              <w:t>1.0</w:t>
            </w:r>
            <w:r>
              <w:rPr>
                <w:rStyle w:val="FootnoteReference"/>
                <w:b/>
                <w:sz w:val="18"/>
                <w:lang w:val="en-AU"/>
              </w:rPr>
              <w:footnoteReference w:id="18"/>
            </w:r>
          </w:p>
          <w:p w14:paraId="45FE989A" w14:textId="77777777" w:rsidR="00607FAB" w:rsidRPr="00EE2F9D" w:rsidRDefault="00607FAB" w:rsidP="00607FAB">
            <w:pPr>
              <w:keepNext/>
              <w:keepLines/>
              <w:jc w:val="center"/>
              <w:rPr>
                <w:b/>
                <w:sz w:val="18"/>
                <w:lang w:val="en-AU"/>
              </w:rPr>
            </w:pPr>
            <w:r w:rsidRPr="00E75831">
              <w:rPr>
                <w:sz w:val="18"/>
                <w:shd w:val="clear" w:color="auto" w:fill="C4BC96" w:themeFill="background2" w:themeFillShade="BF"/>
                <w:lang w:val="en-AU"/>
              </w:rPr>
              <w:t>2.9.1 Fluorosis statement required</w:t>
            </w:r>
            <w:r w:rsidRPr="00E75831">
              <w:rPr>
                <w:rFonts w:cs="Arial"/>
                <w:sz w:val="18"/>
                <w:shd w:val="clear" w:color="auto" w:fill="C4BC96" w:themeFill="background2" w:themeFillShade="BF"/>
                <w:lang w:val="en-AU"/>
              </w:rPr>
              <w:t xml:space="preserve"> ˃</w:t>
            </w:r>
            <w:r w:rsidRPr="00E75831">
              <w:rPr>
                <w:sz w:val="18"/>
                <w:shd w:val="clear" w:color="auto" w:fill="C4BC96" w:themeFill="background2" w:themeFillShade="BF"/>
                <w:lang w:val="en-AU"/>
              </w:rPr>
              <w:t xml:space="preserve">17 </w:t>
            </w:r>
            <w:r w:rsidRPr="00E75831">
              <w:rPr>
                <w:rFonts w:cs="Arial"/>
                <w:sz w:val="18"/>
                <w:shd w:val="clear" w:color="auto" w:fill="C4BC96" w:themeFill="background2" w:themeFillShade="BF"/>
                <w:lang w:val="en-AU"/>
              </w:rPr>
              <w:t>µ</w:t>
            </w:r>
            <w:r>
              <w:rPr>
                <w:sz w:val="18"/>
                <w:shd w:val="clear" w:color="auto" w:fill="C4BC96" w:themeFill="background2" w:themeFillShade="BF"/>
                <w:lang w:val="en-AU"/>
              </w:rPr>
              <w:t>g/100kJ</w:t>
            </w:r>
          </w:p>
        </w:tc>
        <w:tc>
          <w:tcPr>
            <w:tcW w:w="1818" w:type="dxa"/>
            <w:tcBorders>
              <w:top w:val="single" w:sz="18" w:space="0" w:color="auto"/>
            </w:tcBorders>
          </w:tcPr>
          <w:p w14:paraId="53311B25" w14:textId="77777777" w:rsidR="00607FAB" w:rsidRPr="00E75831" w:rsidRDefault="00607FAB" w:rsidP="00607FAB">
            <w:pPr>
              <w:keepNext/>
              <w:keepLines/>
              <w:jc w:val="center"/>
              <w:rPr>
                <w:sz w:val="18"/>
                <w:lang w:val="en-AU"/>
              </w:rPr>
            </w:pPr>
            <w:r w:rsidRPr="00E75831">
              <w:rPr>
                <w:sz w:val="18"/>
                <w:lang w:val="en-AU"/>
              </w:rPr>
              <w:t>0 (0)</w:t>
            </w:r>
          </w:p>
        </w:tc>
        <w:tc>
          <w:tcPr>
            <w:tcW w:w="1808" w:type="dxa"/>
            <w:tcBorders>
              <w:top w:val="single" w:sz="18" w:space="0" w:color="auto"/>
            </w:tcBorders>
          </w:tcPr>
          <w:p w14:paraId="1DEB340F" w14:textId="77777777" w:rsidR="00607FAB" w:rsidRPr="00E75831" w:rsidRDefault="00607FAB" w:rsidP="00607FAB">
            <w:pPr>
              <w:keepNext/>
              <w:keepLines/>
              <w:jc w:val="center"/>
              <w:rPr>
                <w:sz w:val="18"/>
                <w:lang w:val="en-AU"/>
              </w:rPr>
            </w:pPr>
            <w:r w:rsidRPr="00E75831">
              <w:rPr>
                <w:sz w:val="18"/>
                <w:lang w:val="en-AU"/>
              </w:rPr>
              <w:t>0.63</w:t>
            </w:r>
          </w:p>
        </w:tc>
        <w:tc>
          <w:tcPr>
            <w:tcW w:w="1809" w:type="dxa"/>
            <w:tcBorders>
              <w:top w:val="single" w:sz="18" w:space="0" w:color="auto"/>
            </w:tcBorders>
          </w:tcPr>
          <w:p w14:paraId="6338E037" w14:textId="77777777" w:rsidR="00607FAB" w:rsidRPr="00E75831" w:rsidRDefault="00607FAB" w:rsidP="00607FAB">
            <w:pPr>
              <w:keepNext/>
              <w:keepLines/>
              <w:jc w:val="center"/>
              <w:rPr>
                <w:sz w:val="18"/>
                <w:lang w:val="en-AU"/>
              </w:rPr>
            </w:pPr>
            <w:r w:rsidRPr="00E75831">
              <w:rPr>
                <w:sz w:val="18"/>
                <w:lang w:val="en-AU"/>
              </w:rPr>
              <w:t>0.00</w:t>
            </w:r>
          </w:p>
        </w:tc>
        <w:tc>
          <w:tcPr>
            <w:tcW w:w="1809" w:type="dxa"/>
            <w:tcBorders>
              <w:top w:val="single" w:sz="18" w:space="0" w:color="auto"/>
              <w:right w:val="single" w:sz="18" w:space="0" w:color="auto"/>
            </w:tcBorders>
          </w:tcPr>
          <w:p w14:paraId="17FE83BC" w14:textId="77777777" w:rsidR="00607FAB" w:rsidRPr="00E75831" w:rsidRDefault="00607FAB" w:rsidP="00607FAB">
            <w:pPr>
              <w:keepNext/>
              <w:keepLines/>
              <w:jc w:val="center"/>
              <w:rPr>
                <w:sz w:val="18"/>
                <w:lang w:val="en-AU"/>
              </w:rPr>
            </w:pPr>
            <w:r w:rsidRPr="00E75831">
              <w:rPr>
                <w:sz w:val="18"/>
                <w:lang w:val="en-AU"/>
              </w:rPr>
              <w:t>0.63</w:t>
            </w:r>
          </w:p>
        </w:tc>
      </w:tr>
      <w:tr w:rsidR="00607FAB" w:rsidRPr="00E75831" w14:paraId="02863669" w14:textId="77777777" w:rsidTr="00607FAB">
        <w:trPr>
          <w:trHeight w:val="180"/>
        </w:trPr>
        <w:tc>
          <w:tcPr>
            <w:tcW w:w="1816" w:type="dxa"/>
            <w:vMerge/>
            <w:tcBorders>
              <w:left w:val="single" w:sz="18" w:space="0" w:color="auto"/>
            </w:tcBorders>
            <w:shd w:val="clear" w:color="auto" w:fill="B6DDE8" w:themeFill="accent5" w:themeFillTint="66"/>
          </w:tcPr>
          <w:p w14:paraId="08806F60" w14:textId="77777777" w:rsidR="00607FAB" w:rsidRPr="00E75831" w:rsidRDefault="00607FAB" w:rsidP="00607FAB">
            <w:pPr>
              <w:keepNext/>
              <w:keepLines/>
              <w:jc w:val="center"/>
              <w:rPr>
                <w:sz w:val="18"/>
                <w:lang w:val="en-AU"/>
              </w:rPr>
            </w:pPr>
          </w:p>
        </w:tc>
        <w:tc>
          <w:tcPr>
            <w:tcW w:w="1818" w:type="dxa"/>
            <w:shd w:val="clear" w:color="auto" w:fill="B6DDE8" w:themeFill="accent5" w:themeFillTint="66"/>
          </w:tcPr>
          <w:p w14:paraId="423D72F1" w14:textId="77777777" w:rsidR="00607FAB" w:rsidRPr="00E75831" w:rsidRDefault="00607FAB" w:rsidP="00607FAB">
            <w:pPr>
              <w:keepNext/>
              <w:keepLines/>
              <w:jc w:val="center"/>
              <w:rPr>
                <w:sz w:val="18"/>
                <w:lang w:val="en-AU"/>
              </w:rPr>
            </w:pPr>
            <w:r w:rsidRPr="00E75831">
              <w:rPr>
                <w:sz w:val="18"/>
                <w:lang w:val="en-AU"/>
              </w:rPr>
              <w:t>2 (40)</w:t>
            </w:r>
          </w:p>
        </w:tc>
        <w:tc>
          <w:tcPr>
            <w:tcW w:w="1808" w:type="dxa"/>
            <w:shd w:val="clear" w:color="auto" w:fill="B6DDE8" w:themeFill="accent5" w:themeFillTint="66"/>
          </w:tcPr>
          <w:p w14:paraId="4A6F62D0" w14:textId="77777777" w:rsidR="00607FAB" w:rsidRPr="00E75831" w:rsidRDefault="00607FAB" w:rsidP="00607FAB">
            <w:pPr>
              <w:keepNext/>
              <w:keepLines/>
              <w:jc w:val="center"/>
              <w:rPr>
                <w:sz w:val="18"/>
                <w:lang w:val="en-AU"/>
              </w:rPr>
            </w:pPr>
            <w:r w:rsidRPr="00E75831">
              <w:rPr>
                <w:sz w:val="18"/>
                <w:lang w:val="en-AU"/>
              </w:rPr>
              <w:t>0.63</w:t>
            </w:r>
          </w:p>
        </w:tc>
        <w:tc>
          <w:tcPr>
            <w:tcW w:w="1809" w:type="dxa"/>
            <w:shd w:val="clear" w:color="auto" w:fill="B6DDE8" w:themeFill="accent5" w:themeFillTint="66"/>
          </w:tcPr>
          <w:p w14:paraId="2E2EA88B" w14:textId="77777777" w:rsidR="00607FAB" w:rsidRPr="00E75831" w:rsidRDefault="00607FAB" w:rsidP="00607FAB">
            <w:pPr>
              <w:keepNext/>
              <w:keepLines/>
              <w:jc w:val="center"/>
              <w:rPr>
                <w:sz w:val="18"/>
                <w:lang w:val="en-AU"/>
              </w:rPr>
            </w:pPr>
            <w:r w:rsidRPr="00E75831">
              <w:rPr>
                <w:sz w:val="18"/>
                <w:lang w:val="en-AU"/>
              </w:rPr>
              <w:t>0.04</w:t>
            </w:r>
          </w:p>
        </w:tc>
        <w:tc>
          <w:tcPr>
            <w:tcW w:w="1809" w:type="dxa"/>
            <w:tcBorders>
              <w:right w:val="single" w:sz="18" w:space="0" w:color="auto"/>
            </w:tcBorders>
            <w:shd w:val="clear" w:color="auto" w:fill="B6DDE8" w:themeFill="accent5" w:themeFillTint="66"/>
          </w:tcPr>
          <w:p w14:paraId="4F04B450" w14:textId="77777777" w:rsidR="00607FAB" w:rsidRPr="00E75831" w:rsidRDefault="00607FAB" w:rsidP="00607FAB">
            <w:pPr>
              <w:keepNext/>
              <w:keepLines/>
              <w:jc w:val="center"/>
              <w:rPr>
                <w:sz w:val="18"/>
                <w:lang w:val="en-AU"/>
              </w:rPr>
            </w:pPr>
            <w:r w:rsidRPr="00E75831">
              <w:rPr>
                <w:sz w:val="18"/>
                <w:lang w:val="en-AU"/>
              </w:rPr>
              <w:t>0.67</w:t>
            </w:r>
          </w:p>
        </w:tc>
      </w:tr>
      <w:tr w:rsidR="00607FAB" w:rsidRPr="00E75831" w14:paraId="44749DC9" w14:textId="77777777" w:rsidTr="00607FAB">
        <w:trPr>
          <w:trHeight w:val="196"/>
        </w:trPr>
        <w:tc>
          <w:tcPr>
            <w:tcW w:w="1816" w:type="dxa"/>
            <w:vMerge/>
            <w:tcBorders>
              <w:left w:val="single" w:sz="18" w:space="0" w:color="auto"/>
            </w:tcBorders>
          </w:tcPr>
          <w:p w14:paraId="71E20959" w14:textId="77777777" w:rsidR="00607FAB" w:rsidRPr="00E75831" w:rsidRDefault="00607FAB" w:rsidP="00607FAB">
            <w:pPr>
              <w:keepNext/>
              <w:keepLines/>
              <w:jc w:val="center"/>
              <w:rPr>
                <w:sz w:val="18"/>
                <w:lang w:val="en-AU"/>
              </w:rPr>
            </w:pPr>
          </w:p>
        </w:tc>
        <w:tc>
          <w:tcPr>
            <w:tcW w:w="1818" w:type="dxa"/>
            <w:tcBorders>
              <w:bottom w:val="single" w:sz="6" w:space="0" w:color="auto"/>
            </w:tcBorders>
          </w:tcPr>
          <w:p w14:paraId="078D85D0" w14:textId="77777777" w:rsidR="00607FAB" w:rsidRPr="00E75831" w:rsidRDefault="00607FAB" w:rsidP="00607FAB">
            <w:pPr>
              <w:keepNext/>
              <w:keepLines/>
              <w:jc w:val="center"/>
              <w:rPr>
                <w:sz w:val="18"/>
                <w:lang w:val="en-AU"/>
              </w:rPr>
            </w:pPr>
            <w:r w:rsidRPr="00E75831">
              <w:rPr>
                <w:sz w:val="18"/>
                <w:lang w:val="en-AU"/>
              </w:rPr>
              <w:t>4 (80)</w:t>
            </w:r>
          </w:p>
        </w:tc>
        <w:tc>
          <w:tcPr>
            <w:tcW w:w="1808" w:type="dxa"/>
            <w:tcBorders>
              <w:bottom w:val="single" w:sz="6" w:space="0" w:color="auto"/>
            </w:tcBorders>
          </w:tcPr>
          <w:p w14:paraId="5B5324F3" w14:textId="77777777" w:rsidR="00607FAB" w:rsidRPr="00E75831" w:rsidRDefault="00607FAB" w:rsidP="00607FAB">
            <w:pPr>
              <w:keepNext/>
              <w:keepLines/>
              <w:jc w:val="center"/>
              <w:rPr>
                <w:sz w:val="18"/>
                <w:lang w:val="en-AU"/>
              </w:rPr>
            </w:pPr>
            <w:r w:rsidRPr="00E75831">
              <w:rPr>
                <w:sz w:val="18"/>
                <w:lang w:val="en-AU"/>
              </w:rPr>
              <w:t>0.63</w:t>
            </w:r>
          </w:p>
        </w:tc>
        <w:tc>
          <w:tcPr>
            <w:tcW w:w="1809" w:type="dxa"/>
            <w:tcBorders>
              <w:bottom w:val="single" w:sz="6" w:space="0" w:color="auto"/>
            </w:tcBorders>
          </w:tcPr>
          <w:p w14:paraId="1FBD5472" w14:textId="77777777" w:rsidR="00607FAB" w:rsidRPr="00E75831" w:rsidRDefault="00607FAB" w:rsidP="00607FAB">
            <w:pPr>
              <w:keepNext/>
              <w:keepLines/>
              <w:jc w:val="center"/>
              <w:rPr>
                <w:sz w:val="18"/>
                <w:lang w:val="en-AU"/>
              </w:rPr>
            </w:pPr>
            <w:r w:rsidRPr="00E75831">
              <w:rPr>
                <w:sz w:val="18"/>
                <w:lang w:val="en-AU"/>
              </w:rPr>
              <w:t>0.08</w:t>
            </w:r>
          </w:p>
        </w:tc>
        <w:tc>
          <w:tcPr>
            <w:tcW w:w="1809" w:type="dxa"/>
            <w:tcBorders>
              <w:bottom w:val="single" w:sz="6" w:space="0" w:color="auto"/>
              <w:right w:val="single" w:sz="18" w:space="0" w:color="auto"/>
            </w:tcBorders>
          </w:tcPr>
          <w:p w14:paraId="3D5D6EE8" w14:textId="77777777" w:rsidR="00607FAB" w:rsidRPr="00E75831" w:rsidRDefault="00607FAB" w:rsidP="00607FAB">
            <w:pPr>
              <w:keepNext/>
              <w:keepLines/>
              <w:jc w:val="center"/>
              <w:rPr>
                <w:sz w:val="18"/>
                <w:lang w:val="en-AU"/>
              </w:rPr>
            </w:pPr>
            <w:r w:rsidRPr="00E75831">
              <w:rPr>
                <w:sz w:val="18"/>
                <w:lang w:val="en-AU"/>
              </w:rPr>
              <w:t>0.71</w:t>
            </w:r>
          </w:p>
        </w:tc>
      </w:tr>
      <w:tr w:rsidR="00607FAB" w:rsidRPr="00E75831" w14:paraId="411E8333" w14:textId="77777777" w:rsidTr="00607FAB">
        <w:trPr>
          <w:trHeight w:val="216"/>
        </w:trPr>
        <w:tc>
          <w:tcPr>
            <w:tcW w:w="1816" w:type="dxa"/>
            <w:vMerge/>
            <w:tcBorders>
              <w:left w:val="single" w:sz="18" w:space="0" w:color="auto"/>
            </w:tcBorders>
          </w:tcPr>
          <w:p w14:paraId="48D60A40" w14:textId="77777777" w:rsidR="00607FAB" w:rsidRPr="00C657C3" w:rsidRDefault="00607FAB" w:rsidP="00607FAB">
            <w:pPr>
              <w:keepNext/>
              <w:keepLines/>
              <w:jc w:val="center"/>
              <w:rPr>
                <w:b/>
                <w:sz w:val="18"/>
                <w:lang w:val="en-AU"/>
              </w:rPr>
            </w:pPr>
          </w:p>
        </w:tc>
        <w:tc>
          <w:tcPr>
            <w:tcW w:w="1818" w:type="dxa"/>
            <w:tcBorders>
              <w:top w:val="single" w:sz="6" w:space="0" w:color="auto"/>
              <w:bottom w:val="single" w:sz="4" w:space="0" w:color="auto"/>
            </w:tcBorders>
          </w:tcPr>
          <w:p w14:paraId="5654181C" w14:textId="77777777" w:rsidR="00607FAB" w:rsidRPr="00E75831" w:rsidRDefault="00607FAB" w:rsidP="00607FAB">
            <w:pPr>
              <w:keepNext/>
              <w:keepLines/>
              <w:jc w:val="center"/>
              <w:rPr>
                <w:sz w:val="18"/>
                <w:lang w:val="en-AU"/>
              </w:rPr>
            </w:pPr>
            <w:r w:rsidRPr="00E75831">
              <w:rPr>
                <w:sz w:val="18"/>
                <w:lang w:val="en-AU"/>
              </w:rPr>
              <w:t>8 (160)</w:t>
            </w:r>
          </w:p>
        </w:tc>
        <w:tc>
          <w:tcPr>
            <w:tcW w:w="1808" w:type="dxa"/>
            <w:tcBorders>
              <w:top w:val="single" w:sz="6" w:space="0" w:color="auto"/>
              <w:bottom w:val="single" w:sz="4" w:space="0" w:color="auto"/>
            </w:tcBorders>
          </w:tcPr>
          <w:p w14:paraId="732DC25C" w14:textId="77777777" w:rsidR="00607FAB" w:rsidRPr="00E75831" w:rsidRDefault="00607FAB" w:rsidP="00607FAB">
            <w:pPr>
              <w:keepNext/>
              <w:keepLines/>
              <w:jc w:val="center"/>
              <w:rPr>
                <w:sz w:val="18"/>
                <w:lang w:val="en-AU"/>
              </w:rPr>
            </w:pPr>
            <w:r w:rsidRPr="00E75831">
              <w:rPr>
                <w:sz w:val="18"/>
                <w:lang w:val="en-AU"/>
              </w:rPr>
              <w:t>0.63</w:t>
            </w:r>
          </w:p>
        </w:tc>
        <w:tc>
          <w:tcPr>
            <w:tcW w:w="1809" w:type="dxa"/>
            <w:tcBorders>
              <w:top w:val="single" w:sz="6" w:space="0" w:color="auto"/>
              <w:bottom w:val="single" w:sz="4" w:space="0" w:color="auto"/>
            </w:tcBorders>
          </w:tcPr>
          <w:p w14:paraId="3D863B9B" w14:textId="77777777" w:rsidR="00607FAB" w:rsidRPr="00E75831" w:rsidRDefault="00607FAB" w:rsidP="00607FAB">
            <w:pPr>
              <w:keepNext/>
              <w:keepLines/>
              <w:jc w:val="center"/>
              <w:rPr>
                <w:sz w:val="18"/>
                <w:lang w:val="en-AU"/>
              </w:rPr>
            </w:pPr>
            <w:r w:rsidRPr="00E75831">
              <w:rPr>
                <w:sz w:val="18"/>
                <w:lang w:val="en-AU"/>
              </w:rPr>
              <w:t>0.16</w:t>
            </w:r>
          </w:p>
        </w:tc>
        <w:tc>
          <w:tcPr>
            <w:tcW w:w="1809" w:type="dxa"/>
            <w:tcBorders>
              <w:top w:val="single" w:sz="6" w:space="0" w:color="auto"/>
              <w:bottom w:val="single" w:sz="4" w:space="0" w:color="auto"/>
              <w:right w:val="single" w:sz="18" w:space="0" w:color="auto"/>
            </w:tcBorders>
          </w:tcPr>
          <w:p w14:paraId="61A990A2" w14:textId="77777777" w:rsidR="00607FAB" w:rsidRPr="00E75831" w:rsidRDefault="00607FAB" w:rsidP="00607FAB">
            <w:pPr>
              <w:keepNext/>
              <w:keepLines/>
              <w:jc w:val="center"/>
              <w:rPr>
                <w:sz w:val="18"/>
                <w:lang w:val="en-AU"/>
              </w:rPr>
            </w:pPr>
            <w:r w:rsidRPr="00E75831">
              <w:rPr>
                <w:sz w:val="18"/>
                <w:lang w:val="en-AU"/>
              </w:rPr>
              <w:t>0.79</w:t>
            </w:r>
          </w:p>
        </w:tc>
      </w:tr>
      <w:tr w:rsidR="00607FAB" w:rsidRPr="00E75831" w14:paraId="1C563FC2" w14:textId="77777777" w:rsidTr="00607FAB">
        <w:trPr>
          <w:trHeight w:val="180"/>
        </w:trPr>
        <w:tc>
          <w:tcPr>
            <w:tcW w:w="1816" w:type="dxa"/>
            <w:vMerge/>
            <w:tcBorders>
              <w:left w:val="single" w:sz="18" w:space="0" w:color="auto"/>
            </w:tcBorders>
          </w:tcPr>
          <w:p w14:paraId="4A9C0807" w14:textId="77777777" w:rsidR="00607FAB" w:rsidRPr="00E75831" w:rsidRDefault="00607FAB" w:rsidP="00607FAB">
            <w:pPr>
              <w:keepNext/>
              <w:keepLines/>
              <w:jc w:val="center"/>
              <w:rPr>
                <w:sz w:val="18"/>
                <w:lang w:val="en-AU"/>
              </w:rPr>
            </w:pPr>
          </w:p>
        </w:tc>
        <w:tc>
          <w:tcPr>
            <w:tcW w:w="1818" w:type="dxa"/>
          </w:tcPr>
          <w:p w14:paraId="5EECDFD7" w14:textId="77777777" w:rsidR="00607FAB" w:rsidRPr="00E75831" w:rsidRDefault="00607FAB" w:rsidP="00607FAB">
            <w:pPr>
              <w:keepNext/>
              <w:keepLines/>
              <w:jc w:val="center"/>
              <w:rPr>
                <w:sz w:val="18"/>
                <w:lang w:val="en-AU"/>
              </w:rPr>
            </w:pPr>
            <w:r w:rsidRPr="00E75831">
              <w:rPr>
                <w:sz w:val="18"/>
                <w:lang w:val="en-AU"/>
              </w:rPr>
              <w:t>16 (320)</w:t>
            </w:r>
          </w:p>
        </w:tc>
        <w:tc>
          <w:tcPr>
            <w:tcW w:w="1808" w:type="dxa"/>
          </w:tcPr>
          <w:p w14:paraId="40541924" w14:textId="77777777" w:rsidR="00607FAB" w:rsidRPr="00E75831" w:rsidRDefault="00607FAB" w:rsidP="00607FAB">
            <w:pPr>
              <w:keepNext/>
              <w:keepLines/>
              <w:jc w:val="center"/>
              <w:rPr>
                <w:sz w:val="18"/>
                <w:lang w:val="en-AU"/>
              </w:rPr>
            </w:pPr>
            <w:r w:rsidRPr="00E75831">
              <w:rPr>
                <w:sz w:val="18"/>
                <w:lang w:val="en-AU"/>
              </w:rPr>
              <w:t>0.63</w:t>
            </w:r>
          </w:p>
        </w:tc>
        <w:tc>
          <w:tcPr>
            <w:tcW w:w="1809" w:type="dxa"/>
          </w:tcPr>
          <w:p w14:paraId="75555257" w14:textId="77777777" w:rsidR="00607FAB" w:rsidRPr="00E75831" w:rsidRDefault="00607FAB" w:rsidP="00607FAB">
            <w:pPr>
              <w:keepNext/>
              <w:keepLines/>
              <w:jc w:val="center"/>
              <w:rPr>
                <w:sz w:val="18"/>
                <w:lang w:val="en-AU"/>
              </w:rPr>
            </w:pPr>
            <w:r w:rsidRPr="00E75831">
              <w:rPr>
                <w:sz w:val="18"/>
                <w:lang w:val="en-AU"/>
              </w:rPr>
              <w:t>0.32</w:t>
            </w:r>
          </w:p>
        </w:tc>
        <w:tc>
          <w:tcPr>
            <w:tcW w:w="1809" w:type="dxa"/>
            <w:tcBorders>
              <w:right w:val="single" w:sz="18" w:space="0" w:color="auto"/>
            </w:tcBorders>
          </w:tcPr>
          <w:p w14:paraId="6544D2C2" w14:textId="77777777" w:rsidR="00607FAB" w:rsidRPr="00E75831" w:rsidRDefault="00607FAB" w:rsidP="00607FAB">
            <w:pPr>
              <w:keepNext/>
              <w:keepLines/>
              <w:jc w:val="center"/>
              <w:rPr>
                <w:sz w:val="18"/>
                <w:lang w:val="en-AU"/>
              </w:rPr>
            </w:pPr>
            <w:r w:rsidRPr="00E75831">
              <w:rPr>
                <w:sz w:val="18"/>
                <w:lang w:val="en-AU"/>
              </w:rPr>
              <w:t>0.95</w:t>
            </w:r>
          </w:p>
        </w:tc>
      </w:tr>
      <w:tr w:rsidR="00607FAB" w:rsidRPr="00E75831" w14:paraId="54AE997D" w14:textId="77777777" w:rsidTr="00607FAB">
        <w:trPr>
          <w:trHeight w:val="196"/>
        </w:trPr>
        <w:tc>
          <w:tcPr>
            <w:tcW w:w="1816" w:type="dxa"/>
            <w:vMerge/>
            <w:tcBorders>
              <w:left w:val="single" w:sz="18" w:space="0" w:color="auto"/>
            </w:tcBorders>
          </w:tcPr>
          <w:p w14:paraId="33D8C2CE" w14:textId="77777777" w:rsidR="00607FAB" w:rsidRPr="00E75831" w:rsidRDefault="00607FAB" w:rsidP="00607FAB">
            <w:pPr>
              <w:keepNext/>
              <w:keepLines/>
              <w:jc w:val="center"/>
              <w:rPr>
                <w:sz w:val="18"/>
                <w:lang w:val="en-AU"/>
              </w:rPr>
            </w:pPr>
          </w:p>
        </w:tc>
        <w:tc>
          <w:tcPr>
            <w:tcW w:w="1818" w:type="dxa"/>
            <w:tcBorders>
              <w:bottom w:val="single" w:sz="6" w:space="0" w:color="auto"/>
            </w:tcBorders>
            <w:shd w:val="clear" w:color="auto" w:fill="C4BC96" w:themeFill="background2" w:themeFillShade="BF"/>
          </w:tcPr>
          <w:p w14:paraId="1DB61DB3" w14:textId="77777777" w:rsidR="00607FAB" w:rsidRPr="00E75831" w:rsidRDefault="00607FAB" w:rsidP="00607FAB">
            <w:pPr>
              <w:keepNext/>
              <w:keepLines/>
              <w:jc w:val="center"/>
              <w:rPr>
                <w:sz w:val="18"/>
                <w:lang w:val="en-AU"/>
              </w:rPr>
            </w:pPr>
            <w:r w:rsidRPr="00E75831">
              <w:rPr>
                <w:sz w:val="18"/>
                <w:lang w:val="en-AU"/>
              </w:rPr>
              <w:t>20 (400)</w:t>
            </w:r>
          </w:p>
        </w:tc>
        <w:tc>
          <w:tcPr>
            <w:tcW w:w="1808" w:type="dxa"/>
            <w:tcBorders>
              <w:bottom w:val="single" w:sz="6" w:space="0" w:color="auto"/>
            </w:tcBorders>
            <w:shd w:val="clear" w:color="auto" w:fill="C4BC96" w:themeFill="background2" w:themeFillShade="BF"/>
          </w:tcPr>
          <w:p w14:paraId="6E9E0CBA" w14:textId="77777777" w:rsidR="00607FAB" w:rsidRPr="00E75831" w:rsidRDefault="00607FAB" w:rsidP="00607FAB">
            <w:pPr>
              <w:keepNext/>
              <w:keepLines/>
              <w:jc w:val="center"/>
              <w:rPr>
                <w:sz w:val="18"/>
                <w:lang w:val="en-AU"/>
              </w:rPr>
            </w:pPr>
            <w:r w:rsidRPr="00E75831">
              <w:rPr>
                <w:sz w:val="18"/>
                <w:lang w:val="en-AU"/>
              </w:rPr>
              <w:t>0.63</w:t>
            </w:r>
          </w:p>
        </w:tc>
        <w:tc>
          <w:tcPr>
            <w:tcW w:w="1809" w:type="dxa"/>
            <w:tcBorders>
              <w:bottom w:val="single" w:sz="6" w:space="0" w:color="auto"/>
            </w:tcBorders>
            <w:shd w:val="clear" w:color="auto" w:fill="C4BC96" w:themeFill="background2" w:themeFillShade="BF"/>
          </w:tcPr>
          <w:p w14:paraId="405B3E52" w14:textId="77777777" w:rsidR="00607FAB" w:rsidRPr="00E75831" w:rsidRDefault="00607FAB" w:rsidP="00607FAB">
            <w:pPr>
              <w:keepNext/>
              <w:keepLines/>
              <w:jc w:val="center"/>
              <w:rPr>
                <w:sz w:val="18"/>
                <w:lang w:val="en-AU"/>
              </w:rPr>
            </w:pPr>
            <w:r w:rsidRPr="00E75831">
              <w:rPr>
                <w:sz w:val="18"/>
                <w:lang w:val="en-AU"/>
              </w:rPr>
              <w:t>0.40</w:t>
            </w:r>
          </w:p>
        </w:tc>
        <w:tc>
          <w:tcPr>
            <w:tcW w:w="1809" w:type="dxa"/>
            <w:tcBorders>
              <w:bottom w:val="single" w:sz="6" w:space="0" w:color="auto"/>
              <w:right w:val="single" w:sz="18" w:space="0" w:color="auto"/>
            </w:tcBorders>
            <w:shd w:val="clear" w:color="auto" w:fill="C4BC96" w:themeFill="background2" w:themeFillShade="BF"/>
          </w:tcPr>
          <w:p w14:paraId="0772A848" w14:textId="77777777" w:rsidR="00607FAB" w:rsidRPr="00E75831" w:rsidRDefault="00607FAB" w:rsidP="00607FAB">
            <w:pPr>
              <w:keepNext/>
              <w:keepLines/>
              <w:jc w:val="center"/>
              <w:rPr>
                <w:sz w:val="18"/>
                <w:lang w:val="en-AU"/>
              </w:rPr>
            </w:pPr>
            <w:r w:rsidRPr="00E75831">
              <w:rPr>
                <w:sz w:val="18"/>
                <w:lang w:val="en-AU"/>
              </w:rPr>
              <w:t>1.03</w:t>
            </w:r>
          </w:p>
        </w:tc>
      </w:tr>
      <w:tr w:rsidR="00607FAB" w:rsidRPr="00E75831" w14:paraId="2B169E00" w14:textId="77777777" w:rsidTr="00607FAB">
        <w:trPr>
          <w:trHeight w:val="349"/>
        </w:trPr>
        <w:tc>
          <w:tcPr>
            <w:tcW w:w="1816" w:type="dxa"/>
            <w:vMerge/>
            <w:tcBorders>
              <w:left w:val="single" w:sz="18" w:space="0" w:color="auto"/>
              <w:bottom w:val="single" w:sz="18" w:space="0" w:color="auto"/>
            </w:tcBorders>
          </w:tcPr>
          <w:p w14:paraId="49432740" w14:textId="77777777" w:rsidR="00607FAB" w:rsidRPr="00E75831" w:rsidRDefault="00607FAB" w:rsidP="00607FAB">
            <w:pPr>
              <w:keepNext/>
              <w:keepLines/>
              <w:jc w:val="center"/>
              <w:rPr>
                <w:sz w:val="18"/>
                <w:lang w:val="en-AU"/>
              </w:rPr>
            </w:pPr>
          </w:p>
        </w:tc>
        <w:tc>
          <w:tcPr>
            <w:tcW w:w="1818" w:type="dxa"/>
            <w:tcBorders>
              <w:top w:val="single" w:sz="6" w:space="0" w:color="auto"/>
              <w:bottom w:val="single" w:sz="18" w:space="0" w:color="auto"/>
            </w:tcBorders>
            <w:shd w:val="clear" w:color="auto" w:fill="C4BC96" w:themeFill="background2" w:themeFillShade="BF"/>
          </w:tcPr>
          <w:p w14:paraId="3045B019" w14:textId="77777777" w:rsidR="00607FAB" w:rsidRPr="00E75831" w:rsidRDefault="00607FAB" w:rsidP="00607FAB">
            <w:pPr>
              <w:keepNext/>
              <w:keepLines/>
              <w:jc w:val="center"/>
              <w:rPr>
                <w:sz w:val="18"/>
                <w:lang w:val="en-AU"/>
              </w:rPr>
            </w:pPr>
            <w:r w:rsidRPr="00E75831">
              <w:rPr>
                <w:sz w:val="18"/>
                <w:lang w:val="en-AU"/>
              </w:rPr>
              <w:t>25 (500)</w:t>
            </w:r>
          </w:p>
        </w:tc>
        <w:tc>
          <w:tcPr>
            <w:tcW w:w="1808" w:type="dxa"/>
            <w:tcBorders>
              <w:top w:val="single" w:sz="6" w:space="0" w:color="auto"/>
              <w:bottom w:val="single" w:sz="18" w:space="0" w:color="auto"/>
            </w:tcBorders>
            <w:shd w:val="clear" w:color="auto" w:fill="C4BC96" w:themeFill="background2" w:themeFillShade="BF"/>
          </w:tcPr>
          <w:p w14:paraId="7C816D7E" w14:textId="77777777" w:rsidR="00607FAB" w:rsidRPr="00E75831" w:rsidRDefault="00607FAB" w:rsidP="00607FAB">
            <w:pPr>
              <w:keepNext/>
              <w:keepLines/>
              <w:jc w:val="center"/>
              <w:rPr>
                <w:sz w:val="18"/>
                <w:lang w:val="en-AU"/>
              </w:rPr>
            </w:pPr>
            <w:r w:rsidRPr="00E75831">
              <w:rPr>
                <w:sz w:val="18"/>
                <w:lang w:val="en-AU"/>
              </w:rPr>
              <w:t>0.63</w:t>
            </w:r>
          </w:p>
        </w:tc>
        <w:tc>
          <w:tcPr>
            <w:tcW w:w="1809" w:type="dxa"/>
            <w:tcBorders>
              <w:top w:val="single" w:sz="6" w:space="0" w:color="auto"/>
              <w:bottom w:val="single" w:sz="18" w:space="0" w:color="auto"/>
            </w:tcBorders>
            <w:shd w:val="clear" w:color="auto" w:fill="C4BC96" w:themeFill="background2" w:themeFillShade="BF"/>
          </w:tcPr>
          <w:p w14:paraId="0C5286BE" w14:textId="77777777" w:rsidR="00607FAB" w:rsidRPr="00E75831" w:rsidRDefault="00607FAB" w:rsidP="00607FAB">
            <w:pPr>
              <w:keepNext/>
              <w:keepLines/>
              <w:jc w:val="center"/>
              <w:rPr>
                <w:sz w:val="18"/>
                <w:lang w:val="en-AU"/>
              </w:rPr>
            </w:pPr>
            <w:r w:rsidRPr="00E75831">
              <w:rPr>
                <w:sz w:val="18"/>
                <w:lang w:val="en-AU"/>
              </w:rPr>
              <w:t>0.50</w:t>
            </w:r>
          </w:p>
        </w:tc>
        <w:tc>
          <w:tcPr>
            <w:tcW w:w="1809" w:type="dxa"/>
            <w:tcBorders>
              <w:top w:val="single" w:sz="6" w:space="0" w:color="auto"/>
              <w:bottom w:val="single" w:sz="18" w:space="0" w:color="auto"/>
              <w:right w:val="single" w:sz="18" w:space="0" w:color="auto"/>
            </w:tcBorders>
            <w:shd w:val="clear" w:color="auto" w:fill="C4BC96" w:themeFill="background2" w:themeFillShade="BF"/>
          </w:tcPr>
          <w:p w14:paraId="5507E630" w14:textId="77777777" w:rsidR="00607FAB" w:rsidRPr="00E75831" w:rsidRDefault="00607FAB" w:rsidP="00607FAB">
            <w:pPr>
              <w:keepNext/>
              <w:keepLines/>
              <w:jc w:val="center"/>
              <w:rPr>
                <w:sz w:val="18"/>
                <w:lang w:val="en-AU"/>
              </w:rPr>
            </w:pPr>
            <w:r>
              <w:rPr>
                <w:sz w:val="18"/>
                <w:lang w:val="en-AU"/>
              </w:rPr>
              <w:t>1.13</w:t>
            </w:r>
          </w:p>
        </w:tc>
      </w:tr>
      <w:tr w:rsidR="00607FAB" w:rsidRPr="00E75831" w14:paraId="53D9F67F" w14:textId="77777777" w:rsidTr="00607FAB">
        <w:trPr>
          <w:trHeight w:val="216"/>
        </w:trPr>
        <w:tc>
          <w:tcPr>
            <w:tcW w:w="1816" w:type="dxa"/>
            <w:vMerge w:val="restart"/>
            <w:tcBorders>
              <w:top w:val="single" w:sz="18" w:space="0" w:color="auto"/>
            </w:tcBorders>
          </w:tcPr>
          <w:p w14:paraId="1DB82252" w14:textId="77777777" w:rsidR="00607FAB" w:rsidRPr="00E75831" w:rsidRDefault="00607FAB" w:rsidP="00607FAB">
            <w:pPr>
              <w:keepNext/>
              <w:keepLines/>
              <w:shd w:val="clear" w:color="auto" w:fill="B6DDE8" w:themeFill="accent5" w:themeFillTint="66"/>
              <w:jc w:val="center"/>
              <w:rPr>
                <w:sz w:val="18"/>
                <w:lang w:val="en-AU"/>
              </w:rPr>
            </w:pPr>
            <w:r w:rsidRPr="00E75831">
              <w:rPr>
                <w:sz w:val="18"/>
                <w:lang w:val="en-AU"/>
              </w:rPr>
              <w:t>Med</w:t>
            </w:r>
            <w:r>
              <w:rPr>
                <w:sz w:val="18"/>
                <w:lang w:val="en-AU"/>
              </w:rPr>
              <w:t>ian level found in Au IF powder</w:t>
            </w:r>
          </w:p>
          <w:p w14:paraId="3C095FBB" w14:textId="77777777" w:rsidR="00607FAB" w:rsidRPr="00E75831" w:rsidRDefault="00607FAB" w:rsidP="00607FAB">
            <w:pPr>
              <w:keepNext/>
              <w:keepLines/>
              <w:jc w:val="center"/>
              <w:rPr>
                <w:sz w:val="18"/>
                <w:lang w:val="en-AU"/>
              </w:rPr>
            </w:pPr>
          </w:p>
          <w:p w14:paraId="4EAA6EC3" w14:textId="77777777" w:rsidR="00607FAB" w:rsidRPr="00E75831" w:rsidRDefault="00607FAB" w:rsidP="00607FAB">
            <w:pPr>
              <w:keepNext/>
              <w:keepLines/>
              <w:jc w:val="center"/>
              <w:rPr>
                <w:sz w:val="18"/>
                <w:lang w:val="en-AU"/>
              </w:rPr>
            </w:pPr>
            <w:r w:rsidRPr="00C657C3">
              <w:rPr>
                <w:b/>
                <w:sz w:val="18"/>
                <w:lang w:val="en-AU"/>
              </w:rPr>
              <w:t>1.5</w:t>
            </w:r>
            <w:r>
              <w:rPr>
                <w:rStyle w:val="FootnoteReference"/>
                <w:sz w:val="18"/>
                <w:lang w:val="en-AU"/>
              </w:rPr>
              <w:footnoteReference w:id="19"/>
            </w:r>
          </w:p>
          <w:p w14:paraId="7B6802E8" w14:textId="77777777" w:rsidR="00607FAB" w:rsidRPr="00E75831" w:rsidRDefault="00607FAB" w:rsidP="00607FAB">
            <w:pPr>
              <w:keepNext/>
              <w:keepLines/>
              <w:jc w:val="center"/>
              <w:rPr>
                <w:sz w:val="18"/>
                <w:lang w:val="en-AU"/>
              </w:rPr>
            </w:pPr>
            <w:r w:rsidRPr="00E75831">
              <w:rPr>
                <w:sz w:val="18"/>
                <w:shd w:val="clear" w:color="auto" w:fill="C4BC96" w:themeFill="background2" w:themeFillShade="BF"/>
                <w:lang w:val="en-AU"/>
              </w:rPr>
              <w:t>2.9.1 Fluorosis statement required</w:t>
            </w:r>
            <w:r w:rsidRPr="00E75831">
              <w:rPr>
                <w:rFonts w:cs="Arial"/>
                <w:sz w:val="18"/>
                <w:shd w:val="clear" w:color="auto" w:fill="C4BC96" w:themeFill="background2" w:themeFillShade="BF"/>
                <w:lang w:val="en-AU"/>
              </w:rPr>
              <w:t xml:space="preserve"> ˃</w:t>
            </w:r>
            <w:r w:rsidRPr="00E75831">
              <w:rPr>
                <w:sz w:val="18"/>
                <w:shd w:val="clear" w:color="auto" w:fill="C4BC96" w:themeFill="background2" w:themeFillShade="BF"/>
                <w:lang w:val="en-AU"/>
              </w:rPr>
              <w:t xml:space="preserve">17 </w:t>
            </w:r>
            <w:r w:rsidRPr="00E75831">
              <w:rPr>
                <w:rFonts w:cs="Arial"/>
                <w:sz w:val="18"/>
                <w:shd w:val="clear" w:color="auto" w:fill="C4BC96" w:themeFill="background2" w:themeFillShade="BF"/>
                <w:lang w:val="en-AU"/>
              </w:rPr>
              <w:t>µ</w:t>
            </w:r>
            <w:r w:rsidRPr="00E75831">
              <w:rPr>
                <w:sz w:val="18"/>
                <w:shd w:val="clear" w:color="auto" w:fill="C4BC96" w:themeFill="background2" w:themeFillShade="BF"/>
                <w:lang w:val="en-AU"/>
              </w:rPr>
              <w:t>g/100kJ</w:t>
            </w:r>
          </w:p>
        </w:tc>
        <w:tc>
          <w:tcPr>
            <w:tcW w:w="1818" w:type="dxa"/>
            <w:tcBorders>
              <w:top w:val="single" w:sz="18" w:space="0" w:color="auto"/>
            </w:tcBorders>
          </w:tcPr>
          <w:p w14:paraId="604476D7" w14:textId="77777777" w:rsidR="00607FAB" w:rsidRPr="00E75831" w:rsidRDefault="00607FAB" w:rsidP="00607FAB">
            <w:pPr>
              <w:keepNext/>
              <w:keepLines/>
              <w:jc w:val="center"/>
              <w:rPr>
                <w:sz w:val="18"/>
                <w:lang w:val="en-AU"/>
              </w:rPr>
            </w:pPr>
            <w:r w:rsidRPr="00E75831">
              <w:rPr>
                <w:sz w:val="18"/>
                <w:lang w:val="en-AU"/>
              </w:rPr>
              <w:t>0 (0)</w:t>
            </w:r>
          </w:p>
        </w:tc>
        <w:tc>
          <w:tcPr>
            <w:tcW w:w="1808" w:type="dxa"/>
            <w:tcBorders>
              <w:top w:val="single" w:sz="18" w:space="0" w:color="auto"/>
            </w:tcBorders>
          </w:tcPr>
          <w:p w14:paraId="3D8FF9FC" w14:textId="77777777" w:rsidR="00607FAB" w:rsidRPr="00E75831" w:rsidRDefault="00607FAB" w:rsidP="00607FAB">
            <w:pPr>
              <w:keepNext/>
              <w:keepLines/>
              <w:jc w:val="center"/>
              <w:rPr>
                <w:sz w:val="18"/>
                <w:lang w:val="en-AU"/>
              </w:rPr>
            </w:pPr>
            <w:r w:rsidRPr="00E75831">
              <w:rPr>
                <w:sz w:val="18"/>
                <w:lang w:val="en-AU"/>
              </w:rPr>
              <w:t>0.94</w:t>
            </w:r>
          </w:p>
        </w:tc>
        <w:tc>
          <w:tcPr>
            <w:tcW w:w="1809" w:type="dxa"/>
            <w:tcBorders>
              <w:top w:val="single" w:sz="18" w:space="0" w:color="auto"/>
            </w:tcBorders>
          </w:tcPr>
          <w:p w14:paraId="57761741" w14:textId="77777777" w:rsidR="00607FAB" w:rsidRPr="00E75831" w:rsidRDefault="00607FAB" w:rsidP="00607FAB">
            <w:pPr>
              <w:keepNext/>
              <w:keepLines/>
              <w:jc w:val="center"/>
              <w:rPr>
                <w:sz w:val="18"/>
                <w:lang w:val="en-AU"/>
              </w:rPr>
            </w:pPr>
            <w:r w:rsidRPr="00E75831">
              <w:rPr>
                <w:sz w:val="18"/>
                <w:lang w:val="en-AU"/>
              </w:rPr>
              <w:t>0.00</w:t>
            </w:r>
          </w:p>
        </w:tc>
        <w:tc>
          <w:tcPr>
            <w:tcW w:w="1809" w:type="dxa"/>
            <w:tcBorders>
              <w:top w:val="single" w:sz="18" w:space="0" w:color="auto"/>
            </w:tcBorders>
          </w:tcPr>
          <w:p w14:paraId="6867093A" w14:textId="77777777" w:rsidR="00607FAB" w:rsidRPr="00E75831" w:rsidRDefault="00607FAB" w:rsidP="00607FAB">
            <w:pPr>
              <w:keepNext/>
              <w:keepLines/>
              <w:jc w:val="center"/>
              <w:rPr>
                <w:sz w:val="18"/>
                <w:lang w:val="en-AU"/>
              </w:rPr>
            </w:pPr>
            <w:r w:rsidRPr="00E75831">
              <w:rPr>
                <w:sz w:val="18"/>
                <w:lang w:val="en-AU"/>
              </w:rPr>
              <w:t>0.94</w:t>
            </w:r>
          </w:p>
        </w:tc>
      </w:tr>
      <w:tr w:rsidR="00607FAB" w:rsidRPr="00E75831" w14:paraId="0E179F70" w14:textId="77777777" w:rsidTr="00607FAB">
        <w:trPr>
          <w:trHeight w:val="216"/>
        </w:trPr>
        <w:tc>
          <w:tcPr>
            <w:tcW w:w="1816" w:type="dxa"/>
            <w:vMerge/>
            <w:tcBorders>
              <w:top w:val="single" w:sz="18" w:space="0" w:color="auto"/>
            </w:tcBorders>
            <w:shd w:val="clear" w:color="auto" w:fill="B6DDE8" w:themeFill="accent5" w:themeFillTint="66"/>
          </w:tcPr>
          <w:p w14:paraId="6BD24CB6" w14:textId="77777777" w:rsidR="00607FAB" w:rsidRPr="00E75831" w:rsidRDefault="00607FAB" w:rsidP="00607FAB">
            <w:pPr>
              <w:keepNext/>
              <w:keepLines/>
              <w:jc w:val="center"/>
              <w:rPr>
                <w:sz w:val="18"/>
                <w:lang w:val="en-AU"/>
              </w:rPr>
            </w:pPr>
          </w:p>
        </w:tc>
        <w:tc>
          <w:tcPr>
            <w:tcW w:w="1818" w:type="dxa"/>
            <w:shd w:val="clear" w:color="auto" w:fill="B6DDE8" w:themeFill="accent5" w:themeFillTint="66"/>
          </w:tcPr>
          <w:p w14:paraId="7DD5D581" w14:textId="77777777" w:rsidR="00607FAB" w:rsidRPr="00E75831" w:rsidRDefault="00607FAB" w:rsidP="00607FAB">
            <w:pPr>
              <w:keepNext/>
              <w:keepLines/>
              <w:jc w:val="center"/>
              <w:rPr>
                <w:sz w:val="18"/>
                <w:lang w:val="en-AU"/>
              </w:rPr>
            </w:pPr>
            <w:r w:rsidRPr="00E75831">
              <w:rPr>
                <w:sz w:val="18"/>
                <w:lang w:val="en-AU"/>
              </w:rPr>
              <w:t xml:space="preserve">2 (40) </w:t>
            </w:r>
          </w:p>
        </w:tc>
        <w:tc>
          <w:tcPr>
            <w:tcW w:w="1808" w:type="dxa"/>
            <w:shd w:val="clear" w:color="auto" w:fill="B6DDE8" w:themeFill="accent5" w:themeFillTint="66"/>
          </w:tcPr>
          <w:p w14:paraId="0F6CAB94" w14:textId="77777777" w:rsidR="00607FAB" w:rsidRPr="00E75831" w:rsidRDefault="00607FAB" w:rsidP="00607FAB">
            <w:pPr>
              <w:keepNext/>
              <w:keepLines/>
              <w:jc w:val="center"/>
              <w:rPr>
                <w:sz w:val="18"/>
                <w:lang w:val="en-AU"/>
              </w:rPr>
            </w:pPr>
            <w:r w:rsidRPr="00E75831">
              <w:rPr>
                <w:sz w:val="18"/>
                <w:lang w:val="en-AU"/>
              </w:rPr>
              <w:t>0.94</w:t>
            </w:r>
          </w:p>
        </w:tc>
        <w:tc>
          <w:tcPr>
            <w:tcW w:w="1809" w:type="dxa"/>
            <w:shd w:val="clear" w:color="auto" w:fill="B6DDE8" w:themeFill="accent5" w:themeFillTint="66"/>
          </w:tcPr>
          <w:p w14:paraId="56FF0E07" w14:textId="77777777" w:rsidR="00607FAB" w:rsidRPr="00E75831" w:rsidRDefault="00607FAB" w:rsidP="00607FAB">
            <w:pPr>
              <w:keepNext/>
              <w:keepLines/>
              <w:jc w:val="center"/>
              <w:rPr>
                <w:sz w:val="18"/>
                <w:lang w:val="en-AU"/>
              </w:rPr>
            </w:pPr>
            <w:r w:rsidRPr="00E75831">
              <w:rPr>
                <w:sz w:val="18"/>
                <w:lang w:val="en-AU"/>
              </w:rPr>
              <w:t>0.04</w:t>
            </w:r>
          </w:p>
        </w:tc>
        <w:tc>
          <w:tcPr>
            <w:tcW w:w="1809" w:type="dxa"/>
            <w:shd w:val="clear" w:color="auto" w:fill="B6DDE8" w:themeFill="accent5" w:themeFillTint="66"/>
          </w:tcPr>
          <w:p w14:paraId="11CA0467" w14:textId="77777777" w:rsidR="00607FAB" w:rsidRPr="00E75831" w:rsidRDefault="00607FAB" w:rsidP="00607FAB">
            <w:pPr>
              <w:keepNext/>
              <w:keepLines/>
              <w:jc w:val="center"/>
              <w:rPr>
                <w:sz w:val="18"/>
                <w:lang w:val="en-AU"/>
              </w:rPr>
            </w:pPr>
            <w:r w:rsidRPr="00E75831">
              <w:rPr>
                <w:sz w:val="18"/>
                <w:lang w:val="en-AU"/>
              </w:rPr>
              <w:t>0.98</w:t>
            </w:r>
          </w:p>
        </w:tc>
      </w:tr>
      <w:tr w:rsidR="00607FAB" w:rsidRPr="00E75831" w14:paraId="437E3A00" w14:textId="77777777" w:rsidTr="00607FAB">
        <w:trPr>
          <w:trHeight w:val="216"/>
        </w:trPr>
        <w:tc>
          <w:tcPr>
            <w:tcW w:w="1816" w:type="dxa"/>
            <w:vMerge/>
            <w:tcBorders>
              <w:top w:val="single" w:sz="18" w:space="0" w:color="auto"/>
            </w:tcBorders>
          </w:tcPr>
          <w:p w14:paraId="3B4C521F" w14:textId="77777777" w:rsidR="00607FAB" w:rsidRPr="00E75831" w:rsidRDefault="00607FAB" w:rsidP="00607FAB">
            <w:pPr>
              <w:keepNext/>
              <w:keepLines/>
              <w:rPr>
                <w:sz w:val="18"/>
                <w:lang w:val="en-AU"/>
              </w:rPr>
            </w:pPr>
          </w:p>
        </w:tc>
        <w:tc>
          <w:tcPr>
            <w:tcW w:w="1818" w:type="dxa"/>
          </w:tcPr>
          <w:p w14:paraId="79F73F35" w14:textId="77777777" w:rsidR="00607FAB" w:rsidRPr="00E75831" w:rsidRDefault="00607FAB" w:rsidP="00607FAB">
            <w:pPr>
              <w:keepNext/>
              <w:keepLines/>
              <w:jc w:val="center"/>
              <w:rPr>
                <w:sz w:val="18"/>
                <w:lang w:val="en-AU"/>
              </w:rPr>
            </w:pPr>
            <w:r w:rsidRPr="00E75831">
              <w:rPr>
                <w:sz w:val="18"/>
                <w:lang w:val="en-AU"/>
              </w:rPr>
              <w:t>4 (80)</w:t>
            </w:r>
          </w:p>
        </w:tc>
        <w:tc>
          <w:tcPr>
            <w:tcW w:w="1808" w:type="dxa"/>
          </w:tcPr>
          <w:p w14:paraId="1D40CD31" w14:textId="77777777" w:rsidR="00607FAB" w:rsidRPr="00E75831" w:rsidRDefault="00607FAB" w:rsidP="00607FAB">
            <w:pPr>
              <w:keepNext/>
              <w:keepLines/>
              <w:jc w:val="center"/>
              <w:rPr>
                <w:sz w:val="18"/>
                <w:lang w:val="en-AU"/>
              </w:rPr>
            </w:pPr>
            <w:r w:rsidRPr="00E75831">
              <w:rPr>
                <w:sz w:val="18"/>
                <w:lang w:val="en-AU"/>
              </w:rPr>
              <w:t>0.94</w:t>
            </w:r>
          </w:p>
        </w:tc>
        <w:tc>
          <w:tcPr>
            <w:tcW w:w="1809" w:type="dxa"/>
          </w:tcPr>
          <w:p w14:paraId="5A0C8ADE" w14:textId="77777777" w:rsidR="00607FAB" w:rsidRPr="00E75831" w:rsidRDefault="00607FAB" w:rsidP="00607FAB">
            <w:pPr>
              <w:keepNext/>
              <w:keepLines/>
              <w:jc w:val="center"/>
              <w:rPr>
                <w:sz w:val="18"/>
                <w:lang w:val="en-AU"/>
              </w:rPr>
            </w:pPr>
            <w:r w:rsidRPr="00E75831">
              <w:rPr>
                <w:sz w:val="18"/>
                <w:lang w:val="en-AU"/>
              </w:rPr>
              <w:t>0.08</w:t>
            </w:r>
          </w:p>
        </w:tc>
        <w:tc>
          <w:tcPr>
            <w:tcW w:w="1809" w:type="dxa"/>
          </w:tcPr>
          <w:p w14:paraId="2E385E16" w14:textId="77777777" w:rsidR="00607FAB" w:rsidRPr="00E75831" w:rsidRDefault="00607FAB" w:rsidP="00607FAB">
            <w:pPr>
              <w:keepNext/>
              <w:keepLines/>
              <w:jc w:val="center"/>
              <w:rPr>
                <w:sz w:val="18"/>
                <w:lang w:val="en-AU"/>
              </w:rPr>
            </w:pPr>
            <w:r w:rsidRPr="00E75831">
              <w:rPr>
                <w:sz w:val="18"/>
                <w:lang w:val="en-AU"/>
              </w:rPr>
              <w:t>1.02</w:t>
            </w:r>
          </w:p>
        </w:tc>
      </w:tr>
      <w:tr w:rsidR="00607FAB" w:rsidRPr="00E75831" w14:paraId="1523DB4A" w14:textId="77777777" w:rsidTr="00607FAB">
        <w:trPr>
          <w:trHeight w:val="216"/>
        </w:trPr>
        <w:tc>
          <w:tcPr>
            <w:tcW w:w="1816" w:type="dxa"/>
            <w:vMerge/>
            <w:tcBorders>
              <w:top w:val="single" w:sz="18" w:space="0" w:color="auto"/>
            </w:tcBorders>
          </w:tcPr>
          <w:p w14:paraId="5C83DAD4" w14:textId="77777777" w:rsidR="00607FAB" w:rsidRPr="00E75831" w:rsidRDefault="00607FAB" w:rsidP="00607FAB">
            <w:pPr>
              <w:keepNext/>
              <w:keepLines/>
              <w:rPr>
                <w:sz w:val="18"/>
                <w:lang w:val="en-AU"/>
              </w:rPr>
            </w:pPr>
          </w:p>
        </w:tc>
        <w:tc>
          <w:tcPr>
            <w:tcW w:w="1818" w:type="dxa"/>
          </w:tcPr>
          <w:p w14:paraId="496EE622" w14:textId="77777777" w:rsidR="00607FAB" w:rsidRPr="00E75831" w:rsidRDefault="00607FAB" w:rsidP="00607FAB">
            <w:pPr>
              <w:keepNext/>
              <w:keepLines/>
              <w:jc w:val="center"/>
              <w:rPr>
                <w:sz w:val="18"/>
                <w:lang w:val="en-AU"/>
              </w:rPr>
            </w:pPr>
            <w:r w:rsidRPr="00E75831">
              <w:rPr>
                <w:sz w:val="18"/>
                <w:lang w:val="en-AU"/>
              </w:rPr>
              <w:t>8 (160)</w:t>
            </w:r>
          </w:p>
        </w:tc>
        <w:tc>
          <w:tcPr>
            <w:tcW w:w="1808" w:type="dxa"/>
          </w:tcPr>
          <w:p w14:paraId="3E7F8E81" w14:textId="77777777" w:rsidR="00607FAB" w:rsidRPr="00E75831" w:rsidRDefault="00607FAB" w:rsidP="00607FAB">
            <w:pPr>
              <w:keepNext/>
              <w:keepLines/>
              <w:jc w:val="center"/>
              <w:rPr>
                <w:sz w:val="18"/>
                <w:lang w:val="en-AU"/>
              </w:rPr>
            </w:pPr>
            <w:r w:rsidRPr="00E75831">
              <w:rPr>
                <w:sz w:val="18"/>
                <w:lang w:val="en-AU"/>
              </w:rPr>
              <w:t>0.94</w:t>
            </w:r>
          </w:p>
        </w:tc>
        <w:tc>
          <w:tcPr>
            <w:tcW w:w="1809" w:type="dxa"/>
          </w:tcPr>
          <w:p w14:paraId="3E8AB0C6" w14:textId="77777777" w:rsidR="00607FAB" w:rsidRPr="00E75831" w:rsidRDefault="00607FAB" w:rsidP="00607FAB">
            <w:pPr>
              <w:keepNext/>
              <w:keepLines/>
              <w:jc w:val="center"/>
              <w:rPr>
                <w:sz w:val="18"/>
                <w:lang w:val="en-AU"/>
              </w:rPr>
            </w:pPr>
            <w:r w:rsidRPr="00E75831">
              <w:rPr>
                <w:sz w:val="18"/>
                <w:lang w:val="en-AU"/>
              </w:rPr>
              <w:t>0.16</w:t>
            </w:r>
          </w:p>
        </w:tc>
        <w:tc>
          <w:tcPr>
            <w:tcW w:w="1809" w:type="dxa"/>
          </w:tcPr>
          <w:p w14:paraId="69AC6176" w14:textId="77777777" w:rsidR="00607FAB" w:rsidRPr="00E75831" w:rsidRDefault="00607FAB" w:rsidP="00607FAB">
            <w:pPr>
              <w:keepNext/>
              <w:keepLines/>
              <w:jc w:val="center"/>
              <w:rPr>
                <w:sz w:val="18"/>
                <w:lang w:val="en-AU"/>
              </w:rPr>
            </w:pPr>
            <w:r w:rsidRPr="00E75831">
              <w:rPr>
                <w:sz w:val="18"/>
                <w:lang w:val="en-AU"/>
              </w:rPr>
              <w:t>1.10</w:t>
            </w:r>
          </w:p>
        </w:tc>
      </w:tr>
      <w:tr w:rsidR="00607FAB" w:rsidRPr="00E75831" w14:paraId="37559368" w14:textId="77777777" w:rsidTr="00607FAB">
        <w:trPr>
          <w:trHeight w:val="216"/>
        </w:trPr>
        <w:tc>
          <w:tcPr>
            <w:tcW w:w="1816" w:type="dxa"/>
            <w:vMerge/>
            <w:tcBorders>
              <w:top w:val="single" w:sz="18" w:space="0" w:color="auto"/>
            </w:tcBorders>
          </w:tcPr>
          <w:p w14:paraId="1BA05D2F" w14:textId="77777777" w:rsidR="00607FAB" w:rsidRPr="00E75831" w:rsidRDefault="00607FAB" w:rsidP="00607FAB">
            <w:pPr>
              <w:keepNext/>
              <w:keepLines/>
              <w:rPr>
                <w:sz w:val="18"/>
                <w:lang w:val="en-AU"/>
              </w:rPr>
            </w:pPr>
          </w:p>
        </w:tc>
        <w:tc>
          <w:tcPr>
            <w:tcW w:w="1818" w:type="dxa"/>
          </w:tcPr>
          <w:p w14:paraId="7223897F" w14:textId="77777777" w:rsidR="00607FAB" w:rsidRPr="00E75831" w:rsidRDefault="00607FAB" w:rsidP="00607FAB">
            <w:pPr>
              <w:keepNext/>
              <w:keepLines/>
              <w:jc w:val="center"/>
              <w:rPr>
                <w:sz w:val="18"/>
                <w:lang w:val="en-AU"/>
              </w:rPr>
            </w:pPr>
            <w:r w:rsidRPr="00E75831">
              <w:rPr>
                <w:sz w:val="18"/>
                <w:lang w:val="en-AU"/>
              </w:rPr>
              <w:t>16 (320)</w:t>
            </w:r>
          </w:p>
        </w:tc>
        <w:tc>
          <w:tcPr>
            <w:tcW w:w="1808" w:type="dxa"/>
          </w:tcPr>
          <w:p w14:paraId="585EBA88" w14:textId="77777777" w:rsidR="00607FAB" w:rsidRPr="00E75831" w:rsidRDefault="00607FAB" w:rsidP="00607FAB">
            <w:pPr>
              <w:keepNext/>
              <w:keepLines/>
              <w:jc w:val="center"/>
              <w:rPr>
                <w:sz w:val="18"/>
                <w:lang w:val="en-AU"/>
              </w:rPr>
            </w:pPr>
            <w:r w:rsidRPr="00E75831">
              <w:rPr>
                <w:sz w:val="18"/>
                <w:lang w:val="en-AU"/>
              </w:rPr>
              <w:t>0.94</w:t>
            </w:r>
          </w:p>
        </w:tc>
        <w:tc>
          <w:tcPr>
            <w:tcW w:w="1809" w:type="dxa"/>
          </w:tcPr>
          <w:p w14:paraId="4526D4BD" w14:textId="77777777" w:rsidR="00607FAB" w:rsidRPr="00E75831" w:rsidRDefault="00607FAB" w:rsidP="00607FAB">
            <w:pPr>
              <w:keepNext/>
              <w:keepLines/>
              <w:jc w:val="center"/>
              <w:rPr>
                <w:sz w:val="18"/>
                <w:lang w:val="en-AU"/>
              </w:rPr>
            </w:pPr>
            <w:r w:rsidRPr="00E75831">
              <w:rPr>
                <w:sz w:val="18"/>
                <w:lang w:val="en-AU"/>
              </w:rPr>
              <w:t>0.32</w:t>
            </w:r>
          </w:p>
        </w:tc>
        <w:tc>
          <w:tcPr>
            <w:tcW w:w="1809" w:type="dxa"/>
            <w:shd w:val="clear" w:color="auto" w:fill="D99594" w:themeFill="accent2" w:themeFillTint="99"/>
          </w:tcPr>
          <w:p w14:paraId="7DBC2E9F" w14:textId="77777777" w:rsidR="00607FAB" w:rsidRPr="00E75831" w:rsidRDefault="00607FAB" w:rsidP="00607FAB">
            <w:pPr>
              <w:keepNext/>
              <w:keepLines/>
              <w:jc w:val="center"/>
              <w:rPr>
                <w:sz w:val="18"/>
                <w:lang w:val="en-AU"/>
              </w:rPr>
            </w:pPr>
            <w:r w:rsidRPr="00E75831">
              <w:rPr>
                <w:sz w:val="18"/>
                <w:lang w:val="en-AU"/>
              </w:rPr>
              <w:t>1.26</w:t>
            </w:r>
          </w:p>
        </w:tc>
      </w:tr>
      <w:tr w:rsidR="00607FAB" w:rsidRPr="00E75831" w14:paraId="5F7C71A0" w14:textId="77777777" w:rsidTr="00607FAB">
        <w:trPr>
          <w:trHeight w:val="216"/>
        </w:trPr>
        <w:tc>
          <w:tcPr>
            <w:tcW w:w="1816" w:type="dxa"/>
            <w:vMerge/>
            <w:tcBorders>
              <w:top w:val="single" w:sz="18" w:space="0" w:color="auto"/>
            </w:tcBorders>
          </w:tcPr>
          <w:p w14:paraId="6904CA2E" w14:textId="77777777" w:rsidR="00607FAB" w:rsidRPr="00E75831" w:rsidRDefault="00607FAB" w:rsidP="00607FAB">
            <w:pPr>
              <w:keepNext/>
              <w:keepLines/>
              <w:rPr>
                <w:sz w:val="18"/>
                <w:lang w:val="en-AU"/>
              </w:rPr>
            </w:pPr>
          </w:p>
        </w:tc>
        <w:tc>
          <w:tcPr>
            <w:tcW w:w="1818" w:type="dxa"/>
            <w:shd w:val="clear" w:color="auto" w:fill="C4BC96" w:themeFill="background2" w:themeFillShade="BF"/>
          </w:tcPr>
          <w:p w14:paraId="77CD38E6" w14:textId="77777777" w:rsidR="00607FAB" w:rsidRPr="00E75831" w:rsidRDefault="00607FAB" w:rsidP="00607FAB">
            <w:pPr>
              <w:keepNext/>
              <w:keepLines/>
              <w:jc w:val="center"/>
              <w:rPr>
                <w:sz w:val="18"/>
                <w:lang w:val="en-AU"/>
              </w:rPr>
            </w:pPr>
            <w:r w:rsidRPr="00E75831">
              <w:rPr>
                <w:sz w:val="18"/>
                <w:lang w:val="en-AU"/>
              </w:rPr>
              <w:t>20 (400)</w:t>
            </w:r>
          </w:p>
        </w:tc>
        <w:tc>
          <w:tcPr>
            <w:tcW w:w="1808" w:type="dxa"/>
            <w:shd w:val="clear" w:color="auto" w:fill="C4BC96" w:themeFill="background2" w:themeFillShade="BF"/>
          </w:tcPr>
          <w:p w14:paraId="170CC8DE" w14:textId="77777777" w:rsidR="00607FAB" w:rsidRPr="00E75831" w:rsidRDefault="00607FAB" w:rsidP="00607FAB">
            <w:pPr>
              <w:keepNext/>
              <w:keepLines/>
              <w:jc w:val="center"/>
              <w:rPr>
                <w:sz w:val="18"/>
                <w:lang w:val="en-AU"/>
              </w:rPr>
            </w:pPr>
            <w:r w:rsidRPr="00E75831">
              <w:rPr>
                <w:sz w:val="18"/>
                <w:lang w:val="en-AU"/>
              </w:rPr>
              <w:t>0.94</w:t>
            </w:r>
          </w:p>
        </w:tc>
        <w:tc>
          <w:tcPr>
            <w:tcW w:w="1809" w:type="dxa"/>
            <w:shd w:val="clear" w:color="auto" w:fill="C4BC96" w:themeFill="background2" w:themeFillShade="BF"/>
          </w:tcPr>
          <w:p w14:paraId="6082A31F" w14:textId="77777777" w:rsidR="00607FAB" w:rsidRPr="00E75831" w:rsidRDefault="00607FAB" w:rsidP="00607FAB">
            <w:pPr>
              <w:keepNext/>
              <w:keepLines/>
              <w:jc w:val="center"/>
              <w:rPr>
                <w:sz w:val="18"/>
                <w:lang w:val="en-AU"/>
              </w:rPr>
            </w:pPr>
            <w:r w:rsidRPr="00E75831">
              <w:rPr>
                <w:sz w:val="18"/>
                <w:lang w:val="en-AU"/>
              </w:rPr>
              <w:t>0.40</w:t>
            </w:r>
          </w:p>
        </w:tc>
        <w:tc>
          <w:tcPr>
            <w:tcW w:w="1809" w:type="dxa"/>
            <w:shd w:val="clear" w:color="auto" w:fill="D99594" w:themeFill="accent2" w:themeFillTint="99"/>
          </w:tcPr>
          <w:p w14:paraId="0EB8B821" w14:textId="77777777" w:rsidR="00607FAB" w:rsidRPr="00E75831" w:rsidRDefault="00607FAB" w:rsidP="00607FAB">
            <w:pPr>
              <w:keepNext/>
              <w:keepLines/>
              <w:jc w:val="center"/>
              <w:rPr>
                <w:sz w:val="18"/>
                <w:lang w:val="en-AU"/>
              </w:rPr>
            </w:pPr>
            <w:r w:rsidRPr="00E75831">
              <w:rPr>
                <w:sz w:val="18"/>
                <w:lang w:val="en-AU"/>
              </w:rPr>
              <w:t>1.34</w:t>
            </w:r>
          </w:p>
        </w:tc>
      </w:tr>
      <w:tr w:rsidR="00607FAB" w:rsidRPr="00E75831" w14:paraId="30F06077" w14:textId="77777777" w:rsidTr="00607FAB">
        <w:trPr>
          <w:trHeight w:val="216"/>
        </w:trPr>
        <w:tc>
          <w:tcPr>
            <w:tcW w:w="1816" w:type="dxa"/>
            <w:vMerge/>
            <w:tcBorders>
              <w:top w:val="single" w:sz="18" w:space="0" w:color="auto"/>
            </w:tcBorders>
          </w:tcPr>
          <w:p w14:paraId="441FE456" w14:textId="77777777" w:rsidR="00607FAB" w:rsidRPr="00E75831" w:rsidRDefault="00607FAB" w:rsidP="00607FAB">
            <w:pPr>
              <w:keepNext/>
              <w:keepLines/>
              <w:rPr>
                <w:sz w:val="18"/>
                <w:lang w:val="en-AU"/>
              </w:rPr>
            </w:pPr>
          </w:p>
        </w:tc>
        <w:tc>
          <w:tcPr>
            <w:tcW w:w="1818" w:type="dxa"/>
            <w:shd w:val="clear" w:color="auto" w:fill="C4BC96" w:themeFill="background2" w:themeFillShade="BF"/>
          </w:tcPr>
          <w:p w14:paraId="16878F96" w14:textId="77777777" w:rsidR="00607FAB" w:rsidRPr="00E75831" w:rsidRDefault="00607FAB" w:rsidP="00607FAB">
            <w:pPr>
              <w:keepNext/>
              <w:keepLines/>
              <w:jc w:val="center"/>
              <w:rPr>
                <w:sz w:val="18"/>
                <w:lang w:val="en-AU"/>
              </w:rPr>
            </w:pPr>
            <w:r w:rsidRPr="00E75831">
              <w:rPr>
                <w:sz w:val="18"/>
                <w:lang w:val="en-AU"/>
              </w:rPr>
              <w:t>25 (500)</w:t>
            </w:r>
          </w:p>
        </w:tc>
        <w:tc>
          <w:tcPr>
            <w:tcW w:w="1808" w:type="dxa"/>
            <w:shd w:val="clear" w:color="auto" w:fill="C4BC96" w:themeFill="background2" w:themeFillShade="BF"/>
          </w:tcPr>
          <w:p w14:paraId="699C26E3" w14:textId="77777777" w:rsidR="00607FAB" w:rsidRPr="00E75831" w:rsidRDefault="00607FAB" w:rsidP="00607FAB">
            <w:pPr>
              <w:keepNext/>
              <w:keepLines/>
              <w:jc w:val="center"/>
              <w:rPr>
                <w:sz w:val="18"/>
                <w:lang w:val="en-AU"/>
              </w:rPr>
            </w:pPr>
            <w:r w:rsidRPr="00E75831">
              <w:rPr>
                <w:sz w:val="18"/>
                <w:lang w:val="en-AU"/>
              </w:rPr>
              <w:t>0.94</w:t>
            </w:r>
          </w:p>
        </w:tc>
        <w:tc>
          <w:tcPr>
            <w:tcW w:w="1809" w:type="dxa"/>
            <w:shd w:val="clear" w:color="auto" w:fill="C4BC96" w:themeFill="background2" w:themeFillShade="BF"/>
          </w:tcPr>
          <w:p w14:paraId="268CB18D" w14:textId="77777777" w:rsidR="00607FAB" w:rsidRPr="00E75831" w:rsidRDefault="00607FAB" w:rsidP="00607FAB">
            <w:pPr>
              <w:keepNext/>
              <w:keepLines/>
              <w:jc w:val="center"/>
              <w:rPr>
                <w:sz w:val="18"/>
                <w:lang w:val="en-AU"/>
              </w:rPr>
            </w:pPr>
            <w:r w:rsidRPr="00E75831">
              <w:rPr>
                <w:sz w:val="18"/>
                <w:lang w:val="en-AU"/>
              </w:rPr>
              <w:t>0.50</w:t>
            </w:r>
          </w:p>
        </w:tc>
        <w:tc>
          <w:tcPr>
            <w:tcW w:w="1809" w:type="dxa"/>
            <w:shd w:val="clear" w:color="auto" w:fill="D99594" w:themeFill="accent2" w:themeFillTint="99"/>
          </w:tcPr>
          <w:p w14:paraId="7E8434F4" w14:textId="77777777" w:rsidR="00607FAB" w:rsidRPr="00E75831" w:rsidRDefault="00607FAB" w:rsidP="00607FAB">
            <w:pPr>
              <w:keepNext/>
              <w:keepLines/>
              <w:jc w:val="center"/>
              <w:rPr>
                <w:sz w:val="18"/>
                <w:lang w:val="en-AU"/>
              </w:rPr>
            </w:pPr>
            <w:r w:rsidRPr="00E75831">
              <w:rPr>
                <w:sz w:val="18"/>
                <w:lang w:val="en-AU"/>
              </w:rPr>
              <w:t>1.44</w:t>
            </w:r>
          </w:p>
        </w:tc>
      </w:tr>
    </w:tbl>
    <w:p w14:paraId="10B17765" w14:textId="3A79DE66" w:rsidR="00607FAB" w:rsidRPr="00836448" w:rsidRDefault="00836448" w:rsidP="00607FAB">
      <w:pPr>
        <w:keepNext/>
        <w:keepLines/>
        <w:rPr>
          <w:i/>
          <w:sz w:val="18"/>
          <w:lang w:val="en-AU"/>
        </w:rPr>
      </w:pPr>
      <w:r w:rsidRPr="00836448">
        <w:rPr>
          <w:i/>
          <w:sz w:val="18"/>
          <w:lang w:val="en-AU"/>
        </w:rPr>
        <w:t>F = Fluoride</w:t>
      </w:r>
    </w:p>
    <w:p w14:paraId="033E2015" w14:textId="376B556E" w:rsidR="00607FAB" w:rsidRPr="00836448" w:rsidRDefault="00836448" w:rsidP="00836448">
      <w:pPr>
        <w:keepNext/>
        <w:keepLines/>
        <w:rPr>
          <w:i/>
          <w:sz w:val="18"/>
          <w:lang w:val="en-AU"/>
        </w:rPr>
      </w:pPr>
      <w:r w:rsidRPr="00836448">
        <w:rPr>
          <w:i/>
          <w:sz w:val="18"/>
          <w:lang w:val="en-AU"/>
        </w:rPr>
        <w:t>IF = Infant Formula</w:t>
      </w:r>
    </w:p>
    <w:p w14:paraId="0818F5C8" w14:textId="2E7A50CA" w:rsidR="008401A5" w:rsidRDefault="008401A5">
      <w:pPr>
        <w:rPr>
          <w:rFonts w:cs="Arial"/>
          <w:i/>
          <w:lang w:val="en-AU"/>
        </w:rPr>
      </w:pPr>
      <w:r>
        <w:rPr>
          <w:lang w:val="en-AU"/>
        </w:rPr>
        <w:br w:type="page"/>
      </w:r>
    </w:p>
    <w:p w14:paraId="01617690" w14:textId="1D4459B3" w:rsidR="00607FAB" w:rsidRPr="00842BA0" w:rsidRDefault="003312AF" w:rsidP="00842BA0">
      <w:pPr>
        <w:rPr>
          <w:b/>
          <w:i/>
          <w:lang w:val="en-AU"/>
        </w:rPr>
      </w:pPr>
      <w:r>
        <w:rPr>
          <w:b/>
          <w:i/>
          <w:lang w:val="en-AU"/>
        </w:rPr>
        <w:lastRenderedPageBreak/>
        <w:t>Example brand 2</w:t>
      </w:r>
      <w:r w:rsidR="00607FAB" w:rsidRPr="00842BA0">
        <w:rPr>
          <w:b/>
          <w:i/>
          <w:lang w:val="en-AU"/>
        </w:rPr>
        <w:t xml:space="preserve"> formula powder for three-month-old male infant (6 kg):</w:t>
      </w:r>
    </w:p>
    <w:p w14:paraId="130E16E2" w14:textId="77777777" w:rsidR="00607FAB" w:rsidRDefault="00607FAB" w:rsidP="00774FC6">
      <w:pPr>
        <w:pStyle w:val="ListParagraph"/>
        <w:numPr>
          <w:ilvl w:val="0"/>
          <w:numId w:val="23"/>
        </w:numPr>
        <w:rPr>
          <w:lang w:val="en-AU"/>
        </w:rPr>
      </w:pPr>
      <w:r>
        <w:rPr>
          <w:lang w:val="en-AU"/>
        </w:rPr>
        <w:t>Formula energy content = 280 kJ/100 mL as prepared</w:t>
      </w:r>
    </w:p>
    <w:p w14:paraId="1E9098CA" w14:textId="77777777" w:rsidR="00607FAB" w:rsidRDefault="00607FAB" w:rsidP="00774FC6">
      <w:pPr>
        <w:pStyle w:val="ListParagraph"/>
        <w:numPr>
          <w:ilvl w:val="0"/>
          <w:numId w:val="23"/>
        </w:numPr>
        <w:rPr>
          <w:lang w:val="en-AU"/>
        </w:rPr>
      </w:pPr>
      <w:r>
        <w:rPr>
          <w:lang w:val="en-AU"/>
        </w:rPr>
        <w:t>Recommended energy intake (EER) = 2400 kJ/day</w:t>
      </w:r>
    </w:p>
    <w:p w14:paraId="2C42490B" w14:textId="77777777" w:rsidR="00607FAB" w:rsidRDefault="00607FAB" w:rsidP="00774FC6">
      <w:pPr>
        <w:pStyle w:val="ListParagraph"/>
        <w:numPr>
          <w:ilvl w:val="0"/>
          <w:numId w:val="23"/>
        </w:numPr>
        <w:rPr>
          <w:lang w:val="en-AU"/>
        </w:rPr>
      </w:pPr>
      <w:r>
        <w:rPr>
          <w:lang w:val="en-AU"/>
        </w:rPr>
        <w:t>Prepared with 12.5 g powder + 90mL water provides 280 kJ</w:t>
      </w:r>
    </w:p>
    <w:p w14:paraId="05F8F7E0" w14:textId="77777777" w:rsidR="00607FAB" w:rsidRDefault="00607FAB" w:rsidP="00774FC6">
      <w:pPr>
        <w:pStyle w:val="ListParagraph"/>
        <w:numPr>
          <w:ilvl w:val="0"/>
          <w:numId w:val="23"/>
        </w:numPr>
        <w:rPr>
          <w:lang w:val="en-AU"/>
        </w:rPr>
      </w:pPr>
      <w:r>
        <w:rPr>
          <w:lang w:val="en-AU"/>
        </w:rPr>
        <w:t>Estimated formula volume = 857 mL</w:t>
      </w:r>
    </w:p>
    <w:p w14:paraId="22FFC7D1" w14:textId="37497366" w:rsidR="00607FAB" w:rsidRDefault="00607FAB" w:rsidP="00774FC6">
      <w:pPr>
        <w:pStyle w:val="ListParagraph"/>
        <w:numPr>
          <w:ilvl w:val="0"/>
          <w:numId w:val="23"/>
        </w:numPr>
        <w:rPr>
          <w:lang w:val="en-AU"/>
        </w:rPr>
      </w:pPr>
      <w:r>
        <w:rPr>
          <w:lang w:val="en-AU"/>
        </w:rPr>
        <w:t>Estimated water volume = 749 mL water (and 104 g infant formula powder) per 2400 kJ</w:t>
      </w:r>
    </w:p>
    <w:p w14:paraId="3E9216FD" w14:textId="16495470" w:rsidR="002D3773" w:rsidRPr="002D3773" w:rsidRDefault="002D3773" w:rsidP="002D3773">
      <w:pPr>
        <w:rPr>
          <w:lang w:val="en-AU"/>
        </w:rPr>
      </w:pPr>
    </w:p>
    <w:p w14:paraId="49A150B3" w14:textId="2EABC18A" w:rsidR="00607FAB" w:rsidRDefault="00607FAB" w:rsidP="00FA28CD">
      <w:pPr>
        <w:pStyle w:val="FSTitle"/>
        <w:rPr>
          <w:lang w:val="en-AU"/>
        </w:rPr>
      </w:pPr>
      <w:bookmarkStart w:id="492" w:name="_Toc74061263"/>
      <w:r>
        <w:rPr>
          <w:lang w:val="en-AU"/>
        </w:rPr>
        <w:t xml:space="preserve">Table </w:t>
      </w:r>
      <w:r w:rsidR="00113BD1">
        <w:rPr>
          <w:lang w:val="en-AU"/>
        </w:rPr>
        <w:t>A</w:t>
      </w:r>
      <w:r>
        <w:rPr>
          <w:lang w:val="en-AU"/>
        </w:rPr>
        <w:t xml:space="preserve">2: Male infant three-month-old using </w:t>
      </w:r>
      <w:r w:rsidR="003312AF">
        <w:rPr>
          <w:lang w:val="en-AU"/>
        </w:rPr>
        <w:t>brand 2 formula powder</w:t>
      </w:r>
      <w:bookmarkEnd w:id="492"/>
    </w:p>
    <w:tbl>
      <w:tblPr>
        <w:tblStyle w:val="TableGrid"/>
        <w:tblW w:w="9345" w:type="dxa"/>
        <w:tblLook w:val="04A0" w:firstRow="1" w:lastRow="0" w:firstColumn="1" w:lastColumn="0" w:noHBand="0" w:noVBand="1"/>
        <w:tblCaption w:val="Table 2: Male infant three-month-old using brand 2 formula powder"/>
        <w:tblDescription w:val="Calculations for Brand 2 formula powder"/>
      </w:tblPr>
      <w:tblGrid>
        <w:gridCol w:w="1916"/>
        <w:gridCol w:w="1857"/>
        <w:gridCol w:w="1857"/>
        <w:gridCol w:w="1857"/>
        <w:gridCol w:w="1858"/>
      </w:tblGrid>
      <w:tr w:rsidR="00607FAB" w:rsidRPr="00E75831" w14:paraId="33C072CB" w14:textId="77777777" w:rsidTr="00607FAB">
        <w:tc>
          <w:tcPr>
            <w:tcW w:w="1916" w:type="dxa"/>
          </w:tcPr>
          <w:p w14:paraId="4CA1D092" w14:textId="77777777" w:rsidR="00607FAB" w:rsidRPr="00E75831" w:rsidRDefault="00607FAB" w:rsidP="00774FC6">
            <w:pPr>
              <w:pStyle w:val="ListParagraph"/>
              <w:numPr>
                <w:ilvl w:val="0"/>
                <w:numId w:val="22"/>
              </w:numPr>
              <w:jc w:val="center"/>
              <w:rPr>
                <w:b/>
                <w:sz w:val="18"/>
                <w:lang w:val="en-AU"/>
              </w:rPr>
            </w:pPr>
          </w:p>
        </w:tc>
        <w:tc>
          <w:tcPr>
            <w:tcW w:w="1857" w:type="dxa"/>
          </w:tcPr>
          <w:p w14:paraId="76CB604E" w14:textId="77777777" w:rsidR="00607FAB" w:rsidRPr="00E75831" w:rsidRDefault="00607FAB" w:rsidP="00774FC6">
            <w:pPr>
              <w:pStyle w:val="ListParagraph"/>
              <w:numPr>
                <w:ilvl w:val="0"/>
                <w:numId w:val="22"/>
              </w:numPr>
              <w:jc w:val="center"/>
              <w:rPr>
                <w:b/>
                <w:sz w:val="18"/>
                <w:lang w:val="en-AU"/>
              </w:rPr>
            </w:pPr>
          </w:p>
        </w:tc>
        <w:tc>
          <w:tcPr>
            <w:tcW w:w="1857" w:type="dxa"/>
          </w:tcPr>
          <w:p w14:paraId="733A866C" w14:textId="77777777" w:rsidR="00607FAB" w:rsidRPr="00E75831" w:rsidRDefault="00607FAB" w:rsidP="00774FC6">
            <w:pPr>
              <w:pStyle w:val="ListParagraph"/>
              <w:numPr>
                <w:ilvl w:val="0"/>
                <w:numId w:val="22"/>
              </w:numPr>
              <w:jc w:val="center"/>
              <w:rPr>
                <w:b/>
                <w:sz w:val="18"/>
                <w:lang w:val="en-AU"/>
              </w:rPr>
            </w:pPr>
          </w:p>
        </w:tc>
        <w:tc>
          <w:tcPr>
            <w:tcW w:w="1857" w:type="dxa"/>
          </w:tcPr>
          <w:p w14:paraId="2743C144" w14:textId="77777777" w:rsidR="00607FAB" w:rsidRPr="00E75831" w:rsidRDefault="00607FAB" w:rsidP="00774FC6">
            <w:pPr>
              <w:pStyle w:val="ListParagraph"/>
              <w:numPr>
                <w:ilvl w:val="0"/>
                <w:numId w:val="22"/>
              </w:numPr>
              <w:jc w:val="center"/>
              <w:rPr>
                <w:b/>
                <w:sz w:val="18"/>
                <w:lang w:val="en-AU"/>
              </w:rPr>
            </w:pPr>
          </w:p>
        </w:tc>
        <w:tc>
          <w:tcPr>
            <w:tcW w:w="1858" w:type="dxa"/>
          </w:tcPr>
          <w:p w14:paraId="6D5A140F" w14:textId="77777777" w:rsidR="00607FAB" w:rsidRPr="00E75831" w:rsidRDefault="00607FAB" w:rsidP="00607FAB">
            <w:pPr>
              <w:jc w:val="center"/>
              <w:rPr>
                <w:b/>
                <w:sz w:val="18"/>
                <w:lang w:val="en-AU"/>
              </w:rPr>
            </w:pPr>
            <w:r w:rsidRPr="00E75831">
              <w:rPr>
                <w:b/>
                <w:sz w:val="18"/>
                <w:lang w:val="en-AU"/>
              </w:rPr>
              <w:t>(3) + (4)</w:t>
            </w:r>
          </w:p>
        </w:tc>
      </w:tr>
      <w:tr w:rsidR="00607FAB" w:rsidRPr="00E75831" w14:paraId="244B4358" w14:textId="77777777" w:rsidTr="00607FAB">
        <w:tc>
          <w:tcPr>
            <w:tcW w:w="1916" w:type="dxa"/>
          </w:tcPr>
          <w:p w14:paraId="7900AC96" w14:textId="77777777" w:rsidR="00607FAB" w:rsidRPr="00E75831" w:rsidRDefault="00607FAB" w:rsidP="00607FAB">
            <w:pPr>
              <w:jc w:val="center"/>
              <w:rPr>
                <w:b/>
                <w:sz w:val="18"/>
                <w:lang w:val="en-AU"/>
              </w:rPr>
            </w:pPr>
            <w:r w:rsidRPr="00E75831">
              <w:rPr>
                <w:b/>
                <w:sz w:val="18"/>
                <w:lang w:val="en-AU"/>
              </w:rPr>
              <w:t>F level in water</w:t>
            </w:r>
          </w:p>
          <w:p w14:paraId="29E9E457" w14:textId="77777777" w:rsidR="00607FAB" w:rsidRPr="00E75831" w:rsidRDefault="00607FAB" w:rsidP="00607FAB">
            <w:pPr>
              <w:jc w:val="center"/>
              <w:rPr>
                <w:b/>
                <w:sz w:val="18"/>
                <w:lang w:val="en-AU"/>
              </w:rPr>
            </w:pPr>
            <w:r w:rsidRPr="00E75831">
              <w:rPr>
                <w:b/>
                <w:sz w:val="18"/>
                <w:lang w:val="en-AU"/>
              </w:rPr>
              <w:t>mg/L</w:t>
            </w:r>
          </w:p>
        </w:tc>
        <w:tc>
          <w:tcPr>
            <w:tcW w:w="1857" w:type="dxa"/>
          </w:tcPr>
          <w:p w14:paraId="0CE99C2D" w14:textId="77777777" w:rsidR="00607FAB" w:rsidRPr="00E75831" w:rsidRDefault="00607FAB" w:rsidP="00607FAB">
            <w:pPr>
              <w:jc w:val="center"/>
              <w:rPr>
                <w:b/>
                <w:sz w:val="18"/>
                <w:lang w:val="en-AU"/>
              </w:rPr>
            </w:pPr>
            <w:r w:rsidRPr="00E75831">
              <w:rPr>
                <w:b/>
                <w:sz w:val="18"/>
                <w:lang w:val="en-AU"/>
              </w:rPr>
              <w:t>F level in IF powder</w:t>
            </w:r>
          </w:p>
          <w:p w14:paraId="79191128" w14:textId="77777777" w:rsidR="00607FAB" w:rsidRPr="00E75831" w:rsidRDefault="00607FAB" w:rsidP="00607FAB">
            <w:pPr>
              <w:jc w:val="center"/>
              <w:rPr>
                <w:b/>
                <w:sz w:val="18"/>
                <w:lang w:val="en-AU"/>
              </w:rPr>
            </w:pPr>
            <w:r w:rsidRPr="00E75831">
              <w:rPr>
                <w:rFonts w:cs="Arial"/>
                <w:b/>
                <w:sz w:val="18"/>
                <w:lang w:val="en-AU"/>
              </w:rPr>
              <w:t>µ</w:t>
            </w:r>
            <w:r w:rsidRPr="00E75831">
              <w:rPr>
                <w:b/>
                <w:sz w:val="18"/>
                <w:lang w:val="en-AU"/>
              </w:rPr>
              <w:t>g/100kJ</w:t>
            </w:r>
          </w:p>
          <w:p w14:paraId="51B42F2E" w14:textId="77777777" w:rsidR="00607FAB" w:rsidRPr="00E75831" w:rsidRDefault="00607FAB" w:rsidP="00607FAB">
            <w:pPr>
              <w:jc w:val="center"/>
              <w:rPr>
                <w:b/>
                <w:sz w:val="18"/>
                <w:lang w:val="en-AU"/>
              </w:rPr>
            </w:pPr>
            <w:r w:rsidRPr="00E75831">
              <w:rPr>
                <w:b/>
                <w:sz w:val="18"/>
                <w:lang w:val="en-AU"/>
              </w:rPr>
              <w:t>(</w:t>
            </w:r>
            <w:r w:rsidRPr="00E75831">
              <w:rPr>
                <w:rFonts w:cs="Arial"/>
                <w:b/>
                <w:sz w:val="18"/>
                <w:lang w:val="en-AU"/>
              </w:rPr>
              <w:t>µ</w:t>
            </w:r>
            <w:r w:rsidRPr="00E75831">
              <w:rPr>
                <w:b/>
                <w:sz w:val="18"/>
                <w:lang w:val="en-AU"/>
              </w:rPr>
              <w:t xml:space="preserve">g/2400 kJ or </w:t>
            </w:r>
            <w:r w:rsidRPr="00E75831">
              <w:rPr>
                <w:rFonts w:cs="Arial"/>
                <w:b/>
                <w:sz w:val="18"/>
                <w:lang w:val="en-AU"/>
              </w:rPr>
              <w:t>µ</w:t>
            </w:r>
            <w:r w:rsidRPr="00E75831">
              <w:rPr>
                <w:b/>
                <w:sz w:val="18"/>
                <w:lang w:val="en-AU"/>
              </w:rPr>
              <w:t>g/day)</w:t>
            </w:r>
          </w:p>
        </w:tc>
        <w:tc>
          <w:tcPr>
            <w:tcW w:w="1857" w:type="dxa"/>
          </w:tcPr>
          <w:p w14:paraId="0882D719" w14:textId="77777777" w:rsidR="00607FAB" w:rsidRPr="00E75831" w:rsidRDefault="00607FAB" w:rsidP="00607FAB">
            <w:pPr>
              <w:jc w:val="center"/>
              <w:rPr>
                <w:b/>
                <w:sz w:val="18"/>
                <w:lang w:val="en-AU"/>
              </w:rPr>
            </w:pPr>
            <w:r w:rsidRPr="00E75831">
              <w:rPr>
                <w:b/>
                <w:sz w:val="18"/>
                <w:lang w:val="en-AU"/>
              </w:rPr>
              <w:t>F intake water</w:t>
            </w:r>
          </w:p>
          <w:p w14:paraId="1E829654" w14:textId="77777777" w:rsidR="00607FAB" w:rsidRPr="00E75831" w:rsidRDefault="00607FAB" w:rsidP="00607FAB">
            <w:pPr>
              <w:jc w:val="center"/>
              <w:rPr>
                <w:b/>
                <w:sz w:val="18"/>
                <w:lang w:val="en-AU"/>
              </w:rPr>
            </w:pPr>
            <w:r w:rsidRPr="00E75831">
              <w:rPr>
                <w:b/>
                <w:sz w:val="18"/>
                <w:lang w:val="en-AU"/>
              </w:rPr>
              <w:t>mg/day</w:t>
            </w:r>
          </w:p>
          <w:p w14:paraId="12CDC97E" w14:textId="77777777" w:rsidR="00607FAB" w:rsidRPr="00E75831" w:rsidRDefault="00607FAB" w:rsidP="00607FAB">
            <w:pPr>
              <w:jc w:val="center"/>
              <w:rPr>
                <w:b/>
                <w:sz w:val="18"/>
                <w:lang w:val="en-AU"/>
              </w:rPr>
            </w:pPr>
            <w:r w:rsidRPr="00E75831">
              <w:rPr>
                <w:b/>
                <w:sz w:val="18"/>
                <w:lang w:val="en-AU"/>
              </w:rPr>
              <w:t>(per 749 mL)</w:t>
            </w:r>
          </w:p>
        </w:tc>
        <w:tc>
          <w:tcPr>
            <w:tcW w:w="1857" w:type="dxa"/>
          </w:tcPr>
          <w:p w14:paraId="7BB7AA5B" w14:textId="77777777" w:rsidR="00607FAB" w:rsidRPr="00E75831" w:rsidRDefault="00607FAB" w:rsidP="00607FAB">
            <w:pPr>
              <w:jc w:val="center"/>
              <w:rPr>
                <w:b/>
                <w:sz w:val="18"/>
                <w:lang w:val="en-AU"/>
              </w:rPr>
            </w:pPr>
            <w:r w:rsidRPr="00E75831">
              <w:rPr>
                <w:b/>
                <w:sz w:val="18"/>
                <w:lang w:val="en-AU"/>
              </w:rPr>
              <w:t>F intake IF powder</w:t>
            </w:r>
          </w:p>
          <w:p w14:paraId="500F5F1E" w14:textId="77777777" w:rsidR="00607FAB" w:rsidRPr="00E75831" w:rsidRDefault="00607FAB" w:rsidP="00607FAB">
            <w:pPr>
              <w:jc w:val="center"/>
              <w:rPr>
                <w:b/>
                <w:sz w:val="18"/>
                <w:lang w:val="en-AU"/>
              </w:rPr>
            </w:pPr>
            <w:r w:rsidRPr="00E75831">
              <w:rPr>
                <w:b/>
                <w:sz w:val="18"/>
                <w:lang w:val="en-AU"/>
              </w:rPr>
              <w:t>mg/day</w:t>
            </w:r>
          </w:p>
          <w:p w14:paraId="78C0D7B0" w14:textId="77777777" w:rsidR="00607FAB" w:rsidRPr="00E75831" w:rsidRDefault="00607FAB" w:rsidP="00607FAB">
            <w:pPr>
              <w:jc w:val="center"/>
              <w:rPr>
                <w:b/>
                <w:sz w:val="18"/>
                <w:lang w:val="en-AU"/>
              </w:rPr>
            </w:pPr>
            <w:r w:rsidRPr="00E75831">
              <w:rPr>
                <w:b/>
                <w:sz w:val="18"/>
                <w:lang w:val="en-AU"/>
              </w:rPr>
              <w:t>(per 104 g)</w:t>
            </w:r>
          </w:p>
        </w:tc>
        <w:tc>
          <w:tcPr>
            <w:tcW w:w="1858" w:type="dxa"/>
          </w:tcPr>
          <w:p w14:paraId="191F7A51" w14:textId="77777777" w:rsidR="00607FAB" w:rsidRPr="00E75831" w:rsidRDefault="00607FAB" w:rsidP="00607FAB">
            <w:pPr>
              <w:jc w:val="center"/>
              <w:rPr>
                <w:b/>
                <w:sz w:val="18"/>
                <w:lang w:val="en-AU"/>
              </w:rPr>
            </w:pPr>
            <w:r w:rsidRPr="00E75831">
              <w:rPr>
                <w:b/>
                <w:sz w:val="18"/>
                <w:lang w:val="en-AU"/>
              </w:rPr>
              <w:t>Total est. F intake</w:t>
            </w:r>
          </w:p>
          <w:p w14:paraId="67A4472C" w14:textId="77777777" w:rsidR="00607FAB" w:rsidRPr="00E75831" w:rsidRDefault="00607FAB" w:rsidP="00607FAB">
            <w:pPr>
              <w:jc w:val="center"/>
              <w:rPr>
                <w:b/>
                <w:sz w:val="18"/>
                <w:lang w:val="en-AU"/>
              </w:rPr>
            </w:pPr>
            <w:r w:rsidRPr="00E75831">
              <w:rPr>
                <w:b/>
                <w:sz w:val="18"/>
                <w:lang w:val="en-AU"/>
              </w:rPr>
              <w:t>mg/day</w:t>
            </w:r>
          </w:p>
        </w:tc>
      </w:tr>
      <w:tr w:rsidR="00607FAB" w:rsidRPr="00E75831" w14:paraId="063D7BCE" w14:textId="77777777" w:rsidTr="00607FAB">
        <w:trPr>
          <w:trHeight w:val="216"/>
        </w:trPr>
        <w:tc>
          <w:tcPr>
            <w:tcW w:w="1916" w:type="dxa"/>
            <w:vMerge w:val="restart"/>
          </w:tcPr>
          <w:p w14:paraId="76635112" w14:textId="77777777" w:rsidR="00607FAB" w:rsidRPr="00E75831" w:rsidRDefault="00607FAB" w:rsidP="00607FAB">
            <w:pPr>
              <w:shd w:val="clear" w:color="auto" w:fill="B6DDE8" w:themeFill="accent5" w:themeFillTint="66"/>
              <w:jc w:val="center"/>
              <w:rPr>
                <w:sz w:val="18"/>
                <w:lang w:val="en-AU"/>
              </w:rPr>
            </w:pPr>
            <w:r w:rsidRPr="00E75831">
              <w:rPr>
                <w:sz w:val="18"/>
                <w:lang w:val="en-AU"/>
              </w:rPr>
              <w:t>Med</w:t>
            </w:r>
            <w:r>
              <w:rPr>
                <w:sz w:val="18"/>
                <w:lang w:val="en-AU"/>
              </w:rPr>
              <w:t>ian level found in Au IF powder</w:t>
            </w:r>
          </w:p>
          <w:p w14:paraId="5B2A1207" w14:textId="77777777" w:rsidR="00607FAB" w:rsidRPr="00E75831" w:rsidRDefault="00607FAB" w:rsidP="00607FAB">
            <w:pPr>
              <w:rPr>
                <w:sz w:val="18"/>
                <w:lang w:val="en-AU"/>
              </w:rPr>
            </w:pPr>
          </w:p>
          <w:p w14:paraId="7802855C" w14:textId="77777777" w:rsidR="00607FAB" w:rsidRPr="00EE2F9D" w:rsidRDefault="00607FAB" w:rsidP="00607FAB">
            <w:pPr>
              <w:jc w:val="center"/>
              <w:rPr>
                <w:b/>
                <w:sz w:val="18"/>
                <w:lang w:val="en-AU"/>
              </w:rPr>
            </w:pPr>
            <w:r w:rsidRPr="00EE2F9D">
              <w:rPr>
                <w:b/>
                <w:sz w:val="18"/>
                <w:lang w:val="en-AU"/>
              </w:rPr>
              <w:t>0</w:t>
            </w:r>
          </w:p>
          <w:p w14:paraId="13C30D11" w14:textId="77777777" w:rsidR="00607FAB" w:rsidRPr="00E75831" w:rsidRDefault="00607FAB" w:rsidP="00607FAB">
            <w:pPr>
              <w:jc w:val="center"/>
              <w:rPr>
                <w:sz w:val="18"/>
                <w:lang w:val="en-AU"/>
              </w:rPr>
            </w:pPr>
            <w:r w:rsidRPr="00E75831">
              <w:rPr>
                <w:sz w:val="18"/>
                <w:shd w:val="clear" w:color="auto" w:fill="C4BC96" w:themeFill="background2" w:themeFillShade="BF"/>
                <w:lang w:val="en-AU"/>
              </w:rPr>
              <w:t>2.9.1 Fluorosis statement required</w:t>
            </w:r>
            <w:r w:rsidRPr="00E75831">
              <w:rPr>
                <w:rFonts w:cs="Arial"/>
                <w:sz w:val="18"/>
                <w:shd w:val="clear" w:color="auto" w:fill="C4BC96" w:themeFill="background2" w:themeFillShade="BF"/>
                <w:lang w:val="en-AU"/>
              </w:rPr>
              <w:t xml:space="preserve"> ˃</w:t>
            </w:r>
            <w:r w:rsidRPr="00E75831">
              <w:rPr>
                <w:sz w:val="18"/>
                <w:shd w:val="clear" w:color="auto" w:fill="C4BC96" w:themeFill="background2" w:themeFillShade="BF"/>
                <w:lang w:val="en-AU"/>
              </w:rPr>
              <w:t xml:space="preserve">17 </w:t>
            </w:r>
            <w:r w:rsidRPr="00E75831">
              <w:rPr>
                <w:rFonts w:cs="Arial"/>
                <w:sz w:val="18"/>
                <w:shd w:val="clear" w:color="auto" w:fill="C4BC96" w:themeFill="background2" w:themeFillShade="BF"/>
                <w:lang w:val="en-AU"/>
              </w:rPr>
              <w:t>µ</w:t>
            </w:r>
            <w:r w:rsidRPr="00E75831">
              <w:rPr>
                <w:sz w:val="18"/>
                <w:shd w:val="clear" w:color="auto" w:fill="C4BC96" w:themeFill="background2" w:themeFillShade="BF"/>
                <w:lang w:val="en-AU"/>
              </w:rPr>
              <w:t>g/100kJ</w:t>
            </w:r>
            <w:r w:rsidRPr="00E75831">
              <w:rPr>
                <w:sz w:val="18"/>
                <w:lang w:val="en-AU"/>
              </w:rPr>
              <w:t xml:space="preserve"> </w:t>
            </w:r>
          </w:p>
        </w:tc>
        <w:tc>
          <w:tcPr>
            <w:tcW w:w="1857" w:type="dxa"/>
          </w:tcPr>
          <w:p w14:paraId="3CD8F55B" w14:textId="77777777" w:rsidR="00607FAB" w:rsidRPr="00E75831" w:rsidRDefault="00607FAB" w:rsidP="00607FAB">
            <w:pPr>
              <w:jc w:val="center"/>
              <w:rPr>
                <w:sz w:val="18"/>
                <w:lang w:val="en-AU"/>
              </w:rPr>
            </w:pPr>
            <w:r w:rsidRPr="00E75831">
              <w:rPr>
                <w:sz w:val="18"/>
                <w:lang w:val="en-AU"/>
              </w:rPr>
              <w:t>0 (0)</w:t>
            </w:r>
          </w:p>
        </w:tc>
        <w:tc>
          <w:tcPr>
            <w:tcW w:w="1857" w:type="dxa"/>
          </w:tcPr>
          <w:p w14:paraId="6A497607" w14:textId="77777777" w:rsidR="00607FAB" w:rsidRPr="00E75831" w:rsidRDefault="00607FAB" w:rsidP="00607FAB">
            <w:pPr>
              <w:jc w:val="center"/>
              <w:rPr>
                <w:sz w:val="18"/>
                <w:lang w:val="en-AU"/>
              </w:rPr>
            </w:pPr>
            <w:r w:rsidRPr="00E75831">
              <w:rPr>
                <w:sz w:val="18"/>
                <w:lang w:val="en-AU"/>
              </w:rPr>
              <w:t>0</w:t>
            </w:r>
          </w:p>
        </w:tc>
        <w:tc>
          <w:tcPr>
            <w:tcW w:w="1857" w:type="dxa"/>
          </w:tcPr>
          <w:p w14:paraId="1F41DFCF" w14:textId="77777777" w:rsidR="00607FAB" w:rsidRPr="00E75831" w:rsidRDefault="00607FAB" w:rsidP="00607FAB">
            <w:pPr>
              <w:jc w:val="center"/>
              <w:rPr>
                <w:sz w:val="18"/>
                <w:lang w:val="en-AU"/>
              </w:rPr>
            </w:pPr>
            <w:r w:rsidRPr="00E75831">
              <w:rPr>
                <w:sz w:val="18"/>
                <w:lang w:val="en-AU"/>
              </w:rPr>
              <w:t>0.00</w:t>
            </w:r>
          </w:p>
        </w:tc>
        <w:tc>
          <w:tcPr>
            <w:tcW w:w="1858" w:type="dxa"/>
          </w:tcPr>
          <w:p w14:paraId="3D33C5F1" w14:textId="77777777" w:rsidR="00607FAB" w:rsidRPr="00E75831" w:rsidRDefault="00607FAB" w:rsidP="00607FAB">
            <w:pPr>
              <w:jc w:val="center"/>
              <w:rPr>
                <w:sz w:val="18"/>
                <w:lang w:val="en-AU"/>
              </w:rPr>
            </w:pPr>
            <w:r w:rsidRPr="00E75831">
              <w:rPr>
                <w:sz w:val="18"/>
                <w:lang w:val="en-AU"/>
              </w:rPr>
              <w:t>0.00</w:t>
            </w:r>
          </w:p>
        </w:tc>
      </w:tr>
      <w:tr w:rsidR="00607FAB" w:rsidRPr="00E75831" w14:paraId="13BE2870" w14:textId="77777777" w:rsidTr="00607FAB">
        <w:trPr>
          <w:trHeight w:val="216"/>
        </w:trPr>
        <w:tc>
          <w:tcPr>
            <w:tcW w:w="1916" w:type="dxa"/>
            <w:vMerge/>
            <w:shd w:val="clear" w:color="auto" w:fill="B6DDE8" w:themeFill="accent5" w:themeFillTint="66"/>
          </w:tcPr>
          <w:p w14:paraId="7FC34BB9" w14:textId="77777777" w:rsidR="00607FAB" w:rsidRPr="00E75831" w:rsidRDefault="00607FAB" w:rsidP="00607FAB">
            <w:pPr>
              <w:jc w:val="center"/>
              <w:rPr>
                <w:sz w:val="18"/>
                <w:lang w:val="en-AU"/>
              </w:rPr>
            </w:pPr>
          </w:p>
        </w:tc>
        <w:tc>
          <w:tcPr>
            <w:tcW w:w="1857" w:type="dxa"/>
            <w:shd w:val="clear" w:color="auto" w:fill="B6DDE8" w:themeFill="accent5" w:themeFillTint="66"/>
          </w:tcPr>
          <w:p w14:paraId="023CF9C3" w14:textId="77777777" w:rsidR="00607FAB" w:rsidRPr="00E75831" w:rsidRDefault="00607FAB" w:rsidP="00607FAB">
            <w:pPr>
              <w:jc w:val="center"/>
              <w:rPr>
                <w:sz w:val="18"/>
                <w:lang w:val="en-AU"/>
              </w:rPr>
            </w:pPr>
            <w:r w:rsidRPr="00E75831">
              <w:rPr>
                <w:sz w:val="18"/>
                <w:lang w:val="en-AU"/>
              </w:rPr>
              <w:t>2 (48)</w:t>
            </w:r>
          </w:p>
        </w:tc>
        <w:tc>
          <w:tcPr>
            <w:tcW w:w="1857" w:type="dxa"/>
            <w:shd w:val="clear" w:color="auto" w:fill="B6DDE8" w:themeFill="accent5" w:themeFillTint="66"/>
          </w:tcPr>
          <w:p w14:paraId="7846638F" w14:textId="77777777" w:rsidR="00607FAB" w:rsidRPr="00E75831" w:rsidRDefault="00607FAB" w:rsidP="00607FAB">
            <w:pPr>
              <w:jc w:val="center"/>
              <w:rPr>
                <w:sz w:val="18"/>
                <w:lang w:val="en-AU"/>
              </w:rPr>
            </w:pPr>
            <w:r w:rsidRPr="00E75831">
              <w:rPr>
                <w:sz w:val="18"/>
                <w:lang w:val="en-AU"/>
              </w:rPr>
              <w:t>0</w:t>
            </w:r>
          </w:p>
        </w:tc>
        <w:tc>
          <w:tcPr>
            <w:tcW w:w="1857" w:type="dxa"/>
            <w:shd w:val="clear" w:color="auto" w:fill="B6DDE8" w:themeFill="accent5" w:themeFillTint="66"/>
          </w:tcPr>
          <w:p w14:paraId="3F666E38" w14:textId="77777777" w:rsidR="00607FAB" w:rsidRPr="00E75831" w:rsidRDefault="00607FAB" w:rsidP="00607FAB">
            <w:pPr>
              <w:jc w:val="center"/>
              <w:rPr>
                <w:sz w:val="18"/>
                <w:lang w:val="en-AU"/>
              </w:rPr>
            </w:pPr>
            <w:r w:rsidRPr="00E75831">
              <w:rPr>
                <w:sz w:val="18"/>
                <w:lang w:val="en-AU"/>
              </w:rPr>
              <w:t>0.05</w:t>
            </w:r>
          </w:p>
        </w:tc>
        <w:tc>
          <w:tcPr>
            <w:tcW w:w="1858" w:type="dxa"/>
            <w:shd w:val="clear" w:color="auto" w:fill="B6DDE8" w:themeFill="accent5" w:themeFillTint="66"/>
          </w:tcPr>
          <w:p w14:paraId="579F4245" w14:textId="77777777" w:rsidR="00607FAB" w:rsidRPr="00E75831" w:rsidRDefault="00607FAB" w:rsidP="00607FAB">
            <w:pPr>
              <w:jc w:val="center"/>
              <w:rPr>
                <w:sz w:val="18"/>
                <w:lang w:val="en-AU"/>
              </w:rPr>
            </w:pPr>
            <w:r w:rsidRPr="00E75831">
              <w:rPr>
                <w:sz w:val="18"/>
                <w:lang w:val="en-AU"/>
              </w:rPr>
              <w:t>0.05</w:t>
            </w:r>
          </w:p>
        </w:tc>
      </w:tr>
      <w:tr w:rsidR="00607FAB" w:rsidRPr="00E75831" w14:paraId="08557223" w14:textId="77777777" w:rsidTr="00607FAB">
        <w:trPr>
          <w:trHeight w:val="216"/>
        </w:trPr>
        <w:tc>
          <w:tcPr>
            <w:tcW w:w="1916" w:type="dxa"/>
            <w:vMerge/>
          </w:tcPr>
          <w:p w14:paraId="0121FC3A" w14:textId="77777777" w:rsidR="00607FAB" w:rsidRPr="00E75831" w:rsidRDefault="00607FAB" w:rsidP="00607FAB">
            <w:pPr>
              <w:jc w:val="center"/>
              <w:rPr>
                <w:sz w:val="18"/>
                <w:lang w:val="en-AU"/>
              </w:rPr>
            </w:pPr>
          </w:p>
        </w:tc>
        <w:tc>
          <w:tcPr>
            <w:tcW w:w="1857" w:type="dxa"/>
          </w:tcPr>
          <w:p w14:paraId="0FD5DEA4" w14:textId="77777777" w:rsidR="00607FAB" w:rsidRPr="00E75831" w:rsidRDefault="00607FAB" w:rsidP="00607FAB">
            <w:pPr>
              <w:jc w:val="center"/>
              <w:rPr>
                <w:sz w:val="18"/>
                <w:lang w:val="en-AU"/>
              </w:rPr>
            </w:pPr>
            <w:r w:rsidRPr="00E75831">
              <w:rPr>
                <w:sz w:val="18"/>
                <w:lang w:val="en-AU"/>
              </w:rPr>
              <w:t>4 (96)</w:t>
            </w:r>
          </w:p>
        </w:tc>
        <w:tc>
          <w:tcPr>
            <w:tcW w:w="1857" w:type="dxa"/>
          </w:tcPr>
          <w:p w14:paraId="1ACAFB72" w14:textId="77777777" w:rsidR="00607FAB" w:rsidRPr="00E75831" w:rsidRDefault="00607FAB" w:rsidP="00607FAB">
            <w:pPr>
              <w:jc w:val="center"/>
              <w:rPr>
                <w:sz w:val="18"/>
                <w:lang w:val="en-AU"/>
              </w:rPr>
            </w:pPr>
            <w:r w:rsidRPr="00E75831">
              <w:rPr>
                <w:sz w:val="18"/>
                <w:lang w:val="en-AU"/>
              </w:rPr>
              <w:t>0</w:t>
            </w:r>
          </w:p>
        </w:tc>
        <w:tc>
          <w:tcPr>
            <w:tcW w:w="1857" w:type="dxa"/>
          </w:tcPr>
          <w:p w14:paraId="781CF66D" w14:textId="77777777" w:rsidR="00607FAB" w:rsidRPr="00E75831" w:rsidRDefault="00607FAB" w:rsidP="00607FAB">
            <w:pPr>
              <w:jc w:val="center"/>
              <w:rPr>
                <w:sz w:val="18"/>
                <w:lang w:val="en-AU"/>
              </w:rPr>
            </w:pPr>
            <w:r w:rsidRPr="00E75831">
              <w:rPr>
                <w:sz w:val="18"/>
                <w:lang w:val="en-AU"/>
              </w:rPr>
              <w:t>0.10</w:t>
            </w:r>
          </w:p>
        </w:tc>
        <w:tc>
          <w:tcPr>
            <w:tcW w:w="1858" w:type="dxa"/>
          </w:tcPr>
          <w:p w14:paraId="0A26AA07" w14:textId="77777777" w:rsidR="00607FAB" w:rsidRPr="00E75831" w:rsidRDefault="00607FAB" w:rsidP="00607FAB">
            <w:pPr>
              <w:jc w:val="center"/>
              <w:rPr>
                <w:sz w:val="18"/>
                <w:lang w:val="en-AU"/>
              </w:rPr>
            </w:pPr>
            <w:r w:rsidRPr="00E75831">
              <w:rPr>
                <w:sz w:val="18"/>
                <w:lang w:val="en-AU"/>
              </w:rPr>
              <w:t>0.10</w:t>
            </w:r>
          </w:p>
        </w:tc>
      </w:tr>
      <w:tr w:rsidR="00607FAB" w:rsidRPr="00E75831" w14:paraId="113D89DD" w14:textId="77777777" w:rsidTr="00607FAB">
        <w:trPr>
          <w:trHeight w:val="216"/>
        </w:trPr>
        <w:tc>
          <w:tcPr>
            <w:tcW w:w="1916" w:type="dxa"/>
            <w:vMerge/>
          </w:tcPr>
          <w:p w14:paraId="510866E8" w14:textId="77777777" w:rsidR="00607FAB" w:rsidRPr="00E75831" w:rsidRDefault="00607FAB" w:rsidP="00607FAB">
            <w:pPr>
              <w:jc w:val="center"/>
              <w:rPr>
                <w:sz w:val="18"/>
                <w:lang w:val="en-AU"/>
              </w:rPr>
            </w:pPr>
          </w:p>
        </w:tc>
        <w:tc>
          <w:tcPr>
            <w:tcW w:w="1857" w:type="dxa"/>
          </w:tcPr>
          <w:p w14:paraId="4A60A2FB" w14:textId="77777777" w:rsidR="00607FAB" w:rsidRPr="00E75831" w:rsidRDefault="00607FAB" w:rsidP="00607FAB">
            <w:pPr>
              <w:jc w:val="center"/>
              <w:rPr>
                <w:sz w:val="18"/>
                <w:lang w:val="en-AU"/>
              </w:rPr>
            </w:pPr>
            <w:r w:rsidRPr="00E75831">
              <w:rPr>
                <w:sz w:val="18"/>
                <w:lang w:val="en-AU"/>
              </w:rPr>
              <w:t>8 (192)</w:t>
            </w:r>
          </w:p>
        </w:tc>
        <w:tc>
          <w:tcPr>
            <w:tcW w:w="1857" w:type="dxa"/>
          </w:tcPr>
          <w:p w14:paraId="785942B5" w14:textId="77777777" w:rsidR="00607FAB" w:rsidRPr="00E75831" w:rsidRDefault="00607FAB" w:rsidP="00607FAB">
            <w:pPr>
              <w:jc w:val="center"/>
              <w:rPr>
                <w:sz w:val="18"/>
                <w:lang w:val="en-AU"/>
              </w:rPr>
            </w:pPr>
            <w:r w:rsidRPr="00E75831">
              <w:rPr>
                <w:sz w:val="18"/>
                <w:lang w:val="en-AU"/>
              </w:rPr>
              <w:t>0</w:t>
            </w:r>
          </w:p>
        </w:tc>
        <w:tc>
          <w:tcPr>
            <w:tcW w:w="1857" w:type="dxa"/>
          </w:tcPr>
          <w:p w14:paraId="13611D8E" w14:textId="77777777" w:rsidR="00607FAB" w:rsidRPr="00E75831" w:rsidRDefault="00607FAB" w:rsidP="00607FAB">
            <w:pPr>
              <w:jc w:val="center"/>
              <w:rPr>
                <w:sz w:val="18"/>
                <w:lang w:val="en-AU"/>
              </w:rPr>
            </w:pPr>
            <w:r w:rsidRPr="00E75831">
              <w:rPr>
                <w:sz w:val="18"/>
                <w:lang w:val="en-AU"/>
              </w:rPr>
              <w:t>0.19</w:t>
            </w:r>
          </w:p>
        </w:tc>
        <w:tc>
          <w:tcPr>
            <w:tcW w:w="1858" w:type="dxa"/>
          </w:tcPr>
          <w:p w14:paraId="0FB7978C" w14:textId="77777777" w:rsidR="00607FAB" w:rsidRPr="00E75831" w:rsidRDefault="00607FAB" w:rsidP="00607FAB">
            <w:pPr>
              <w:jc w:val="center"/>
              <w:rPr>
                <w:sz w:val="18"/>
                <w:lang w:val="en-AU"/>
              </w:rPr>
            </w:pPr>
            <w:r w:rsidRPr="00E75831">
              <w:rPr>
                <w:sz w:val="18"/>
                <w:lang w:val="en-AU"/>
              </w:rPr>
              <w:t>0.19</w:t>
            </w:r>
          </w:p>
        </w:tc>
      </w:tr>
      <w:tr w:rsidR="00607FAB" w:rsidRPr="00E75831" w14:paraId="5E4CAFC7" w14:textId="77777777" w:rsidTr="00607FAB">
        <w:trPr>
          <w:trHeight w:val="216"/>
        </w:trPr>
        <w:tc>
          <w:tcPr>
            <w:tcW w:w="1916" w:type="dxa"/>
            <w:vMerge/>
          </w:tcPr>
          <w:p w14:paraId="00DE9903" w14:textId="77777777" w:rsidR="00607FAB" w:rsidRPr="00E75831" w:rsidRDefault="00607FAB" w:rsidP="00607FAB">
            <w:pPr>
              <w:jc w:val="center"/>
              <w:rPr>
                <w:sz w:val="18"/>
                <w:lang w:val="en-AU"/>
              </w:rPr>
            </w:pPr>
          </w:p>
        </w:tc>
        <w:tc>
          <w:tcPr>
            <w:tcW w:w="1857" w:type="dxa"/>
          </w:tcPr>
          <w:p w14:paraId="76A0C4A1" w14:textId="77777777" w:rsidR="00607FAB" w:rsidRPr="00E75831" w:rsidRDefault="00607FAB" w:rsidP="00607FAB">
            <w:pPr>
              <w:jc w:val="center"/>
              <w:rPr>
                <w:sz w:val="18"/>
                <w:lang w:val="en-AU"/>
              </w:rPr>
            </w:pPr>
            <w:r w:rsidRPr="00E75831">
              <w:rPr>
                <w:sz w:val="18"/>
                <w:lang w:val="en-AU"/>
              </w:rPr>
              <w:t>16 (384)</w:t>
            </w:r>
          </w:p>
        </w:tc>
        <w:tc>
          <w:tcPr>
            <w:tcW w:w="1857" w:type="dxa"/>
          </w:tcPr>
          <w:p w14:paraId="10A44BB4" w14:textId="77777777" w:rsidR="00607FAB" w:rsidRPr="00E75831" w:rsidRDefault="00607FAB" w:rsidP="00607FAB">
            <w:pPr>
              <w:jc w:val="center"/>
              <w:rPr>
                <w:sz w:val="18"/>
                <w:lang w:val="en-AU"/>
              </w:rPr>
            </w:pPr>
            <w:r w:rsidRPr="00E75831">
              <w:rPr>
                <w:sz w:val="18"/>
                <w:lang w:val="en-AU"/>
              </w:rPr>
              <w:t>0</w:t>
            </w:r>
          </w:p>
        </w:tc>
        <w:tc>
          <w:tcPr>
            <w:tcW w:w="1857" w:type="dxa"/>
          </w:tcPr>
          <w:p w14:paraId="09F8F71C" w14:textId="77777777" w:rsidR="00607FAB" w:rsidRPr="00E75831" w:rsidRDefault="00607FAB" w:rsidP="00607FAB">
            <w:pPr>
              <w:jc w:val="center"/>
              <w:rPr>
                <w:sz w:val="18"/>
                <w:lang w:val="en-AU"/>
              </w:rPr>
            </w:pPr>
            <w:r w:rsidRPr="00E75831">
              <w:rPr>
                <w:sz w:val="18"/>
                <w:lang w:val="en-AU"/>
              </w:rPr>
              <w:t>0.38</w:t>
            </w:r>
          </w:p>
        </w:tc>
        <w:tc>
          <w:tcPr>
            <w:tcW w:w="1858" w:type="dxa"/>
          </w:tcPr>
          <w:p w14:paraId="2F2CA1EC" w14:textId="77777777" w:rsidR="00607FAB" w:rsidRPr="00E75831" w:rsidRDefault="00607FAB" w:rsidP="00607FAB">
            <w:pPr>
              <w:jc w:val="center"/>
              <w:rPr>
                <w:sz w:val="18"/>
                <w:lang w:val="en-AU"/>
              </w:rPr>
            </w:pPr>
            <w:r w:rsidRPr="00E75831">
              <w:rPr>
                <w:sz w:val="18"/>
                <w:lang w:val="en-AU"/>
              </w:rPr>
              <w:t>0.38</w:t>
            </w:r>
          </w:p>
        </w:tc>
      </w:tr>
      <w:tr w:rsidR="00607FAB" w:rsidRPr="00E75831" w14:paraId="63371C41" w14:textId="77777777" w:rsidTr="00607FAB">
        <w:trPr>
          <w:trHeight w:val="216"/>
        </w:trPr>
        <w:tc>
          <w:tcPr>
            <w:tcW w:w="1916" w:type="dxa"/>
            <w:vMerge/>
          </w:tcPr>
          <w:p w14:paraId="3F00455A" w14:textId="77777777" w:rsidR="00607FAB" w:rsidRPr="00E75831" w:rsidRDefault="00607FAB" w:rsidP="00607FAB">
            <w:pPr>
              <w:jc w:val="center"/>
              <w:rPr>
                <w:sz w:val="18"/>
                <w:lang w:val="en-AU"/>
              </w:rPr>
            </w:pPr>
          </w:p>
        </w:tc>
        <w:tc>
          <w:tcPr>
            <w:tcW w:w="1857" w:type="dxa"/>
            <w:shd w:val="clear" w:color="auto" w:fill="C4BC96" w:themeFill="background2" w:themeFillShade="BF"/>
          </w:tcPr>
          <w:p w14:paraId="0871624B" w14:textId="77777777" w:rsidR="00607FAB" w:rsidRPr="00E75831" w:rsidRDefault="00607FAB" w:rsidP="00607FAB">
            <w:pPr>
              <w:jc w:val="center"/>
              <w:rPr>
                <w:sz w:val="18"/>
                <w:lang w:val="en-AU"/>
              </w:rPr>
            </w:pPr>
            <w:r w:rsidRPr="00E75831">
              <w:rPr>
                <w:sz w:val="18"/>
                <w:lang w:val="en-AU"/>
              </w:rPr>
              <w:t>20 (480)</w:t>
            </w:r>
          </w:p>
        </w:tc>
        <w:tc>
          <w:tcPr>
            <w:tcW w:w="1857" w:type="dxa"/>
            <w:shd w:val="clear" w:color="auto" w:fill="C4BC96" w:themeFill="background2" w:themeFillShade="BF"/>
          </w:tcPr>
          <w:p w14:paraId="00D48D80" w14:textId="77777777" w:rsidR="00607FAB" w:rsidRPr="00E75831" w:rsidRDefault="00607FAB" w:rsidP="00607FAB">
            <w:pPr>
              <w:jc w:val="center"/>
              <w:rPr>
                <w:sz w:val="18"/>
                <w:lang w:val="en-AU"/>
              </w:rPr>
            </w:pPr>
            <w:r w:rsidRPr="00E75831">
              <w:rPr>
                <w:sz w:val="18"/>
                <w:lang w:val="en-AU"/>
              </w:rPr>
              <w:t>0</w:t>
            </w:r>
          </w:p>
        </w:tc>
        <w:tc>
          <w:tcPr>
            <w:tcW w:w="1857" w:type="dxa"/>
            <w:shd w:val="clear" w:color="auto" w:fill="C4BC96" w:themeFill="background2" w:themeFillShade="BF"/>
          </w:tcPr>
          <w:p w14:paraId="75450817" w14:textId="77777777" w:rsidR="00607FAB" w:rsidRPr="00E75831" w:rsidRDefault="00607FAB" w:rsidP="00607FAB">
            <w:pPr>
              <w:jc w:val="center"/>
              <w:rPr>
                <w:sz w:val="18"/>
                <w:lang w:val="en-AU"/>
              </w:rPr>
            </w:pPr>
            <w:r w:rsidRPr="00E75831">
              <w:rPr>
                <w:sz w:val="18"/>
                <w:lang w:val="en-AU"/>
              </w:rPr>
              <w:t>0.48</w:t>
            </w:r>
          </w:p>
        </w:tc>
        <w:tc>
          <w:tcPr>
            <w:tcW w:w="1858" w:type="dxa"/>
            <w:shd w:val="clear" w:color="auto" w:fill="C4BC96" w:themeFill="background2" w:themeFillShade="BF"/>
          </w:tcPr>
          <w:p w14:paraId="74545B15" w14:textId="77777777" w:rsidR="00607FAB" w:rsidRPr="00E75831" w:rsidRDefault="00607FAB" w:rsidP="00607FAB">
            <w:pPr>
              <w:jc w:val="center"/>
              <w:rPr>
                <w:sz w:val="18"/>
                <w:lang w:val="en-AU"/>
              </w:rPr>
            </w:pPr>
            <w:r w:rsidRPr="00E75831">
              <w:rPr>
                <w:sz w:val="18"/>
                <w:lang w:val="en-AU"/>
              </w:rPr>
              <w:t>0.48</w:t>
            </w:r>
          </w:p>
        </w:tc>
      </w:tr>
      <w:tr w:rsidR="00607FAB" w:rsidRPr="00E75831" w14:paraId="7B9D514A" w14:textId="77777777" w:rsidTr="00607FAB">
        <w:trPr>
          <w:trHeight w:val="216"/>
        </w:trPr>
        <w:tc>
          <w:tcPr>
            <w:tcW w:w="1916" w:type="dxa"/>
            <w:shd w:val="clear" w:color="auto" w:fill="C2D69B" w:themeFill="accent3" w:themeFillTint="99"/>
          </w:tcPr>
          <w:p w14:paraId="5443CB8B" w14:textId="77777777" w:rsidR="00607FAB" w:rsidRPr="00E75831" w:rsidRDefault="00607FAB" w:rsidP="00607FAB">
            <w:pPr>
              <w:jc w:val="center"/>
              <w:rPr>
                <w:sz w:val="18"/>
                <w:lang w:val="en-AU"/>
              </w:rPr>
            </w:pPr>
            <w:r w:rsidRPr="00E75831">
              <w:rPr>
                <w:sz w:val="18"/>
                <w:lang w:val="en-AU"/>
              </w:rPr>
              <w:t>STAN 72-1981 max</w:t>
            </w:r>
          </w:p>
        </w:tc>
        <w:tc>
          <w:tcPr>
            <w:tcW w:w="1857" w:type="dxa"/>
            <w:shd w:val="clear" w:color="auto" w:fill="C2D69B" w:themeFill="accent3" w:themeFillTint="99"/>
          </w:tcPr>
          <w:p w14:paraId="47E47CD8" w14:textId="77777777" w:rsidR="00607FAB" w:rsidRPr="00E75831" w:rsidRDefault="00607FAB" w:rsidP="00607FAB">
            <w:pPr>
              <w:jc w:val="center"/>
              <w:rPr>
                <w:sz w:val="18"/>
                <w:lang w:val="en-AU"/>
              </w:rPr>
            </w:pPr>
            <w:r w:rsidRPr="00E75831">
              <w:rPr>
                <w:sz w:val="18"/>
                <w:lang w:val="en-AU"/>
              </w:rPr>
              <w:t>24 (576)</w:t>
            </w:r>
          </w:p>
        </w:tc>
        <w:tc>
          <w:tcPr>
            <w:tcW w:w="1857" w:type="dxa"/>
            <w:shd w:val="clear" w:color="auto" w:fill="C2D69B" w:themeFill="accent3" w:themeFillTint="99"/>
          </w:tcPr>
          <w:p w14:paraId="23965325" w14:textId="77777777" w:rsidR="00607FAB" w:rsidRPr="00E75831" w:rsidRDefault="00607FAB" w:rsidP="00607FAB">
            <w:pPr>
              <w:jc w:val="center"/>
              <w:rPr>
                <w:sz w:val="18"/>
                <w:lang w:val="en-AU"/>
              </w:rPr>
            </w:pPr>
            <w:r w:rsidRPr="00E75831">
              <w:rPr>
                <w:sz w:val="18"/>
                <w:lang w:val="en-AU"/>
              </w:rPr>
              <w:t>0</w:t>
            </w:r>
          </w:p>
        </w:tc>
        <w:tc>
          <w:tcPr>
            <w:tcW w:w="1857" w:type="dxa"/>
            <w:shd w:val="clear" w:color="auto" w:fill="C2D69B" w:themeFill="accent3" w:themeFillTint="99"/>
          </w:tcPr>
          <w:p w14:paraId="590082C3" w14:textId="77777777" w:rsidR="00607FAB" w:rsidRPr="00E75831" w:rsidRDefault="00607FAB" w:rsidP="00607FAB">
            <w:pPr>
              <w:jc w:val="center"/>
              <w:rPr>
                <w:sz w:val="18"/>
                <w:lang w:val="en-AU"/>
              </w:rPr>
            </w:pPr>
            <w:r w:rsidRPr="00E75831">
              <w:rPr>
                <w:sz w:val="18"/>
                <w:lang w:val="en-AU"/>
              </w:rPr>
              <w:t>0.58</w:t>
            </w:r>
          </w:p>
        </w:tc>
        <w:tc>
          <w:tcPr>
            <w:tcW w:w="1858" w:type="dxa"/>
            <w:shd w:val="clear" w:color="auto" w:fill="C2D69B" w:themeFill="accent3" w:themeFillTint="99"/>
          </w:tcPr>
          <w:p w14:paraId="03A56842" w14:textId="77777777" w:rsidR="00607FAB" w:rsidRPr="00E75831" w:rsidRDefault="00607FAB" w:rsidP="00607FAB">
            <w:pPr>
              <w:jc w:val="center"/>
              <w:rPr>
                <w:sz w:val="18"/>
                <w:lang w:val="en-AU"/>
              </w:rPr>
            </w:pPr>
            <w:r w:rsidRPr="00E75831">
              <w:rPr>
                <w:sz w:val="18"/>
                <w:lang w:val="en-AU"/>
              </w:rPr>
              <w:t>0.58</w:t>
            </w:r>
          </w:p>
        </w:tc>
      </w:tr>
      <w:tr w:rsidR="00607FAB" w:rsidRPr="00E75831" w14:paraId="4B5294E6" w14:textId="77777777" w:rsidTr="00607FAB">
        <w:trPr>
          <w:trHeight w:val="216"/>
        </w:trPr>
        <w:tc>
          <w:tcPr>
            <w:tcW w:w="1916" w:type="dxa"/>
          </w:tcPr>
          <w:p w14:paraId="5D446F41" w14:textId="77777777" w:rsidR="00607FAB" w:rsidRPr="00E75831" w:rsidRDefault="00607FAB" w:rsidP="00607FAB">
            <w:pPr>
              <w:jc w:val="center"/>
              <w:rPr>
                <w:sz w:val="18"/>
                <w:lang w:val="en-AU"/>
              </w:rPr>
            </w:pPr>
          </w:p>
        </w:tc>
        <w:tc>
          <w:tcPr>
            <w:tcW w:w="1857" w:type="dxa"/>
            <w:shd w:val="clear" w:color="auto" w:fill="C4BC96" w:themeFill="background2" w:themeFillShade="BF"/>
          </w:tcPr>
          <w:p w14:paraId="256CF5B2" w14:textId="77777777" w:rsidR="00607FAB" w:rsidRPr="00E75831" w:rsidRDefault="00607FAB" w:rsidP="00607FAB">
            <w:pPr>
              <w:jc w:val="center"/>
              <w:rPr>
                <w:sz w:val="18"/>
                <w:lang w:val="en-AU"/>
              </w:rPr>
            </w:pPr>
            <w:r w:rsidRPr="00E75831">
              <w:rPr>
                <w:sz w:val="18"/>
                <w:lang w:val="en-AU"/>
              </w:rPr>
              <w:t>25 (600)</w:t>
            </w:r>
          </w:p>
        </w:tc>
        <w:tc>
          <w:tcPr>
            <w:tcW w:w="1857" w:type="dxa"/>
            <w:shd w:val="clear" w:color="auto" w:fill="C4BC96" w:themeFill="background2" w:themeFillShade="BF"/>
          </w:tcPr>
          <w:p w14:paraId="601A6269" w14:textId="77777777" w:rsidR="00607FAB" w:rsidRPr="00E75831" w:rsidRDefault="00607FAB" w:rsidP="00607FAB">
            <w:pPr>
              <w:jc w:val="center"/>
              <w:rPr>
                <w:sz w:val="18"/>
                <w:lang w:val="en-AU"/>
              </w:rPr>
            </w:pPr>
            <w:r w:rsidRPr="00E75831">
              <w:rPr>
                <w:sz w:val="18"/>
                <w:lang w:val="en-AU"/>
              </w:rPr>
              <w:t>0</w:t>
            </w:r>
          </w:p>
        </w:tc>
        <w:tc>
          <w:tcPr>
            <w:tcW w:w="1857" w:type="dxa"/>
            <w:shd w:val="clear" w:color="auto" w:fill="C4BC96" w:themeFill="background2" w:themeFillShade="BF"/>
          </w:tcPr>
          <w:p w14:paraId="6F3E518D" w14:textId="77777777" w:rsidR="00607FAB" w:rsidRPr="00E75831" w:rsidRDefault="00607FAB" w:rsidP="00607FAB">
            <w:pPr>
              <w:jc w:val="center"/>
              <w:rPr>
                <w:sz w:val="18"/>
                <w:lang w:val="en-AU"/>
              </w:rPr>
            </w:pPr>
            <w:r w:rsidRPr="00E75831">
              <w:rPr>
                <w:sz w:val="18"/>
                <w:lang w:val="en-AU"/>
              </w:rPr>
              <w:t>0.60</w:t>
            </w:r>
          </w:p>
        </w:tc>
        <w:tc>
          <w:tcPr>
            <w:tcW w:w="1858" w:type="dxa"/>
            <w:shd w:val="clear" w:color="auto" w:fill="C4BC96" w:themeFill="background2" w:themeFillShade="BF"/>
          </w:tcPr>
          <w:p w14:paraId="44CB6E48" w14:textId="77777777" w:rsidR="00607FAB" w:rsidRPr="00E75831" w:rsidRDefault="00607FAB" w:rsidP="00607FAB">
            <w:pPr>
              <w:jc w:val="center"/>
              <w:rPr>
                <w:sz w:val="18"/>
                <w:lang w:val="en-AU"/>
              </w:rPr>
            </w:pPr>
            <w:r w:rsidRPr="00E75831">
              <w:rPr>
                <w:sz w:val="18"/>
                <w:lang w:val="en-AU"/>
              </w:rPr>
              <w:t>0.60</w:t>
            </w:r>
          </w:p>
        </w:tc>
      </w:tr>
      <w:tr w:rsidR="00607FAB" w:rsidRPr="00E75831" w14:paraId="4CFC07C0" w14:textId="77777777" w:rsidTr="00607FAB">
        <w:trPr>
          <w:trHeight w:val="180"/>
        </w:trPr>
        <w:tc>
          <w:tcPr>
            <w:tcW w:w="1916" w:type="dxa"/>
            <w:vMerge w:val="restart"/>
          </w:tcPr>
          <w:p w14:paraId="3A27261A" w14:textId="77777777" w:rsidR="00607FAB" w:rsidRPr="00E75831" w:rsidRDefault="00607FAB" w:rsidP="00607FAB">
            <w:pPr>
              <w:shd w:val="clear" w:color="auto" w:fill="B6DDE8" w:themeFill="accent5" w:themeFillTint="66"/>
              <w:jc w:val="center"/>
              <w:rPr>
                <w:sz w:val="18"/>
                <w:lang w:val="en-AU"/>
              </w:rPr>
            </w:pPr>
            <w:r w:rsidRPr="00E75831">
              <w:rPr>
                <w:sz w:val="18"/>
                <w:lang w:val="en-AU"/>
              </w:rPr>
              <w:t>Median level found in Au IF powder</w:t>
            </w:r>
          </w:p>
          <w:p w14:paraId="0AED9887" w14:textId="77777777" w:rsidR="00607FAB" w:rsidRPr="00E75831" w:rsidRDefault="00607FAB" w:rsidP="00607FAB">
            <w:pPr>
              <w:jc w:val="center"/>
              <w:rPr>
                <w:sz w:val="18"/>
                <w:lang w:val="en-AU"/>
              </w:rPr>
            </w:pPr>
          </w:p>
          <w:p w14:paraId="580127CB" w14:textId="77777777" w:rsidR="00607FAB" w:rsidRPr="00EE2F9D" w:rsidRDefault="00607FAB" w:rsidP="00607FAB">
            <w:pPr>
              <w:jc w:val="center"/>
              <w:rPr>
                <w:b/>
                <w:sz w:val="18"/>
                <w:lang w:val="en-AU"/>
              </w:rPr>
            </w:pPr>
            <w:r>
              <w:rPr>
                <w:b/>
                <w:sz w:val="18"/>
                <w:lang w:val="en-AU"/>
              </w:rPr>
              <w:t>0.5</w:t>
            </w:r>
          </w:p>
          <w:p w14:paraId="3F606BCA" w14:textId="77777777" w:rsidR="00607FAB" w:rsidRPr="00E75831" w:rsidRDefault="00607FAB" w:rsidP="00607FAB">
            <w:pPr>
              <w:jc w:val="center"/>
              <w:rPr>
                <w:sz w:val="18"/>
                <w:lang w:val="en-AU"/>
              </w:rPr>
            </w:pPr>
            <w:r w:rsidRPr="00E75831">
              <w:rPr>
                <w:sz w:val="18"/>
                <w:shd w:val="clear" w:color="auto" w:fill="C4BC96" w:themeFill="background2" w:themeFillShade="BF"/>
                <w:lang w:val="en-AU"/>
              </w:rPr>
              <w:t>2.9.1 Fluorosis statement required</w:t>
            </w:r>
            <w:r w:rsidRPr="00E75831">
              <w:rPr>
                <w:rFonts w:cs="Arial"/>
                <w:sz w:val="18"/>
                <w:shd w:val="clear" w:color="auto" w:fill="C4BC96" w:themeFill="background2" w:themeFillShade="BF"/>
                <w:lang w:val="en-AU"/>
              </w:rPr>
              <w:t xml:space="preserve"> ˃</w:t>
            </w:r>
            <w:r w:rsidRPr="00E75831">
              <w:rPr>
                <w:sz w:val="18"/>
                <w:shd w:val="clear" w:color="auto" w:fill="C4BC96" w:themeFill="background2" w:themeFillShade="BF"/>
                <w:lang w:val="en-AU"/>
              </w:rPr>
              <w:t xml:space="preserve">17 </w:t>
            </w:r>
            <w:r w:rsidRPr="00E75831">
              <w:rPr>
                <w:rFonts w:cs="Arial"/>
                <w:sz w:val="18"/>
                <w:shd w:val="clear" w:color="auto" w:fill="C4BC96" w:themeFill="background2" w:themeFillShade="BF"/>
                <w:lang w:val="en-AU"/>
              </w:rPr>
              <w:t>µ</w:t>
            </w:r>
            <w:r w:rsidRPr="00E75831">
              <w:rPr>
                <w:sz w:val="18"/>
                <w:shd w:val="clear" w:color="auto" w:fill="C4BC96" w:themeFill="background2" w:themeFillShade="BF"/>
                <w:lang w:val="en-AU"/>
              </w:rPr>
              <w:t>g/100kJ</w:t>
            </w:r>
            <w:r w:rsidRPr="00E75831">
              <w:rPr>
                <w:sz w:val="18"/>
                <w:lang w:val="en-AU"/>
              </w:rPr>
              <w:t xml:space="preserve"> </w:t>
            </w:r>
          </w:p>
        </w:tc>
        <w:tc>
          <w:tcPr>
            <w:tcW w:w="1857" w:type="dxa"/>
          </w:tcPr>
          <w:p w14:paraId="71140470" w14:textId="77777777" w:rsidR="00607FAB" w:rsidRPr="00E75831" w:rsidRDefault="00607FAB" w:rsidP="00607FAB">
            <w:pPr>
              <w:jc w:val="center"/>
              <w:rPr>
                <w:sz w:val="18"/>
                <w:lang w:val="en-AU"/>
              </w:rPr>
            </w:pPr>
            <w:r w:rsidRPr="00E75831">
              <w:rPr>
                <w:sz w:val="18"/>
                <w:lang w:val="en-AU"/>
              </w:rPr>
              <w:t>0 (0)</w:t>
            </w:r>
          </w:p>
        </w:tc>
        <w:tc>
          <w:tcPr>
            <w:tcW w:w="1857" w:type="dxa"/>
          </w:tcPr>
          <w:p w14:paraId="27FB37A6" w14:textId="77777777" w:rsidR="00607FAB" w:rsidRPr="00E75831" w:rsidRDefault="00607FAB" w:rsidP="00607FAB">
            <w:pPr>
              <w:jc w:val="center"/>
              <w:rPr>
                <w:sz w:val="18"/>
                <w:lang w:val="en-AU"/>
              </w:rPr>
            </w:pPr>
            <w:r w:rsidRPr="00E75831">
              <w:rPr>
                <w:sz w:val="18"/>
                <w:lang w:val="en-AU"/>
              </w:rPr>
              <w:t>0</w:t>
            </w:r>
          </w:p>
        </w:tc>
        <w:tc>
          <w:tcPr>
            <w:tcW w:w="1857" w:type="dxa"/>
          </w:tcPr>
          <w:p w14:paraId="6B9291A0" w14:textId="77777777" w:rsidR="00607FAB" w:rsidRPr="00E75831" w:rsidRDefault="00607FAB" w:rsidP="00607FAB">
            <w:pPr>
              <w:jc w:val="center"/>
              <w:rPr>
                <w:sz w:val="18"/>
                <w:lang w:val="en-AU"/>
              </w:rPr>
            </w:pPr>
            <w:r w:rsidRPr="00E75831">
              <w:rPr>
                <w:sz w:val="18"/>
                <w:lang w:val="en-AU"/>
              </w:rPr>
              <w:t>0</w:t>
            </w:r>
          </w:p>
        </w:tc>
        <w:tc>
          <w:tcPr>
            <w:tcW w:w="1858" w:type="dxa"/>
          </w:tcPr>
          <w:p w14:paraId="70E99B69" w14:textId="77777777" w:rsidR="00607FAB" w:rsidRPr="00E75831" w:rsidRDefault="00607FAB" w:rsidP="00607FAB">
            <w:pPr>
              <w:jc w:val="center"/>
              <w:rPr>
                <w:sz w:val="18"/>
                <w:lang w:val="en-AU"/>
              </w:rPr>
            </w:pPr>
            <w:r w:rsidRPr="00E75831">
              <w:rPr>
                <w:sz w:val="18"/>
                <w:lang w:val="en-AU"/>
              </w:rPr>
              <w:t>0.00</w:t>
            </w:r>
          </w:p>
        </w:tc>
      </w:tr>
      <w:tr w:rsidR="00607FAB" w:rsidRPr="00E75831" w14:paraId="06004FD7" w14:textId="77777777" w:rsidTr="00607FAB">
        <w:trPr>
          <w:trHeight w:val="180"/>
        </w:trPr>
        <w:tc>
          <w:tcPr>
            <w:tcW w:w="1916" w:type="dxa"/>
            <w:vMerge/>
            <w:shd w:val="clear" w:color="auto" w:fill="B6DDE8" w:themeFill="accent5" w:themeFillTint="66"/>
          </w:tcPr>
          <w:p w14:paraId="7BC22D48" w14:textId="77777777" w:rsidR="00607FAB" w:rsidRPr="00E75831" w:rsidRDefault="00607FAB" w:rsidP="00607FAB">
            <w:pPr>
              <w:jc w:val="center"/>
              <w:rPr>
                <w:sz w:val="18"/>
                <w:lang w:val="en-AU"/>
              </w:rPr>
            </w:pPr>
          </w:p>
        </w:tc>
        <w:tc>
          <w:tcPr>
            <w:tcW w:w="1857" w:type="dxa"/>
            <w:shd w:val="clear" w:color="auto" w:fill="B6DDE8" w:themeFill="accent5" w:themeFillTint="66"/>
          </w:tcPr>
          <w:p w14:paraId="63502FDF" w14:textId="77777777" w:rsidR="00607FAB" w:rsidRPr="00E75831" w:rsidRDefault="00607FAB" w:rsidP="00607FAB">
            <w:pPr>
              <w:jc w:val="center"/>
              <w:rPr>
                <w:sz w:val="18"/>
                <w:lang w:val="en-AU"/>
              </w:rPr>
            </w:pPr>
            <w:r w:rsidRPr="00E75831">
              <w:rPr>
                <w:sz w:val="18"/>
                <w:lang w:val="en-AU"/>
              </w:rPr>
              <w:t>2 (48)</w:t>
            </w:r>
          </w:p>
        </w:tc>
        <w:tc>
          <w:tcPr>
            <w:tcW w:w="1857" w:type="dxa"/>
            <w:shd w:val="clear" w:color="auto" w:fill="B6DDE8" w:themeFill="accent5" w:themeFillTint="66"/>
          </w:tcPr>
          <w:p w14:paraId="16495CA6" w14:textId="77777777" w:rsidR="00607FAB" w:rsidRPr="00E75831" w:rsidRDefault="00607FAB" w:rsidP="00607FAB">
            <w:pPr>
              <w:jc w:val="center"/>
              <w:rPr>
                <w:sz w:val="18"/>
                <w:lang w:val="en-AU"/>
              </w:rPr>
            </w:pPr>
            <w:r w:rsidRPr="00E75831">
              <w:rPr>
                <w:sz w:val="18"/>
                <w:lang w:val="en-AU"/>
              </w:rPr>
              <w:t>0.37</w:t>
            </w:r>
          </w:p>
        </w:tc>
        <w:tc>
          <w:tcPr>
            <w:tcW w:w="1857" w:type="dxa"/>
            <w:shd w:val="clear" w:color="auto" w:fill="B6DDE8" w:themeFill="accent5" w:themeFillTint="66"/>
          </w:tcPr>
          <w:p w14:paraId="17740F98" w14:textId="77777777" w:rsidR="00607FAB" w:rsidRPr="00E75831" w:rsidRDefault="00607FAB" w:rsidP="00607FAB">
            <w:pPr>
              <w:jc w:val="center"/>
              <w:rPr>
                <w:sz w:val="18"/>
                <w:lang w:val="en-AU"/>
              </w:rPr>
            </w:pPr>
            <w:r w:rsidRPr="00E75831">
              <w:rPr>
                <w:sz w:val="18"/>
                <w:lang w:val="en-AU"/>
              </w:rPr>
              <w:t>0.05</w:t>
            </w:r>
          </w:p>
        </w:tc>
        <w:tc>
          <w:tcPr>
            <w:tcW w:w="1858" w:type="dxa"/>
            <w:shd w:val="clear" w:color="auto" w:fill="B6DDE8" w:themeFill="accent5" w:themeFillTint="66"/>
          </w:tcPr>
          <w:p w14:paraId="5A86F20A" w14:textId="77777777" w:rsidR="00607FAB" w:rsidRPr="00E75831" w:rsidRDefault="00607FAB" w:rsidP="00607FAB">
            <w:pPr>
              <w:jc w:val="center"/>
              <w:rPr>
                <w:sz w:val="18"/>
                <w:lang w:val="en-AU"/>
              </w:rPr>
            </w:pPr>
            <w:r w:rsidRPr="00E75831">
              <w:rPr>
                <w:sz w:val="18"/>
                <w:lang w:val="en-AU"/>
              </w:rPr>
              <w:t>0.47</w:t>
            </w:r>
          </w:p>
        </w:tc>
      </w:tr>
      <w:tr w:rsidR="00607FAB" w:rsidRPr="00E75831" w14:paraId="46E8C89F" w14:textId="77777777" w:rsidTr="00607FAB">
        <w:trPr>
          <w:trHeight w:val="180"/>
        </w:trPr>
        <w:tc>
          <w:tcPr>
            <w:tcW w:w="1916" w:type="dxa"/>
            <w:vMerge/>
          </w:tcPr>
          <w:p w14:paraId="5503954A" w14:textId="77777777" w:rsidR="00607FAB" w:rsidRPr="00E75831" w:rsidRDefault="00607FAB" w:rsidP="00607FAB">
            <w:pPr>
              <w:jc w:val="center"/>
              <w:rPr>
                <w:sz w:val="18"/>
                <w:lang w:val="en-AU"/>
              </w:rPr>
            </w:pPr>
          </w:p>
        </w:tc>
        <w:tc>
          <w:tcPr>
            <w:tcW w:w="1857" w:type="dxa"/>
          </w:tcPr>
          <w:p w14:paraId="05831BD7" w14:textId="77777777" w:rsidR="00607FAB" w:rsidRPr="00E75831" w:rsidRDefault="00607FAB" w:rsidP="00607FAB">
            <w:pPr>
              <w:jc w:val="center"/>
              <w:rPr>
                <w:sz w:val="18"/>
                <w:lang w:val="en-AU"/>
              </w:rPr>
            </w:pPr>
            <w:r w:rsidRPr="00E75831">
              <w:rPr>
                <w:sz w:val="18"/>
                <w:lang w:val="en-AU"/>
              </w:rPr>
              <w:t>4 (96)</w:t>
            </w:r>
          </w:p>
        </w:tc>
        <w:tc>
          <w:tcPr>
            <w:tcW w:w="1857" w:type="dxa"/>
          </w:tcPr>
          <w:p w14:paraId="11CFC66C" w14:textId="77777777" w:rsidR="00607FAB" w:rsidRPr="00E75831" w:rsidRDefault="00607FAB" w:rsidP="00607FAB">
            <w:pPr>
              <w:jc w:val="center"/>
              <w:rPr>
                <w:sz w:val="18"/>
                <w:lang w:val="en-AU"/>
              </w:rPr>
            </w:pPr>
            <w:r w:rsidRPr="00E75831">
              <w:rPr>
                <w:sz w:val="18"/>
                <w:lang w:val="en-AU"/>
              </w:rPr>
              <w:t>0.37</w:t>
            </w:r>
          </w:p>
        </w:tc>
        <w:tc>
          <w:tcPr>
            <w:tcW w:w="1857" w:type="dxa"/>
          </w:tcPr>
          <w:p w14:paraId="6AFBE35D" w14:textId="77777777" w:rsidR="00607FAB" w:rsidRPr="00E75831" w:rsidRDefault="00607FAB" w:rsidP="00607FAB">
            <w:pPr>
              <w:jc w:val="center"/>
              <w:rPr>
                <w:sz w:val="18"/>
                <w:lang w:val="en-AU"/>
              </w:rPr>
            </w:pPr>
            <w:r w:rsidRPr="00E75831">
              <w:rPr>
                <w:sz w:val="18"/>
                <w:lang w:val="en-AU"/>
              </w:rPr>
              <w:t>0.10</w:t>
            </w:r>
          </w:p>
        </w:tc>
        <w:tc>
          <w:tcPr>
            <w:tcW w:w="1858" w:type="dxa"/>
          </w:tcPr>
          <w:p w14:paraId="5C4E6796" w14:textId="77777777" w:rsidR="00607FAB" w:rsidRPr="00E75831" w:rsidRDefault="00607FAB" w:rsidP="00607FAB">
            <w:pPr>
              <w:jc w:val="center"/>
              <w:rPr>
                <w:sz w:val="18"/>
                <w:lang w:val="en-AU"/>
              </w:rPr>
            </w:pPr>
            <w:r w:rsidRPr="00E75831">
              <w:rPr>
                <w:sz w:val="18"/>
                <w:lang w:val="en-AU"/>
              </w:rPr>
              <w:t>0.47</w:t>
            </w:r>
          </w:p>
        </w:tc>
      </w:tr>
      <w:tr w:rsidR="00607FAB" w:rsidRPr="00E75831" w14:paraId="78852AF9" w14:textId="77777777" w:rsidTr="00607FAB">
        <w:trPr>
          <w:trHeight w:val="180"/>
        </w:trPr>
        <w:tc>
          <w:tcPr>
            <w:tcW w:w="1916" w:type="dxa"/>
            <w:vMerge/>
          </w:tcPr>
          <w:p w14:paraId="6B656183" w14:textId="77777777" w:rsidR="00607FAB" w:rsidRPr="00E75831" w:rsidRDefault="00607FAB" w:rsidP="00607FAB">
            <w:pPr>
              <w:jc w:val="center"/>
              <w:rPr>
                <w:sz w:val="18"/>
                <w:lang w:val="en-AU"/>
              </w:rPr>
            </w:pPr>
          </w:p>
        </w:tc>
        <w:tc>
          <w:tcPr>
            <w:tcW w:w="1857" w:type="dxa"/>
          </w:tcPr>
          <w:p w14:paraId="2B5AD20E" w14:textId="77777777" w:rsidR="00607FAB" w:rsidRPr="00E75831" w:rsidRDefault="00607FAB" w:rsidP="00607FAB">
            <w:pPr>
              <w:jc w:val="center"/>
              <w:rPr>
                <w:sz w:val="18"/>
                <w:lang w:val="en-AU"/>
              </w:rPr>
            </w:pPr>
            <w:r w:rsidRPr="00E75831">
              <w:rPr>
                <w:sz w:val="18"/>
                <w:lang w:val="en-AU"/>
              </w:rPr>
              <w:t>8 (192)</w:t>
            </w:r>
          </w:p>
        </w:tc>
        <w:tc>
          <w:tcPr>
            <w:tcW w:w="1857" w:type="dxa"/>
          </w:tcPr>
          <w:p w14:paraId="5639397A" w14:textId="77777777" w:rsidR="00607FAB" w:rsidRPr="00E75831" w:rsidRDefault="00607FAB" w:rsidP="00607FAB">
            <w:pPr>
              <w:jc w:val="center"/>
              <w:rPr>
                <w:sz w:val="18"/>
                <w:lang w:val="en-AU"/>
              </w:rPr>
            </w:pPr>
            <w:r w:rsidRPr="00E75831">
              <w:rPr>
                <w:sz w:val="18"/>
                <w:lang w:val="en-AU"/>
              </w:rPr>
              <w:t>0.37</w:t>
            </w:r>
          </w:p>
        </w:tc>
        <w:tc>
          <w:tcPr>
            <w:tcW w:w="1857" w:type="dxa"/>
          </w:tcPr>
          <w:p w14:paraId="6C5EE7B7" w14:textId="77777777" w:rsidR="00607FAB" w:rsidRPr="00E75831" w:rsidRDefault="00607FAB" w:rsidP="00607FAB">
            <w:pPr>
              <w:jc w:val="center"/>
              <w:rPr>
                <w:sz w:val="18"/>
                <w:lang w:val="en-AU"/>
              </w:rPr>
            </w:pPr>
            <w:r w:rsidRPr="00E75831">
              <w:rPr>
                <w:sz w:val="18"/>
                <w:lang w:val="en-AU"/>
              </w:rPr>
              <w:t>0.19</w:t>
            </w:r>
          </w:p>
        </w:tc>
        <w:tc>
          <w:tcPr>
            <w:tcW w:w="1858" w:type="dxa"/>
          </w:tcPr>
          <w:p w14:paraId="0FEC54FD" w14:textId="77777777" w:rsidR="00607FAB" w:rsidRPr="00E75831" w:rsidRDefault="00607FAB" w:rsidP="00607FAB">
            <w:pPr>
              <w:jc w:val="center"/>
              <w:rPr>
                <w:sz w:val="18"/>
                <w:lang w:val="en-AU"/>
              </w:rPr>
            </w:pPr>
            <w:r w:rsidRPr="00E75831">
              <w:rPr>
                <w:sz w:val="18"/>
                <w:lang w:val="en-AU"/>
              </w:rPr>
              <w:t>0.56</w:t>
            </w:r>
          </w:p>
        </w:tc>
      </w:tr>
      <w:tr w:rsidR="00607FAB" w:rsidRPr="00E75831" w14:paraId="700488E2" w14:textId="77777777" w:rsidTr="00607FAB">
        <w:trPr>
          <w:trHeight w:val="180"/>
        </w:trPr>
        <w:tc>
          <w:tcPr>
            <w:tcW w:w="1916" w:type="dxa"/>
            <w:vMerge/>
          </w:tcPr>
          <w:p w14:paraId="27CE9416" w14:textId="77777777" w:rsidR="00607FAB" w:rsidRPr="00E75831" w:rsidRDefault="00607FAB" w:rsidP="00607FAB">
            <w:pPr>
              <w:jc w:val="center"/>
              <w:rPr>
                <w:sz w:val="18"/>
                <w:lang w:val="en-AU"/>
              </w:rPr>
            </w:pPr>
          </w:p>
        </w:tc>
        <w:tc>
          <w:tcPr>
            <w:tcW w:w="1857" w:type="dxa"/>
          </w:tcPr>
          <w:p w14:paraId="3B13CCC2" w14:textId="77777777" w:rsidR="00607FAB" w:rsidRPr="00E75831" w:rsidRDefault="00607FAB" w:rsidP="00607FAB">
            <w:pPr>
              <w:jc w:val="center"/>
              <w:rPr>
                <w:sz w:val="18"/>
                <w:lang w:val="en-AU"/>
              </w:rPr>
            </w:pPr>
            <w:r w:rsidRPr="00E75831">
              <w:rPr>
                <w:sz w:val="18"/>
                <w:lang w:val="en-AU"/>
              </w:rPr>
              <w:t>16 (384)</w:t>
            </w:r>
          </w:p>
        </w:tc>
        <w:tc>
          <w:tcPr>
            <w:tcW w:w="1857" w:type="dxa"/>
          </w:tcPr>
          <w:p w14:paraId="01A3143C" w14:textId="77777777" w:rsidR="00607FAB" w:rsidRPr="00E75831" w:rsidRDefault="00607FAB" w:rsidP="00607FAB">
            <w:pPr>
              <w:jc w:val="center"/>
              <w:rPr>
                <w:sz w:val="18"/>
                <w:lang w:val="en-AU"/>
              </w:rPr>
            </w:pPr>
            <w:r w:rsidRPr="00E75831">
              <w:rPr>
                <w:sz w:val="18"/>
                <w:lang w:val="en-AU"/>
              </w:rPr>
              <w:t>0.37</w:t>
            </w:r>
          </w:p>
        </w:tc>
        <w:tc>
          <w:tcPr>
            <w:tcW w:w="1857" w:type="dxa"/>
          </w:tcPr>
          <w:p w14:paraId="684BE888" w14:textId="77777777" w:rsidR="00607FAB" w:rsidRPr="00E75831" w:rsidRDefault="00607FAB" w:rsidP="00607FAB">
            <w:pPr>
              <w:jc w:val="center"/>
              <w:rPr>
                <w:sz w:val="18"/>
                <w:lang w:val="en-AU"/>
              </w:rPr>
            </w:pPr>
            <w:r w:rsidRPr="00E75831">
              <w:rPr>
                <w:sz w:val="18"/>
                <w:lang w:val="en-AU"/>
              </w:rPr>
              <w:t>0.38</w:t>
            </w:r>
          </w:p>
        </w:tc>
        <w:tc>
          <w:tcPr>
            <w:tcW w:w="1858" w:type="dxa"/>
          </w:tcPr>
          <w:p w14:paraId="4324A617" w14:textId="77777777" w:rsidR="00607FAB" w:rsidRPr="00E75831" w:rsidRDefault="00607FAB" w:rsidP="00607FAB">
            <w:pPr>
              <w:jc w:val="center"/>
              <w:rPr>
                <w:sz w:val="18"/>
                <w:lang w:val="en-AU"/>
              </w:rPr>
            </w:pPr>
            <w:r w:rsidRPr="00E75831">
              <w:rPr>
                <w:sz w:val="18"/>
                <w:lang w:val="en-AU"/>
              </w:rPr>
              <w:t>0.75</w:t>
            </w:r>
          </w:p>
        </w:tc>
      </w:tr>
      <w:tr w:rsidR="00607FAB" w:rsidRPr="00E75831" w14:paraId="47BC7B18" w14:textId="77777777" w:rsidTr="00607FAB">
        <w:trPr>
          <w:trHeight w:val="180"/>
        </w:trPr>
        <w:tc>
          <w:tcPr>
            <w:tcW w:w="1916" w:type="dxa"/>
            <w:vMerge/>
          </w:tcPr>
          <w:p w14:paraId="79043FB5" w14:textId="77777777" w:rsidR="00607FAB" w:rsidRPr="00E75831" w:rsidRDefault="00607FAB" w:rsidP="00607FAB">
            <w:pPr>
              <w:jc w:val="center"/>
              <w:rPr>
                <w:sz w:val="18"/>
                <w:lang w:val="en-AU"/>
              </w:rPr>
            </w:pPr>
          </w:p>
        </w:tc>
        <w:tc>
          <w:tcPr>
            <w:tcW w:w="1857" w:type="dxa"/>
            <w:shd w:val="clear" w:color="auto" w:fill="C4BC96" w:themeFill="background2" w:themeFillShade="BF"/>
          </w:tcPr>
          <w:p w14:paraId="330CFB77" w14:textId="77777777" w:rsidR="00607FAB" w:rsidRPr="00E75831" w:rsidRDefault="00607FAB" w:rsidP="00607FAB">
            <w:pPr>
              <w:jc w:val="center"/>
              <w:rPr>
                <w:sz w:val="18"/>
                <w:lang w:val="en-AU"/>
              </w:rPr>
            </w:pPr>
            <w:r w:rsidRPr="00E75831">
              <w:rPr>
                <w:sz w:val="18"/>
                <w:lang w:val="en-AU"/>
              </w:rPr>
              <w:t>20 (480)</w:t>
            </w:r>
          </w:p>
        </w:tc>
        <w:tc>
          <w:tcPr>
            <w:tcW w:w="1857" w:type="dxa"/>
            <w:shd w:val="clear" w:color="auto" w:fill="C4BC96" w:themeFill="background2" w:themeFillShade="BF"/>
          </w:tcPr>
          <w:p w14:paraId="1417CFB0" w14:textId="77777777" w:rsidR="00607FAB" w:rsidRPr="00E75831" w:rsidRDefault="00607FAB" w:rsidP="00607FAB">
            <w:pPr>
              <w:jc w:val="center"/>
              <w:rPr>
                <w:sz w:val="18"/>
                <w:lang w:val="en-AU"/>
              </w:rPr>
            </w:pPr>
            <w:r w:rsidRPr="00E75831">
              <w:rPr>
                <w:sz w:val="18"/>
                <w:lang w:val="en-AU"/>
              </w:rPr>
              <w:t>0.37</w:t>
            </w:r>
          </w:p>
        </w:tc>
        <w:tc>
          <w:tcPr>
            <w:tcW w:w="1857" w:type="dxa"/>
            <w:shd w:val="clear" w:color="auto" w:fill="C4BC96" w:themeFill="background2" w:themeFillShade="BF"/>
          </w:tcPr>
          <w:p w14:paraId="7087430A" w14:textId="77777777" w:rsidR="00607FAB" w:rsidRPr="00E75831" w:rsidRDefault="00607FAB" w:rsidP="00607FAB">
            <w:pPr>
              <w:jc w:val="center"/>
              <w:rPr>
                <w:sz w:val="18"/>
                <w:lang w:val="en-AU"/>
              </w:rPr>
            </w:pPr>
            <w:r w:rsidRPr="00E75831">
              <w:rPr>
                <w:sz w:val="18"/>
                <w:lang w:val="en-AU"/>
              </w:rPr>
              <w:t>0.48</w:t>
            </w:r>
          </w:p>
        </w:tc>
        <w:tc>
          <w:tcPr>
            <w:tcW w:w="1858" w:type="dxa"/>
            <w:shd w:val="clear" w:color="auto" w:fill="C4BC96" w:themeFill="background2" w:themeFillShade="BF"/>
          </w:tcPr>
          <w:p w14:paraId="1023C801" w14:textId="77777777" w:rsidR="00607FAB" w:rsidRPr="00E75831" w:rsidRDefault="00607FAB" w:rsidP="00607FAB">
            <w:pPr>
              <w:jc w:val="center"/>
              <w:rPr>
                <w:sz w:val="18"/>
                <w:lang w:val="en-AU"/>
              </w:rPr>
            </w:pPr>
            <w:r w:rsidRPr="00E75831">
              <w:rPr>
                <w:sz w:val="18"/>
                <w:lang w:val="en-AU"/>
              </w:rPr>
              <w:t>0.85</w:t>
            </w:r>
          </w:p>
        </w:tc>
      </w:tr>
      <w:tr w:rsidR="00607FAB" w:rsidRPr="00E75831" w14:paraId="5A24B836" w14:textId="77777777" w:rsidTr="00607FAB">
        <w:trPr>
          <w:trHeight w:val="180"/>
        </w:trPr>
        <w:tc>
          <w:tcPr>
            <w:tcW w:w="1916" w:type="dxa"/>
            <w:vMerge/>
            <w:tcBorders>
              <w:bottom w:val="single" w:sz="12" w:space="0" w:color="auto"/>
            </w:tcBorders>
          </w:tcPr>
          <w:p w14:paraId="24CB326B" w14:textId="77777777" w:rsidR="00607FAB" w:rsidRPr="00E75831" w:rsidRDefault="00607FAB" w:rsidP="00607FAB">
            <w:pPr>
              <w:jc w:val="center"/>
              <w:rPr>
                <w:sz w:val="18"/>
                <w:lang w:val="en-AU"/>
              </w:rPr>
            </w:pPr>
          </w:p>
        </w:tc>
        <w:tc>
          <w:tcPr>
            <w:tcW w:w="1857" w:type="dxa"/>
            <w:tcBorders>
              <w:bottom w:val="single" w:sz="12" w:space="0" w:color="auto"/>
            </w:tcBorders>
            <w:shd w:val="clear" w:color="auto" w:fill="C4BC96" w:themeFill="background2" w:themeFillShade="BF"/>
          </w:tcPr>
          <w:p w14:paraId="2259FF86" w14:textId="77777777" w:rsidR="00607FAB" w:rsidRPr="00E75831" w:rsidRDefault="00607FAB" w:rsidP="00607FAB">
            <w:pPr>
              <w:jc w:val="center"/>
              <w:rPr>
                <w:sz w:val="18"/>
                <w:lang w:val="en-AU"/>
              </w:rPr>
            </w:pPr>
            <w:r w:rsidRPr="00E75831">
              <w:rPr>
                <w:sz w:val="18"/>
                <w:lang w:val="en-AU"/>
              </w:rPr>
              <w:t>25 (600)</w:t>
            </w:r>
          </w:p>
        </w:tc>
        <w:tc>
          <w:tcPr>
            <w:tcW w:w="1857" w:type="dxa"/>
            <w:tcBorders>
              <w:bottom w:val="single" w:sz="12" w:space="0" w:color="auto"/>
            </w:tcBorders>
            <w:shd w:val="clear" w:color="auto" w:fill="C4BC96" w:themeFill="background2" w:themeFillShade="BF"/>
          </w:tcPr>
          <w:p w14:paraId="71AC8A8C" w14:textId="77777777" w:rsidR="00607FAB" w:rsidRPr="00E75831" w:rsidRDefault="00607FAB" w:rsidP="00607FAB">
            <w:pPr>
              <w:jc w:val="center"/>
              <w:rPr>
                <w:sz w:val="18"/>
                <w:lang w:val="en-AU"/>
              </w:rPr>
            </w:pPr>
            <w:r w:rsidRPr="00E75831">
              <w:rPr>
                <w:sz w:val="18"/>
                <w:lang w:val="en-AU"/>
              </w:rPr>
              <w:t>0.37</w:t>
            </w:r>
          </w:p>
        </w:tc>
        <w:tc>
          <w:tcPr>
            <w:tcW w:w="1857" w:type="dxa"/>
            <w:tcBorders>
              <w:bottom w:val="single" w:sz="12" w:space="0" w:color="auto"/>
            </w:tcBorders>
            <w:shd w:val="clear" w:color="auto" w:fill="C4BC96" w:themeFill="background2" w:themeFillShade="BF"/>
          </w:tcPr>
          <w:p w14:paraId="034C1905" w14:textId="77777777" w:rsidR="00607FAB" w:rsidRPr="00E75831" w:rsidRDefault="00607FAB" w:rsidP="00607FAB">
            <w:pPr>
              <w:jc w:val="center"/>
              <w:rPr>
                <w:sz w:val="18"/>
                <w:lang w:val="en-AU"/>
              </w:rPr>
            </w:pPr>
            <w:r w:rsidRPr="00E75831">
              <w:rPr>
                <w:sz w:val="18"/>
                <w:lang w:val="en-AU"/>
              </w:rPr>
              <w:t>0.60</w:t>
            </w:r>
          </w:p>
        </w:tc>
        <w:tc>
          <w:tcPr>
            <w:tcW w:w="1858" w:type="dxa"/>
            <w:tcBorders>
              <w:bottom w:val="single" w:sz="12" w:space="0" w:color="auto"/>
            </w:tcBorders>
            <w:shd w:val="clear" w:color="auto" w:fill="C4BC96" w:themeFill="background2" w:themeFillShade="BF"/>
          </w:tcPr>
          <w:p w14:paraId="1968878C" w14:textId="77777777" w:rsidR="00607FAB" w:rsidRPr="00E75831" w:rsidRDefault="00607FAB" w:rsidP="00607FAB">
            <w:pPr>
              <w:jc w:val="center"/>
              <w:rPr>
                <w:sz w:val="18"/>
                <w:lang w:val="en-AU"/>
              </w:rPr>
            </w:pPr>
            <w:r w:rsidRPr="00E75831">
              <w:rPr>
                <w:sz w:val="18"/>
                <w:lang w:val="en-AU"/>
              </w:rPr>
              <w:t>0.97</w:t>
            </w:r>
          </w:p>
        </w:tc>
      </w:tr>
      <w:tr w:rsidR="00607FAB" w:rsidRPr="00E75831" w14:paraId="78859EB4" w14:textId="77777777" w:rsidTr="00607FAB">
        <w:trPr>
          <w:trHeight w:val="180"/>
        </w:trPr>
        <w:tc>
          <w:tcPr>
            <w:tcW w:w="1916" w:type="dxa"/>
            <w:vMerge w:val="restart"/>
            <w:tcBorders>
              <w:top w:val="single" w:sz="12" w:space="0" w:color="auto"/>
              <w:left w:val="single" w:sz="12" w:space="0" w:color="auto"/>
            </w:tcBorders>
          </w:tcPr>
          <w:p w14:paraId="4DBBE2DB" w14:textId="77777777" w:rsidR="00607FAB" w:rsidRPr="00E75831" w:rsidRDefault="00607FAB" w:rsidP="00607FAB">
            <w:pPr>
              <w:jc w:val="center"/>
              <w:rPr>
                <w:sz w:val="18"/>
                <w:lang w:val="en-AU"/>
              </w:rPr>
            </w:pPr>
          </w:p>
          <w:p w14:paraId="3BFAD356" w14:textId="77777777" w:rsidR="00607FAB" w:rsidRPr="00E75831" w:rsidRDefault="00607FAB" w:rsidP="00607FAB">
            <w:pPr>
              <w:shd w:val="clear" w:color="auto" w:fill="B6DDE8" w:themeFill="accent5" w:themeFillTint="66"/>
              <w:jc w:val="center"/>
              <w:rPr>
                <w:sz w:val="18"/>
                <w:lang w:val="en-AU"/>
              </w:rPr>
            </w:pPr>
            <w:r w:rsidRPr="00E75831">
              <w:rPr>
                <w:sz w:val="18"/>
                <w:lang w:val="en-AU"/>
              </w:rPr>
              <w:t>Med</w:t>
            </w:r>
            <w:r>
              <w:rPr>
                <w:sz w:val="18"/>
                <w:lang w:val="en-AU"/>
              </w:rPr>
              <w:t>ian level found in Au IF powder</w:t>
            </w:r>
          </w:p>
          <w:p w14:paraId="208A53AD" w14:textId="77777777" w:rsidR="00607FAB" w:rsidRPr="00E75831" w:rsidRDefault="00607FAB" w:rsidP="00607FAB">
            <w:pPr>
              <w:jc w:val="center"/>
              <w:rPr>
                <w:sz w:val="18"/>
                <w:lang w:val="en-AU"/>
              </w:rPr>
            </w:pPr>
          </w:p>
          <w:p w14:paraId="75B8C79F" w14:textId="77777777" w:rsidR="00607FAB" w:rsidRPr="00EE2F9D" w:rsidRDefault="00607FAB" w:rsidP="00607FAB">
            <w:pPr>
              <w:jc w:val="center"/>
              <w:rPr>
                <w:b/>
                <w:sz w:val="18"/>
                <w:lang w:val="en-AU"/>
              </w:rPr>
            </w:pPr>
            <w:r w:rsidRPr="00EE2F9D">
              <w:rPr>
                <w:b/>
                <w:sz w:val="18"/>
                <w:lang w:val="en-AU"/>
              </w:rPr>
              <w:t>1.0</w:t>
            </w:r>
            <w:r>
              <w:rPr>
                <w:rStyle w:val="FootnoteReference"/>
                <w:b/>
                <w:sz w:val="18"/>
                <w:lang w:val="en-AU"/>
              </w:rPr>
              <w:footnoteReference w:id="20"/>
            </w:r>
          </w:p>
          <w:p w14:paraId="4CCF0C4E" w14:textId="77777777" w:rsidR="00607FAB" w:rsidRPr="00EE2F9D" w:rsidRDefault="00607FAB" w:rsidP="00607FAB">
            <w:pPr>
              <w:jc w:val="center"/>
              <w:rPr>
                <w:sz w:val="18"/>
                <w:shd w:val="clear" w:color="auto" w:fill="C4BC96" w:themeFill="background2" w:themeFillShade="BF"/>
                <w:lang w:val="en-AU"/>
              </w:rPr>
            </w:pPr>
            <w:r w:rsidRPr="00E75831">
              <w:rPr>
                <w:sz w:val="18"/>
                <w:shd w:val="clear" w:color="auto" w:fill="C4BC96" w:themeFill="background2" w:themeFillShade="BF"/>
                <w:lang w:val="en-AU"/>
              </w:rPr>
              <w:t>2.9.1 Fluorosis statement required</w:t>
            </w:r>
            <w:r w:rsidRPr="00E75831">
              <w:rPr>
                <w:rFonts w:cs="Arial"/>
                <w:sz w:val="18"/>
                <w:shd w:val="clear" w:color="auto" w:fill="C4BC96" w:themeFill="background2" w:themeFillShade="BF"/>
                <w:lang w:val="en-AU"/>
              </w:rPr>
              <w:t xml:space="preserve"> ˃</w:t>
            </w:r>
            <w:r w:rsidRPr="00E75831">
              <w:rPr>
                <w:sz w:val="18"/>
                <w:shd w:val="clear" w:color="auto" w:fill="C4BC96" w:themeFill="background2" w:themeFillShade="BF"/>
                <w:lang w:val="en-AU"/>
              </w:rPr>
              <w:t xml:space="preserve">17 </w:t>
            </w:r>
            <w:r w:rsidRPr="00E75831">
              <w:rPr>
                <w:rFonts w:cs="Arial"/>
                <w:sz w:val="18"/>
                <w:shd w:val="clear" w:color="auto" w:fill="C4BC96" w:themeFill="background2" w:themeFillShade="BF"/>
                <w:lang w:val="en-AU"/>
              </w:rPr>
              <w:t>µ</w:t>
            </w:r>
            <w:r>
              <w:rPr>
                <w:sz w:val="18"/>
                <w:shd w:val="clear" w:color="auto" w:fill="C4BC96" w:themeFill="background2" w:themeFillShade="BF"/>
                <w:lang w:val="en-AU"/>
              </w:rPr>
              <w:t>g/100kJ</w:t>
            </w:r>
          </w:p>
        </w:tc>
        <w:tc>
          <w:tcPr>
            <w:tcW w:w="1857" w:type="dxa"/>
            <w:tcBorders>
              <w:top w:val="single" w:sz="12" w:space="0" w:color="auto"/>
            </w:tcBorders>
          </w:tcPr>
          <w:p w14:paraId="3E17FBC1" w14:textId="77777777" w:rsidR="00607FAB" w:rsidRPr="00E75831" w:rsidRDefault="00607FAB" w:rsidP="00607FAB">
            <w:pPr>
              <w:jc w:val="center"/>
              <w:rPr>
                <w:sz w:val="18"/>
                <w:lang w:val="en-AU"/>
              </w:rPr>
            </w:pPr>
            <w:r w:rsidRPr="00E75831">
              <w:rPr>
                <w:sz w:val="18"/>
                <w:lang w:val="en-AU"/>
              </w:rPr>
              <w:t>0 (0)</w:t>
            </w:r>
          </w:p>
        </w:tc>
        <w:tc>
          <w:tcPr>
            <w:tcW w:w="1857" w:type="dxa"/>
            <w:tcBorders>
              <w:top w:val="single" w:sz="12" w:space="0" w:color="auto"/>
            </w:tcBorders>
          </w:tcPr>
          <w:p w14:paraId="3921F8C6" w14:textId="77777777" w:rsidR="00607FAB" w:rsidRPr="00E75831" w:rsidRDefault="00607FAB" w:rsidP="00607FAB">
            <w:pPr>
              <w:jc w:val="center"/>
              <w:rPr>
                <w:sz w:val="18"/>
                <w:lang w:val="en-AU"/>
              </w:rPr>
            </w:pPr>
            <w:r w:rsidRPr="00E75831">
              <w:rPr>
                <w:sz w:val="18"/>
                <w:lang w:val="en-AU"/>
              </w:rPr>
              <w:t>0.75</w:t>
            </w:r>
          </w:p>
        </w:tc>
        <w:tc>
          <w:tcPr>
            <w:tcW w:w="1857" w:type="dxa"/>
            <w:tcBorders>
              <w:top w:val="single" w:sz="12" w:space="0" w:color="auto"/>
            </w:tcBorders>
          </w:tcPr>
          <w:p w14:paraId="67519FB7" w14:textId="77777777" w:rsidR="00607FAB" w:rsidRPr="00E75831" w:rsidRDefault="00607FAB" w:rsidP="00607FAB">
            <w:pPr>
              <w:jc w:val="center"/>
              <w:rPr>
                <w:sz w:val="18"/>
                <w:lang w:val="en-AU"/>
              </w:rPr>
            </w:pPr>
            <w:r w:rsidRPr="00E75831">
              <w:rPr>
                <w:sz w:val="18"/>
                <w:lang w:val="en-AU"/>
              </w:rPr>
              <w:t>0</w:t>
            </w:r>
          </w:p>
        </w:tc>
        <w:tc>
          <w:tcPr>
            <w:tcW w:w="1858" w:type="dxa"/>
            <w:tcBorders>
              <w:top w:val="single" w:sz="12" w:space="0" w:color="auto"/>
              <w:right w:val="single" w:sz="12" w:space="0" w:color="auto"/>
            </w:tcBorders>
          </w:tcPr>
          <w:p w14:paraId="41691CE0" w14:textId="77777777" w:rsidR="00607FAB" w:rsidRPr="00E75831" w:rsidRDefault="00607FAB" w:rsidP="00607FAB">
            <w:pPr>
              <w:jc w:val="center"/>
              <w:rPr>
                <w:sz w:val="18"/>
                <w:lang w:val="en-AU"/>
              </w:rPr>
            </w:pPr>
            <w:r w:rsidRPr="00E75831">
              <w:rPr>
                <w:sz w:val="18"/>
                <w:lang w:val="en-AU"/>
              </w:rPr>
              <w:t>0.75</w:t>
            </w:r>
          </w:p>
        </w:tc>
      </w:tr>
      <w:tr w:rsidR="00607FAB" w:rsidRPr="00E75831" w14:paraId="00AB3ACE" w14:textId="77777777" w:rsidTr="00607FAB">
        <w:trPr>
          <w:trHeight w:val="180"/>
        </w:trPr>
        <w:tc>
          <w:tcPr>
            <w:tcW w:w="1916" w:type="dxa"/>
            <w:vMerge/>
            <w:tcBorders>
              <w:left w:val="single" w:sz="12" w:space="0" w:color="auto"/>
            </w:tcBorders>
            <w:shd w:val="clear" w:color="auto" w:fill="B6DDE8" w:themeFill="accent5" w:themeFillTint="66"/>
          </w:tcPr>
          <w:p w14:paraId="39265DB8" w14:textId="77777777" w:rsidR="00607FAB" w:rsidRPr="00E75831" w:rsidRDefault="00607FAB" w:rsidP="00607FAB">
            <w:pPr>
              <w:jc w:val="center"/>
              <w:rPr>
                <w:sz w:val="18"/>
                <w:lang w:val="en-AU"/>
              </w:rPr>
            </w:pPr>
          </w:p>
        </w:tc>
        <w:tc>
          <w:tcPr>
            <w:tcW w:w="1857" w:type="dxa"/>
            <w:shd w:val="clear" w:color="auto" w:fill="B6DDE8" w:themeFill="accent5" w:themeFillTint="66"/>
          </w:tcPr>
          <w:p w14:paraId="0FE63F47" w14:textId="77777777" w:rsidR="00607FAB" w:rsidRPr="00E75831" w:rsidRDefault="00607FAB" w:rsidP="00607FAB">
            <w:pPr>
              <w:jc w:val="center"/>
              <w:rPr>
                <w:sz w:val="18"/>
                <w:lang w:val="en-AU"/>
              </w:rPr>
            </w:pPr>
            <w:r w:rsidRPr="00E75831">
              <w:rPr>
                <w:sz w:val="18"/>
                <w:lang w:val="en-AU"/>
              </w:rPr>
              <w:t xml:space="preserve">2 (48) </w:t>
            </w:r>
          </w:p>
        </w:tc>
        <w:tc>
          <w:tcPr>
            <w:tcW w:w="1857" w:type="dxa"/>
            <w:shd w:val="clear" w:color="auto" w:fill="B6DDE8" w:themeFill="accent5" w:themeFillTint="66"/>
          </w:tcPr>
          <w:p w14:paraId="0F163BB2" w14:textId="77777777" w:rsidR="00607FAB" w:rsidRPr="00E75831" w:rsidRDefault="00607FAB" w:rsidP="00607FAB">
            <w:pPr>
              <w:jc w:val="center"/>
              <w:rPr>
                <w:sz w:val="18"/>
                <w:lang w:val="en-AU"/>
              </w:rPr>
            </w:pPr>
            <w:r w:rsidRPr="00E75831">
              <w:rPr>
                <w:sz w:val="18"/>
                <w:lang w:val="en-AU"/>
              </w:rPr>
              <w:t>0.75</w:t>
            </w:r>
          </w:p>
        </w:tc>
        <w:tc>
          <w:tcPr>
            <w:tcW w:w="1857" w:type="dxa"/>
            <w:shd w:val="clear" w:color="auto" w:fill="B6DDE8" w:themeFill="accent5" w:themeFillTint="66"/>
          </w:tcPr>
          <w:p w14:paraId="62FCD847" w14:textId="77777777" w:rsidR="00607FAB" w:rsidRPr="00E75831" w:rsidRDefault="00607FAB" w:rsidP="00607FAB">
            <w:pPr>
              <w:jc w:val="center"/>
              <w:rPr>
                <w:sz w:val="18"/>
                <w:lang w:val="en-AU"/>
              </w:rPr>
            </w:pPr>
            <w:r w:rsidRPr="00E75831">
              <w:rPr>
                <w:sz w:val="18"/>
                <w:lang w:val="en-AU"/>
              </w:rPr>
              <w:t>0.05</w:t>
            </w:r>
          </w:p>
        </w:tc>
        <w:tc>
          <w:tcPr>
            <w:tcW w:w="1858" w:type="dxa"/>
            <w:tcBorders>
              <w:right w:val="single" w:sz="12" w:space="0" w:color="auto"/>
            </w:tcBorders>
            <w:shd w:val="clear" w:color="auto" w:fill="B6DDE8" w:themeFill="accent5" w:themeFillTint="66"/>
          </w:tcPr>
          <w:p w14:paraId="190219FA" w14:textId="77777777" w:rsidR="00607FAB" w:rsidRPr="00E75831" w:rsidRDefault="00607FAB" w:rsidP="00607FAB">
            <w:pPr>
              <w:jc w:val="center"/>
              <w:rPr>
                <w:sz w:val="18"/>
                <w:lang w:val="en-AU"/>
              </w:rPr>
            </w:pPr>
            <w:r w:rsidRPr="00E75831">
              <w:rPr>
                <w:sz w:val="18"/>
                <w:lang w:val="en-AU"/>
              </w:rPr>
              <w:t>0.80</w:t>
            </w:r>
          </w:p>
        </w:tc>
      </w:tr>
      <w:tr w:rsidR="00607FAB" w:rsidRPr="00E75831" w14:paraId="7234DC6C" w14:textId="77777777" w:rsidTr="00607FAB">
        <w:trPr>
          <w:trHeight w:val="180"/>
        </w:trPr>
        <w:tc>
          <w:tcPr>
            <w:tcW w:w="1916" w:type="dxa"/>
            <w:vMerge/>
            <w:tcBorders>
              <w:left w:val="single" w:sz="12" w:space="0" w:color="auto"/>
            </w:tcBorders>
          </w:tcPr>
          <w:p w14:paraId="43FBA00A" w14:textId="77777777" w:rsidR="00607FAB" w:rsidRPr="00E75831" w:rsidRDefault="00607FAB" w:rsidP="00607FAB">
            <w:pPr>
              <w:jc w:val="center"/>
              <w:rPr>
                <w:sz w:val="18"/>
                <w:lang w:val="en-AU"/>
              </w:rPr>
            </w:pPr>
          </w:p>
        </w:tc>
        <w:tc>
          <w:tcPr>
            <w:tcW w:w="1857" w:type="dxa"/>
          </w:tcPr>
          <w:p w14:paraId="27378A1C" w14:textId="77777777" w:rsidR="00607FAB" w:rsidRPr="00E75831" w:rsidRDefault="00607FAB" w:rsidP="00607FAB">
            <w:pPr>
              <w:jc w:val="center"/>
              <w:rPr>
                <w:sz w:val="18"/>
                <w:lang w:val="en-AU"/>
              </w:rPr>
            </w:pPr>
            <w:r w:rsidRPr="00E75831">
              <w:rPr>
                <w:sz w:val="18"/>
                <w:lang w:val="en-AU"/>
              </w:rPr>
              <w:t>4 (96)</w:t>
            </w:r>
          </w:p>
        </w:tc>
        <w:tc>
          <w:tcPr>
            <w:tcW w:w="1857" w:type="dxa"/>
          </w:tcPr>
          <w:p w14:paraId="18BA1763" w14:textId="77777777" w:rsidR="00607FAB" w:rsidRPr="00E75831" w:rsidRDefault="00607FAB" w:rsidP="00607FAB">
            <w:pPr>
              <w:jc w:val="center"/>
              <w:rPr>
                <w:sz w:val="18"/>
                <w:lang w:val="en-AU"/>
              </w:rPr>
            </w:pPr>
            <w:r w:rsidRPr="00E75831">
              <w:rPr>
                <w:sz w:val="18"/>
                <w:lang w:val="en-AU"/>
              </w:rPr>
              <w:t>0.75</w:t>
            </w:r>
          </w:p>
        </w:tc>
        <w:tc>
          <w:tcPr>
            <w:tcW w:w="1857" w:type="dxa"/>
          </w:tcPr>
          <w:p w14:paraId="361FE1D2" w14:textId="77777777" w:rsidR="00607FAB" w:rsidRPr="00E75831" w:rsidRDefault="00607FAB" w:rsidP="00607FAB">
            <w:pPr>
              <w:jc w:val="center"/>
              <w:rPr>
                <w:sz w:val="18"/>
                <w:lang w:val="en-AU"/>
              </w:rPr>
            </w:pPr>
            <w:r w:rsidRPr="00E75831">
              <w:rPr>
                <w:sz w:val="18"/>
                <w:lang w:val="en-AU"/>
              </w:rPr>
              <w:t>0.10</w:t>
            </w:r>
          </w:p>
        </w:tc>
        <w:tc>
          <w:tcPr>
            <w:tcW w:w="1858" w:type="dxa"/>
            <w:tcBorders>
              <w:right w:val="single" w:sz="12" w:space="0" w:color="auto"/>
            </w:tcBorders>
          </w:tcPr>
          <w:p w14:paraId="0026F941" w14:textId="77777777" w:rsidR="00607FAB" w:rsidRPr="00E75831" w:rsidRDefault="00607FAB" w:rsidP="00607FAB">
            <w:pPr>
              <w:jc w:val="center"/>
              <w:rPr>
                <w:sz w:val="18"/>
                <w:lang w:val="en-AU"/>
              </w:rPr>
            </w:pPr>
            <w:r w:rsidRPr="00E75831">
              <w:rPr>
                <w:sz w:val="18"/>
                <w:lang w:val="en-AU"/>
              </w:rPr>
              <w:t>0.85</w:t>
            </w:r>
          </w:p>
        </w:tc>
      </w:tr>
      <w:tr w:rsidR="00607FAB" w:rsidRPr="00E75831" w14:paraId="28FD0AFD" w14:textId="77777777" w:rsidTr="00607FAB">
        <w:trPr>
          <w:trHeight w:val="180"/>
        </w:trPr>
        <w:tc>
          <w:tcPr>
            <w:tcW w:w="1916" w:type="dxa"/>
            <w:vMerge/>
            <w:tcBorders>
              <w:left w:val="single" w:sz="12" w:space="0" w:color="auto"/>
            </w:tcBorders>
          </w:tcPr>
          <w:p w14:paraId="70F902B6" w14:textId="77777777" w:rsidR="00607FAB" w:rsidRPr="00E75831" w:rsidRDefault="00607FAB" w:rsidP="00607FAB">
            <w:pPr>
              <w:jc w:val="center"/>
              <w:rPr>
                <w:sz w:val="18"/>
                <w:lang w:val="en-AU"/>
              </w:rPr>
            </w:pPr>
          </w:p>
        </w:tc>
        <w:tc>
          <w:tcPr>
            <w:tcW w:w="1857" w:type="dxa"/>
          </w:tcPr>
          <w:p w14:paraId="1BE9E280" w14:textId="77777777" w:rsidR="00607FAB" w:rsidRPr="00E75831" w:rsidRDefault="00607FAB" w:rsidP="00607FAB">
            <w:pPr>
              <w:jc w:val="center"/>
              <w:rPr>
                <w:sz w:val="18"/>
                <w:lang w:val="en-AU"/>
              </w:rPr>
            </w:pPr>
            <w:r w:rsidRPr="00E75831">
              <w:rPr>
                <w:sz w:val="18"/>
                <w:lang w:val="en-AU"/>
              </w:rPr>
              <w:t>8 (192)</w:t>
            </w:r>
          </w:p>
        </w:tc>
        <w:tc>
          <w:tcPr>
            <w:tcW w:w="1857" w:type="dxa"/>
          </w:tcPr>
          <w:p w14:paraId="76A30F01" w14:textId="77777777" w:rsidR="00607FAB" w:rsidRPr="00E75831" w:rsidRDefault="00607FAB" w:rsidP="00607FAB">
            <w:pPr>
              <w:jc w:val="center"/>
              <w:rPr>
                <w:sz w:val="18"/>
                <w:lang w:val="en-AU"/>
              </w:rPr>
            </w:pPr>
            <w:r w:rsidRPr="00E75831">
              <w:rPr>
                <w:sz w:val="18"/>
                <w:lang w:val="en-AU"/>
              </w:rPr>
              <w:t>0.75</w:t>
            </w:r>
          </w:p>
        </w:tc>
        <w:tc>
          <w:tcPr>
            <w:tcW w:w="1857" w:type="dxa"/>
          </w:tcPr>
          <w:p w14:paraId="688396A4" w14:textId="77777777" w:rsidR="00607FAB" w:rsidRPr="00E75831" w:rsidRDefault="00607FAB" w:rsidP="00607FAB">
            <w:pPr>
              <w:jc w:val="center"/>
              <w:rPr>
                <w:sz w:val="18"/>
                <w:lang w:val="en-AU"/>
              </w:rPr>
            </w:pPr>
            <w:r w:rsidRPr="00E75831">
              <w:rPr>
                <w:sz w:val="18"/>
                <w:lang w:val="en-AU"/>
              </w:rPr>
              <w:t>0.19</w:t>
            </w:r>
          </w:p>
        </w:tc>
        <w:tc>
          <w:tcPr>
            <w:tcW w:w="1858" w:type="dxa"/>
            <w:tcBorders>
              <w:right w:val="single" w:sz="12" w:space="0" w:color="auto"/>
            </w:tcBorders>
          </w:tcPr>
          <w:p w14:paraId="1B370665" w14:textId="77777777" w:rsidR="00607FAB" w:rsidRPr="00E75831" w:rsidRDefault="00607FAB" w:rsidP="00607FAB">
            <w:pPr>
              <w:jc w:val="center"/>
              <w:rPr>
                <w:sz w:val="18"/>
                <w:lang w:val="en-AU"/>
              </w:rPr>
            </w:pPr>
            <w:r w:rsidRPr="00E75831">
              <w:rPr>
                <w:sz w:val="18"/>
                <w:lang w:val="en-AU"/>
              </w:rPr>
              <w:t>0.94</w:t>
            </w:r>
          </w:p>
        </w:tc>
      </w:tr>
      <w:tr w:rsidR="00607FAB" w:rsidRPr="00E75831" w14:paraId="5CEBF843" w14:textId="77777777" w:rsidTr="00607FAB">
        <w:trPr>
          <w:trHeight w:val="180"/>
        </w:trPr>
        <w:tc>
          <w:tcPr>
            <w:tcW w:w="1916" w:type="dxa"/>
            <w:vMerge/>
            <w:tcBorders>
              <w:left w:val="single" w:sz="12" w:space="0" w:color="auto"/>
            </w:tcBorders>
          </w:tcPr>
          <w:p w14:paraId="0E9B4B87" w14:textId="77777777" w:rsidR="00607FAB" w:rsidRPr="00E75831" w:rsidRDefault="00607FAB" w:rsidP="00607FAB">
            <w:pPr>
              <w:jc w:val="center"/>
              <w:rPr>
                <w:sz w:val="18"/>
                <w:lang w:val="en-AU"/>
              </w:rPr>
            </w:pPr>
          </w:p>
        </w:tc>
        <w:tc>
          <w:tcPr>
            <w:tcW w:w="1857" w:type="dxa"/>
          </w:tcPr>
          <w:p w14:paraId="76AD35AF" w14:textId="77777777" w:rsidR="00607FAB" w:rsidRPr="00E75831" w:rsidRDefault="00607FAB" w:rsidP="00607FAB">
            <w:pPr>
              <w:jc w:val="center"/>
              <w:rPr>
                <w:sz w:val="18"/>
                <w:lang w:val="en-AU"/>
              </w:rPr>
            </w:pPr>
            <w:r w:rsidRPr="00E75831">
              <w:rPr>
                <w:sz w:val="18"/>
                <w:lang w:val="en-AU"/>
              </w:rPr>
              <w:t>16 (384)</w:t>
            </w:r>
          </w:p>
        </w:tc>
        <w:tc>
          <w:tcPr>
            <w:tcW w:w="1857" w:type="dxa"/>
          </w:tcPr>
          <w:p w14:paraId="6DF16AE4" w14:textId="77777777" w:rsidR="00607FAB" w:rsidRPr="00E75831" w:rsidRDefault="00607FAB" w:rsidP="00607FAB">
            <w:pPr>
              <w:jc w:val="center"/>
              <w:rPr>
                <w:sz w:val="18"/>
                <w:lang w:val="en-AU"/>
              </w:rPr>
            </w:pPr>
            <w:r w:rsidRPr="00E75831">
              <w:rPr>
                <w:sz w:val="18"/>
                <w:lang w:val="en-AU"/>
              </w:rPr>
              <w:t>0.75</w:t>
            </w:r>
          </w:p>
        </w:tc>
        <w:tc>
          <w:tcPr>
            <w:tcW w:w="1857" w:type="dxa"/>
          </w:tcPr>
          <w:p w14:paraId="619E9175" w14:textId="77777777" w:rsidR="00607FAB" w:rsidRPr="00E75831" w:rsidRDefault="00607FAB" w:rsidP="00607FAB">
            <w:pPr>
              <w:jc w:val="center"/>
              <w:rPr>
                <w:sz w:val="18"/>
                <w:lang w:val="en-AU"/>
              </w:rPr>
            </w:pPr>
            <w:r w:rsidRPr="00E75831">
              <w:rPr>
                <w:sz w:val="18"/>
                <w:lang w:val="en-AU"/>
              </w:rPr>
              <w:t>0.38</w:t>
            </w:r>
          </w:p>
        </w:tc>
        <w:tc>
          <w:tcPr>
            <w:tcW w:w="1858" w:type="dxa"/>
            <w:tcBorders>
              <w:right w:val="single" w:sz="12" w:space="0" w:color="auto"/>
            </w:tcBorders>
          </w:tcPr>
          <w:p w14:paraId="1B3F0D3F" w14:textId="77777777" w:rsidR="00607FAB" w:rsidRPr="00E75831" w:rsidRDefault="00607FAB" w:rsidP="00607FAB">
            <w:pPr>
              <w:jc w:val="center"/>
              <w:rPr>
                <w:sz w:val="18"/>
                <w:lang w:val="en-AU"/>
              </w:rPr>
            </w:pPr>
            <w:r w:rsidRPr="00E75831">
              <w:rPr>
                <w:sz w:val="18"/>
                <w:lang w:val="en-AU"/>
              </w:rPr>
              <w:t>1.13</w:t>
            </w:r>
          </w:p>
        </w:tc>
      </w:tr>
      <w:tr w:rsidR="00607FAB" w:rsidRPr="00E75831" w14:paraId="1A21ADC8" w14:textId="77777777" w:rsidTr="00607FAB">
        <w:trPr>
          <w:trHeight w:val="660"/>
        </w:trPr>
        <w:tc>
          <w:tcPr>
            <w:tcW w:w="1916" w:type="dxa"/>
            <w:vMerge/>
            <w:tcBorders>
              <w:left w:val="single" w:sz="12" w:space="0" w:color="auto"/>
            </w:tcBorders>
          </w:tcPr>
          <w:p w14:paraId="639FFC07" w14:textId="77777777" w:rsidR="00607FAB" w:rsidRPr="00E75831" w:rsidRDefault="00607FAB" w:rsidP="00607FAB">
            <w:pPr>
              <w:jc w:val="center"/>
              <w:rPr>
                <w:sz w:val="18"/>
                <w:lang w:val="en-AU"/>
              </w:rPr>
            </w:pPr>
          </w:p>
        </w:tc>
        <w:tc>
          <w:tcPr>
            <w:tcW w:w="1857" w:type="dxa"/>
            <w:shd w:val="clear" w:color="auto" w:fill="C4BC96" w:themeFill="background2" w:themeFillShade="BF"/>
          </w:tcPr>
          <w:p w14:paraId="0B9482A5" w14:textId="77777777" w:rsidR="00607FAB" w:rsidRPr="00E75831" w:rsidRDefault="00607FAB" w:rsidP="00607FAB">
            <w:pPr>
              <w:jc w:val="center"/>
              <w:rPr>
                <w:sz w:val="18"/>
                <w:lang w:val="en-AU"/>
              </w:rPr>
            </w:pPr>
            <w:r w:rsidRPr="00E75831">
              <w:rPr>
                <w:sz w:val="18"/>
                <w:lang w:val="en-AU"/>
              </w:rPr>
              <w:t>20 (480)</w:t>
            </w:r>
          </w:p>
        </w:tc>
        <w:tc>
          <w:tcPr>
            <w:tcW w:w="1857" w:type="dxa"/>
            <w:shd w:val="clear" w:color="auto" w:fill="C4BC96" w:themeFill="background2" w:themeFillShade="BF"/>
          </w:tcPr>
          <w:p w14:paraId="5B64AF35" w14:textId="77777777" w:rsidR="00607FAB" w:rsidRPr="00E75831" w:rsidRDefault="00607FAB" w:rsidP="00607FAB">
            <w:pPr>
              <w:jc w:val="center"/>
              <w:rPr>
                <w:sz w:val="18"/>
                <w:lang w:val="en-AU"/>
              </w:rPr>
            </w:pPr>
            <w:r w:rsidRPr="00E75831">
              <w:rPr>
                <w:sz w:val="18"/>
                <w:lang w:val="en-AU"/>
              </w:rPr>
              <w:t>0.75</w:t>
            </w:r>
          </w:p>
        </w:tc>
        <w:tc>
          <w:tcPr>
            <w:tcW w:w="1857" w:type="dxa"/>
            <w:shd w:val="clear" w:color="auto" w:fill="C4BC96" w:themeFill="background2" w:themeFillShade="BF"/>
          </w:tcPr>
          <w:p w14:paraId="40A27818" w14:textId="77777777" w:rsidR="00607FAB" w:rsidRPr="00E75831" w:rsidRDefault="00607FAB" w:rsidP="00607FAB">
            <w:pPr>
              <w:jc w:val="center"/>
              <w:rPr>
                <w:sz w:val="18"/>
                <w:lang w:val="en-AU"/>
              </w:rPr>
            </w:pPr>
            <w:r w:rsidRPr="00E75831">
              <w:rPr>
                <w:sz w:val="18"/>
                <w:lang w:val="en-AU"/>
              </w:rPr>
              <w:t>0.48</w:t>
            </w:r>
          </w:p>
        </w:tc>
        <w:tc>
          <w:tcPr>
            <w:tcW w:w="1858" w:type="dxa"/>
            <w:tcBorders>
              <w:right w:val="single" w:sz="12" w:space="0" w:color="auto"/>
            </w:tcBorders>
            <w:shd w:val="clear" w:color="auto" w:fill="D99594" w:themeFill="accent2" w:themeFillTint="99"/>
          </w:tcPr>
          <w:p w14:paraId="33E60384" w14:textId="77777777" w:rsidR="00607FAB" w:rsidRPr="00E75831" w:rsidRDefault="00607FAB" w:rsidP="00607FAB">
            <w:pPr>
              <w:jc w:val="center"/>
              <w:rPr>
                <w:sz w:val="18"/>
                <w:lang w:val="en-AU"/>
              </w:rPr>
            </w:pPr>
            <w:r w:rsidRPr="00E75831">
              <w:rPr>
                <w:sz w:val="18"/>
                <w:lang w:val="en-AU"/>
              </w:rPr>
              <w:t>1.23</w:t>
            </w:r>
          </w:p>
        </w:tc>
      </w:tr>
      <w:tr w:rsidR="00607FAB" w:rsidRPr="00E75831" w14:paraId="37CFAD5E" w14:textId="77777777" w:rsidTr="00607FAB">
        <w:trPr>
          <w:trHeight w:val="75"/>
        </w:trPr>
        <w:tc>
          <w:tcPr>
            <w:tcW w:w="1916" w:type="dxa"/>
            <w:vMerge/>
            <w:tcBorders>
              <w:left w:val="single" w:sz="12" w:space="0" w:color="auto"/>
              <w:bottom w:val="single" w:sz="12" w:space="0" w:color="auto"/>
            </w:tcBorders>
          </w:tcPr>
          <w:p w14:paraId="1914886E" w14:textId="77777777" w:rsidR="00607FAB" w:rsidRPr="00E75831" w:rsidRDefault="00607FAB" w:rsidP="00607FAB">
            <w:pPr>
              <w:jc w:val="center"/>
              <w:rPr>
                <w:sz w:val="18"/>
                <w:lang w:val="en-AU"/>
              </w:rPr>
            </w:pPr>
          </w:p>
        </w:tc>
        <w:tc>
          <w:tcPr>
            <w:tcW w:w="1857" w:type="dxa"/>
            <w:tcBorders>
              <w:bottom w:val="single" w:sz="12" w:space="0" w:color="auto"/>
            </w:tcBorders>
            <w:shd w:val="clear" w:color="auto" w:fill="C4BC96" w:themeFill="background2" w:themeFillShade="BF"/>
          </w:tcPr>
          <w:p w14:paraId="43C2B555" w14:textId="77777777" w:rsidR="00607FAB" w:rsidRPr="00E75831" w:rsidRDefault="00607FAB" w:rsidP="00607FAB">
            <w:pPr>
              <w:jc w:val="center"/>
              <w:rPr>
                <w:sz w:val="18"/>
                <w:lang w:val="en-AU"/>
              </w:rPr>
            </w:pPr>
            <w:r w:rsidRPr="00E75831">
              <w:rPr>
                <w:sz w:val="18"/>
                <w:lang w:val="en-AU"/>
              </w:rPr>
              <w:t>25 (600)</w:t>
            </w:r>
          </w:p>
        </w:tc>
        <w:tc>
          <w:tcPr>
            <w:tcW w:w="1857" w:type="dxa"/>
            <w:tcBorders>
              <w:bottom w:val="single" w:sz="12" w:space="0" w:color="auto"/>
            </w:tcBorders>
            <w:shd w:val="clear" w:color="auto" w:fill="C4BC96" w:themeFill="background2" w:themeFillShade="BF"/>
          </w:tcPr>
          <w:p w14:paraId="1FB361C3" w14:textId="77777777" w:rsidR="00607FAB" w:rsidRPr="00E75831" w:rsidRDefault="00607FAB" w:rsidP="00607FAB">
            <w:pPr>
              <w:jc w:val="center"/>
              <w:rPr>
                <w:sz w:val="18"/>
                <w:lang w:val="en-AU"/>
              </w:rPr>
            </w:pPr>
            <w:r w:rsidRPr="00E75831">
              <w:rPr>
                <w:sz w:val="18"/>
                <w:lang w:val="en-AU"/>
              </w:rPr>
              <w:t>0.75</w:t>
            </w:r>
          </w:p>
        </w:tc>
        <w:tc>
          <w:tcPr>
            <w:tcW w:w="1857" w:type="dxa"/>
            <w:tcBorders>
              <w:bottom w:val="single" w:sz="12" w:space="0" w:color="auto"/>
            </w:tcBorders>
            <w:shd w:val="clear" w:color="auto" w:fill="C4BC96" w:themeFill="background2" w:themeFillShade="BF"/>
          </w:tcPr>
          <w:p w14:paraId="3FBA2E30" w14:textId="77777777" w:rsidR="00607FAB" w:rsidRPr="00E75831" w:rsidRDefault="00607FAB" w:rsidP="00607FAB">
            <w:pPr>
              <w:jc w:val="center"/>
              <w:rPr>
                <w:sz w:val="18"/>
                <w:lang w:val="en-AU"/>
              </w:rPr>
            </w:pPr>
            <w:r w:rsidRPr="00E75831">
              <w:rPr>
                <w:sz w:val="18"/>
                <w:lang w:val="en-AU"/>
              </w:rPr>
              <w:t>0.60</w:t>
            </w:r>
          </w:p>
        </w:tc>
        <w:tc>
          <w:tcPr>
            <w:tcW w:w="1858" w:type="dxa"/>
            <w:tcBorders>
              <w:bottom w:val="single" w:sz="12" w:space="0" w:color="auto"/>
              <w:right w:val="single" w:sz="12" w:space="0" w:color="auto"/>
            </w:tcBorders>
            <w:shd w:val="clear" w:color="auto" w:fill="D99594" w:themeFill="accent2" w:themeFillTint="99"/>
          </w:tcPr>
          <w:p w14:paraId="648AB1B1" w14:textId="77777777" w:rsidR="00607FAB" w:rsidRPr="00E75831" w:rsidRDefault="00607FAB" w:rsidP="00607FAB">
            <w:pPr>
              <w:jc w:val="center"/>
              <w:rPr>
                <w:sz w:val="18"/>
                <w:lang w:val="en-AU"/>
              </w:rPr>
            </w:pPr>
            <w:r w:rsidRPr="00E75831">
              <w:rPr>
                <w:sz w:val="18"/>
                <w:lang w:val="en-AU"/>
              </w:rPr>
              <w:t>1.35</w:t>
            </w:r>
          </w:p>
        </w:tc>
      </w:tr>
      <w:tr w:rsidR="00607FAB" w:rsidRPr="00E75831" w14:paraId="4F6AEF83" w14:textId="77777777" w:rsidTr="00607FAB">
        <w:trPr>
          <w:trHeight w:val="180"/>
        </w:trPr>
        <w:tc>
          <w:tcPr>
            <w:tcW w:w="1916" w:type="dxa"/>
            <w:vMerge w:val="restart"/>
            <w:tcBorders>
              <w:top w:val="single" w:sz="12" w:space="0" w:color="auto"/>
            </w:tcBorders>
          </w:tcPr>
          <w:p w14:paraId="353AAF5D" w14:textId="77777777" w:rsidR="00607FAB" w:rsidRPr="00E75831" w:rsidRDefault="00607FAB" w:rsidP="00607FAB">
            <w:pPr>
              <w:shd w:val="clear" w:color="auto" w:fill="B6DDE8" w:themeFill="accent5" w:themeFillTint="66"/>
              <w:jc w:val="center"/>
              <w:rPr>
                <w:sz w:val="18"/>
                <w:lang w:val="en-AU"/>
              </w:rPr>
            </w:pPr>
            <w:r w:rsidRPr="00E75831">
              <w:rPr>
                <w:sz w:val="18"/>
                <w:lang w:val="en-AU"/>
              </w:rPr>
              <w:t>Median level found in Au IF powder</w:t>
            </w:r>
          </w:p>
          <w:p w14:paraId="27664FD0" w14:textId="77777777" w:rsidR="00607FAB" w:rsidRPr="00E75831" w:rsidRDefault="00607FAB" w:rsidP="00607FAB">
            <w:pPr>
              <w:jc w:val="center"/>
              <w:rPr>
                <w:sz w:val="18"/>
                <w:lang w:val="en-AU"/>
              </w:rPr>
            </w:pPr>
          </w:p>
          <w:p w14:paraId="1B10ADEA" w14:textId="77777777" w:rsidR="00607FAB" w:rsidRPr="00E75831" w:rsidRDefault="00607FAB" w:rsidP="00607FAB">
            <w:pPr>
              <w:rPr>
                <w:sz w:val="18"/>
                <w:lang w:val="en-AU"/>
              </w:rPr>
            </w:pPr>
          </w:p>
          <w:p w14:paraId="69ECAB31" w14:textId="77777777" w:rsidR="00607FAB" w:rsidRPr="00EE2F9D" w:rsidRDefault="00607FAB" w:rsidP="00607FAB">
            <w:pPr>
              <w:jc w:val="center"/>
              <w:rPr>
                <w:b/>
                <w:sz w:val="18"/>
                <w:lang w:val="en-AU"/>
              </w:rPr>
            </w:pPr>
            <w:r w:rsidRPr="00EE2F9D">
              <w:rPr>
                <w:b/>
                <w:sz w:val="18"/>
                <w:lang w:val="en-AU"/>
              </w:rPr>
              <w:t>1.5</w:t>
            </w:r>
          </w:p>
          <w:p w14:paraId="3770780E" w14:textId="77777777" w:rsidR="00607FAB" w:rsidRPr="00E75831" w:rsidRDefault="00607FAB" w:rsidP="00607FAB">
            <w:pPr>
              <w:jc w:val="center"/>
              <w:rPr>
                <w:sz w:val="18"/>
                <w:lang w:val="en-AU"/>
              </w:rPr>
            </w:pPr>
            <w:r w:rsidRPr="00E75831">
              <w:rPr>
                <w:sz w:val="18"/>
                <w:shd w:val="clear" w:color="auto" w:fill="C4BC96" w:themeFill="background2" w:themeFillShade="BF"/>
                <w:lang w:val="en-AU"/>
              </w:rPr>
              <w:t>2.9.1 Fluorosis statement required</w:t>
            </w:r>
            <w:r w:rsidRPr="00E75831">
              <w:rPr>
                <w:rFonts w:cs="Arial"/>
                <w:sz w:val="18"/>
                <w:shd w:val="clear" w:color="auto" w:fill="C4BC96" w:themeFill="background2" w:themeFillShade="BF"/>
                <w:lang w:val="en-AU"/>
              </w:rPr>
              <w:t xml:space="preserve"> ˃</w:t>
            </w:r>
            <w:r w:rsidRPr="00E75831">
              <w:rPr>
                <w:sz w:val="18"/>
                <w:shd w:val="clear" w:color="auto" w:fill="C4BC96" w:themeFill="background2" w:themeFillShade="BF"/>
                <w:lang w:val="en-AU"/>
              </w:rPr>
              <w:t xml:space="preserve">17 </w:t>
            </w:r>
            <w:r w:rsidRPr="00E75831">
              <w:rPr>
                <w:rFonts w:cs="Arial"/>
                <w:sz w:val="18"/>
                <w:shd w:val="clear" w:color="auto" w:fill="C4BC96" w:themeFill="background2" w:themeFillShade="BF"/>
                <w:lang w:val="en-AU"/>
              </w:rPr>
              <w:t>µ</w:t>
            </w:r>
            <w:r w:rsidRPr="00E75831">
              <w:rPr>
                <w:sz w:val="18"/>
                <w:shd w:val="clear" w:color="auto" w:fill="C4BC96" w:themeFill="background2" w:themeFillShade="BF"/>
                <w:lang w:val="en-AU"/>
              </w:rPr>
              <w:t>g/100kJ</w:t>
            </w:r>
            <w:r w:rsidRPr="00E75831">
              <w:rPr>
                <w:sz w:val="18"/>
                <w:lang w:val="en-AU"/>
              </w:rPr>
              <w:t xml:space="preserve"> </w:t>
            </w:r>
          </w:p>
        </w:tc>
        <w:tc>
          <w:tcPr>
            <w:tcW w:w="1857" w:type="dxa"/>
            <w:tcBorders>
              <w:top w:val="single" w:sz="12" w:space="0" w:color="auto"/>
            </w:tcBorders>
          </w:tcPr>
          <w:p w14:paraId="70BA7139" w14:textId="77777777" w:rsidR="00607FAB" w:rsidRPr="00E75831" w:rsidRDefault="00607FAB" w:rsidP="00607FAB">
            <w:pPr>
              <w:jc w:val="center"/>
              <w:rPr>
                <w:sz w:val="18"/>
                <w:lang w:val="en-AU"/>
              </w:rPr>
            </w:pPr>
            <w:r w:rsidRPr="00E75831">
              <w:rPr>
                <w:sz w:val="18"/>
                <w:lang w:val="en-AU"/>
              </w:rPr>
              <w:t>0 (0)</w:t>
            </w:r>
          </w:p>
        </w:tc>
        <w:tc>
          <w:tcPr>
            <w:tcW w:w="1857" w:type="dxa"/>
            <w:tcBorders>
              <w:top w:val="single" w:sz="12" w:space="0" w:color="auto"/>
            </w:tcBorders>
          </w:tcPr>
          <w:p w14:paraId="3B968421" w14:textId="77777777" w:rsidR="00607FAB" w:rsidRPr="00E75831" w:rsidRDefault="00607FAB" w:rsidP="00607FAB">
            <w:pPr>
              <w:jc w:val="center"/>
              <w:rPr>
                <w:sz w:val="18"/>
                <w:lang w:val="en-AU"/>
              </w:rPr>
            </w:pPr>
            <w:r w:rsidRPr="00E75831">
              <w:rPr>
                <w:sz w:val="18"/>
                <w:lang w:val="en-AU"/>
              </w:rPr>
              <w:t>1.12</w:t>
            </w:r>
          </w:p>
        </w:tc>
        <w:tc>
          <w:tcPr>
            <w:tcW w:w="1857" w:type="dxa"/>
            <w:tcBorders>
              <w:top w:val="single" w:sz="12" w:space="0" w:color="auto"/>
            </w:tcBorders>
          </w:tcPr>
          <w:p w14:paraId="1857B989" w14:textId="77777777" w:rsidR="00607FAB" w:rsidRPr="00E75831" w:rsidRDefault="00607FAB" w:rsidP="00607FAB">
            <w:pPr>
              <w:jc w:val="center"/>
              <w:rPr>
                <w:sz w:val="18"/>
                <w:lang w:val="en-AU"/>
              </w:rPr>
            </w:pPr>
            <w:r w:rsidRPr="00E75831">
              <w:rPr>
                <w:sz w:val="18"/>
                <w:lang w:val="en-AU"/>
              </w:rPr>
              <w:t>0</w:t>
            </w:r>
          </w:p>
        </w:tc>
        <w:tc>
          <w:tcPr>
            <w:tcW w:w="1858" w:type="dxa"/>
            <w:tcBorders>
              <w:top w:val="single" w:sz="12" w:space="0" w:color="auto"/>
            </w:tcBorders>
          </w:tcPr>
          <w:p w14:paraId="7875848C" w14:textId="77777777" w:rsidR="00607FAB" w:rsidRPr="00E75831" w:rsidRDefault="00607FAB" w:rsidP="00607FAB">
            <w:pPr>
              <w:jc w:val="center"/>
              <w:rPr>
                <w:sz w:val="18"/>
                <w:lang w:val="en-AU"/>
              </w:rPr>
            </w:pPr>
            <w:r w:rsidRPr="00E75831">
              <w:rPr>
                <w:sz w:val="18"/>
                <w:lang w:val="en-AU"/>
              </w:rPr>
              <w:t>1.12</w:t>
            </w:r>
          </w:p>
        </w:tc>
      </w:tr>
      <w:tr w:rsidR="00607FAB" w:rsidRPr="00E75831" w14:paraId="6DB424A4" w14:textId="77777777" w:rsidTr="00607FAB">
        <w:trPr>
          <w:trHeight w:val="180"/>
        </w:trPr>
        <w:tc>
          <w:tcPr>
            <w:tcW w:w="1916" w:type="dxa"/>
            <w:vMerge/>
            <w:shd w:val="clear" w:color="auto" w:fill="B6DDE8" w:themeFill="accent5" w:themeFillTint="66"/>
          </w:tcPr>
          <w:p w14:paraId="547349C8" w14:textId="77777777" w:rsidR="00607FAB" w:rsidRPr="00E75831" w:rsidRDefault="00607FAB" w:rsidP="00607FAB">
            <w:pPr>
              <w:jc w:val="center"/>
              <w:rPr>
                <w:sz w:val="18"/>
                <w:lang w:val="en-AU"/>
              </w:rPr>
            </w:pPr>
          </w:p>
        </w:tc>
        <w:tc>
          <w:tcPr>
            <w:tcW w:w="1857" w:type="dxa"/>
            <w:shd w:val="clear" w:color="auto" w:fill="B6DDE8" w:themeFill="accent5" w:themeFillTint="66"/>
          </w:tcPr>
          <w:p w14:paraId="65E26BA6" w14:textId="77777777" w:rsidR="00607FAB" w:rsidRPr="00E75831" w:rsidRDefault="00607FAB" w:rsidP="00607FAB">
            <w:pPr>
              <w:jc w:val="center"/>
              <w:rPr>
                <w:sz w:val="18"/>
                <w:lang w:val="en-AU"/>
              </w:rPr>
            </w:pPr>
            <w:r w:rsidRPr="00E75831">
              <w:rPr>
                <w:sz w:val="18"/>
                <w:lang w:val="en-AU"/>
              </w:rPr>
              <w:t>2 (48)</w:t>
            </w:r>
          </w:p>
        </w:tc>
        <w:tc>
          <w:tcPr>
            <w:tcW w:w="1857" w:type="dxa"/>
            <w:shd w:val="clear" w:color="auto" w:fill="B6DDE8" w:themeFill="accent5" w:themeFillTint="66"/>
          </w:tcPr>
          <w:p w14:paraId="3A48B205" w14:textId="77777777" w:rsidR="00607FAB" w:rsidRPr="00E75831" w:rsidRDefault="00607FAB" w:rsidP="00607FAB">
            <w:pPr>
              <w:jc w:val="center"/>
              <w:rPr>
                <w:sz w:val="18"/>
                <w:lang w:val="en-AU"/>
              </w:rPr>
            </w:pPr>
            <w:r w:rsidRPr="00E75831">
              <w:rPr>
                <w:sz w:val="18"/>
                <w:lang w:val="en-AU"/>
              </w:rPr>
              <w:t>1.12</w:t>
            </w:r>
          </w:p>
        </w:tc>
        <w:tc>
          <w:tcPr>
            <w:tcW w:w="1857" w:type="dxa"/>
            <w:shd w:val="clear" w:color="auto" w:fill="B6DDE8" w:themeFill="accent5" w:themeFillTint="66"/>
          </w:tcPr>
          <w:p w14:paraId="11E2472E" w14:textId="77777777" w:rsidR="00607FAB" w:rsidRPr="00E75831" w:rsidRDefault="00607FAB" w:rsidP="00607FAB">
            <w:pPr>
              <w:jc w:val="center"/>
              <w:rPr>
                <w:sz w:val="18"/>
                <w:lang w:val="en-AU"/>
              </w:rPr>
            </w:pPr>
            <w:r w:rsidRPr="00E75831">
              <w:rPr>
                <w:sz w:val="18"/>
                <w:lang w:val="en-AU"/>
              </w:rPr>
              <w:t>0.05</w:t>
            </w:r>
          </w:p>
        </w:tc>
        <w:tc>
          <w:tcPr>
            <w:tcW w:w="1858" w:type="dxa"/>
            <w:shd w:val="clear" w:color="auto" w:fill="B6DDE8" w:themeFill="accent5" w:themeFillTint="66"/>
          </w:tcPr>
          <w:p w14:paraId="30D16FA0" w14:textId="77777777" w:rsidR="00607FAB" w:rsidRPr="00E75831" w:rsidRDefault="00607FAB" w:rsidP="00607FAB">
            <w:pPr>
              <w:jc w:val="center"/>
              <w:rPr>
                <w:sz w:val="18"/>
                <w:lang w:val="en-AU"/>
              </w:rPr>
            </w:pPr>
            <w:r w:rsidRPr="00E75831">
              <w:rPr>
                <w:sz w:val="18"/>
                <w:lang w:val="en-AU"/>
              </w:rPr>
              <w:t>1.17</w:t>
            </w:r>
          </w:p>
        </w:tc>
      </w:tr>
      <w:tr w:rsidR="00607FAB" w:rsidRPr="00E75831" w14:paraId="738418F2" w14:textId="77777777" w:rsidTr="00607FAB">
        <w:trPr>
          <w:trHeight w:val="180"/>
        </w:trPr>
        <w:tc>
          <w:tcPr>
            <w:tcW w:w="1916" w:type="dxa"/>
            <w:vMerge/>
          </w:tcPr>
          <w:p w14:paraId="32EE876A" w14:textId="77777777" w:rsidR="00607FAB" w:rsidRPr="00E75831" w:rsidRDefault="00607FAB" w:rsidP="00607FAB">
            <w:pPr>
              <w:jc w:val="center"/>
              <w:rPr>
                <w:sz w:val="18"/>
                <w:lang w:val="en-AU"/>
              </w:rPr>
            </w:pPr>
          </w:p>
        </w:tc>
        <w:tc>
          <w:tcPr>
            <w:tcW w:w="1857" w:type="dxa"/>
          </w:tcPr>
          <w:p w14:paraId="03CDAD47" w14:textId="77777777" w:rsidR="00607FAB" w:rsidRPr="00E75831" w:rsidRDefault="00607FAB" w:rsidP="00607FAB">
            <w:pPr>
              <w:jc w:val="center"/>
              <w:rPr>
                <w:sz w:val="18"/>
                <w:lang w:val="en-AU"/>
              </w:rPr>
            </w:pPr>
            <w:r w:rsidRPr="00E75831">
              <w:rPr>
                <w:sz w:val="18"/>
                <w:lang w:val="en-AU"/>
              </w:rPr>
              <w:t>4 (96)</w:t>
            </w:r>
          </w:p>
        </w:tc>
        <w:tc>
          <w:tcPr>
            <w:tcW w:w="1857" w:type="dxa"/>
          </w:tcPr>
          <w:p w14:paraId="047D2003" w14:textId="77777777" w:rsidR="00607FAB" w:rsidRPr="00E75831" w:rsidRDefault="00607FAB" w:rsidP="00607FAB">
            <w:pPr>
              <w:jc w:val="center"/>
              <w:rPr>
                <w:sz w:val="18"/>
                <w:lang w:val="en-AU"/>
              </w:rPr>
            </w:pPr>
            <w:r w:rsidRPr="00E75831">
              <w:rPr>
                <w:sz w:val="18"/>
                <w:lang w:val="en-AU"/>
              </w:rPr>
              <w:t>1.12</w:t>
            </w:r>
          </w:p>
        </w:tc>
        <w:tc>
          <w:tcPr>
            <w:tcW w:w="1857" w:type="dxa"/>
          </w:tcPr>
          <w:p w14:paraId="4F41D4CD" w14:textId="77777777" w:rsidR="00607FAB" w:rsidRPr="00E75831" w:rsidRDefault="00607FAB" w:rsidP="00607FAB">
            <w:pPr>
              <w:jc w:val="center"/>
              <w:rPr>
                <w:sz w:val="18"/>
                <w:lang w:val="en-AU"/>
              </w:rPr>
            </w:pPr>
            <w:r w:rsidRPr="00E75831">
              <w:rPr>
                <w:sz w:val="18"/>
                <w:lang w:val="en-AU"/>
              </w:rPr>
              <w:t>0.10</w:t>
            </w:r>
          </w:p>
        </w:tc>
        <w:tc>
          <w:tcPr>
            <w:tcW w:w="1858" w:type="dxa"/>
            <w:shd w:val="clear" w:color="auto" w:fill="D99594" w:themeFill="accent2" w:themeFillTint="99"/>
          </w:tcPr>
          <w:p w14:paraId="2B8DA1C7" w14:textId="77777777" w:rsidR="00607FAB" w:rsidRPr="00E75831" w:rsidRDefault="00607FAB" w:rsidP="00607FAB">
            <w:pPr>
              <w:jc w:val="center"/>
              <w:rPr>
                <w:sz w:val="18"/>
                <w:lang w:val="en-AU"/>
              </w:rPr>
            </w:pPr>
            <w:r w:rsidRPr="00E75831">
              <w:rPr>
                <w:sz w:val="18"/>
                <w:lang w:val="en-AU"/>
              </w:rPr>
              <w:t>1.22</w:t>
            </w:r>
          </w:p>
        </w:tc>
      </w:tr>
      <w:tr w:rsidR="00607FAB" w:rsidRPr="00E75831" w14:paraId="7F9039F0" w14:textId="77777777" w:rsidTr="00607FAB">
        <w:trPr>
          <w:trHeight w:val="180"/>
        </w:trPr>
        <w:tc>
          <w:tcPr>
            <w:tcW w:w="1916" w:type="dxa"/>
            <w:vMerge/>
          </w:tcPr>
          <w:p w14:paraId="2DBDEAF6" w14:textId="77777777" w:rsidR="00607FAB" w:rsidRPr="00E75831" w:rsidRDefault="00607FAB" w:rsidP="00607FAB">
            <w:pPr>
              <w:jc w:val="center"/>
              <w:rPr>
                <w:sz w:val="18"/>
                <w:lang w:val="en-AU"/>
              </w:rPr>
            </w:pPr>
          </w:p>
        </w:tc>
        <w:tc>
          <w:tcPr>
            <w:tcW w:w="1857" w:type="dxa"/>
          </w:tcPr>
          <w:p w14:paraId="69EB9A55" w14:textId="77777777" w:rsidR="00607FAB" w:rsidRPr="00E75831" w:rsidRDefault="00607FAB" w:rsidP="00607FAB">
            <w:pPr>
              <w:jc w:val="center"/>
              <w:rPr>
                <w:sz w:val="18"/>
                <w:lang w:val="en-AU"/>
              </w:rPr>
            </w:pPr>
            <w:r w:rsidRPr="00E75831">
              <w:rPr>
                <w:sz w:val="18"/>
                <w:lang w:val="en-AU"/>
              </w:rPr>
              <w:t>8 (192)</w:t>
            </w:r>
          </w:p>
        </w:tc>
        <w:tc>
          <w:tcPr>
            <w:tcW w:w="1857" w:type="dxa"/>
          </w:tcPr>
          <w:p w14:paraId="0E8CAD36" w14:textId="77777777" w:rsidR="00607FAB" w:rsidRPr="00E75831" w:rsidRDefault="00607FAB" w:rsidP="00607FAB">
            <w:pPr>
              <w:jc w:val="center"/>
              <w:rPr>
                <w:sz w:val="18"/>
                <w:lang w:val="en-AU"/>
              </w:rPr>
            </w:pPr>
            <w:r w:rsidRPr="00E75831">
              <w:rPr>
                <w:sz w:val="18"/>
                <w:lang w:val="en-AU"/>
              </w:rPr>
              <w:t>1.12</w:t>
            </w:r>
          </w:p>
        </w:tc>
        <w:tc>
          <w:tcPr>
            <w:tcW w:w="1857" w:type="dxa"/>
          </w:tcPr>
          <w:p w14:paraId="45DDAD89" w14:textId="77777777" w:rsidR="00607FAB" w:rsidRPr="00E75831" w:rsidRDefault="00607FAB" w:rsidP="00607FAB">
            <w:pPr>
              <w:jc w:val="center"/>
              <w:rPr>
                <w:sz w:val="18"/>
                <w:lang w:val="en-AU"/>
              </w:rPr>
            </w:pPr>
            <w:r w:rsidRPr="00E75831">
              <w:rPr>
                <w:sz w:val="18"/>
                <w:lang w:val="en-AU"/>
              </w:rPr>
              <w:t>0.19</w:t>
            </w:r>
          </w:p>
        </w:tc>
        <w:tc>
          <w:tcPr>
            <w:tcW w:w="1858" w:type="dxa"/>
            <w:shd w:val="clear" w:color="auto" w:fill="D99594" w:themeFill="accent2" w:themeFillTint="99"/>
          </w:tcPr>
          <w:p w14:paraId="64572E18" w14:textId="77777777" w:rsidR="00607FAB" w:rsidRPr="00E75831" w:rsidRDefault="00607FAB" w:rsidP="00607FAB">
            <w:pPr>
              <w:jc w:val="center"/>
              <w:rPr>
                <w:sz w:val="18"/>
                <w:lang w:val="en-AU"/>
              </w:rPr>
            </w:pPr>
            <w:r w:rsidRPr="00E75831">
              <w:rPr>
                <w:sz w:val="18"/>
                <w:lang w:val="en-AU"/>
              </w:rPr>
              <w:t>1.31</w:t>
            </w:r>
          </w:p>
        </w:tc>
      </w:tr>
      <w:tr w:rsidR="00607FAB" w:rsidRPr="00E75831" w14:paraId="603600C8" w14:textId="77777777" w:rsidTr="00607FAB">
        <w:trPr>
          <w:trHeight w:val="180"/>
        </w:trPr>
        <w:tc>
          <w:tcPr>
            <w:tcW w:w="1916" w:type="dxa"/>
            <w:vMerge/>
          </w:tcPr>
          <w:p w14:paraId="5B0BA99E" w14:textId="77777777" w:rsidR="00607FAB" w:rsidRPr="00E75831" w:rsidRDefault="00607FAB" w:rsidP="00607FAB">
            <w:pPr>
              <w:jc w:val="center"/>
              <w:rPr>
                <w:sz w:val="18"/>
                <w:lang w:val="en-AU"/>
              </w:rPr>
            </w:pPr>
          </w:p>
        </w:tc>
        <w:tc>
          <w:tcPr>
            <w:tcW w:w="1857" w:type="dxa"/>
          </w:tcPr>
          <w:p w14:paraId="6976EEEF" w14:textId="77777777" w:rsidR="00607FAB" w:rsidRPr="00E75831" w:rsidRDefault="00607FAB" w:rsidP="00607FAB">
            <w:pPr>
              <w:jc w:val="center"/>
              <w:rPr>
                <w:sz w:val="18"/>
                <w:lang w:val="en-AU"/>
              </w:rPr>
            </w:pPr>
            <w:r w:rsidRPr="00E75831">
              <w:rPr>
                <w:sz w:val="18"/>
                <w:lang w:val="en-AU"/>
              </w:rPr>
              <w:t>16 (384)</w:t>
            </w:r>
          </w:p>
        </w:tc>
        <w:tc>
          <w:tcPr>
            <w:tcW w:w="1857" w:type="dxa"/>
          </w:tcPr>
          <w:p w14:paraId="12B92D2E" w14:textId="77777777" w:rsidR="00607FAB" w:rsidRPr="00E75831" w:rsidRDefault="00607FAB" w:rsidP="00607FAB">
            <w:pPr>
              <w:jc w:val="center"/>
              <w:rPr>
                <w:sz w:val="18"/>
                <w:lang w:val="en-AU"/>
              </w:rPr>
            </w:pPr>
            <w:r w:rsidRPr="00E75831">
              <w:rPr>
                <w:sz w:val="18"/>
                <w:lang w:val="en-AU"/>
              </w:rPr>
              <w:t>1.12</w:t>
            </w:r>
          </w:p>
        </w:tc>
        <w:tc>
          <w:tcPr>
            <w:tcW w:w="1857" w:type="dxa"/>
          </w:tcPr>
          <w:p w14:paraId="6506F5D5" w14:textId="77777777" w:rsidR="00607FAB" w:rsidRPr="00E75831" w:rsidRDefault="00607FAB" w:rsidP="00607FAB">
            <w:pPr>
              <w:jc w:val="center"/>
              <w:rPr>
                <w:sz w:val="18"/>
                <w:lang w:val="en-AU"/>
              </w:rPr>
            </w:pPr>
            <w:r w:rsidRPr="00E75831">
              <w:rPr>
                <w:sz w:val="18"/>
                <w:lang w:val="en-AU"/>
              </w:rPr>
              <w:t>0.38</w:t>
            </w:r>
          </w:p>
        </w:tc>
        <w:tc>
          <w:tcPr>
            <w:tcW w:w="1858" w:type="dxa"/>
            <w:shd w:val="clear" w:color="auto" w:fill="D99594" w:themeFill="accent2" w:themeFillTint="99"/>
          </w:tcPr>
          <w:p w14:paraId="5711C817" w14:textId="77777777" w:rsidR="00607FAB" w:rsidRPr="00E75831" w:rsidRDefault="00607FAB" w:rsidP="00607FAB">
            <w:pPr>
              <w:jc w:val="center"/>
              <w:rPr>
                <w:sz w:val="18"/>
                <w:lang w:val="en-AU"/>
              </w:rPr>
            </w:pPr>
            <w:r w:rsidRPr="00E75831">
              <w:rPr>
                <w:sz w:val="18"/>
                <w:lang w:val="en-AU"/>
              </w:rPr>
              <w:t>1.50</w:t>
            </w:r>
          </w:p>
        </w:tc>
      </w:tr>
      <w:tr w:rsidR="00607FAB" w:rsidRPr="00E75831" w14:paraId="63189B13" w14:textId="77777777" w:rsidTr="00607FAB">
        <w:trPr>
          <w:trHeight w:val="180"/>
        </w:trPr>
        <w:tc>
          <w:tcPr>
            <w:tcW w:w="1916" w:type="dxa"/>
            <w:vMerge/>
          </w:tcPr>
          <w:p w14:paraId="12C8DE1D" w14:textId="77777777" w:rsidR="00607FAB" w:rsidRPr="00E75831" w:rsidRDefault="00607FAB" w:rsidP="00607FAB">
            <w:pPr>
              <w:jc w:val="center"/>
              <w:rPr>
                <w:sz w:val="18"/>
                <w:lang w:val="en-AU"/>
              </w:rPr>
            </w:pPr>
          </w:p>
        </w:tc>
        <w:tc>
          <w:tcPr>
            <w:tcW w:w="1857" w:type="dxa"/>
            <w:shd w:val="clear" w:color="auto" w:fill="C4BC96" w:themeFill="background2" w:themeFillShade="BF"/>
          </w:tcPr>
          <w:p w14:paraId="3EFDAFC3" w14:textId="77777777" w:rsidR="00607FAB" w:rsidRPr="00E75831" w:rsidRDefault="00607FAB" w:rsidP="00607FAB">
            <w:pPr>
              <w:jc w:val="center"/>
              <w:rPr>
                <w:sz w:val="18"/>
                <w:lang w:val="en-AU"/>
              </w:rPr>
            </w:pPr>
            <w:r w:rsidRPr="00E75831">
              <w:rPr>
                <w:sz w:val="18"/>
                <w:lang w:val="en-AU"/>
              </w:rPr>
              <w:t>20 (480)</w:t>
            </w:r>
          </w:p>
        </w:tc>
        <w:tc>
          <w:tcPr>
            <w:tcW w:w="1857" w:type="dxa"/>
            <w:shd w:val="clear" w:color="auto" w:fill="C4BC96" w:themeFill="background2" w:themeFillShade="BF"/>
          </w:tcPr>
          <w:p w14:paraId="254CB2A5" w14:textId="77777777" w:rsidR="00607FAB" w:rsidRPr="00E75831" w:rsidRDefault="00607FAB" w:rsidP="00607FAB">
            <w:pPr>
              <w:jc w:val="center"/>
              <w:rPr>
                <w:sz w:val="18"/>
                <w:lang w:val="en-AU"/>
              </w:rPr>
            </w:pPr>
            <w:r w:rsidRPr="00E75831">
              <w:rPr>
                <w:sz w:val="18"/>
                <w:lang w:val="en-AU"/>
              </w:rPr>
              <w:t>1.12</w:t>
            </w:r>
          </w:p>
        </w:tc>
        <w:tc>
          <w:tcPr>
            <w:tcW w:w="1857" w:type="dxa"/>
            <w:shd w:val="clear" w:color="auto" w:fill="C4BC96" w:themeFill="background2" w:themeFillShade="BF"/>
          </w:tcPr>
          <w:p w14:paraId="0A6E1F83" w14:textId="77777777" w:rsidR="00607FAB" w:rsidRPr="00E75831" w:rsidRDefault="00607FAB" w:rsidP="00607FAB">
            <w:pPr>
              <w:jc w:val="center"/>
              <w:rPr>
                <w:sz w:val="18"/>
                <w:lang w:val="en-AU"/>
              </w:rPr>
            </w:pPr>
            <w:r w:rsidRPr="00E75831">
              <w:rPr>
                <w:sz w:val="18"/>
                <w:lang w:val="en-AU"/>
              </w:rPr>
              <w:t>0.48</w:t>
            </w:r>
          </w:p>
        </w:tc>
        <w:tc>
          <w:tcPr>
            <w:tcW w:w="1858" w:type="dxa"/>
            <w:shd w:val="clear" w:color="auto" w:fill="D99594" w:themeFill="accent2" w:themeFillTint="99"/>
          </w:tcPr>
          <w:p w14:paraId="3DBBA794" w14:textId="77777777" w:rsidR="00607FAB" w:rsidRPr="00E75831" w:rsidRDefault="00607FAB" w:rsidP="00607FAB">
            <w:pPr>
              <w:jc w:val="center"/>
              <w:rPr>
                <w:sz w:val="18"/>
                <w:lang w:val="en-AU"/>
              </w:rPr>
            </w:pPr>
            <w:r w:rsidRPr="00E75831">
              <w:rPr>
                <w:sz w:val="18"/>
                <w:lang w:val="en-AU"/>
              </w:rPr>
              <w:t>1.60</w:t>
            </w:r>
          </w:p>
        </w:tc>
      </w:tr>
      <w:tr w:rsidR="00607FAB" w:rsidRPr="00E75831" w14:paraId="417098D4" w14:textId="77777777" w:rsidTr="00607FAB">
        <w:trPr>
          <w:trHeight w:val="180"/>
        </w:trPr>
        <w:tc>
          <w:tcPr>
            <w:tcW w:w="1916" w:type="dxa"/>
            <w:vMerge/>
          </w:tcPr>
          <w:p w14:paraId="42021E97" w14:textId="77777777" w:rsidR="00607FAB" w:rsidRPr="00E75831" w:rsidRDefault="00607FAB" w:rsidP="00607FAB">
            <w:pPr>
              <w:jc w:val="center"/>
              <w:rPr>
                <w:sz w:val="18"/>
                <w:lang w:val="en-AU"/>
              </w:rPr>
            </w:pPr>
          </w:p>
        </w:tc>
        <w:tc>
          <w:tcPr>
            <w:tcW w:w="1857" w:type="dxa"/>
            <w:shd w:val="clear" w:color="auto" w:fill="C4BC96" w:themeFill="background2" w:themeFillShade="BF"/>
          </w:tcPr>
          <w:p w14:paraId="665C55E7" w14:textId="77777777" w:rsidR="00607FAB" w:rsidRPr="00E75831" w:rsidRDefault="00607FAB" w:rsidP="00607FAB">
            <w:pPr>
              <w:jc w:val="center"/>
              <w:rPr>
                <w:sz w:val="18"/>
                <w:lang w:val="en-AU"/>
              </w:rPr>
            </w:pPr>
            <w:r w:rsidRPr="00E75831">
              <w:rPr>
                <w:sz w:val="18"/>
                <w:lang w:val="en-AU"/>
              </w:rPr>
              <w:t>25 (600)</w:t>
            </w:r>
          </w:p>
        </w:tc>
        <w:tc>
          <w:tcPr>
            <w:tcW w:w="1857" w:type="dxa"/>
            <w:shd w:val="clear" w:color="auto" w:fill="C4BC96" w:themeFill="background2" w:themeFillShade="BF"/>
          </w:tcPr>
          <w:p w14:paraId="7F5870F5" w14:textId="77777777" w:rsidR="00607FAB" w:rsidRPr="00E75831" w:rsidRDefault="00607FAB" w:rsidP="00607FAB">
            <w:pPr>
              <w:jc w:val="center"/>
              <w:rPr>
                <w:sz w:val="18"/>
                <w:lang w:val="en-AU"/>
              </w:rPr>
            </w:pPr>
            <w:r w:rsidRPr="00E75831">
              <w:rPr>
                <w:sz w:val="18"/>
                <w:lang w:val="en-AU"/>
              </w:rPr>
              <w:t>1.12</w:t>
            </w:r>
          </w:p>
        </w:tc>
        <w:tc>
          <w:tcPr>
            <w:tcW w:w="1857" w:type="dxa"/>
            <w:shd w:val="clear" w:color="auto" w:fill="C4BC96" w:themeFill="background2" w:themeFillShade="BF"/>
          </w:tcPr>
          <w:p w14:paraId="7EF2525F" w14:textId="77777777" w:rsidR="00607FAB" w:rsidRPr="00E75831" w:rsidRDefault="00607FAB" w:rsidP="00607FAB">
            <w:pPr>
              <w:jc w:val="center"/>
              <w:rPr>
                <w:sz w:val="18"/>
                <w:lang w:val="en-AU"/>
              </w:rPr>
            </w:pPr>
            <w:r w:rsidRPr="00E75831">
              <w:rPr>
                <w:sz w:val="18"/>
                <w:lang w:val="en-AU"/>
              </w:rPr>
              <w:t>0.60</w:t>
            </w:r>
          </w:p>
        </w:tc>
        <w:tc>
          <w:tcPr>
            <w:tcW w:w="1858" w:type="dxa"/>
            <w:shd w:val="clear" w:color="auto" w:fill="D99594" w:themeFill="accent2" w:themeFillTint="99"/>
          </w:tcPr>
          <w:p w14:paraId="314F11F4" w14:textId="77777777" w:rsidR="00607FAB" w:rsidRPr="00E75831" w:rsidRDefault="00607FAB" w:rsidP="00607FAB">
            <w:pPr>
              <w:jc w:val="center"/>
              <w:rPr>
                <w:sz w:val="18"/>
                <w:lang w:val="en-AU"/>
              </w:rPr>
            </w:pPr>
            <w:r w:rsidRPr="00E75831">
              <w:rPr>
                <w:sz w:val="18"/>
                <w:lang w:val="en-AU"/>
              </w:rPr>
              <w:t>1.72</w:t>
            </w:r>
          </w:p>
        </w:tc>
      </w:tr>
    </w:tbl>
    <w:p w14:paraId="3A54B773" w14:textId="77777777" w:rsidR="00836448" w:rsidRPr="00836448" w:rsidRDefault="00836448" w:rsidP="00836448">
      <w:pPr>
        <w:keepNext/>
        <w:keepLines/>
        <w:rPr>
          <w:i/>
          <w:sz w:val="18"/>
          <w:lang w:val="en-AU"/>
        </w:rPr>
      </w:pPr>
      <w:r w:rsidRPr="00836448">
        <w:rPr>
          <w:i/>
          <w:sz w:val="18"/>
          <w:lang w:val="en-AU"/>
        </w:rPr>
        <w:t>F = Fluoride</w:t>
      </w:r>
    </w:p>
    <w:p w14:paraId="5F0E7C62" w14:textId="77777777" w:rsidR="00836448" w:rsidRPr="00836448" w:rsidRDefault="00836448" w:rsidP="00836448">
      <w:pPr>
        <w:keepNext/>
        <w:keepLines/>
        <w:rPr>
          <w:i/>
          <w:sz w:val="18"/>
          <w:lang w:val="en-AU"/>
        </w:rPr>
      </w:pPr>
      <w:r w:rsidRPr="00836448">
        <w:rPr>
          <w:i/>
          <w:sz w:val="18"/>
          <w:lang w:val="en-AU"/>
        </w:rPr>
        <w:t>IF = Infant Formula</w:t>
      </w:r>
    </w:p>
    <w:p w14:paraId="6D76ECA6" w14:textId="222167F2" w:rsidR="008401A5" w:rsidRDefault="008401A5">
      <w:pPr>
        <w:rPr>
          <w:b/>
          <w:i/>
          <w:lang w:val="en-AU"/>
        </w:rPr>
      </w:pPr>
      <w:r>
        <w:rPr>
          <w:b/>
          <w:i/>
          <w:lang w:val="en-AU"/>
        </w:rPr>
        <w:br w:type="page"/>
      </w:r>
    </w:p>
    <w:p w14:paraId="06619BC3" w14:textId="6DDF595C" w:rsidR="00607FAB" w:rsidRPr="00842BA0" w:rsidRDefault="003312AF" w:rsidP="00842BA0">
      <w:pPr>
        <w:rPr>
          <w:b/>
          <w:i/>
          <w:lang w:val="en-AU"/>
        </w:rPr>
      </w:pPr>
      <w:r>
        <w:rPr>
          <w:b/>
          <w:i/>
          <w:lang w:val="en-AU"/>
        </w:rPr>
        <w:lastRenderedPageBreak/>
        <w:t>Example brand 3</w:t>
      </w:r>
      <w:r w:rsidRPr="00842BA0">
        <w:rPr>
          <w:b/>
          <w:i/>
          <w:lang w:val="en-AU"/>
        </w:rPr>
        <w:t xml:space="preserve"> formula powder</w:t>
      </w:r>
      <w:r>
        <w:rPr>
          <w:b/>
          <w:i/>
          <w:lang w:val="en-AU"/>
        </w:rPr>
        <w:t xml:space="preserve"> form m</w:t>
      </w:r>
      <w:r w:rsidR="00607FAB" w:rsidRPr="00842BA0">
        <w:rPr>
          <w:b/>
          <w:i/>
          <w:lang w:val="en-AU"/>
        </w:rPr>
        <w:t xml:space="preserve">ale </w:t>
      </w:r>
      <w:r>
        <w:rPr>
          <w:b/>
          <w:i/>
          <w:lang w:val="en-AU"/>
        </w:rPr>
        <w:t>seven-month-old infant (8.4 kg):</w:t>
      </w:r>
    </w:p>
    <w:p w14:paraId="69A13A44" w14:textId="77777777" w:rsidR="00607FAB" w:rsidRDefault="00607FAB" w:rsidP="00774FC6">
      <w:pPr>
        <w:pStyle w:val="ListParagraph"/>
        <w:numPr>
          <w:ilvl w:val="0"/>
          <w:numId w:val="25"/>
        </w:numPr>
        <w:rPr>
          <w:lang w:val="en-AU"/>
        </w:rPr>
      </w:pPr>
      <w:r>
        <w:rPr>
          <w:lang w:val="en-AU"/>
        </w:rPr>
        <w:t>Formula energy content = 275 kJ/100 mL as prepared</w:t>
      </w:r>
    </w:p>
    <w:p w14:paraId="694525E8" w14:textId="77777777" w:rsidR="00607FAB" w:rsidRDefault="00607FAB" w:rsidP="00774FC6">
      <w:pPr>
        <w:pStyle w:val="ListParagraph"/>
        <w:numPr>
          <w:ilvl w:val="0"/>
          <w:numId w:val="25"/>
        </w:numPr>
        <w:rPr>
          <w:lang w:val="en-AU"/>
        </w:rPr>
      </w:pPr>
      <w:r>
        <w:rPr>
          <w:lang w:val="en-AU"/>
        </w:rPr>
        <w:t>Recommended energy intake (EER) = 2800 kJ/day</w:t>
      </w:r>
    </w:p>
    <w:p w14:paraId="1CCC2201" w14:textId="77777777" w:rsidR="00607FAB" w:rsidRDefault="00607FAB" w:rsidP="00774FC6">
      <w:pPr>
        <w:pStyle w:val="ListParagraph"/>
        <w:numPr>
          <w:ilvl w:val="0"/>
          <w:numId w:val="25"/>
        </w:numPr>
        <w:rPr>
          <w:lang w:val="en-AU"/>
        </w:rPr>
      </w:pPr>
      <w:r>
        <w:rPr>
          <w:lang w:val="en-AU"/>
        </w:rPr>
        <w:t>Prepared with 13 g powder + 90 mL water provides 275 kJ</w:t>
      </w:r>
    </w:p>
    <w:p w14:paraId="5E414958" w14:textId="77777777" w:rsidR="00607FAB" w:rsidRDefault="00607FAB" w:rsidP="00774FC6">
      <w:pPr>
        <w:pStyle w:val="ListParagraph"/>
        <w:numPr>
          <w:ilvl w:val="0"/>
          <w:numId w:val="25"/>
        </w:numPr>
        <w:rPr>
          <w:lang w:val="en-AU"/>
        </w:rPr>
      </w:pPr>
      <w:r>
        <w:rPr>
          <w:lang w:val="en-AU"/>
        </w:rPr>
        <w:t>Estimated formula volume = 1018 mL</w:t>
      </w:r>
    </w:p>
    <w:p w14:paraId="1EB620FF" w14:textId="58D11044" w:rsidR="00607FAB" w:rsidRDefault="00607FAB" w:rsidP="00774FC6">
      <w:pPr>
        <w:pStyle w:val="ListParagraph"/>
        <w:numPr>
          <w:ilvl w:val="0"/>
          <w:numId w:val="25"/>
        </w:numPr>
        <w:rPr>
          <w:lang w:val="en-AU"/>
        </w:rPr>
      </w:pPr>
      <w:r>
        <w:rPr>
          <w:lang w:val="en-AU"/>
        </w:rPr>
        <w:t>Estimated water volume = 920 mL water (and 133 g infant formula powder) per 2800 kJ</w:t>
      </w:r>
    </w:p>
    <w:p w14:paraId="6769E435" w14:textId="77777777" w:rsidR="00FA28CD" w:rsidRPr="00FA28CD" w:rsidRDefault="00FA28CD" w:rsidP="00FA28CD">
      <w:pPr>
        <w:rPr>
          <w:lang w:val="en-AU"/>
        </w:rPr>
      </w:pPr>
    </w:p>
    <w:p w14:paraId="4C1C9534" w14:textId="666F5FE4" w:rsidR="00607FAB" w:rsidRDefault="00607FAB" w:rsidP="00FA28CD">
      <w:pPr>
        <w:pStyle w:val="FSTitle"/>
        <w:rPr>
          <w:lang w:val="en-AU"/>
        </w:rPr>
      </w:pPr>
      <w:bookmarkStart w:id="493" w:name="_Toc74061264"/>
      <w:r>
        <w:rPr>
          <w:lang w:val="en-AU"/>
        </w:rPr>
        <w:t xml:space="preserve">Table </w:t>
      </w:r>
      <w:r w:rsidR="00113BD1">
        <w:rPr>
          <w:lang w:val="en-AU"/>
        </w:rPr>
        <w:t>A</w:t>
      </w:r>
      <w:r>
        <w:rPr>
          <w:lang w:val="en-AU"/>
        </w:rPr>
        <w:t xml:space="preserve">3: Male infant seven-month-old (8.4 kg) consuming 2800 kJ/day of </w:t>
      </w:r>
      <w:r w:rsidR="003312AF">
        <w:rPr>
          <w:lang w:val="en-AU"/>
        </w:rPr>
        <w:t>brand 3 formula powder</w:t>
      </w:r>
      <w:bookmarkEnd w:id="493"/>
    </w:p>
    <w:tbl>
      <w:tblPr>
        <w:tblStyle w:val="TableGrid"/>
        <w:tblW w:w="0" w:type="auto"/>
        <w:tblLook w:val="04A0" w:firstRow="1" w:lastRow="0" w:firstColumn="1" w:lastColumn="0" w:noHBand="0" w:noVBand="1"/>
        <w:tblCaption w:val="Table 3: Male infant seven-month-old (8.4 kg) consuming 2800 kJ/day of brand 3 formula powder"/>
        <w:tblDescription w:val="Calculations for Brand 3 formula powder&#10;"/>
      </w:tblPr>
      <w:tblGrid>
        <w:gridCol w:w="1785"/>
        <w:gridCol w:w="1795"/>
        <w:gridCol w:w="1772"/>
        <w:gridCol w:w="1773"/>
        <w:gridCol w:w="1773"/>
      </w:tblGrid>
      <w:tr w:rsidR="00607FAB" w:rsidRPr="00E75831" w14:paraId="53307C24" w14:textId="77777777" w:rsidTr="00836448">
        <w:tc>
          <w:tcPr>
            <w:tcW w:w="1785" w:type="dxa"/>
          </w:tcPr>
          <w:p w14:paraId="7F94B910" w14:textId="77777777" w:rsidR="00607FAB" w:rsidRPr="00E75831" w:rsidRDefault="00607FAB" w:rsidP="00774FC6">
            <w:pPr>
              <w:pStyle w:val="ListParagraph"/>
              <w:numPr>
                <w:ilvl w:val="0"/>
                <w:numId w:val="24"/>
              </w:numPr>
              <w:jc w:val="center"/>
              <w:rPr>
                <w:b/>
                <w:sz w:val="18"/>
                <w:lang w:val="en-AU"/>
              </w:rPr>
            </w:pPr>
          </w:p>
        </w:tc>
        <w:tc>
          <w:tcPr>
            <w:tcW w:w="1795" w:type="dxa"/>
          </w:tcPr>
          <w:p w14:paraId="078C9E77" w14:textId="77777777" w:rsidR="00607FAB" w:rsidRPr="00E75831" w:rsidRDefault="00607FAB" w:rsidP="00774FC6">
            <w:pPr>
              <w:pStyle w:val="ListParagraph"/>
              <w:numPr>
                <w:ilvl w:val="0"/>
                <w:numId w:val="24"/>
              </w:numPr>
              <w:jc w:val="center"/>
              <w:rPr>
                <w:b/>
                <w:sz w:val="18"/>
                <w:lang w:val="en-AU"/>
              </w:rPr>
            </w:pPr>
          </w:p>
        </w:tc>
        <w:tc>
          <w:tcPr>
            <w:tcW w:w="1772" w:type="dxa"/>
          </w:tcPr>
          <w:p w14:paraId="38A7F440" w14:textId="77777777" w:rsidR="00607FAB" w:rsidRPr="00E75831" w:rsidRDefault="00607FAB" w:rsidP="00774FC6">
            <w:pPr>
              <w:pStyle w:val="ListParagraph"/>
              <w:numPr>
                <w:ilvl w:val="0"/>
                <w:numId w:val="24"/>
              </w:numPr>
              <w:jc w:val="center"/>
              <w:rPr>
                <w:b/>
                <w:sz w:val="18"/>
                <w:lang w:val="en-AU"/>
              </w:rPr>
            </w:pPr>
          </w:p>
        </w:tc>
        <w:tc>
          <w:tcPr>
            <w:tcW w:w="1773" w:type="dxa"/>
          </w:tcPr>
          <w:p w14:paraId="1E521DDC" w14:textId="77777777" w:rsidR="00607FAB" w:rsidRPr="00E75831" w:rsidRDefault="00607FAB" w:rsidP="00774FC6">
            <w:pPr>
              <w:pStyle w:val="ListParagraph"/>
              <w:numPr>
                <w:ilvl w:val="0"/>
                <w:numId w:val="24"/>
              </w:numPr>
              <w:jc w:val="center"/>
              <w:rPr>
                <w:b/>
                <w:sz w:val="18"/>
                <w:lang w:val="en-AU"/>
              </w:rPr>
            </w:pPr>
          </w:p>
        </w:tc>
        <w:tc>
          <w:tcPr>
            <w:tcW w:w="1773" w:type="dxa"/>
          </w:tcPr>
          <w:p w14:paraId="4F5035E5" w14:textId="77777777" w:rsidR="00607FAB" w:rsidRPr="00E75831" w:rsidRDefault="00607FAB" w:rsidP="00607FAB">
            <w:pPr>
              <w:jc w:val="center"/>
              <w:rPr>
                <w:b/>
                <w:sz w:val="18"/>
                <w:lang w:val="en-AU"/>
              </w:rPr>
            </w:pPr>
            <w:r w:rsidRPr="00E75831">
              <w:rPr>
                <w:b/>
                <w:sz w:val="18"/>
                <w:lang w:val="en-AU"/>
              </w:rPr>
              <w:t>(3) + (4)</w:t>
            </w:r>
          </w:p>
        </w:tc>
      </w:tr>
      <w:tr w:rsidR="00607FAB" w:rsidRPr="00E75831" w14:paraId="06255AEF" w14:textId="77777777" w:rsidTr="00836448">
        <w:tc>
          <w:tcPr>
            <w:tcW w:w="1785" w:type="dxa"/>
          </w:tcPr>
          <w:p w14:paraId="061744C7" w14:textId="77777777" w:rsidR="00607FAB" w:rsidRPr="00E75831" w:rsidRDefault="00607FAB" w:rsidP="00607FAB">
            <w:pPr>
              <w:jc w:val="center"/>
              <w:rPr>
                <w:b/>
                <w:sz w:val="18"/>
                <w:lang w:val="en-AU"/>
              </w:rPr>
            </w:pPr>
            <w:r w:rsidRPr="00E75831">
              <w:rPr>
                <w:b/>
                <w:sz w:val="18"/>
                <w:lang w:val="en-AU"/>
              </w:rPr>
              <w:t>F level in water</w:t>
            </w:r>
          </w:p>
          <w:p w14:paraId="45B635A6" w14:textId="77777777" w:rsidR="00607FAB" w:rsidRPr="00E75831" w:rsidRDefault="00607FAB" w:rsidP="00607FAB">
            <w:pPr>
              <w:jc w:val="center"/>
              <w:rPr>
                <w:b/>
                <w:sz w:val="18"/>
                <w:lang w:val="en-AU"/>
              </w:rPr>
            </w:pPr>
            <w:r w:rsidRPr="00E75831">
              <w:rPr>
                <w:b/>
                <w:sz w:val="18"/>
                <w:lang w:val="en-AU"/>
              </w:rPr>
              <w:t>mg/L</w:t>
            </w:r>
          </w:p>
        </w:tc>
        <w:tc>
          <w:tcPr>
            <w:tcW w:w="1795" w:type="dxa"/>
          </w:tcPr>
          <w:p w14:paraId="7A34F359" w14:textId="77777777" w:rsidR="00607FAB" w:rsidRPr="00E75831" w:rsidRDefault="00607FAB" w:rsidP="00607FAB">
            <w:pPr>
              <w:jc w:val="center"/>
              <w:rPr>
                <w:b/>
                <w:sz w:val="18"/>
                <w:lang w:val="en-AU"/>
              </w:rPr>
            </w:pPr>
            <w:r w:rsidRPr="00E75831">
              <w:rPr>
                <w:b/>
                <w:sz w:val="18"/>
                <w:lang w:val="en-AU"/>
              </w:rPr>
              <w:t>F level in IF powder</w:t>
            </w:r>
          </w:p>
          <w:p w14:paraId="5C689990" w14:textId="77777777" w:rsidR="00607FAB" w:rsidRPr="00E75831" w:rsidRDefault="00607FAB" w:rsidP="00607FAB">
            <w:pPr>
              <w:jc w:val="center"/>
              <w:rPr>
                <w:b/>
                <w:sz w:val="18"/>
                <w:lang w:val="en-AU"/>
              </w:rPr>
            </w:pPr>
            <w:r w:rsidRPr="00E75831">
              <w:rPr>
                <w:rFonts w:cs="Arial"/>
                <w:b/>
                <w:sz w:val="18"/>
                <w:lang w:val="en-AU"/>
              </w:rPr>
              <w:t>µ</w:t>
            </w:r>
            <w:r w:rsidRPr="00E75831">
              <w:rPr>
                <w:b/>
                <w:sz w:val="18"/>
                <w:lang w:val="en-AU"/>
              </w:rPr>
              <w:t>g/100kJ</w:t>
            </w:r>
          </w:p>
          <w:p w14:paraId="33D80972" w14:textId="77777777" w:rsidR="00607FAB" w:rsidRPr="00E75831" w:rsidRDefault="00607FAB" w:rsidP="00607FAB">
            <w:pPr>
              <w:jc w:val="center"/>
              <w:rPr>
                <w:b/>
                <w:sz w:val="18"/>
                <w:lang w:val="en-AU"/>
              </w:rPr>
            </w:pPr>
            <w:r w:rsidRPr="00E75831">
              <w:rPr>
                <w:b/>
                <w:sz w:val="18"/>
                <w:lang w:val="en-AU"/>
              </w:rPr>
              <w:t>(</w:t>
            </w:r>
            <w:r w:rsidRPr="00E75831">
              <w:rPr>
                <w:rFonts w:cs="Arial"/>
                <w:b/>
                <w:sz w:val="18"/>
                <w:lang w:val="en-AU"/>
              </w:rPr>
              <w:t>µ</w:t>
            </w:r>
            <w:r w:rsidRPr="00E75831">
              <w:rPr>
                <w:b/>
                <w:sz w:val="18"/>
                <w:lang w:val="en-AU"/>
              </w:rPr>
              <w:t>g/2800kJ or day</w:t>
            </w:r>
            <w:r>
              <w:rPr>
                <w:rStyle w:val="FootnoteReference"/>
                <w:b/>
                <w:sz w:val="18"/>
                <w:lang w:val="en-AU"/>
              </w:rPr>
              <w:footnoteReference w:id="21"/>
            </w:r>
            <w:r w:rsidRPr="00E75831">
              <w:rPr>
                <w:b/>
                <w:sz w:val="18"/>
                <w:lang w:val="en-AU"/>
              </w:rPr>
              <w:t>)</w:t>
            </w:r>
          </w:p>
        </w:tc>
        <w:tc>
          <w:tcPr>
            <w:tcW w:w="1772" w:type="dxa"/>
          </w:tcPr>
          <w:p w14:paraId="01EF35FB" w14:textId="77777777" w:rsidR="00607FAB" w:rsidRPr="00E75831" w:rsidRDefault="00607FAB" w:rsidP="00607FAB">
            <w:pPr>
              <w:jc w:val="center"/>
              <w:rPr>
                <w:b/>
                <w:sz w:val="18"/>
                <w:lang w:val="en-AU"/>
              </w:rPr>
            </w:pPr>
            <w:r w:rsidRPr="00E75831">
              <w:rPr>
                <w:b/>
                <w:sz w:val="18"/>
                <w:lang w:val="en-AU"/>
              </w:rPr>
              <w:t>F intake water</w:t>
            </w:r>
          </w:p>
          <w:p w14:paraId="50F6904F" w14:textId="77777777" w:rsidR="00607FAB" w:rsidRPr="00E75831" w:rsidRDefault="00607FAB" w:rsidP="00607FAB">
            <w:pPr>
              <w:jc w:val="center"/>
              <w:rPr>
                <w:b/>
                <w:sz w:val="18"/>
                <w:lang w:val="en-AU"/>
              </w:rPr>
            </w:pPr>
            <w:r w:rsidRPr="00E75831">
              <w:rPr>
                <w:b/>
                <w:sz w:val="18"/>
                <w:lang w:val="en-AU"/>
              </w:rPr>
              <w:t>mg/day</w:t>
            </w:r>
          </w:p>
          <w:p w14:paraId="1E0B1466" w14:textId="77777777" w:rsidR="00607FAB" w:rsidRPr="00E75831" w:rsidRDefault="00607FAB" w:rsidP="00607FAB">
            <w:pPr>
              <w:jc w:val="center"/>
              <w:rPr>
                <w:b/>
                <w:sz w:val="18"/>
                <w:lang w:val="en-AU"/>
              </w:rPr>
            </w:pPr>
            <w:r w:rsidRPr="00E75831">
              <w:rPr>
                <w:b/>
                <w:sz w:val="18"/>
                <w:lang w:val="en-AU"/>
              </w:rPr>
              <w:t>(at 920 mL)</w:t>
            </w:r>
          </w:p>
        </w:tc>
        <w:tc>
          <w:tcPr>
            <w:tcW w:w="1773" w:type="dxa"/>
          </w:tcPr>
          <w:p w14:paraId="2A1A548A" w14:textId="77777777" w:rsidR="00607FAB" w:rsidRPr="00E75831" w:rsidRDefault="00607FAB" w:rsidP="00607FAB">
            <w:pPr>
              <w:jc w:val="center"/>
              <w:rPr>
                <w:b/>
                <w:sz w:val="18"/>
                <w:lang w:val="en-AU"/>
              </w:rPr>
            </w:pPr>
            <w:r w:rsidRPr="00E75831">
              <w:rPr>
                <w:b/>
                <w:sz w:val="18"/>
                <w:lang w:val="en-AU"/>
              </w:rPr>
              <w:t>F intake IF powder</w:t>
            </w:r>
          </w:p>
          <w:p w14:paraId="4F29F08C" w14:textId="77777777" w:rsidR="00607FAB" w:rsidRPr="00E75831" w:rsidRDefault="00607FAB" w:rsidP="00607FAB">
            <w:pPr>
              <w:jc w:val="center"/>
              <w:rPr>
                <w:b/>
                <w:sz w:val="18"/>
                <w:lang w:val="en-AU"/>
              </w:rPr>
            </w:pPr>
            <w:r w:rsidRPr="00E75831">
              <w:rPr>
                <w:b/>
                <w:sz w:val="18"/>
                <w:lang w:val="en-AU"/>
              </w:rPr>
              <w:t>mg/day</w:t>
            </w:r>
          </w:p>
          <w:p w14:paraId="16FE1077" w14:textId="77777777" w:rsidR="00607FAB" w:rsidRPr="00E75831" w:rsidRDefault="00607FAB" w:rsidP="00607FAB">
            <w:pPr>
              <w:jc w:val="center"/>
              <w:rPr>
                <w:b/>
                <w:sz w:val="18"/>
                <w:lang w:val="en-AU"/>
              </w:rPr>
            </w:pPr>
          </w:p>
        </w:tc>
        <w:tc>
          <w:tcPr>
            <w:tcW w:w="1773" w:type="dxa"/>
          </w:tcPr>
          <w:p w14:paraId="2BCA6466" w14:textId="77777777" w:rsidR="00607FAB" w:rsidRPr="00E75831" w:rsidRDefault="00607FAB" w:rsidP="00607FAB">
            <w:pPr>
              <w:jc w:val="center"/>
              <w:rPr>
                <w:b/>
                <w:sz w:val="18"/>
                <w:lang w:val="en-AU"/>
              </w:rPr>
            </w:pPr>
            <w:r w:rsidRPr="00E75831">
              <w:rPr>
                <w:b/>
                <w:sz w:val="18"/>
                <w:lang w:val="en-AU"/>
              </w:rPr>
              <w:t>Total est. F intake</w:t>
            </w:r>
          </w:p>
          <w:p w14:paraId="0E7A5541" w14:textId="77777777" w:rsidR="00607FAB" w:rsidRPr="00E75831" w:rsidRDefault="00607FAB" w:rsidP="00607FAB">
            <w:pPr>
              <w:jc w:val="center"/>
              <w:rPr>
                <w:b/>
                <w:sz w:val="18"/>
                <w:lang w:val="en-AU"/>
              </w:rPr>
            </w:pPr>
            <w:r w:rsidRPr="00E75831">
              <w:rPr>
                <w:b/>
                <w:sz w:val="18"/>
                <w:lang w:val="en-AU"/>
              </w:rPr>
              <w:t>mg/day</w:t>
            </w:r>
          </w:p>
        </w:tc>
      </w:tr>
      <w:tr w:rsidR="00607FAB" w:rsidRPr="00E75831" w14:paraId="03E8BBE6" w14:textId="77777777" w:rsidTr="00836448">
        <w:trPr>
          <w:trHeight w:val="216"/>
        </w:trPr>
        <w:tc>
          <w:tcPr>
            <w:tcW w:w="1785" w:type="dxa"/>
            <w:vMerge w:val="restart"/>
          </w:tcPr>
          <w:p w14:paraId="621E3EC4" w14:textId="77777777" w:rsidR="00607FAB" w:rsidRPr="00E75831" w:rsidRDefault="00607FAB" w:rsidP="00607FAB">
            <w:pPr>
              <w:shd w:val="clear" w:color="auto" w:fill="B6DDE8" w:themeFill="accent5" w:themeFillTint="66"/>
              <w:jc w:val="center"/>
              <w:rPr>
                <w:sz w:val="18"/>
                <w:lang w:val="en-AU"/>
              </w:rPr>
            </w:pPr>
            <w:r w:rsidRPr="00E75831">
              <w:rPr>
                <w:sz w:val="18"/>
                <w:lang w:val="en-AU"/>
              </w:rPr>
              <w:t>Med</w:t>
            </w:r>
            <w:r>
              <w:rPr>
                <w:sz w:val="18"/>
                <w:lang w:val="en-AU"/>
              </w:rPr>
              <w:t>ian level found in Au IF powder</w:t>
            </w:r>
          </w:p>
          <w:p w14:paraId="3D5ACB08" w14:textId="77777777" w:rsidR="00607FAB" w:rsidRPr="00E75831" w:rsidRDefault="00607FAB" w:rsidP="00607FAB">
            <w:pPr>
              <w:jc w:val="center"/>
              <w:rPr>
                <w:sz w:val="18"/>
                <w:lang w:val="en-AU"/>
              </w:rPr>
            </w:pPr>
          </w:p>
          <w:p w14:paraId="5F2BC5F9" w14:textId="77777777" w:rsidR="00607FAB" w:rsidRPr="00203BCC" w:rsidRDefault="00607FAB" w:rsidP="00607FAB">
            <w:pPr>
              <w:jc w:val="center"/>
              <w:rPr>
                <w:b/>
                <w:sz w:val="18"/>
                <w:lang w:val="en-AU"/>
              </w:rPr>
            </w:pPr>
            <w:r>
              <w:rPr>
                <w:b/>
                <w:sz w:val="18"/>
                <w:lang w:val="en-AU"/>
              </w:rPr>
              <w:t>0</w:t>
            </w:r>
          </w:p>
          <w:p w14:paraId="2D56DA05" w14:textId="77777777" w:rsidR="00607FAB" w:rsidRPr="00E75831" w:rsidRDefault="00607FAB" w:rsidP="00607FAB">
            <w:pPr>
              <w:jc w:val="center"/>
              <w:rPr>
                <w:sz w:val="18"/>
                <w:lang w:val="en-AU"/>
              </w:rPr>
            </w:pPr>
            <w:r w:rsidRPr="00E75831">
              <w:rPr>
                <w:sz w:val="18"/>
                <w:shd w:val="clear" w:color="auto" w:fill="C4BC96" w:themeFill="background2" w:themeFillShade="BF"/>
                <w:lang w:val="en-AU"/>
              </w:rPr>
              <w:t xml:space="preserve">2.9.1 Fluorosis statement required </w:t>
            </w:r>
            <w:r w:rsidRPr="00E75831">
              <w:rPr>
                <w:rFonts w:cs="Arial"/>
                <w:sz w:val="18"/>
                <w:shd w:val="clear" w:color="auto" w:fill="C4BC96" w:themeFill="background2" w:themeFillShade="BF"/>
                <w:lang w:val="en-AU"/>
              </w:rPr>
              <w:t>˃</w:t>
            </w:r>
            <w:r w:rsidRPr="00E75831">
              <w:rPr>
                <w:sz w:val="18"/>
                <w:shd w:val="clear" w:color="auto" w:fill="C4BC96" w:themeFill="background2" w:themeFillShade="BF"/>
                <w:lang w:val="en-AU"/>
              </w:rPr>
              <w:t xml:space="preserve">17 </w:t>
            </w:r>
            <w:r w:rsidRPr="00E75831">
              <w:rPr>
                <w:rFonts w:cs="Arial"/>
                <w:sz w:val="18"/>
                <w:shd w:val="clear" w:color="auto" w:fill="C4BC96" w:themeFill="background2" w:themeFillShade="BF"/>
                <w:lang w:val="en-AU"/>
              </w:rPr>
              <w:t>µ</w:t>
            </w:r>
            <w:r w:rsidRPr="00E75831">
              <w:rPr>
                <w:sz w:val="18"/>
                <w:shd w:val="clear" w:color="auto" w:fill="C4BC96" w:themeFill="background2" w:themeFillShade="BF"/>
                <w:lang w:val="en-AU"/>
              </w:rPr>
              <w:t>g/100kJ</w:t>
            </w:r>
          </w:p>
        </w:tc>
        <w:tc>
          <w:tcPr>
            <w:tcW w:w="1795" w:type="dxa"/>
          </w:tcPr>
          <w:p w14:paraId="77F6AF41" w14:textId="77777777" w:rsidR="00607FAB" w:rsidRPr="00E75831" w:rsidRDefault="00607FAB" w:rsidP="00607FAB">
            <w:pPr>
              <w:jc w:val="center"/>
              <w:rPr>
                <w:sz w:val="18"/>
                <w:lang w:val="en-AU"/>
              </w:rPr>
            </w:pPr>
            <w:r w:rsidRPr="00E75831">
              <w:rPr>
                <w:sz w:val="18"/>
                <w:lang w:val="en-AU"/>
              </w:rPr>
              <w:t>0 (0)</w:t>
            </w:r>
          </w:p>
        </w:tc>
        <w:tc>
          <w:tcPr>
            <w:tcW w:w="1772" w:type="dxa"/>
          </w:tcPr>
          <w:p w14:paraId="4DAE4EB8" w14:textId="77777777" w:rsidR="00607FAB" w:rsidRPr="00E75831" w:rsidRDefault="00607FAB" w:rsidP="00607FAB">
            <w:pPr>
              <w:jc w:val="center"/>
              <w:rPr>
                <w:sz w:val="18"/>
                <w:lang w:val="en-AU"/>
              </w:rPr>
            </w:pPr>
            <w:r w:rsidRPr="00E75831">
              <w:rPr>
                <w:sz w:val="18"/>
                <w:lang w:val="en-AU"/>
              </w:rPr>
              <w:t>0</w:t>
            </w:r>
          </w:p>
        </w:tc>
        <w:tc>
          <w:tcPr>
            <w:tcW w:w="1773" w:type="dxa"/>
          </w:tcPr>
          <w:p w14:paraId="330EB74B" w14:textId="77777777" w:rsidR="00607FAB" w:rsidRPr="00E75831" w:rsidRDefault="00607FAB" w:rsidP="00607FAB">
            <w:pPr>
              <w:jc w:val="center"/>
              <w:rPr>
                <w:sz w:val="18"/>
                <w:lang w:val="en-AU"/>
              </w:rPr>
            </w:pPr>
            <w:r w:rsidRPr="00E75831">
              <w:rPr>
                <w:sz w:val="18"/>
                <w:lang w:val="en-AU"/>
              </w:rPr>
              <w:t>0.00</w:t>
            </w:r>
          </w:p>
        </w:tc>
        <w:tc>
          <w:tcPr>
            <w:tcW w:w="1773" w:type="dxa"/>
          </w:tcPr>
          <w:p w14:paraId="569A98E7" w14:textId="77777777" w:rsidR="00607FAB" w:rsidRPr="00E75831" w:rsidRDefault="00607FAB" w:rsidP="00607FAB">
            <w:pPr>
              <w:jc w:val="center"/>
              <w:rPr>
                <w:sz w:val="18"/>
                <w:lang w:val="en-AU"/>
              </w:rPr>
            </w:pPr>
            <w:r w:rsidRPr="00E75831">
              <w:rPr>
                <w:sz w:val="18"/>
                <w:lang w:val="en-AU"/>
              </w:rPr>
              <w:t>0.00</w:t>
            </w:r>
          </w:p>
        </w:tc>
      </w:tr>
      <w:tr w:rsidR="00607FAB" w:rsidRPr="00E75831" w14:paraId="67456B36" w14:textId="77777777" w:rsidTr="00836448">
        <w:trPr>
          <w:trHeight w:val="216"/>
        </w:trPr>
        <w:tc>
          <w:tcPr>
            <w:tcW w:w="1785" w:type="dxa"/>
            <w:vMerge/>
            <w:shd w:val="clear" w:color="auto" w:fill="B6DDE8" w:themeFill="accent5" w:themeFillTint="66"/>
          </w:tcPr>
          <w:p w14:paraId="127D2233" w14:textId="77777777" w:rsidR="00607FAB" w:rsidRPr="00E75831" w:rsidRDefault="00607FAB" w:rsidP="00607FAB">
            <w:pPr>
              <w:jc w:val="center"/>
              <w:rPr>
                <w:sz w:val="18"/>
                <w:lang w:val="en-AU"/>
              </w:rPr>
            </w:pPr>
          </w:p>
        </w:tc>
        <w:tc>
          <w:tcPr>
            <w:tcW w:w="1795" w:type="dxa"/>
            <w:shd w:val="clear" w:color="auto" w:fill="B6DDE8" w:themeFill="accent5" w:themeFillTint="66"/>
          </w:tcPr>
          <w:p w14:paraId="6595C87B" w14:textId="77777777" w:rsidR="00607FAB" w:rsidRPr="00E75831" w:rsidRDefault="00607FAB" w:rsidP="00607FAB">
            <w:pPr>
              <w:jc w:val="center"/>
              <w:rPr>
                <w:sz w:val="18"/>
                <w:lang w:val="en-AU"/>
              </w:rPr>
            </w:pPr>
            <w:r w:rsidRPr="00E75831">
              <w:rPr>
                <w:sz w:val="18"/>
                <w:lang w:val="en-AU"/>
              </w:rPr>
              <w:t xml:space="preserve">2 (56) </w:t>
            </w:r>
          </w:p>
        </w:tc>
        <w:tc>
          <w:tcPr>
            <w:tcW w:w="1772" w:type="dxa"/>
            <w:shd w:val="clear" w:color="auto" w:fill="B6DDE8" w:themeFill="accent5" w:themeFillTint="66"/>
          </w:tcPr>
          <w:p w14:paraId="3E38FB3D" w14:textId="77777777" w:rsidR="00607FAB" w:rsidRPr="00E75831" w:rsidRDefault="00607FAB" w:rsidP="00607FAB">
            <w:pPr>
              <w:jc w:val="center"/>
              <w:rPr>
                <w:sz w:val="18"/>
                <w:lang w:val="en-AU"/>
              </w:rPr>
            </w:pPr>
            <w:r w:rsidRPr="00E75831">
              <w:rPr>
                <w:sz w:val="18"/>
                <w:lang w:val="en-AU"/>
              </w:rPr>
              <w:t>0</w:t>
            </w:r>
          </w:p>
        </w:tc>
        <w:tc>
          <w:tcPr>
            <w:tcW w:w="1773" w:type="dxa"/>
            <w:shd w:val="clear" w:color="auto" w:fill="B6DDE8" w:themeFill="accent5" w:themeFillTint="66"/>
          </w:tcPr>
          <w:p w14:paraId="2B0B23DC" w14:textId="77777777" w:rsidR="00607FAB" w:rsidRPr="00E75831" w:rsidRDefault="00607FAB" w:rsidP="00607FAB">
            <w:pPr>
              <w:jc w:val="center"/>
              <w:rPr>
                <w:sz w:val="18"/>
                <w:lang w:val="en-AU"/>
              </w:rPr>
            </w:pPr>
            <w:r w:rsidRPr="00E75831">
              <w:rPr>
                <w:sz w:val="18"/>
                <w:lang w:val="en-AU"/>
              </w:rPr>
              <w:t>0.06</w:t>
            </w:r>
          </w:p>
        </w:tc>
        <w:tc>
          <w:tcPr>
            <w:tcW w:w="1773" w:type="dxa"/>
            <w:shd w:val="clear" w:color="auto" w:fill="B6DDE8" w:themeFill="accent5" w:themeFillTint="66"/>
          </w:tcPr>
          <w:p w14:paraId="656B7A73" w14:textId="77777777" w:rsidR="00607FAB" w:rsidRPr="00E75831" w:rsidRDefault="00607FAB" w:rsidP="00607FAB">
            <w:pPr>
              <w:jc w:val="center"/>
              <w:rPr>
                <w:sz w:val="18"/>
                <w:lang w:val="en-AU"/>
              </w:rPr>
            </w:pPr>
            <w:r w:rsidRPr="00E75831">
              <w:rPr>
                <w:sz w:val="18"/>
                <w:lang w:val="en-AU"/>
              </w:rPr>
              <w:t>0.06</w:t>
            </w:r>
          </w:p>
        </w:tc>
      </w:tr>
      <w:tr w:rsidR="00607FAB" w:rsidRPr="00E75831" w14:paraId="7A10E9CA" w14:textId="77777777" w:rsidTr="00836448">
        <w:trPr>
          <w:trHeight w:val="216"/>
        </w:trPr>
        <w:tc>
          <w:tcPr>
            <w:tcW w:w="1785" w:type="dxa"/>
            <w:vMerge/>
          </w:tcPr>
          <w:p w14:paraId="6D2EE3DC" w14:textId="77777777" w:rsidR="00607FAB" w:rsidRPr="00E75831" w:rsidRDefault="00607FAB" w:rsidP="00607FAB">
            <w:pPr>
              <w:jc w:val="center"/>
              <w:rPr>
                <w:sz w:val="18"/>
                <w:lang w:val="en-AU"/>
              </w:rPr>
            </w:pPr>
          </w:p>
        </w:tc>
        <w:tc>
          <w:tcPr>
            <w:tcW w:w="1795" w:type="dxa"/>
          </w:tcPr>
          <w:p w14:paraId="3AE868AE" w14:textId="77777777" w:rsidR="00607FAB" w:rsidRPr="00E75831" w:rsidRDefault="00607FAB" w:rsidP="00607FAB">
            <w:pPr>
              <w:jc w:val="center"/>
              <w:rPr>
                <w:sz w:val="18"/>
                <w:lang w:val="en-AU"/>
              </w:rPr>
            </w:pPr>
            <w:r w:rsidRPr="00E75831">
              <w:rPr>
                <w:sz w:val="18"/>
                <w:lang w:val="en-AU"/>
              </w:rPr>
              <w:t>4 (112)</w:t>
            </w:r>
          </w:p>
        </w:tc>
        <w:tc>
          <w:tcPr>
            <w:tcW w:w="1772" w:type="dxa"/>
          </w:tcPr>
          <w:p w14:paraId="0104BB7F" w14:textId="77777777" w:rsidR="00607FAB" w:rsidRPr="00E75831" w:rsidRDefault="00607FAB" w:rsidP="00607FAB">
            <w:pPr>
              <w:jc w:val="center"/>
              <w:rPr>
                <w:sz w:val="18"/>
                <w:lang w:val="en-AU"/>
              </w:rPr>
            </w:pPr>
            <w:r w:rsidRPr="00E75831">
              <w:rPr>
                <w:sz w:val="18"/>
                <w:lang w:val="en-AU"/>
              </w:rPr>
              <w:t>0</w:t>
            </w:r>
          </w:p>
        </w:tc>
        <w:tc>
          <w:tcPr>
            <w:tcW w:w="1773" w:type="dxa"/>
          </w:tcPr>
          <w:p w14:paraId="2D99BA46" w14:textId="77777777" w:rsidR="00607FAB" w:rsidRPr="00E75831" w:rsidRDefault="00607FAB" w:rsidP="00607FAB">
            <w:pPr>
              <w:jc w:val="center"/>
              <w:rPr>
                <w:sz w:val="18"/>
                <w:lang w:val="en-AU"/>
              </w:rPr>
            </w:pPr>
            <w:r w:rsidRPr="00E75831">
              <w:rPr>
                <w:sz w:val="18"/>
                <w:lang w:val="en-AU"/>
              </w:rPr>
              <w:t>0.11</w:t>
            </w:r>
          </w:p>
        </w:tc>
        <w:tc>
          <w:tcPr>
            <w:tcW w:w="1773" w:type="dxa"/>
          </w:tcPr>
          <w:p w14:paraId="7D8BDFAD" w14:textId="77777777" w:rsidR="00607FAB" w:rsidRPr="00E75831" w:rsidRDefault="00607FAB" w:rsidP="00607FAB">
            <w:pPr>
              <w:jc w:val="center"/>
              <w:rPr>
                <w:sz w:val="18"/>
                <w:lang w:val="en-AU"/>
              </w:rPr>
            </w:pPr>
            <w:r w:rsidRPr="00E75831">
              <w:rPr>
                <w:sz w:val="18"/>
                <w:lang w:val="en-AU"/>
              </w:rPr>
              <w:t>0.11</w:t>
            </w:r>
          </w:p>
        </w:tc>
      </w:tr>
      <w:tr w:rsidR="00607FAB" w:rsidRPr="00E75831" w14:paraId="7621A5A4" w14:textId="77777777" w:rsidTr="00836448">
        <w:trPr>
          <w:trHeight w:val="216"/>
        </w:trPr>
        <w:tc>
          <w:tcPr>
            <w:tcW w:w="1785" w:type="dxa"/>
            <w:vMerge/>
          </w:tcPr>
          <w:p w14:paraId="75E5EF3A" w14:textId="77777777" w:rsidR="00607FAB" w:rsidRPr="00E75831" w:rsidRDefault="00607FAB" w:rsidP="00607FAB">
            <w:pPr>
              <w:jc w:val="center"/>
              <w:rPr>
                <w:sz w:val="18"/>
                <w:lang w:val="en-AU"/>
              </w:rPr>
            </w:pPr>
          </w:p>
        </w:tc>
        <w:tc>
          <w:tcPr>
            <w:tcW w:w="1795" w:type="dxa"/>
          </w:tcPr>
          <w:p w14:paraId="11178639" w14:textId="77777777" w:rsidR="00607FAB" w:rsidRPr="00E75831" w:rsidRDefault="00607FAB" w:rsidP="00607FAB">
            <w:pPr>
              <w:jc w:val="center"/>
              <w:rPr>
                <w:sz w:val="18"/>
                <w:lang w:val="en-AU"/>
              </w:rPr>
            </w:pPr>
            <w:r w:rsidRPr="00E75831">
              <w:rPr>
                <w:sz w:val="18"/>
                <w:lang w:val="en-AU"/>
              </w:rPr>
              <w:t>8 (224)</w:t>
            </w:r>
          </w:p>
        </w:tc>
        <w:tc>
          <w:tcPr>
            <w:tcW w:w="1772" w:type="dxa"/>
          </w:tcPr>
          <w:p w14:paraId="4E84FFD0" w14:textId="77777777" w:rsidR="00607FAB" w:rsidRPr="00E75831" w:rsidRDefault="00607FAB" w:rsidP="00607FAB">
            <w:pPr>
              <w:jc w:val="center"/>
              <w:rPr>
                <w:sz w:val="18"/>
                <w:lang w:val="en-AU"/>
              </w:rPr>
            </w:pPr>
            <w:r w:rsidRPr="00E75831">
              <w:rPr>
                <w:sz w:val="18"/>
                <w:lang w:val="en-AU"/>
              </w:rPr>
              <w:t>0</w:t>
            </w:r>
          </w:p>
        </w:tc>
        <w:tc>
          <w:tcPr>
            <w:tcW w:w="1773" w:type="dxa"/>
          </w:tcPr>
          <w:p w14:paraId="5F56B6DC" w14:textId="77777777" w:rsidR="00607FAB" w:rsidRPr="00E75831" w:rsidRDefault="00607FAB" w:rsidP="00607FAB">
            <w:pPr>
              <w:jc w:val="center"/>
              <w:rPr>
                <w:sz w:val="18"/>
                <w:lang w:val="en-AU"/>
              </w:rPr>
            </w:pPr>
            <w:r w:rsidRPr="00E75831">
              <w:rPr>
                <w:sz w:val="18"/>
                <w:lang w:val="en-AU"/>
              </w:rPr>
              <w:t>0.22</w:t>
            </w:r>
          </w:p>
        </w:tc>
        <w:tc>
          <w:tcPr>
            <w:tcW w:w="1773" w:type="dxa"/>
          </w:tcPr>
          <w:p w14:paraId="1CB21022" w14:textId="77777777" w:rsidR="00607FAB" w:rsidRPr="00E75831" w:rsidRDefault="00607FAB" w:rsidP="00607FAB">
            <w:pPr>
              <w:jc w:val="center"/>
              <w:rPr>
                <w:sz w:val="18"/>
                <w:lang w:val="en-AU"/>
              </w:rPr>
            </w:pPr>
            <w:r w:rsidRPr="00E75831">
              <w:rPr>
                <w:sz w:val="18"/>
                <w:lang w:val="en-AU"/>
              </w:rPr>
              <w:t>0.22</w:t>
            </w:r>
          </w:p>
        </w:tc>
      </w:tr>
      <w:tr w:rsidR="00607FAB" w:rsidRPr="00E75831" w14:paraId="6B1D8B6C" w14:textId="77777777" w:rsidTr="00836448">
        <w:trPr>
          <w:trHeight w:val="216"/>
        </w:trPr>
        <w:tc>
          <w:tcPr>
            <w:tcW w:w="1785" w:type="dxa"/>
            <w:vMerge/>
          </w:tcPr>
          <w:p w14:paraId="03DC74C0" w14:textId="77777777" w:rsidR="00607FAB" w:rsidRPr="00E75831" w:rsidRDefault="00607FAB" w:rsidP="00607FAB">
            <w:pPr>
              <w:jc w:val="center"/>
              <w:rPr>
                <w:sz w:val="18"/>
                <w:lang w:val="en-AU"/>
              </w:rPr>
            </w:pPr>
          </w:p>
        </w:tc>
        <w:tc>
          <w:tcPr>
            <w:tcW w:w="1795" w:type="dxa"/>
          </w:tcPr>
          <w:p w14:paraId="3B779A14" w14:textId="77777777" w:rsidR="00607FAB" w:rsidRPr="00E75831" w:rsidRDefault="00607FAB" w:rsidP="00607FAB">
            <w:pPr>
              <w:jc w:val="center"/>
              <w:rPr>
                <w:sz w:val="18"/>
                <w:lang w:val="en-AU"/>
              </w:rPr>
            </w:pPr>
            <w:r w:rsidRPr="00E75831">
              <w:rPr>
                <w:sz w:val="18"/>
                <w:lang w:val="en-AU"/>
              </w:rPr>
              <w:t>16 (448)</w:t>
            </w:r>
          </w:p>
        </w:tc>
        <w:tc>
          <w:tcPr>
            <w:tcW w:w="1772" w:type="dxa"/>
          </w:tcPr>
          <w:p w14:paraId="765ED12C" w14:textId="77777777" w:rsidR="00607FAB" w:rsidRPr="00E75831" w:rsidRDefault="00607FAB" w:rsidP="00607FAB">
            <w:pPr>
              <w:jc w:val="center"/>
              <w:rPr>
                <w:sz w:val="18"/>
                <w:lang w:val="en-AU"/>
              </w:rPr>
            </w:pPr>
            <w:r w:rsidRPr="00E75831">
              <w:rPr>
                <w:sz w:val="18"/>
                <w:lang w:val="en-AU"/>
              </w:rPr>
              <w:t>0</w:t>
            </w:r>
          </w:p>
        </w:tc>
        <w:tc>
          <w:tcPr>
            <w:tcW w:w="1773" w:type="dxa"/>
          </w:tcPr>
          <w:p w14:paraId="2E8B7202" w14:textId="77777777" w:rsidR="00607FAB" w:rsidRPr="00E75831" w:rsidRDefault="00607FAB" w:rsidP="00607FAB">
            <w:pPr>
              <w:jc w:val="center"/>
              <w:rPr>
                <w:sz w:val="18"/>
                <w:lang w:val="en-AU"/>
              </w:rPr>
            </w:pPr>
            <w:r w:rsidRPr="00E75831">
              <w:rPr>
                <w:sz w:val="18"/>
                <w:lang w:val="en-AU"/>
              </w:rPr>
              <w:t>0.45</w:t>
            </w:r>
          </w:p>
        </w:tc>
        <w:tc>
          <w:tcPr>
            <w:tcW w:w="1773" w:type="dxa"/>
          </w:tcPr>
          <w:p w14:paraId="36A1754B" w14:textId="77777777" w:rsidR="00607FAB" w:rsidRPr="00E75831" w:rsidRDefault="00607FAB" w:rsidP="00607FAB">
            <w:pPr>
              <w:jc w:val="center"/>
              <w:rPr>
                <w:sz w:val="18"/>
                <w:lang w:val="en-AU"/>
              </w:rPr>
            </w:pPr>
            <w:r w:rsidRPr="00E75831">
              <w:rPr>
                <w:sz w:val="18"/>
                <w:lang w:val="en-AU"/>
              </w:rPr>
              <w:t>0.45</w:t>
            </w:r>
          </w:p>
        </w:tc>
      </w:tr>
      <w:tr w:rsidR="00607FAB" w:rsidRPr="00E75831" w14:paraId="7EA4BFA8" w14:textId="77777777" w:rsidTr="00836448">
        <w:trPr>
          <w:trHeight w:val="216"/>
        </w:trPr>
        <w:tc>
          <w:tcPr>
            <w:tcW w:w="1785" w:type="dxa"/>
            <w:vMerge/>
          </w:tcPr>
          <w:p w14:paraId="677A8B85" w14:textId="77777777" w:rsidR="00607FAB" w:rsidRPr="00E75831" w:rsidRDefault="00607FAB" w:rsidP="00607FAB">
            <w:pPr>
              <w:jc w:val="center"/>
              <w:rPr>
                <w:sz w:val="18"/>
                <w:lang w:val="en-AU"/>
              </w:rPr>
            </w:pPr>
          </w:p>
        </w:tc>
        <w:tc>
          <w:tcPr>
            <w:tcW w:w="1795" w:type="dxa"/>
            <w:shd w:val="clear" w:color="auto" w:fill="C4BC96" w:themeFill="background2" w:themeFillShade="BF"/>
          </w:tcPr>
          <w:p w14:paraId="63474CB3" w14:textId="77777777" w:rsidR="00607FAB" w:rsidRPr="00E75831" w:rsidRDefault="00607FAB" w:rsidP="00607FAB">
            <w:pPr>
              <w:jc w:val="center"/>
              <w:rPr>
                <w:sz w:val="18"/>
                <w:lang w:val="en-AU"/>
              </w:rPr>
            </w:pPr>
            <w:r w:rsidRPr="00E75831">
              <w:rPr>
                <w:sz w:val="18"/>
                <w:lang w:val="en-AU"/>
              </w:rPr>
              <w:t>20 (560)</w:t>
            </w:r>
          </w:p>
        </w:tc>
        <w:tc>
          <w:tcPr>
            <w:tcW w:w="1772" w:type="dxa"/>
            <w:shd w:val="clear" w:color="auto" w:fill="C4BC96" w:themeFill="background2" w:themeFillShade="BF"/>
          </w:tcPr>
          <w:p w14:paraId="415651A2" w14:textId="77777777" w:rsidR="00607FAB" w:rsidRPr="00E75831" w:rsidRDefault="00607FAB" w:rsidP="00607FAB">
            <w:pPr>
              <w:jc w:val="center"/>
              <w:rPr>
                <w:sz w:val="18"/>
                <w:lang w:val="en-AU"/>
              </w:rPr>
            </w:pPr>
            <w:r w:rsidRPr="00E75831">
              <w:rPr>
                <w:sz w:val="18"/>
                <w:lang w:val="en-AU"/>
              </w:rPr>
              <w:t>0</w:t>
            </w:r>
          </w:p>
        </w:tc>
        <w:tc>
          <w:tcPr>
            <w:tcW w:w="1773" w:type="dxa"/>
            <w:shd w:val="clear" w:color="auto" w:fill="C4BC96" w:themeFill="background2" w:themeFillShade="BF"/>
          </w:tcPr>
          <w:p w14:paraId="27868F31" w14:textId="77777777" w:rsidR="00607FAB" w:rsidRPr="00E75831" w:rsidRDefault="00607FAB" w:rsidP="00607FAB">
            <w:pPr>
              <w:jc w:val="center"/>
              <w:rPr>
                <w:sz w:val="18"/>
                <w:lang w:val="en-AU"/>
              </w:rPr>
            </w:pPr>
            <w:r w:rsidRPr="00E75831">
              <w:rPr>
                <w:sz w:val="18"/>
                <w:lang w:val="en-AU"/>
              </w:rPr>
              <w:t>0.56</w:t>
            </w:r>
          </w:p>
        </w:tc>
        <w:tc>
          <w:tcPr>
            <w:tcW w:w="1773" w:type="dxa"/>
            <w:shd w:val="clear" w:color="auto" w:fill="C4BC96" w:themeFill="background2" w:themeFillShade="BF"/>
          </w:tcPr>
          <w:p w14:paraId="70300E62" w14:textId="77777777" w:rsidR="00607FAB" w:rsidRPr="00E75831" w:rsidRDefault="00607FAB" w:rsidP="00607FAB">
            <w:pPr>
              <w:jc w:val="center"/>
              <w:rPr>
                <w:sz w:val="18"/>
                <w:lang w:val="en-AU"/>
              </w:rPr>
            </w:pPr>
            <w:r w:rsidRPr="00E75831">
              <w:rPr>
                <w:sz w:val="18"/>
                <w:lang w:val="en-AU"/>
              </w:rPr>
              <w:t>0.56</w:t>
            </w:r>
          </w:p>
        </w:tc>
      </w:tr>
      <w:tr w:rsidR="00607FAB" w:rsidRPr="00E75831" w14:paraId="390946F9" w14:textId="77777777" w:rsidTr="00836448">
        <w:trPr>
          <w:trHeight w:val="216"/>
        </w:trPr>
        <w:tc>
          <w:tcPr>
            <w:tcW w:w="1785" w:type="dxa"/>
            <w:shd w:val="clear" w:color="auto" w:fill="C2D69B" w:themeFill="accent3" w:themeFillTint="99"/>
          </w:tcPr>
          <w:p w14:paraId="11598C31" w14:textId="77777777" w:rsidR="00607FAB" w:rsidRPr="00E75831" w:rsidRDefault="00607FAB" w:rsidP="00607FAB">
            <w:pPr>
              <w:jc w:val="center"/>
              <w:rPr>
                <w:sz w:val="18"/>
                <w:lang w:val="en-AU"/>
              </w:rPr>
            </w:pPr>
            <w:r w:rsidRPr="00E75831">
              <w:rPr>
                <w:sz w:val="18"/>
                <w:lang w:val="en-AU"/>
              </w:rPr>
              <w:t>STAN 72-1981 max</w:t>
            </w:r>
          </w:p>
        </w:tc>
        <w:tc>
          <w:tcPr>
            <w:tcW w:w="1795" w:type="dxa"/>
            <w:shd w:val="clear" w:color="auto" w:fill="C2D69B" w:themeFill="accent3" w:themeFillTint="99"/>
          </w:tcPr>
          <w:p w14:paraId="3363E687" w14:textId="77777777" w:rsidR="00607FAB" w:rsidRPr="00E75831" w:rsidRDefault="00607FAB" w:rsidP="00607FAB">
            <w:pPr>
              <w:jc w:val="center"/>
              <w:rPr>
                <w:sz w:val="18"/>
                <w:lang w:val="en-AU"/>
              </w:rPr>
            </w:pPr>
            <w:r w:rsidRPr="00E75831">
              <w:rPr>
                <w:sz w:val="18"/>
                <w:lang w:val="en-AU"/>
              </w:rPr>
              <w:t>24 (672)</w:t>
            </w:r>
          </w:p>
        </w:tc>
        <w:tc>
          <w:tcPr>
            <w:tcW w:w="1772" w:type="dxa"/>
            <w:shd w:val="clear" w:color="auto" w:fill="C2D69B" w:themeFill="accent3" w:themeFillTint="99"/>
          </w:tcPr>
          <w:p w14:paraId="1A8FA1C3" w14:textId="77777777" w:rsidR="00607FAB" w:rsidRPr="00E75831" w:rsidRDefault="00607FAB" w:rsidP="00607FAB">
            <w:pPr>
              <w:jc w:val="center"/>
              <w:rPr>
                <w:sz w:val="18"/>
                <w:lang w:val="en-AU"/>
              </w:rPr>
            </w:pPr>
            <w:r w:rsidRPr="00E75831">
              <w:rPr>
                <w:sz w:val="18"/>
                <w:lang w:val="en-AU"/>
              </w:rPr>
              <w:t>0</w:t>
            </w:r>
          </w:p>
        </w:tc>
        <w:tc>
          <w:tcPr>
            <w:tcW w:w="1773" w:type="dxa"/>
            <w:shd w:val="clear" w:color="auto" w:fill="C2D69B" w:themeFill="accent3" w:themeFillTint="99"/>
          </w:tcPr>
          <w:p w14:paraId="133D6BB7" w14:textId="77777777" w:rsidR="00607FAB" w:rsidRPr="00E75831" w:rsidRDefault="00607FAB" w:rsidP="00607FAB">
            <w:pPr>
              <w:jc w:val="center"/>
              <w:rPr>
                <w:sz w:val="18"/>
                <w:lang w:val="en-AU"/>
              </w:rPr>
            </w:pPr>
            <w:r w:rsidRPr="00E75831">
              <w:rPr>
                <w:sz w:val="18"/>
                <w:lang w:val="en-AU"/>
              </w:rPr>
              <w:t>0.62</w:t>
            </w:r>
          </w:p>
        </w:tc>
        <w:tc>
          <w:tcPr>
            <w:tcW w:w="1773" w:type="dxa"/>
            <w:shd w:val="clear" w:color="auto" w:fill="C2D69B" w:themeFill="accent3" w:themeFillTint="99"/>
          </w:tcPr>
          <w:p w14:paraId="365A15F6" w14:textId="77777777" w:rsidR="00607FAB" w:rsidRPr="00E75831" w:rsidRDefault="00607FAB" w:rsidP="00607FAB">
            <w:pPr>
              <w:jc w:val="center"/>
              <w:rPr>
                <w:sz w:val="18"/>
                <w:lang w:val="en-AU"/>
              </w:rPr>
            </w:pPr>
            <w:r w:rsidRPr="00E75831">
              <w:rPr>
                <w:sz w:val="18"/>
                <w:lang w:val="en-AU"/>
              </w:rPr>
              <w:t>0.62</w:t>
            </w:r>
          </w:p>
        </w:tc>
      </w:tr>
      <w:tr w:rsidR="00607FAB" w:rsidRPr="00E75831" w14:paraId="504EF1C4" w14:textId="77777777" w:rsidTr="00836448">
        <w:trPr>
          <w:trHeight w:val="216"/>
        </w:trPr>
        <w:tc>
          <w:tcPr>
            <w:tcW w:w="1785" w:type="dxa"/>
          </w:tcPr>
          <w:p w14:paraId="33F498AC" w14:textId="77777777" w:rsidR="00607FAB" w:rsidRPr="00E75831" w:rsidRDefault="00607FAB" w:rsidP="00607FAB">
            <w:pPr>
              <w:jc w:val="center"/>
              <w:rPr>
                <w:sz w:val="18"/>
                <w:lang w:val="en-AU"/>
              </w:rPr>
            </w:pPr>
          </w:p>
        </w:tc>
        <w:tc>
          <w:tcPr>
            <w:tcW w:w="1795" w:type="dxa"/>
            <w:shd w:val="clear" w:color="auto" w:fill="C4BC96" w:themeFill="background2" w:themeFillShade="BF"/>
          </w:tcPr>
          <w:p w14:paraId="4991CCA2" w14:textId="77777777" w:rsidR="00607FAB" w:rsidRPr="00E75831" w:rsidRDefault="00607FAB" w:rsidP="00607FAB">
            <w:pPr>
              <w:jc w:val="center"/>
              <w:rPr>
                <w:sz w:val="18"/>
                <w:lang w:val="en-AU"/>
              </w:rPr>
            </w:pPr>
            <w:r w:rsidRPr="00E75831">
              <w:rPr>
                <w:sz w:val="18"/>
                <w:lang w:val="en-AU"/>
              </w:rPr>
              <w:t>25 (700)</w:t>
            </w:r>
          </w:p>
        </w:tc>
        <w:tc>
          <w:tcPr>
            <w:tcW w:w="1772" w:type="dxa"/>
            <w:shd w:val="clear" w:color="auto" w:fill="C4BC96" w:themeFill="background2" w:themeFillShade="BF"/>
          </w:tcPr>
          <w:p w14:paraId="79644DFF" w14:textId="77777777" w:rsidR="00607FAB" w:rsidRPr="00E75831" w:rsidRDefault="00607FAB" w:rsidP="00607FAB">
            <w:pPr>
              <w:jc w:val="center"/>
              <w:rPr>
                <w:sz w:val="18"/>
                <w:lang w:val="en-AU"/>
              </w:rPr>
            </w:pPr>
            <w:r w:rsidRPr="00E75831">
              <w:rPr>
                <w:sz w:val="18"/>
                <w:lang w:val="en-AU"/>
              </w:rPr>
              <w:t>0</w:t>
            </w:r>
          </w:p>
        </w:tc>
        <w:tc>
          <w:tcPr>
            <w:tcW w:w="1773" w:type="dxa"/>
            <w:shd w:val="clear" w:color="auto" w:fill="C4BC96" w:themeFill="background2" w:themeFillShade="BF"/>
          </w:tcPr>
          <w:p w14:paraId="1811261A" w14:textId="77777777" w:rsidR="00607FAB" w:rsidRPr="00E75831" w:rsidRDefault="00607FAB" w:rsidP="00607FAB">
            <w:pPr>
              <w:jc w:val="center"/>
              <w:rPr>
                <w:sz w:val="18"/>
                <w:lang w:val="en-AU"/>
              </w:rPr>
            </w:pPr>
            <w:r w:rsidRPr="00E75831">
              <w:rPr>
                <w:sz w:val="18"/>
                <w:lang w:val="en-AU"/>
              </w:rPr>
              <w:t>0.70</w:t>
            </w:r>
          </w:p>
        </w:tc>
        <w:tc>
          <w:tcPr>
            <w:tcW w:w="1773" w:type="dxa"/>
            <w:shd w:val="clear" w:color="auto" w:fill="C4BC96" w:themeFill="background2" w:themeFillShade="BF"/>
          </w:tcPr>
          <w:p w14:paraId="64EF6DAA" w14:textId="77777777" w:rsidR="00607FAB" w:rsidRPr="00E75831" w:rsidRDefault="00607FAB" w:rsidP="00607FAB">
            <w:pPr>
              <w:jc w:val="center"/>
              <w:rPr>
                <w:sz w:val="18"/>
                <w:lang w:val="en-AU"/>
              </w:rPr>
            </w:pPr>
            <w:r w:rsidRPr="00E75831">
              <w:rPr>
                <w:sz w:val="18"/>
                <w:lang w:val="en-AU"/>
              </w:rPr>
              <w:t>0.70</w:t>
            </w:r>
          </w:p>
        </w:tc>
      </w:tr>
      <w:tr w:rsidR="00607FAB" w:rsidRPr="00E75831" w14:paraId="00E309DD" w14:textId="77777777" w:rsidTr="00836448">
        <w:trPr>
          <w:trHeight w:val="180"/>
        </w:trPr>
        <w:tc>
          <w:tcPr>
            <w:tcW w:w="1785" w:type="dxa"/>
            <w:vMerge w:val="restart"/>
          </w:tcPr>
          <w:p w14:paraId="7F9DD254" w14:textId="77777777" w:rsidR="00607FAB" w:rsidRPr="00E75831" w:rsidRDefault="00607FAB" w:rsidP="00607FAB">
            <w:pPr>
              <w:jc w:val="center"/>
              <w:rPr>
                <w:sz w:val="18"/>
                <w:lang w:val="en-AU"/>
              </w:rPr>
            </w:pPr>
          </w:p>
          <w:p w14:paraId="649AD075" w14:textId="77777777" w:rsidR="00607FAB" w:rsidRPr="00E75831" w:rsidRDefault="00607FAB" w:rsidP="00607FAB">
            <w:pPr>
              <w:shd w:val="clear" w:color="auto" w:fill="B6DDE8" w:themeFill="accent5" w:themeFillTint="66"/>
              <w:jc w:val="center"/>
              <w:rPr>
                <w:sz w:val="18"/>
                <w:lang w:val="en-AU"/>
              </w:rPr>
            </w:pPr>
            <w:r w:rsidRPr="00E75831">
              <w:rPr>
                <w:sz w:val="18"/>
                <w:lang w:val="en-AU"/>
              </w:rPr>
              <w:t>Median level found in Au IF powder</w:t>
            </w:r>
          </w:p>
          <w:p w14:paraId="223C00BB" w14:textId="77777777" w:rsidR="00607FAB" w:rsidRPr="00E75831" w:rsidRDefault="00607FAB" w:rsidP="00607FAB">
            <w:pPr>
              <w:jc w:val="center"/>
              <w:rPr>
                <w:sz w:val="18"/>
                <w:lang w:val="en-AU"/>
              </w:rPr>
            </w:pPr>
          </w:p>
          <w:p w14:paraId="72F4D2CF" w14:textId="77777777" w:rsidR="00607FAB" w:rsidRPr="00203BCC" w:rsidRDefault="00607FAB" w:rsidP="00607FAB">
            <w:pPr>
              <w:jc w:val="center"/>
              <w:rPr>
                <w:b/>
                <w:sz w:val="18"/>
                <w:lang w:val="en-AU"/>
              </w:rPr>
            </w:pPr>
            <w:r>
              <w:rPr>
                <w:b/>
                <w:sz w:val="18"/>
                <w:lang w:val="en-AU"/>
              </w:rPr>
              <w:t>0.5</w:t>
            </w:r>
          </w:p>
          <w:p w14:paraId="354836FA" w14:textId="77777777" w:rsidR="00607FAB" w:rsidRPr="00E75831" w:rsidRDefault="00607FAB" w:rsidP="00607FAB">
            <w:pPr>
              <w:jc w:val="center"/>
              <w:rPr>
                <w:sz w:val="18"/>
                <w:shd w:val="clear" w:color="auto" w:fill="C4BC96" w:themeFill="background2" w:themeFillShade="BF"/>
                <w:lang w:val="en-AU"/>
              </w:rPr>
            </w:pPr>
            <w:r w:rsidRPr="00E75831">
              <w:rPr>
                <w:sz w:val="18"/>
                <w:shd w:val="clear" w:color="auto" w:fill="C4BC96" w:themeFill="background2" w:themeFillShade="BF"/>
                <w:lang w:val="en-AU"/>
              </w:rPr>
              <w:t>2.9.1 Fluorosis statement required</w:t>
            </w:r>
          </w:p>
          <w:p w14:paraId="2E71DE54" w14:textId="77777777" w:rsidR="00607FAB" w:rsidRPr="00E75831" w:rsidRDefault="00607FAB" w:rsidP="00607FAB">
            <w:pPr>
              <w:jc w:val="center"/>
              <w:rPr>
                <w:sz w:val="18"/>
                <w:lang w:val="en-AU"/>
              </w:rPr>
            </w:pPr>
            <w:r w:rsidRPr="00E75831">
              <w:rPr>
                <w:rFonts w:cs="Arial"/>
                <w:sz w:val="18"/>
                <w:shd w:val="clear" w:color="auto" w:fill="C4BC96" w:themeFill="background2" w:themeFillShade="BF"/>
                <w:lang w:val="en-AU"/>
              </w:rPr>
              <w:t>˃</w:t>
            </w:r>
            <w:r w:rsidRPr="00E75831">
              <w:rPr>
                <w:sz w:val="18"/>
                <w:shd w:val="clear" w:color="auto" w:fill="C4BC96" w:themeFill="background2" w:themeFillShade="BF"/>
                <w:lang w:val="en-AU"/>
              </w:rPr>
              <w:t xml:space="preserve">17 </w:t>
            </w:r>
            <w:r w:rsidRPr="00E75831">
              <w:rPr>
                <w:rFonts w:cs="Arial"/>
                <w:sz w:val="18"/>
                <w:shd w:val="clear" w:color="auto" w:fill="C4BC96" w:themeFill="background2" w:themeFillShade="BF"/>
                <w:lang w:val="en-AU"/>
              </w:rPr>
              <w:t>µ</w:t>
            </w:r>
            <w:r w:rsidRPr="00E75831">
              <w:rPr>
                <w:sz w:val="18"/>
                <w:shd w:val="clear" w:color="auto" w:fill="C4BC96" w:themeFill="background2" w:themeFillShade="BF"/>
                <w:lang w:val="en-AU"/>
              </w:rPr>
              <w:t>g/100kJ</w:t>
            </w:r>
          </w:p>
        </w:tc>
        <w:tc>
          <w:tcPr>
            <w:tcW w:w="1795" w:type="dxa"/>
          </w:tcPr>
          <w:p w14:paraId="616AF742" w14:textId="77777777" w:rsidR="00607FAB" w:rsidRPr="00E75831" w:rsidRDefault="00607FAB" w:rsidP="00607FAB">
            <w:pPr>
              <w:jc w:val="center"/>
              <w:rPr>
                <w:sz w:val="18"/>
                <w:lang w:val="en-AU"/>
              </w:rPr>
            </w:pPr>
            <w:r w:rsidRPr="00E75831">
              <w:rPr>
                <w:sz w:val="18"/>
                <w:lang w:val="en-AU"/>
              </w:rPr>
              <w:t>0 (0)</w:t>
            </w:r>
          </w:p>
        </w:tc>
        <w:tc>
          <w:tcPr>
            <w:tcW w:w="1772" w:type="dxa"/>
          </w:tcPr>
          <w:p w14:paraId="5F9C8866" w14:textId="77777777" w:rsidR="00607FAB" w:rsidRPr="00E75831" w:rsidRDefault="00607FAB" w:rsidP="00607FAB">
            <w:pPr>
              <w:jc w:val="center"/>
              <w:rPr>
                <w:sz w:val="18"/>
                <w:lang w:val="en-AU"/>
              </w:rPr>
            </w:pPr>
            <w:r w:rsidRPr="00E75831">
              <w:rPr>
                <w:sz w:val="18"/>
                <w:lang w:val="en-AU"/>
              </w:rPr>
              <w:t>0.46</w:t>
            </w:r>
          </w:p>
        </w:tc>
        <w:tc>
          <w:tcPr>
            <w:tcW w:w="1773" w:type="dxa"/>
          </w:tcPr>
          <w:p w14:paraId="1329A0B3" w14:textId="77777777" w:rsidR="00607FAB" w:rsidRPr="00E75831" w:rsidRDefault="00607FAB" w:rsidP="00607FAB">
            <w:pPr>
              <w:jc w:val="center"/>
              <w:rPr>
                <w:sz w:val="18"/>
                <w:lang w:val="en-AU"/>
              </w:rPr>
            </w:pPr>
            <w:r w:rsidRPr="00E75831">
              <w:rPr>
                <w:sz w:val="18"/>
                <w:lang w:val="en-AU"/>
              </w:rPr>
              <w:t>0.00</w:t>
            </w:r>
          </w:p>
        </w:tc>
        <w:tc>
          <w:tcPr>
            <w:tcW w:w="1773" w:type="dxa"/>
          </w:tcPr>
          <w:p w14:paraId="3F06BF3B" w14:textId="77777777" w:rsidR="00607FAB" w:rsidRPr="00E75831" w:rsidRDefault="00607FAB" w:rsidP="00607FAB">
            <w:pPr>
              <w:jc w:val="center"/>
              <w:rPr>
                <w:sz w:val="18"/>
                <w:lang w:val="en-AU"/>
              </w:rPr>
            </w:pPr>
            <w:r w:rsidRPr="00E75831">
              <w:rPr>
                <w:sz w:val="18"/>
                <w:lang w:val="en-AU"/>
              </w:rPr>
              <w:t>0.00</w:t>
            </w:r>
          </w:p>
        </w:tc>
      </w:tr>
      <w:tr w:rsidR="00607FAB" w:rsidRPr="00E75831" w14:paraId="2FF7D9AF" w14:textId="77777777" w:rsidTr="00836448">
        <w:trPr>
          <w:trHeight w:val="180"/>
        </w:trPr>
        <w:tc>
          <w:tcPr>
            <w:tcW w:w="1785" w:type="dxa"/>
            <w:vMerge/>
            <w:shd w:val="clear" w:color="auto" w:fill="B6DDE8" w:themeFill="accent5" w:themeFillTint="66"/>
          </w:tcPr>
          <w:p w14:paraId="20FE0514" w14:textId="77777777" w:rsidR="00607FAB" w:rsidRPr="00E75831" w:rsidRDefault="00607FAB" w:rsidP="00607FAB">
            <w:pPr>
              <w:jc w:val="center"/>
              <w:rPr>
                <w:sz w:val="18"/>
                <w:lang w:val="en-AU"/>
              </w:rPr>
            </w:pPr>
          </w:p>
        </w:tc>
        <w:tc>
          <w:tcPr>
            <w:tcW w:w="1795" w:type="dxa"/>
            <w:shd w:val="clear" w:color="auto" w:fill="B6DDE8" w:themeFill="accent5" w:themeFillTint="66"/>
          </w:tcPr>
          <w:p w14:paraId="4C15A709" w14:textId="77777777" w:rsidR="00607FAB" w:rsidRPr="00E75831" w:rsidRDefault="00607FAB" w:rsidP="00607FAB">
            <w:pPr>
              <w:jc w:val="center"/>
              <w:rPr>
                <w:sz w:val="18"/>
                <w:lang w:val="en-AU"/>
              </w:rPr>
            </w:pPr>
            <w:r w:rsidRPr="00E75831">
              <w:rPr>
                <w:sz w:val="18"/>
                <w:lang w:val="en-AU"/>
              </w:rPr>
              <w:t>2 (56)</w:t>
            </w:r>
          </w:p>
        </w:tc>
        <w:tc>
          <w:tcPr>
            <w:tcW w:w="1772" w:type="dxa"/>
            <w:shd w:val="clear" w:color="auto" w:fill="B6DDE8" w:themeFill="accent5" w:themeFillTint="66"/>
          </w:tcPr>
          <w:p w14:paraId="75B5D048" w14:textId="77777777" w:rsidR="00607FAB" w:rsidRPr="00E75831" w:rsidRDefault="00607FAB" w:rsidP="00607FAB">
            <w:pPr>
              <w:jc w:val="center"/>
              <w:rPr>
                <w:sz w:val="18"/>
                <w:lang w:val="en-AU"/>
              </w:rPr>
            </w:pPr>
            <w:r>
              <w:rPr>
                <w:sz w:val="18"/>
                <w:lang w:val="en-AU"/>
              </w:rPr>
              <w:t>0.46</w:t>
            </w:r>
          </w:p>
        </w:tc>
        <w:tc>
          <w:tcPr>
            <w:tcW w:w="1773" w:type="dxa"/>
            <w:shd w:val="clear" w:color="auto" w:fill="B6DDE8" w:themeFill="accent5" w:themeFillTint="66"/>
          </w:tcPr>
          <w:p w14:paraId="5B0451BE" w14:textId="77777777" w:rsidR="00607FAB" w:rsidRPr="00E75831" w:rsidRDefault="00607FAB" w:rsidP="00607FAB">
            <w:pPr>
              <w:jc w:val="center"/>
              <w:rPr>
                <w:sz w:val="18"/>
                <w:lang w:val="en-AU"/>
              </w:rPr>
            </w:pPr>
            <w:r>
              <w:rPr>
                <w:sz w:val="18"/>
                <w:lang w:val="en-AU"/>
              </w:rPr>
              <w:t>0.06</w:t>
            </w:r>
          </w:p>
        </w:tc>
        <w:tc>
          <w:tcPr>
            <w:tcW w:w="1773" w:type="dxa"/>
            <w:shd w:val="clear" w:color="auto" w:fill="B6DDE8" w:themeFill="accent5" w:themeFillTint="66"/>
          </w:tcPr>
          <w:p w14:paraId="4FC0BBF7" w14:textId="77777777" w:rsidR="00607FAB" w:rsidRPr="00E75831" w:rsidRDefault="00607FAB" w:rsidP="00607FAB">
            <w:pPr>
              <w:jc w:val="center"/>
              <w:rPr>
                <w:sz w:val="18"/>
                <w:lang w:val="en-AU"/>
              </w:rPr>
            </w:pPr>
            <w:r>
              <w:rPr>
                <w:sz w:val="18"/>
                <w:lang w:val="en-AU"/>
              </w:rPr>
              <w:t>0.52</w:t>
            </w:r>
          </w:p>
        </w:tc>
      </w:tr>
      <w:tr w:rsidR="00607FAB" w:rsidRPr="00E75831" w14:paraId="7445FD88" w14:textId="77777777" w:rsidTr="00836448">
        <w:trPr>
          <w:trHeight w:val="180"/>
        </w:trPr>
        <w:tc>
          <w:tcPr>
            <w:tcW w:w="1785" w:type="dxa"/>
            <w:vMerge/>
          </w:tcPr>
          <w:p w14:paraId="5266D814" w14:textId="77777777" w:rsidR="00607FAB" w:rsidRPr="00E75831" w:rsidRDefault="00607FAB" w:rsidP="00607FAB">
            <w:pPr>
              <w:jc w:val="center"/>
              <w:rPr>
                <w:sz w:val="18"/>
                <w:lang w:val="en-AU"/>
              </w:rPr>
            </w:pPr>
          </w:p>
        </w:tc>
        <w:tc>
          <w:tcPr>
            <w:tcW w:w="1795" w:type="dxa"/>
          </w:tcPr>
          <w:p w14:paraId="4E7C585F" w14:textId="77777777" w:rsidR="00607FAB" w:rsidRPr="00E75831" w:rsidRDefault="00607FAB" w:rsidP="00607FAB">
            <w:pPr>
              <w:jc w:val="center"/>
              <w:rPr>
                <w:sz w:val="18"/>
                <w:lang w:val="en-AU"/>
              </w:rPr>
            </w:pPr>
            <w:r w:rsidRPr="00E75831">
              <w:rPr>
                <w:sz w:val="18"/>
                <w:lang w:val="en-AU"/>
              </w:rPr>
              <w:t>4 (112)</w:t>
            </w:r>
          </w:p>
        </w:tc>
        <w:tc>
          <w:tcPr>
            <w:tcW w:w="1772" w:type="dxa"/>
          </w:tcPr>
          <w:p w14:paraId="13571DF0" w14:textId="77777777" w:rsidR="00607FAB" w:rsidRPr="00E75831" w:rsidRDefault="00607FAB" w:rsidP="00607FAB">
            <w:pPr>
              <w:jc w:val="center"/>
              <w:rPr>
                <w:sz w:val="18"/>
                <w:lang w:val="en-AU"/>
              </w:rPr>
            </w:pPr>
            <w:r w:rsidRPr="00E75831">
              <w:rPr>
                <w:sz w:val="18"/>
                <w:lang w:val="en-AU"/>
              </w:rPr>
              <w:t>0.46</w:t>
            </w:r>
          </w:p>
        </w:tc>
        <w:tc>
          <w:tcPr>
            <w:tcW w:w="1773" w:type="dxa"/>
          </w:tcPr>
          <w:p w14:paraId="10244978" w14:textId="77777777" w:rsidR="00607FAB" w:rsidRPr="00E75831" w:rsidRDefault="00607FAB" w:rsidP="00607FAB">
            <w:pPr>
              <w:jc w:val="center"/>
              <w:rPr>
                <w:sz w:val="18"/>
                <w:lang w:val="en-AU"/>
              </w:rPr>
            </w:pPr>
            <w:r w:rsidRPr="00E75831">
              <w:rPr>
                <w:sz w:val="18"/>
                <w:lang w:val="en-AU"/>
              </w:rPr>
              <w:t>0.11</w:t>
            </w:r>
          </w:p>
        </w:tc>
        <w:tc>
          <w:tcPr>
            <w:tcW w:w="1773" w:type="dxa"/>
          </w:tcPr>
          <w:p w14:paraId="5B234CCB" w14:textId="77777777" w:rsidR="00607FAB" w:rsidRPr="00E75831" w:rsidRDefault="00607FAB" w:rsidP="00607FAB">
            <w:pPr>
              <w:jc w:val="center"/>
              <w:rPr>
                <w:sz w:val="18"/>
                <w:lang w:val="en-AU"/>
              </w:rPr>
            </w:pPr>
            <w:r w:rsidRPr="00E75831">
              <w:rPr>
                <w:sz w:val="18"/>
                <w:lang w:val="en-AU"/>
              </w:rPr>
              <w:t>0.57</w:t>
            </w:r>
          </w:p>
        </w:tc>
      </w:tr>
      <w:tr w:rsidR="00607FAB" w:rsidRPr="00E75831" w14:paraId="64BDA0BF" w14:textId="77777777" w:rsidTr="00836448">
        <w:trPr>
          <w:trHeight w:val="180"/>
        </w:trPr>
        <w:tc>
          <w:tcPr>
            <w:tcW w:w="1785" w:type="dxa"/>
            <w:vMerge/>
          </w:tcPr>
          <w:p w14:paraId="3C1C38ED" w14:textId="77777777" w:rsidR="00607FAB" w:rsidRPr="00E75831" w:rsidRDefault="00607FAB" w:rsidP="00607FAB">
            <w:pPr>
              <w:jc w:val="center"/>
              <w:rPr>
                <w:sz w:val="18"/>
                <w:lang w:val="en-AU"/>
              </w:rPr>
            </w:pPr>
          </w:p>
        </w:tc>
        <w:tc>
          <w:tcPr>
            <w:tcW w:w="1795" w:type="dxa"/>
          </w:tcPr>
          <w:p w14:paraId="21C0B2F1" w14:textId="77777777" w:rsidR="00607FAB" w:rsidRPr="00E75831" w:rsidRDefault="00607FAB" w:rsidP="00607FAB">
            <w:pPr>
              <w:jc w:val="center"/>
              <w:rPr>
                <w:sz w:val="18"/>
                <w:lang w:val="en-AU"/>
              </w:rPr>
            </w:pPr>
            <w:r w:rsidRPr="00E75831">
              <w:rPr>
                <w:sz w:val="18"/>
                <w:lang w:val="en-AU"/>
              </w:rPr>
              <w:t>8 (224)</w:t>
            </w:r>
          </w:p>
        </w:tc>
        <w:tc>
          <w:tcPr>
            <w:tcW w:w="1772" w:type="dxa"/>
          </w:tcPr>
          <w:p w14:paraId="789D8F07" w14:textId="77777777" w:rsidR="00607FAB" w:rsidRPr="00E75831" w:rsidRDefault="00607FAB" w:rsidP="00607FAB">
            <w:pPr>
              <w:jc w:val="center"/>
              <w:rPr>
                <w:sz w:val="18"/>
                <w:lang w:val="en-AU"/>
              </w:rPr>
            </w:pPr>
            <w:r w:rsidRPr="00E75831">
              <w:rPr>
                <w:sz w:val="18"/>
                <w:lang w:val="en-AU"/>
              </w:rPr>
              <w:t>0.46</w:t>
            </w:r>
          </w:p>
        </w:tc>
        <w:tc>
          <w:tcPr>
            <w:tcW w:w="1773" w:type="dxa"/>
          </w:tcPr>
          <w:p w14:paraId="4F850AAF" w14:textId="77777777" w:rsidR="00607FAB" w:rsidRPr="00E75831" w:rsidRDefault="00607FAB" w:rsidP="00607FAB">
            <w:pPr>
              <w:jc w:val="center"/>
              <w:rPr>
                <w:sz w:val="18"/>
                <w:lang w:val="en-AU"/>
              </w:rPr>
            </w:pPr>
            <w:r w:rsidRPr="00E75831">
              <w:rPr>
                <w:sz w:val="18"/>
                <w:lang w:val="en-AU"/>
              </w:rPr>
              <w:t>0.22</w:t>
            </w:r>
          </w:p>
        </w:tc>
        <w:tc>
          <w:tcPr>
            <w:tcW w:w="1773" w:type="dxa"/>
          </w:tcPr>
          <w:p w14:paraId="3DF7C141" w14:textId="77777777" w:rsidR="00607FAB" w:rsidRPr="00E75831" w:rsidRDefault="00607FAB" w:rsidP="00607FAB">
            <w:pPr>
              <w:jc w:val="center"/>
              <w:rPr>
                <w:sz w:val="18"/>
                <w:lang w:val="en-AU"/>
              </w:rPr>
            </w:pPr>
            <w:r w:rsidRPr="00E75831">
              <w:rPr>
                <w:sz w:val="18"/>
                <w:lang w:val="en-AU"/>
              </w:rPr>
              <w:t>0.68</w:t>
            </w:r>
          </w:p>
        </w:tc>
      </w:tr>
      <w:tr w:rsidR="00607FAB" w:rsidRPr="00E75831" w14:paraId="62EA7EF3" w14:textId="77777777" w:rsidTr="00836448">
        <w:trPr>
          <w:trHeight w:val="180"/>
        </w:trPr>
        <w:tc>
          <w:tcPr>
            <w:tcW w:w="1785" w:type="dxa"/>
            <w:vMerge/>
          </w:tcPr>
          <w:p w14:paraId="59CC99D3" w14:textId="77777777" w:rsidR="00607FAB" w:rsidRPr="00E75831" w:rsidRDefault="00607FAB" w:rsidP="00607FAB">
            <w:pPr>
              <w:jc w:val="center"/>
              <w:rPr>
                <w:sz w:val="18"/>
                <w:lang w:val="en-AU"/>
              </w:rPr>
            </w:pPr>
          </w:p>
        </w:tc>
        <w:tc>
          <w:tcPr>
            <w:tcW w:w="1795" w:type="dxa"/>
          </w:tcPr>
          <w:p w14:paraId="193616B6" w14:textId="77777777" w:rsidR="00607FAB" w:rsidRPr="00E75831" w:rsidRDefault="00607FAB" w:rsidP="00607FAB">
            <w:pPr>
              <w:jc w:val="center"/>
              <w:rPr>
                <w:sz w:val="18"/>
                <w:lang w:val="en-AU"/>
              </w:rPr>
            </w:pPr>
            <w:r w:rsidRPr="00E75831">
              <w:rPr>
                <w:sz w:val="18"/>
                <w:lang w:val="en-AU"/>
              </w:rPr>
              <w:t>16 (448)</w:t>
            </w:r>
          </w:p>
        </w:tc>
        <w:tc>
          <w:tcPr>
            <w:tcW w:w="1772" w:type="dxa"/>
          </w:tcPr>
          <w:p w14:paraId="4B11FC8A" w14:textId="77777777" w:rsidR="00607FAB" w:rsidRPr="00E75831" w:rsidRDefault="00607FAB" w:rsidP="00607FAB">
            <w:pPr>
              <w:jc w:val="center"/>
              <w:rPr>
                <w:sz w:val="18"/>
                <w:lang w:val="en-AU"/>
              </w:rPr>
            </w:pPr>
            <w:r w:rsidRPr="00E75831">
              <w:rPr>
                <w:sz w:val="18"/>
                <w:lang w:val="en-AU"/>
              </w:rPr>
              <w:t>0.46</w:t>
            </w:r>
          </w:p>
        </w:tc>
        <w:tc>
          <w:tcPr>
            <w:tcW w:w="1773" w:type="dxa"/>
          </w:tcPr>
          <w:p w14:paraId="0C120B5C" w14:textId="77777777" w:rsidR="00607FAB" w:rsidRPr="00E75831" w:rsidRDefault="00607FAB" w:rsidP="00607FAB">
            <w:pPr>
              <w:jc w:val="center"/>
              <w:rPr>
                <w:sz w:val="18"/>
                <w:lang w:val="en-AU"/>
              </w:rPr>
            </w:pPr>
            <w:r w:rsidRPr="00E75831">
              <w:rPr>
                <w:sz w:val="18"/>
                <w:lang w:val="en-AU"/>
              </w:rPr>
              <w:t>0.45</w:t>
            </w:r>
          </w:p>
        </w:tc>
        <w:tc>
          <w:tcPr>
            <w:tcW w:w="1773" w:type="dxa"/>
          </w:tcPr>
          <w:p w14:paraId="2B4A7801" w14:textId="77777777" w:rsidR="00607FAB" w:rsidRPr="00E75831" w:rsidRDefault="00607FAB" w:rsidP="00607FAB">
            <w:pPr>
              <w:jc w:val="center"/>
              <w:rPr>
                <w:sz w:val="18"/>
                <w:lang w:val="en-AU"/>
              </w:rPr>
            </w:pPr>
            <w:r w:rsidRPr="00E75831">
              <w:rPr>
                <w:sz w:val="18"/>
                <w:lang w:val="en-AU"/>
              </w:rPr>
              <w:t>0.91</w:t>
            </w:r>
          </w:p>
        </w:tc>
      </w:tr>
      <w:tr w:rsidR="00607FAB" w:rsidRPr="00E75831" w14:paraId="6D193145" w14:textId="77777777" w:rsidTr="00836448">
        <w:trPr>
          <w:trHeight w:val="180"/>
        </w:trPr>
        <w:tc>
          <w:tcPr>
            <w:tcW w:w="1785" w:type="dxa"/>
            <w:vMerge/>
          </w:tcPr>
          <w:p w14:paraId="59152025" w14:textId="77777777" w:rsidR="00607FAB" w:rsidRPr="00E75831" w:rsidRDefault="00607FAB" w:rsidP="00607FAB">
            <w:pPr>
              <w:jc w:val="center"/>
              <w:rPr>
                <w:sz w:val="18"/>
                <w:lang w:val="en-AU"/>
              </w:rPr>
            </w:pPr>
          </w:p>
        </w:tc>
        <w:tc>
          <w:tcPr>
            <w:tcW w:w="1795" w:type="dxa"/>
            <w:shd w:val="clear" w:color="auto" w:fill="C4BC96" w:themeFill="background2" w:themeFillShade="BF"/>
          </w:tcPr>
          <w:p w14:paraId="1A7F0C8D" w14:textId="77777777" w:rsidR="00607FAB" w:rsidRPr="00E75831" w:rsidRDefault="00607FAB" w:rsidP="00607FAB">
            <w:pPr>
              <w:jc w:val="center"/>
              <w:rPr>
                <w:sz w:val="18"/>
                <w:lang w:val="en-AU"/>
              </w:rPr>
            </w:pPr>
            <w:r w:rsidRPr="00E75831">
              <w:rPr>
                <w:sz w:val="18"/>
                <w:lang w:val="en-AU"/>
              </w:rPr>
              <w:t>20 (560)</w:t>
            </w:r>
          </w:p>
        </w:tc>
        <w:tc>
          <w:tcPr>
            <w:tcW w:w="1772" w:type="dxa"/>
            <w:shd w:val="clear" w:color="auto" w:fill="C4BC96" w:themeFill="background2" w:themeFillShade="BF"/>
          </w:tcPr>
          <w:p w14:paraId="17114049" w14:textId="77777777" w:rsidR="00607FAB" w:rsidRPr="00E75831" w:rsidRDefault="00607FAB" w:rsidP="00607FAB">
            <w:pPr>
              <w:jc w:val="center"/>
              <w:rPr>
                <w:sz w:val="18"/>
                <w:lang w:val="en-AU"/>
              </w:rPr>
            </w:pPr>
            <w:r w:rsidRPr="00E75831">
              <w:rPr>
                <w:sz w:val="18"/>
                <w:lang w:val="en-AU"/>
              </w:rPr>
              <w:t>0.46</w:t>
            </w:r>
          </w:p>
        </w:tc>
        <w:tc>
          <w:tcPr>
            <w:tcW w:w="1773" w:type="dxa"/>
            <w:shd w:val="clear" w:color="auto" w:fill="C4BC96" w:themeFill="background2" w:themeFillShade="BF"/>
          </w:tcPr>
          <w:p w14:paraId="0BDBF9CE" w14:textId="77777777" w:rsidR="00607FAB" w:rsidRPr="00E75831" w:rsidRDefault="00607FAB" w:rsidP="00607FAB">
            <w:pPr>
              <w:jc w:val="center"/>
              <w:rPr>
                <w:sz w:val="18"/>
                <w:lang w:val="en-AU"/>
              </w:rPr>
            </w:pPr>
            <w:r w:rsidRPr="00E75831">
              <w:rPr>
                <w:sz w:val="18"/>
                <w:lang w:val="en-AU"/>
              </w:rPr>
              <w:t>0.56</w:t>
            </w:r>
          </w:p>
        </w:tc>
        <w:tc>
          <w:tcPr>
            <w:tcW w:w="1773" w:type="dxa"/>
            <w:shd w:val="clear" w:color="auto" w:fill="C4BC96" w:themeFill="background2" w:themeFillShade="BF"/>
          </w:tcPr>
          <w:p w14:paraId="110AF9AE" w14:textId="77777777" w:rsidR="00607FAB" w:rsidRPr="00E75831" w:rsidRDefault="00607FAB" w:rsidP="00607FAB">
            <w:pPr>
              <w:jc w:val="center"/>
              <w:rPr>
                <w:sz w:val="18"/>
                <w:lang w:val="en-AU"/>
              </w:rPr>
            </w:pPr>
            <w:r w:rsidRPr="00E75831">
              <w:rPr>
                <w:sz w:val="18"/>
                <w:lang w:val="en-AU"/>
              </w:rPr>
              <w:t>1.02</w:t>
            </w:r>
          </w:p>
        </w:tc>
      </w:tr>
      <w:tr w:rsidR="00607FAB" w:rsidRPr="00E75831" w14:paraId="4BE1AE9C" w14:textId="77777777" w:rsidTr="00836448">
        <w:trPr>
          <w:trHeight w:val="180"/>
        </w:trPr>
        <w:tc>
          <w:tcPr>
            <w:tcW w:w="1785" w:type="dxa"/>
            <w:vMerge/>
            <w:tcBorders>
              <w:bottom w:val="single" w:sz="18" w:space="0" w:color="auto"/>
            </w:tcBorders>
          </w:tcPr>
          <w:p w14:paraId="7A841295" w14:textId="77777777" w:rsidR="00607FAB" w:rsidRPr="00E75831" w:rsidRDefault="00607FAB" w:rsidP="00607FAB">
            <w:pPr>
              <w:jc w:val="center"/>
              <w:rPr>
                <w:sz w:val="18"/>
                <w:lang w:val="en-AU"/>
              </w:rPr>
            </w:pPr>
          </w:p>
        </w:tc>
        <w:tc>
          <w:tcPr>
            <w:tcW w:w="1795" w:type="dxa"/>
            <w:tcBorders>
              <w:bottom w:val="single" w:sz="18" w:space="0" w:color="auto"/>
            </w:tcBorders>
            <w:shd w:val="clear" w:color="auto" w:fill="C4BC96" w:themeFill="background2" w:themeFillShade="BF"/>
          </w:tcPr>
          <w:p w14:paraId="37C9DB56" w14:textId="77777777" w:rsidR="00607FAB" w:rsidRPr="00E75831" w:rsidRDefault="00607FAB" w:rsidP="00607FAB">
            <w:pPr>
              <w:jc w:val="center"/>
              <w:rPr>
                <w:sz w:val="18"/>
                <w:lang w:val="en-AU"/>
              </w:rPr>
            </w:pPr>
            <w:r w:rsidRPr="00E75831">
              <w:rPr>
                <w:sz w:val="18"/>
                <w:lang w:val="en-AU"/>
              </w:rPr>
              <w:t>25 (700)</w:t>
            </w:r>
          </w:p>
        </w:tc>
        <w:tc>
          <w:tcPr>
            <w:tcW w:w="1772" w:type="dxa"/>
            <w:tcBorders>
              <w:bottom w:val="single" w:sz="18" w:space="0" w:color="auto"/>
            </w:tcBorders>
            <w:shd w:val="clear" w:color="auto" w:fill="C4BC96" w:themeFill="background2" w:themeFillShade="BF"/>
          </w:tcPr>
          <w:p w14:paraId="55F039CC" w14:textId="77777777" w:rsidR="00607FAB" w:rsidRPr="00E75831" w:rsidRDefault="00607FAB" w:rsidP="00607FAB">
            <w:pPr>
              <w:jc w:val="center"/>
              <w:rPr>
                <w:sz w:val="18"/>
                <w:lang w:val="en-AU"/>
              </w:rPr>
            </w:pPr>
            <w:r w:rsidRPr="00E75831">
              <w:rPr>
                <w:sz w:val="18"/>
                <w:lang w:val="en-AU"/>
              </w:rPr>
              <w:t>0.46</w:t>
            </w:r>
          </w:p>
        </w:tc>
        <w:tc>
          <w:tcPr>
            <w:tcW w:w="1773" w:type="dxa"/>
            <w:tcBorders>
              <w:bottom w:val="single" w:sz="18" w:space="0" w:color="auto"/>
            </w:tcBorders>
            <w:shd w:val="clear" w:color="auto" w:fill="C4BC96" w:themeFill="background2" w:themeFillShade="BF"/>
          </w:tcPr>
          <w:p w14:paraId="7BE632DA" w14:textId="77777777" w:rsidR="00607FAB" w:rsidRPr="00E75831" w:rsidRDefault="00607FAB" w:rsidP="00607FAB">
            <w:pPr>
              <w:jc w:val="center"/>
              <w:rPr>
                <w:sz w:val="18"/>
                <w:lang w:val="en-AU"/>
              </w:rPr>
            </w:pPr>
            <w:r w:rsidRPr="00E75831">
              <w:rPr>
                <w:sz w:val="18"/>
                <w:lang w:val="en-AU"/>
              </w:rPr>
              <w:t>0.70</w:t>
            </w:r>
          </w:p>
        </w:tc>
        <w:tc>
          <w:tcPr>
            <w:tcW w:w="1773" w:type="dxa"/>
            <w:tcBorders>
              <w:bottom w:val="single" w:sz="18" w:space="0" w:color="auto"/>
            </w:tcBorders>
            <w:shd w:val="clear" w:color="auto" w:fill="C4BC96" w:themeFill="background2" w:themeFillShade="BF"/>
          </w:tcPr>
          <w:p w14:paraId="4939DD0A" w14:textId="77777777" w:rsidR="00607FAB" w:rsidRPr="00E75831" w:rsidRDefault="00607FAB" w:rsidP="00607FAB">
            <w:pPr>
              <w:jc w:val="center"/>
              <w:rPr>
                <w:sz w:val="18"/>
                <w:lang w:val="en-AU"/>
              </w:rPr>
            </w:pPr>
            <w:r w:rsidRPr="00E75831">
              <w:rPr>
                <w:sz w:val="18"/>
                <w:lang w:val="en-AU"/>
              </w:rPr>
              <w:t>1.16</w:t>
            </w:r>
          </w:p>
        </w:tc>
      </w:tr>
      <w:tr w:rsidR="00607FAB" w:rsidRPr="00E75831" w14:paraId="6EBE1C75" w14:textId="77777777" w:rsidTr="00836448">
        <w:trPr>
          <w:trHeight w:val="180"/>
        </w:trPr>
        <w:tc>
          <w:tcPr>
            <w:tcW w:w="1785" w:type="dxa"/>
            <w:vMerge w:val="restart"/>
            <w:tcBorders>
              <w:top w:val="single" w:sz="18" w:space="0" w:color="auto"/>
              <w:left w:val="single" w:sz="18" w:space="0" w:color="auto"/>
            </w:tcBorders>
          </w:tcPr>
          <w:p w14:paraId="2BF478AE" w14:textId="77777777" w:rsidR="00607FAB" w:rsidRPr="00E75831" w:rsidRDefault="00607FAB" w:rsidP="00607FAB">
            <w:pPr>
              <w:jc w:val="center"/>
              <w:rPr>
                <w:sz w:val="18"/>
                <w:lang w:val="en-AU"/>
              </w:rPr>
            </w:pPr>
          </w:p>
          <w:p w14:paraId="5CC6752A" w14:textId="77777777" w:rsidR="00607FAB" w:rsidRPr="00E75831" w:rsidRDefault="00607FAB" w:rsidP="00607FAB">
            <w:pPr>
              <w:shd w:val="clear" w:color="auto" w:fill="B6DDE8" w:themeFill="accent5" w:themeFillTint="66"/>
              <w:jc w:val="center"/>
              <w:rPr>
                <w:sz w:val="18"/>
                <w:lang w:val="en-AU"/>
              </w:rPr>
            </w:pPr>
            <w:r w:rsidRPr="00E75831">
              <w:rPr>
                <w:sz w:val="18"/>
                <w:lang w:val="en-AU"/>
              </w:rPr>
              <w:t>Med</w:t>
            </w:r>
            <w:r>
              <w:rPr>
                <w:sz w:val="18"/>
                <w:lang w:val="en-AU"/>
              </w:rPr>
              <w:t>ian level found in Au IF powder</w:t>
            </w:r>
          </w:p>
          <w:p w14:paraId="4489B0D0" w14:textId="77777777" w:rsidR="00607FAB" w:rsidRPr="00E75831" w:rsidRDefault="00607FAB" w:rsidP="00607FAB">
            <w:pPr>
              <w:jc w:val="center"/>
              <w:rPr>
                <w:sz w:val="18"/>
                <w:lang w:val="en-AU"/>
              </w:rPr>
            </w:pPr>
          </w:p>
          <w:p w14:paraId="7150EC42" w14:textId="77777777" w:rsidR="00607FAB" w:rsidRPr="00203BCC" w:rsidRDefault="00607FAB" w:rsidP="00607FAB">
            <w:pPr>
              <w:jc w:val="center"/>
              <w:rPr>
                <w:b/>
                <w:sz w:val="18"/>
                <w:lang w:val="en-AU"/>
              </w:rPr>
            </w:pPr>
            <w:r w:rsidRPr="00203BCC">
              <w:rPr>
                <w:b/>
                <w:sz w:val="18"/>
                <w:lang w:val="en-AU"/>
              </w:rPr>
              <w:t>1.0</w:t>
            </w:r>
          </w:p>
          <w:p w14:paraId="488491DE" w14:textId="77777777" w:rsidR="00607FAB" w:rsidRPr="00E75831" w:rsidRDefault="00607FAB" w:rsidP="00607FAB">
            <w:pPr>
              <w:jc w:val="center"/>
              <w:rPr>
                <w:sz w:val="18"/>
                <w:lang w:val="en-AU"/>
              </w:rPr>
            </w:pPr>
            <w:r w:rsidRPr="00E75831">
              <w:rPr>
                <w:sz w:val="18"/>
                <w:shd w:val="clear" w:color="auto" w:fill="C4BC96" w:themeFill="background2" w:themeFillShade="BF"/>
                <w:lang w:val="en-AU"/>
              </w:rPr>
              <w:t xml:space="preserve">2.9.1 Fluorosis statement required </w:t>
            </w:r>
            <w:r w:rsidRPr="00E75831">
              <w:rPr>
                <w:rFonts w:cs="Arial"/>
                <w:sz w:val="18"/>
                <w:shd w:val="clear" w:color="auto" w:fill="C4BC96" w:themeFill="background2" w:themeFillShade="BF"/>
                <w:lang w:val="en-AU"/>
              </w:rPr>
              <w:t>˃</w:t>
            </w:r>
            <w:r w:rsidRPr="00E75831">
              <w:rPr>
                <w:sz w:val="18"/>
                <w:shd w:val="clear" w:color="auto" w:fill="C4BC96" w:themeFill="background2" w:themeFillShade="BF"/>
                <w:lang w:val="en-AU"/>
              </w:rPr>
              <w:t xml:space="preserve">17 </w:t>
            </w:r>
            <w:r w:rsidRPr="00E75831">
              <w:rPr>
                <w:rFonts w:cs="Arial"/>
                <w:sz w:val="18"/>
                <w:shd w:val="clear" w:color="auto" w:fill="C4BC96" w:themeFill="background2" w:themeFillShade="BF"/>
                <w:lang w:val="en-AU"/>
              </w:rPr>
              <w:t>µ</w:t>
            </w:r>
            <w:r w:rsidRPr="00E75831">
              <w:rPr>
                <w:sz w:val="18"/>
                <w:shd w:val="clear" w:color="auto" w:fill="C4BC96" w:themeFill="background2" w:themeFillShade="BF"/>
                <w:lang w:val="en-AU"/>
              </w:rPr>
              <w:t>g/100kJ</w:t>
            </w:r>
          </w:p>
        </w:tc>
        <w:tc>
          <w:tcPr>
            <w:tcW w:w="1795" w:type="dxa"/>
            <w:tcBorders>
              <w:top w:val="single" w:sz="18" w:space="0" w:color="auto"/>
            </w:tcBorders>
          </w:tcPr>
          <w:p w14:paraId="20DCCF16" w14:textId="77777777" w:rsidR="00607FAB" w:rsidRPr="00E75831" w:rsidRDefault="00607FAB" w:rsidP="00607FAB">
            <w:pPr>
              <w:jc w:val="center"/>
              <w:rPr>
                <w:sz w:val="18"/>
                <w:lang w:val="en-AU"/>
              </w:rPr>
            </w:pPr>
            <w:r w:rsidRPr="00E75831">
              <w:rPr>
                <w:sz w:val="18"/>
                <w:lang w:val="en-AU"/>
              </w:rPr>
              <w:t>0 (0)</w:t>
            </w:r>
          </w:p>
        </w:tc>
        <w:tc>
          <w:tcPr>
            <w:tcW w:w="1772" w:type="dxa"/>
            <w:tcBorders>
              <w:top w:val="single" w:sz="18" w:space="0" w:color="auto"/>
            </w:tcBorders>
          </w:tcPr>
          <w:p w14:paraId="520145E0" w14:textId="77777777" w:rsidR="00607FAB" w:rsidRPr="00E75831" w:rsidRDefault="00607FAB" w:rsidP="00607FAB">
            <w:pPr>
              <w:jc w:val="center"/>
              <w:rPr>
                <w:sz w:val="18"/>
                <w:lang w:val="en-AU"/>
              </w:rPr>
            </w:pPr>
            <w:r w:rsidRPr="00E75831">
              <w:rPr>
                <w:sz w:val="18"/>
                <w:lang w:val="en-AU"/>
              </w:rPr>
              <w:t>0.92</w:t>
            </w:r>
          </w:p>
        </w:tc>
        <w:tc>
          <w:tcPr>
            <w:tcW w:w="1773" w:type="dxa"/>
            <w:tcBorders>
              <w:top w:val="single" w:sz="18" w:space="0" w:color="auto"/>
            </w:tcBorders>
          </w:tcPr>
          <w:p w14:paraId="15E275C6" w14:textId="77777777" w:rsidR="00607FAB" w:rsidRPr="00E75831" w:rsidRDefault="00607FAB" w:rsidP="00607FAB">
            <w:pPr>
              <w:jc w:val="center"/>
              <w:rPr>
                <w:sz w:val="18"/>
                <w:lang w:val="en-AU"/>
              </w:rPr>
            </w:pPr>
            <w:r w:rsidRPr="00E75831">
              <w:rPr>
                <w:sz w:val="18"/>
                <w:lang w:val="en-AU"/>
              </w:rPr>
              <w:t>0.00</w:t>
            </w:r>
          </w:p>
        </w:tc>
        <w:tc>
          <w:tcPr>
            <w:tcW w:w="1773" w:type="dxa"/>
            <w:tcBorders>
              <w:top w:val="single" w:sz="18" w:space="0" w:color="auto"/>
              <w:right w:val="single" w:sz="18" w:space="0" w:color="auto"/>
            </w:tcBorders>
          </w:tcPr>
          <w:p w14:paraId="2BCCE6C7" w14:textId="77777777" w:rsidR="00607FAB" w:rsidRPr="00E75831" w:rsidRDefault="00607FAB" w:rsidP="00607FAB">
            <w:pPr>
              <w:jc w:val="center"/>
              <w:rPr>
                <w:sz w:val="18"/>
                <w:lang w:val="en-AU"/>
              </w:rPr>
            </w:pPr>
            <w:r w:rsidRPr="00E75831">
              <w:rPr>
                <w:sz w:val="18"/>
                <w:lang w:val="en-AU"/>
              </w:rPr>
              <w:t>0.92</w:t>
            </w:r>
          </w:p>
        </w:tc>
      </w:tr>
      <w:tr w:rsidR="00607FAB" w:rsidRPr="00E75831" w14:paraId="0074C725" w14:textId="77777777" w:rsidTr="00836448">
        <w:trPr>
          <w:trHeight w:val="180"/>
        </w:trPr>
        <w:tc>
          <w:tcPr>
            <w:tcW w:w="1785" w:type="dxa"/>
            <w:vMerge/>
            <w:tcBorders>
              <w:left w:val="single" w:sz="18" w:space="0" w:color="auto"/>
            </w:tcBorders>
            <w:shd w:val="clear" w:color="auto" w:fill="B6DDE8" w:themeFill="accent5" w:themeFillTint="66"/>
          </w:tcPr>
          <w:p w14:paraId="0E56AF3D" w14:textId="77777777" w:rsidR="00607FAB" w:rsidRPr="00E75831" w:rsidRDefault="00607FAB" w:rsidP="00607FAB">
            <w:pPr>
              <w:jc w:val="center"/>
              <w:rPr>
                <w:sz w:val="18"/>
                <w:lang w:val="en-AU"/>
              </w:rPr>
            </w:pPr>
          </w:p>
        </w:tc>
        <w:tc>
          <w:tcPr>
            <w:tcW w:w="1795" w:type="dxa"/>
            <w:shd w:val="clear" w:color="auto" w:fill="B6DDE8" w:themeFill="accent5" w:themeFillTint="66"/>
          </w:tcPr>
          <w:p w14:paraId="2E8D7F05" w14:textId="77777777" w:rsidR="00607FAB" w:rsidRPr="00E75831" w:rsidRDefault="00607FAB" w:rsidP="00607FAB">
            <w:pPr>
              <w:jc w:val="center"/>
              <w:rPr>
                <w:sz w:val="18"/>
                <w:lang w:val="en-AU"/>
              </w:rPr>
            </w:pPr>
            <w:r w:rsidRPr="00E75831">
              <w:rPr>
                <w:sz w:val="18"/>
                <w:lang w:val="en-AU"/>
              </w:rPr>
              <w:t>2 (56)</w:t>
            </w:r>
          </w:p>
        </w:tc>
        <w:tc>
          <w:tcPr>
            <w:tcW w:w="1772" w:type="dxa"/>
            <w:shd w:val="clear" w:color="auto" w:fill="B6DDE8" w:themeFill="accent5" w:themeFillTint="66"/>
          </w:tcPr>
          <w:p w14:paraId="054E9DB7" w14:textId="77777777" w:rsidR="00607FAB" w:rsidRPr="00E75831" w:rsidRDefault="00607FAB" w:rsidP="00607FAB">
            <w:pPr>
              <w:jc w:val="center"/>
              <w:rPr>
                <w:sz w:val="18"/>
                <w:lang w:val="en-AU"/>
              </w:rPr>
            </w:pPr>
            <w:r>
              <w:rPr>
                <w:sz w:val="18"/>
                <w:lang w:val="en-AU"/>
              </w:rPr>
              <w:t>0.92</w:t>
            </w:r>
          </w:p>
        </w:tc>
        <w:tc>
          <w:tcPr>
            <w:tcW w:w="1773" w:type="dxa"/>
            <w:shd w:val="clear" w:color="auto" w:fill="B6DDE8" w:themeFill="accent5" w:themeFillTint="66"/>
          </w:tcPr>
          <w:p w14:paraId="3405201E" w14:textId="77777777" w:rsidR="00607FAB" w:rsidRPr="00E75831" w:rsidRDefault="00607FAB" w:rsidP="00607FAB">
            <w:pPr>
              <w:jc w:val="center"/>
              <w:rPr>
                <w:sz w:val="18"/>
                <w:lang w:val="en-AU"/>
              </w:rPr>
            </w:pPr>
            <w:r>
              <w:rPr>
                <w:sz w:val="18"/>
                <w:lang w:val="en-AU"/>
              </w:rPr>
              <w:t>0.06</w:t>
            </w:r>
          </w:p>
        </w:tc>
        <w:tc>
          <w:tcPr>
            <w:tcW w:w="1773" w:type="dxa"/>
            <w:tcBorders>
              <w:right w:val="single" w:sz="18" w:space="0" w:color="auto"/>
            </w:tcBorders>
            <w:shd w:val="clear" w:color="auto" w:fill="B6DDE8" w:themeFill="accent5" w:themeFillTint="66"/>
          </w:tcPr>
          <w:p w14:paraId="43ADDFF0" w14:textId="77777777" w:rsidR="00607FAB" w:rsidRPr="00E75831" w:rsidRDefault="00607FAB" w:rsidP="00607FAB">
            <w:pPr>
              <w:jc w:val="center"/>
              <w:rPr>
                <w:sz w:val="18"/>
                <w:lang w:val="en-AU"/>
              </w:rPr>
            </w:pPr>
            <w:r>
              <w:rPr>
                <w:sz w:val="18"/>
                <w:lang w:val="en-AU"/>
              </w:rPr>
              <w:t>0.98</w:t>
            </w:r>
          </w:p>
        </w:tc>
      </w:tr>
      <w:tr w:rsidR="00607FAB" w:rsidRPr="00E75831" w14:paraId="6779B94B" w14:textId="77777777" w:rsidTr="00836448">
        <w:trPr>
          <w:trHeight w:val="180"/>
        </w:trPr>
        <w:tc>
          <w:tcPr>
            <w:tcW w:w="1785" w:type="dxa"/>
            <w:vMerge/>
            <w:tcBorders>
              <w:left w:val="single" w:sz="18" w:space="0" w:color="auto"/>
            </w:tcBorders>
          </w:tcPr>
          <w:p w14:paraId="1B087876" w14:textId="77777777" w:rsidR="00607FAB" w:rsidRPr="00E75831" w:rsidRDefault="00607FAB" w:rsidP="00607FAB">
            <w:pPr>
              <w:jc w:val="center"/>
              <w:rPr>
                <w:sz w:val="18"/>
                <w:lang w:val="en-AU"/>
              </w:rPr>
            </w:pPr>
          </w:p>
        </w:tc>
        <w:tc>
          <w:tcPr>
            <w:tcW w:w="1795" w:type="dxa"/>
          </w:tcPr>
          <w:p w14:paraId="2F020C2E" w14:textId="77777777" w:rsidR="00607FAB" w:rsidRPr="00E75831" w:rsidRDefault="00607FAB" w:rsidP="00607FAB">
            <w:pPr>
              <w:jc w:val="center"/>
              <w:rPr>
                <w:sz w:val="18"/>
                <w:lang w:val="en-AU"/>
              </w:rPr>
            </w:pPr>
            <w:r w:rsidRPr="00E75831">
              <w:rPr>
                <w:sz w:val="18"/>
                <w:lang w:val="en-AU"/>
              </w:rPr>
              <w:t>4 (112)</w:t>
            </w:r>
          </w:p>
        </w:tc>
        <w:tc>
          <w:tcPr>
            <w:tcW w:w="1772" w:type="dxa"/>
          </w:tcPr>
          <w:p w14:paraId="7C9A005C" w14:textId="77777777" w:rsidR="00607FAB" w:rsidRPr="00E75831" w:rsidRDefault="00607FAB" w:rsidP="00607FAB">
            <w:pPr>
              <w:jc w:val="center"/>
              <w:rPr>
                <w:sz w:val="18"/>
                <w:lang w:val="en-AU"/>
              </w:rPr>
            </w:pPr>
            <w:r w:rsidRPr="00E75831">
              <w:rPr>
                <w:sz w:val="18"/>
                <w:lang w:val="en-AU"/>
              </w:rPr>
              <w:t>0.92</w:t>
            </w:r>
          </w:p>
        </w:tc>
        <w:tc>
          <w:tcPr>
            <w:tcW w:w="1773" w:type="dxa"/>
          </w:tcPr>
          <w:p w14:paraId="3B0CC218" w14:textId="77777777" w:rsidR="00607FAB" w:rsidRPr="00E75831" w:rsidRDefault="00607FAB" w:rsidP="00607FAB">
            <w:pPr>
              <w:jc w:val="center"/>
              <w:rPr>
                <w:sz w:val="18"/>
                <w:lang w:val="en-AU"/>
              </w:rPr>
            </w:pPr>
            <w:r w:rsidRPr="00E75831">
              <w:rPr>
                <w:sz w:val="18"/>
                <w:lang w:val="en-AU"/>
              </w:rPr>
              <w:t>0.11</w:t>
            </w:r>
          </w:p>
        </w:tc>
        <w:tc>
          <w:tcPr>
            <w:tcW w:w="1773" w:type="dxa"/>
            <w:tcBorders>
              <w:right w:val="single" w:sz="18" w:space="0" w:color="auto"/>
            </w:tcBorders>
          </w:tcPr>
          <w:p w14:paraId="737EEDE7" w14:textId="77777777" w:rsidR="00607FAB" w:rsidRPr="00E75831" w:rsidRDefault="00607FAB" w:rsidP="00607FAB">
            <w:pPr>
              <w:jc w:val="center"/>
              <w:rPr>
                <w:sz w:val="18"/>
                <w:lang w:val="en-AU"/>
              </w:rPr>
            </w:pPr>
            <w:r w:rsidRPr="00E75831">
              <w:rPr>
                <w:sz w:val="18"/>
                <w:lang w:val="en-AU"/>
              </w:rPr>
              <w:t>1.03</w:t>
            </w:r>
          </w:p>
        </w:tc>
      </w:tr>
      <w:tr w:rsidR="00607FAB" w:rsidRPr="00E75831" w14:paraId="73F3DEC0" w14:textId="77777777" w:rsidTr="00836448">
        <w:trPr>
          <w:trHeight w:val="180"/>
        </w:trPr>
        <w:tc>
          <w:tcPr>
            <w:tcW w:w="1785" w:type="dxa"/>
            <w:vMerge/>
            <w:tcBorders>
              <w:left w:val="single" w:sz="18" w:space="0" w:color="auto"/>
            </w:tcBorders>
          </w:tcPr>
          <w:p w14:paraId="43C64E2F" w14:textId="77777777" w:rsidR="00607FAB" w:rsidRPr="00E75831" w:rsidRDefault="00607FAB" w:rsidP="00607FAB">
            <w:pPr>
              <w:jc w:val="center"/>
              <w:rPr>
                <w:sz w:val="18"/>
                <w:lang w:val="en-AU"/>
              </w:rPr>
            </w:pPr>
          </w:p>
        </w:tc>
        <w:tc>
          <w:tcPr>
            <w:tcW w:w="1795" w:type="dxa"/>
          </w:tcPr>
          <w:p w14:paraId="29B2360B" w14:textId="77777777" w:rsidR="00607FAB" w:rsidRPr="00E75831" w:rsidRDefault="00607FAB" w:rsidP="00607FAB">
            <w:pPr>
              <w:jc w:val="center"/>
              <w:rPr>
                <w:sz w:val="18"/>
                <w:lang w:val="en-AU"/>
              </w:rPr>
            </w:pPr>
            <w:r w:rsidRPr="00E75831">
              <w:rPr>
                <w:sz w:val="18"/>
                <w:lang w:val="en-AU"/>
              </w:rPr>
              <w:t>8 (224)</w:t>
            </w:r>
          </w:p>
        </w:tc>
        <w:tc>
          <w:tcPr>
            <w:tcW w:w="1772" w:type="dxa"/>
          </w:tcPr>
          <w:p w14:paraId="34D01D16" w14:textId="77777777" w:rsidR="00607FAB" w:rsidRPr="00E75831" w:rsidRDefault="00607FAB" w:rsidP="00607FAB">
            <w:pPr>
              <w:jc w:val="center"/>
              <w:rPr>
                <w:sz w:val="18"/>
                <w:lang w:val="en-AU"/>
              </w:rPr>
            </w:pPr>
            <w:r w:rsidRPr="00E75831">
              <w:rPr>
                <w:sz w:val="18"/>
                <w:lang w:val="en-AU"/>
              </w:rPr>
              <w:t>0.92</w:t>
            </w:r>
          </w:p>
        </w:tc>
        <w:tc>
          <w:tcPr>
            <w:tcW w:w="1773" w:type="dxa"/>
          </w:tcPr>
          <w:p w14:paraId="2EF8ADB5" w14:textId="77777777" w:rsidR="00607FAB" w:rsidRPr="00E75831" w:rsidRDefault="00607FAB" w:rsidP="00607FAB">
            <w:pPr>
              <w:jc w:val="center"/>
              <w:rPr>
                <w:sz w:val="18"/>
                <w:lang w:val="en-AU"/>
              </w:rPr>
            </w:pPr>
            <w:r w:rsidRPr="00E75831">
              <w:rPr>
                <w:sz w:val="18"/>
                <w:lang w:val="en-AU"/>
              </w:rPr>
              <w:t>0.22</w:t>
            </w:r>
          </w:p>
        </w:tc>
        <w:tc>
          <w:tcPr>
            <w:tcW w:w="1773" w:type="dxa"/>
            <w:tcBorders>
              <w:right w:val="single" w:sz="18" w:space="0" w:color="auto"/>
            </w:tcBorders>
          </w:tcPr>
          <w:p w14:paraId="152CD4FE" w14:textId="77777777" w:rsidR="00607FAB" w:rsidRPr="00E75831" w:rsidRDefault="00607FAB" w:rsidP="00607FAB">
            <w:pPr>
              <w:jc w:val="center"/>
              <w:rPr>
                <w:sz w:val="18"/>
                <w:lang w:val="en-AU"/>
              </w:rPr>
            </w:pPr>
            <w:r w:rsidRPr="00E75831">
              <w:rPr>
                <w:sz w:val="18"/>
                <w:lang w:val="en-AU"/>
              </w:rPr>
              <w:t>1.14</w:t>
            </w:r>
          </w:p>
        </w:tc>
      </w:tr>
      <w:tr w:rsidR="00607FAB" w:rsidRPr="00E75831" w14:paraId="7B7D20FB" w14:textId="77777777" w:rsidTr="00836448">
        <w:trPr>
          <w:trHeight w:val="180"/>
        </w:trPr>
        <w:tc>
          <w:tcPr>
            <w:tcW w:w="1785" w:type="dxa"/>
            <w:vMerge/>
            <w:tcBorders>
              <w:left w:val="single" w:sz="18" w:space="0" w:color="auto"/>
            </w:tcBorders>
          </w:tcPr>
          <w:p w14:paraId="6DB55AB7" w14:textId="77777777" w:rsidR="00607FAB" w:rsidRPr="00E75831" w:rsidRDefault="00607FAB" w:rsidP="00607FAB">
            <w:pPr>
              <w:jc w:val="center"/>
              <w:rPr>
                <w:sz w:val="18"/>
                <w:lang w:val="en-AU"/>
              </w:rPr>
            </w:pPr>
          </w:p>
        </w:tc>
        <w:tc>
          <w:tcPr>
            <w:tcW w:w="1795" w:type="dxa"/>
          </w:tcPr>
          <w:p w14:paraId="61661F21" w14:textId="77777777" w:rsidR="00607FAB" w:rsidRPr="00E75831" w:rsidRDefault="00607FAB" w:rsidP="00607FAB">
            <w:pPr>
              <w:jc w:val="center"/>
              <w:rPr>
                <w:sz w:val="18"/>
                <w:lang w:val="en-AU"/>
              </w:rPr>
            </w:pPr>
            <w:r w:rsidRPr="00E75831">
              <w:rPr>
                <w:sz w:val="18"/>
                <w:lang w:val="en-AU"/>
              </w:rPr>
              <w:t>16 (448)</w:t>
            </w:r>
          </w:p>
        </w:tc>
        <w:tc>
          <w:tcPr>
            <w:tcW w:w="1772" w:type="dxa"/>
          </w:tcPr>
          <w:p w14:paraId="25C5308C" w14:textId="77777777" w:rsidR="00607FAB" w:rsidRPr="00E75831" w:rsidRDefault="00607FAB" w:rsidP="00607FAB">
            <w:pPr>
              <w:jc w:val="center"/>
              <w:rPr>
                <w:sz w:val="18"/>
                <w:lang w:val="en-AU"/>
              </w:rPr>
            </w:pPr>
            <w:r w:rsidRPr="00E75831">
              <w:rPr>
                <w:sz w:val="18"/>
                <w:lang w:val="en-AU"/>
              </w:rPr>
              <w:t>0.92</w:t>
            </w:r>
          </w:p>
        </w:tc>
        <w:tc>
          <w:tcPr>
            <w:tcW w:w="1773" w:type="dxa"/>
          </w:tcPr>
          <w:p w14:paraId="18E4327E" w14:textId="77777777" w:rsidR="00607FAB" w:rsidRPr="00E75831" w:rsidRDefault="00607FAB" w:rsidP="00607FAB">
            <w:pPr>
              <w:jc w:val="center"/>
              <w:rPr>
                <w:sz w:val="18"/>
                <w:lang w:val="en-AU"/>
              </w:rPr>
            </w:pPr>
            <w:r w:rsidRPr="00E75831">
              <w:rPr>
                <w:sz w:val="18"/>
                <w:lang w:val="en-AU"/>
              </w:rPr>
              <w:t>0.45</w:t>
            </w:r>
          </w:p>
        </w:tc>
        <w:tc>
          <w:tcPr>
            <w:tcW w:w="1773" w:type="dxa"/>
            <w:tcBorders>
              <w:right w:val="single" w:sz="18" w:space="0" w:color="auto"/>
            </w:tcBorders>
          </w:tcPr>
          <w:p w14:paraId="0571D821" w14:textId="77777777" w:rsidR="00607FAB" w:rsidRPr="00E75831" w:rsidRDefault="00607FAB" w:rsidP="00607FAB">
            <w:pPr>
              <w:jc w:val="center"/>
              <w:rPr>
                <w:sz w:val="18"/>
                <w:lang w:val="en-AU"/>
              </w:rPr>
            </w:pPr>
            <w:r w:rsidRPr="00E75831">
              <w:rPr>
                <w:sz w:val="18"/>
                <w:lang w:val="en-AU"/>
              </w:rPr>
              <w:t>1.37</w:t>
            </w:r>
          </w:p>
        </w:tc>
      </w:tr>
      <w:tr w:rsidR="00607FAB" w:rsidRPr="00E75831" w14:paraId="2541975E" w14:textId="77777777" w:rsidTr="00836448">
        <w:trPr>
          <w:trHeight w:val="180"/>
        </w:trPr>
        <w:tc>
          <w:tcPr>
            <w:tcW w:w="1785" w:type="dxa"/>
            <w:vMerge/>
            <w:tcBorders>
              <w:left w:val="single" w:sz="18" w:space="0" w:color="auto"/>
            </w:tcBorders>
          </w:tcPr>
          <w:p w14:paraId="0A6749D4" w14:textId="77777777" w:rsidR="00607FAB" w:rsidRPr="00E75831" w:rsidRDefault="00607FAB" w:rsidP="00607FAB">
            <w:pPr>
              <w:jc w:val="center"/>
              <w:rPr>
                <w:sz w:val="18"/>
                <w:lang w:val="en-AU"/>
              </w:rPr>
            </w:pPr>
          </w:p>
        </w:tc>
        <w:tc>
          <w:tcPr>
            <w:tcW w:w="1795" w:type="dxa"/>
            <w:shd w:val="clear" w:color="auto" w:fill="C4BC96" w:themeFill="background2" w:themeFillShade="BF"/>
          </w:tcPr>
          <w:p w14:paraId="3787FB3F" w14:textId="77777777" w:rsidR="00607FAB" w:rsidRPr="00E75831" w:rsidRDefault="00607FAB" w:rsidP="00607FAB">
            <w:pPr>
              <w:jc w:val="center"/>
              <w:rPr>
                <w:sz w:val="18"/>
                <w:lang w:val="en-AU"/>
              </w:rPr>
            </w:pPr>
            <w:r w:rsidRPr="00E75831">
              <w:rPr>
                <w:sz w:val="18"/>
                <w:lang w:val="en-AU"/>
              </w:rPr>
              <w:t>20 (560)</w:t>
            </w:r>
          </w:p>
        </w:tc>
        <w:tc>
          <w:tcPr>
            <w:tcW w:w="1772" w:type="dxa"/>
            <w:shd w:val="clear" w:color="auto" w:fill="C4BC96" w:themeFill="background2" w:themeFillShade="BF"/>
          </w:tcPr>
          <w:p w14:paraId="76BE6052" w14:textId="77777777" w:rsidR="00607FAB" w:rsidRPr="00E75831" w:rsidRDefault="00607FAB" w:rsidP="00607FAB">
            <w:pPr>
              <w:jc w:val="center"/>
              <w:rPr>
                <w:sz w:val="18"/>
                <w:lang w:val="en-AU"/>
              </w:rPr>
            </w:pPr>
            <w:r w:rsidRPr="00E75831">
              <w:rPr>
                <w:sz w:val="18"/>
                <w:lang w:val="en-AU"/>
              </w:rPr>
              <w:t>0.92</w:t>
            </w:r>
          </w:p>
        </w:tc>
        <w:tc>
          <w:tcPr>
            <w:tcW w:w="1773" w:type="dxa"/>
            <w:shd w:val="clear" w:color="auto" w:fill="C4BC96" w:themeFill="background2" w:themeFillShade="BF"/>
          </w:tcPr>
          <w:p w14:paraId="00823216" w14:textId="77777777" w:rsidR="00607FAB" w:rsidRPr="00E75831" w:rsidRDefault="00607FAB" w:rsidP="00607FAB">
            <w:pPr>
              <w:jc w:val="center"/>
              <w:rPr>
                <w:sz w:val="18"/>
                <w:lang w:val="en-AU"/>
              </w:rPr>
            </w:pPr>
            <w:r w:rsidRPr="00E75831">
              <w:rPr>
                <w:sz w:val="18"/>
                <w:lang w:val="en-AU"/>
              </w:rPr>
              <w:t>0.56</w:t>
            </w:r>
          </w:p>
        </w:tc>
        <w:tc>
          <w:tcPr>
            <w:tcW w:w="1773" w:type="dxa"/>
            <w:tcBorders>
              <w:right w:val="single" w:sz="18" w:space="0" w:color="auto"/>
            </w:tcBorders>
            <w:shd w:val="clear" w:color="auto" w:fill="C4BC96" w:themeFill="background2" w:themeFillShade="BF"/>
          </w:tcPr>
          <w:p w14:paraId="1DC8390E" w14:textId="77777777" w:rsidR="00607FAB" w:rsidRPr="00E75831" w:rsidRDefault="00607FAB" w:rsidP="00607FAB">
            <w:pPr>
              <w:jc w:val="center"/>
              <w:rPr>
                <w:sz w:val="18"/>
                <w:lang w:val="en-AU"/>
              </w:rPr>
            </w:pPr>
            <w:r w:rsidRPr="00E75831">
              <w:rPr>
                <w:sz w:val="18"/>
                <w:lang w:val="en-AU"/>
              </w:rPr>
              <w:t>1.48</w:t>
            </w:r>
          </w:p>
        </w:tc>
      </w:tr>
      <w:tr w:rsidR="00607FAB" w:rsidRPr="00E75831" w14:paraId="288F124B" w14:textId="77777777" w:rsidTr="00836448">
        <w:trPr>
          <w:trHeight w:val="180"/>
        </w:trPr>
        <w:tc>
          <w:tcPr>
            <w:tcW w:w="1785" w:type="dxa"/>
            <w:vMerge/>
            <w:tcBorders>
              <w:left w:val="single" w:sz="18" w:space="0" w:color="auto"/>
              <w:bottom w:val="single" w:sz="18" w:space="0" w:color="auto"/>
            </w:tcBorders>
          </w:tcPr>
          <w:p w14:paraId="6058C8DA" w14:textId="77777777" w:rsidR="00607FAB" w:rsidRPr="00E75831" w:rsidRDefault="00607FAB" w:rsidP="00607FAB">
            <w:pPr>
              <w:jc w:val="center"/>
              <w:rPr>
                <w:sz w:val="18"/>
                <w:lang w:val="en-AU"/>
              </w:rPr>
            </w:pPr>
          </w:p>
        </w:tc>
        <w:tc>
          <w:tcPr>
            <w:tcW w:w="1795" w:type="dxa"/>
            <w:tcBorders>
              <w:bottom w:val="single" w:sz="18" w:space="0" w:color="auto"/>
            </w:tcBorders>
            <w:shd w:val="clear" w:color="auto" w:fill="C4BC96" w:themeFill="background2" w:themeFillShade="BF"/>
          </w:tcPr>
          <w:p w14:paraId="491E3144" w14:textId="77777777" w:rsidR="00607FAB" w:rsidRPr="00E75831" w:rsidRDefault="00607FAB" w:rsidP="00607FAB">
            <w:pPr>
              <w:jc w:val="center"/>
              <w:rPr>
                <w:sz w:val="18"/>
                <w:lang w:val="en-AU"/>
              </w:rPr>
            </w:pPr>
            <w:r w:rsidRPr="00E75831">
              <w:rPr>
                <w:sz w:val="18"/>
                <w:lang w:val="en-AU"/>
              </w:rPr>
              <w:t>25 (700)</w:t>
            </w:r>
          </w:p>
        </w:tc>
        <w:tc>
          <w:tcPr>
            <w:tcW w:w="1772" w:type="dxa"/>
            <w:tcBorders>
              <w:bottom w:val="single" w:sz="18" w:space="0" w:color="auto"/>
            </w:tcBorders>
            <w:shd w:val="clear" w:color="auto" w:fill="C4BC96" w:themeFill="background2" w:themeFillShade="BF"/>
          </w:tcPr>
          <w:p w14:paraId="2654EC99" w14:textId="77777777" w:rsidR="00607FAB" w:rsidRPr="00E75831" w:rsidRDefault="00607FAB" w:rsidP="00607FAB">
            <w:pPr>
              <w:jc w:val="center"/>
              <w:rPr>
                <w:sz w:val="18"/>
                <w:lang w:val="en-AU"/>
              </w:rPr>
            </w:pPr>
            <w:r w:rsidRPr="00E75831">
              <w:rPr>
                <w:sz w:val="18"/>
                <w:lang w:val="en-AU"/>
              </w:rPr>
              <w:t>0.92</w:t>
            </w:r>
          </w:p>
        </w:tc>
        <w:tc>
          <w:tcPr>
            <w:tcW w:w="1773" w:type="dxa"/>
            <w:tcBorders>
              <w:bottom w:val="single" w:sz="18" w:space="0" w:color="auto"/>
            </w:tcBorders>
            <w:shd w:val="clear" w:color="auto" w:fill="C4BC96" w:themeFill="background2" w:themeFillShade="BF"/>
          </w:tcPr>
          <w:p w14:paraId="23057CD4" w14:textId="77777777" w:rsidR="00607FAB" w:rsidRPr="00E75831" w:rsidRDefault="00607FAB" w:rsidP="00607FAB">
            <w:pPr>
              <w:jc w:val="center"/>
              <w:rPr>
                <w:sz w:val="18"/>
                <w:lang w:val="en-AU"/>
              </w:rPr>
            </w:pPr>
            <w:r w:rsidRPr="00E75831">
              <w:rPr>
                <w:sz w:val="18"/>
                <w:lang w:val="en-AU"/>
              </w:rPr>
              <w:t>0.70</w:t>
            </w:r>
          </w:p>
        </w:tc>
        <w:tc>
          <w:tcPr>
            <w:tcW w:w="1773" w:type="dxa"/>
            <w:tcBorders>
              <w:bottom w:val="single" w:sz="18" w:space="0" w:color="auto"/>
              <w:right w:val="single" w:sz="18" w:space="0" w:color="auto"/>
            </w:tcBorders>
            <w:shd w:val="clear" w:color="auto" w:fill="C4BC96" w:themeFill="background2" w:themeFillShade="BF"/>
          </w:tcPr>
          <w:p w14:paraId="2492A34A" w14:textId="77777777" w:rsidR="00607FAB" w:rsidRPr="00E75831" w:rsidRDefault="00607FAB" w:rsidP="00607FAB">
            <w:pPr>
              <w:jc w:val="center"/>
              <w:rPr>
                <w:sz w:val="18"/>
                <w:lang w:val="en-AU"/>
              </w:rPr>
            </w:pPr>
            <w:r w:rsidRPr="00E75831">
              <w:rPr>
                <w:sz w:val="18"/>
                <w:lang w:val="en-AU"/>
              </w:rPr>
              <w:t>1.62</w:t>
            </w:r>
          </w:p>
        </w:tc>
      </w:tr>
      <w:tr w:rsidR="00607FAB" w:rsidRPr="00E75831" w14:paraId="61B34144" w14:textId="77777777" w:rsidTr="00836448">
        <w:trPr>
          <w:trHeight w:val="180"/>
        </w:trPr>
        <w:tc>
          <w:tcPr>
            <w:tcW w:w="1785" w:type="dxa"/>
            <w:vMerge w:val="restart"/>
            <w:tcBorders>
              <w:top w:val="single" w:sz="18" w:space="0" w:color="auto"/>
            </w:tcBorders>
          </w:tcPr>
          <w:p w14:paraId="13BD9ADE" w14:textId="77777777" w:rsidR="00607FAB" w:rsidRPr="00E75831" w:rsidRDefault="00607FAB" w:rsidP="00607FAB">
            <w:pPr>
              <w:jc w:val="center"/>
              <w:rPr>
                <w:sz w:val="18"/>
                <w:lang w:val="en-AU"/>
              </w:rPr>
            </w:pPr>
          </w:p>
          <w:p w14:paraId="6BEB0565" w14:textId="77777777" w:rsidR="00607FAB" w:rsidRPr="00E75831" w:rsidRDefault="00607FAB" w:rsidP="00607FAB">
            <w:pPr>
              <w:shd w:val="clear" w:color="auto" w:fill="B6DDE8" w:themeFill="accent5" w:themeFillTint="66"/>
              <w:jc w:val="center"/>
              <w:rPr>
                <w:sz w:val="18"/>
                <w:lang w:val="en-AU"/>
              </w:rPr>
            </w:pPr>
            <w:r w:rsidRPr="00E75831">
              <w:rPr>
                <w:sz w:val="18"/>
                <w:lang w:val="en-AU"/>
              </w:rPr>
              <w:t>Med</w:t>
            </w:r>
            <w:r>
              <w:rPr>
                <w:sz w:val="18"/>
                <w:lang w:val="en-AU"/>
              </w:rPr>
              <w:t>ian level found in Au IF powder</w:t>
            </w:r>
          </w:p>
          <w:p w14:paraId="323AF039" w14:textId="77777777" w:rsidR="00607FAB" w:rsidRPr="00E75831" w:rsidRDefault="00607FAB" w:rsidP="00607FAB">
            <w:pPr>
              <w:jc w:val="center"/>
              <w:rPr>
                <w:sz w:val="18"/>
                <w:lang w:val="en-AU"/>
              </w:rPr>
            </w:pPr>
          </w:p>
          <w:p w14:paraId="1A1E905A" w14:textId="77777777" w:rsidR="00607FAB" w:rsidRPr="00203BCC" w:rsidRDefault="00607FAB" w:rsidP="00607FAB">
            <w:pPr>
              <w:jc w:val="center"/>
              <w:rPr>
                <w:b/>
                <w:sz w:val="18"/>
                <w:lang w:val="en-AU"/>
              </w:rPr>
            </w:pPr>
            <w:r w:rsidRPr="00203BCC">
              <w:rPr>
                <w:b/>
                <w:sz w:val="18"/>
                <w:lang w:val="en-AU"/>
              </w:rPr>
              <w:t>1.5</w:t>
            </w:r>
            <w:r>
              <w:rPr>
                <w:rStyle w:val="FootnoteReference"/>
                <w:b/>
                <w:sz w:val="18"/>
                <w:lang w:val="en-AU"/>
              </w:rPr>
              <w:footnoteReference w:id="22"/>
            </w:r>
          </w:p>
          <w:p w14:paraId="219497C7" w14:textId="77777777" w:rsidR="00607FAB" w:rsidRPr="00E75831" w:rsidRDefault="00607FAB" w:rsidP="00607FAB">
            <w:pPr>
              <w:jc w:val="center"/>
              <w:rPr>
                <w:sz w:val="18"/>
                <w:lang w:val="en-AU"/>
              </w:rPr>
            </w:pPr>
            <w:r w:rsidRPr="00E75831">
              <w:rPr>
                <w:sz w:val="18"/>
                <w:shd w:val="clear" w:color="auto" w:fill="C4BC96" w:themeFill="background2" w:themeFillShade="BF"/>
                <w:lang w:val="en-AU"/>
              </w:rPr>
              <w:t xml:space="preserve">2.9.1 Fluorosis statement required </w:t>
            </w:r>
            <w:r w:rsidRPr="00E75831">
              <w:rPr>
                <w:rFonts w:cs="Arial"/>
                <w:sz w:val="18"/>
                <w:shd w:val="clear" w:color="auto" w:fill="C4BC96" w:themeFill="background2" w:themeFillShade="BF"/>
                <w:lang w:val="en-AU"/>
              </w:rPr>
              <w:t>˃</w:t>
            </w:r>
            <w:r w:rsidRPr="00E75831">
              <w:rPr>
                <w:sz w:val="18"/>
                <w:shd w:val="clear" w:color="auto" w:fill="C4BC96" w:themeFill="background2" w:themeFillShade="BF"/>
                <w:lang w:val="en-AU"/>
              </w:rPr>
              <w:t xml:space="preserve">17 </w:t>
            </w:r>
            <w:r w:rsidRPr="00E75831">
              <w:rPr>
                <w:rFonts w:cs="Arial"/>
                <w:sz w:val="18"/>
                <w:shd w:val="clear" w:color="auto" w:fill="C4BC96" w:themeFill="background2" w:themeFillShade="BF"/>
                <w:lang w:val="en-AU"/>
              </w:rPr>
              <w:t>µ</w:t>
            </w:r>
            <w:r w:rsidRPr="00E75831">
              <w:rPr>
                <w:sz w:val="18"/>
                <w:shd w:val="clear" w:color="auto" w:fill="C4BC96" w:themeFill="background2" w:themeFillShade="BF"/>
                <w:lang w:val="en-AU"/>
              </w:rPr>
              <w:t>g/100kJ</w:t>
            </w:r>
          </w:p>
        </w:tc>
        <w:tc>
          <w:tcPr>
            <w:tcW w:w="1795" w:type="dxa"/>
            <w:tcBorders>
              <w:top w:val="single" w:sz="18" w:space="0" w:color="auto"/>
            </w:tcBorders>
          </w:tcPr>
          <w:p w14:paraId="5C8F60EB" w14:textId="77777777" w:rsidR="00607FAB" w:rsidRPr="00E75831" w:rsidRDefault="00607FAB" w:rsidP="00607FAB">
            <w:pPr>
              <w:jc w:val="center"/>
              <w:rPr>
                <w:sz w:val="18"/>
                <w:lang w:val="en-AU"/>
              </w:rPr>
            </w:pPr>
            <w:r w:rsidRPr="00E75831">
              <w:rPr>
                <w:sz w:val="18"/>
                <w:lang w:val="en-AU"/>
              </w:rPr>
              <w:t>0 (0)</w:t>
            </w:r>
          </w:p>
        </w:tc>
        <w:tc>
          <w:tcPr>
            <w:tcW w:w="1772" w:type="dxa"/>
            <w:tcBorders>
              <w:top w:val="single" w:sz="18" w:space="0" w:color="auto"/>
            </w:tcBorders>
          </w:tcPr>
          <w:p w14:paraId="0385F6FC" w14:textId="77777777" w:rsidR="00607FAB" w:rsidRPr="00E75831" w:rsidRDefault="00607FAB" w:rsidP="00607FAB">
            <w:pPr>
              <w:jc w:val="center"/>
              <w:rPr>
                <w:sz w:val="18"/>
                <w:lang w:val="en-AU"/>
              </w:rPr>
            </w:pPr>
            <w:r w:rsidRPr="00E75831">
              <w:rPr>
                <w:sz w:val="18"/>
                <w:lang w:val="en-AU"/>
              </w:rPr>
              <w:t>1.38</w:t>
            </w:r>
          </w:p>
        </w:tc>
        <w:tc>
          <w:tcPr>
            <w:tcW w:w="1773" w:type="dxa"/>
            <w:tcBorders>
              <w:top w:val="single" w:sz="18" w:space="0" w:color="auto"/>
            </w:tcBorders>
          </w:tcPr>
          <w:p w14:paraId="4560CC55" w14:textId="77777777" w:rsidR="00607FAB" w:rsidRPr="00E75831" w:rsidRDefault="00607FAB" w:rsidP="00607FAB">
            <w:pPr>
              <w:jc w:val="center"/>
              <w:rPr>
                <w:sz w:val="18"/>
                <w:lang w:val="en-AU"/>
              </w:rPr>
            </w:pPr>
            <w:r w:rsidRPr="00E75831">
              <w:rPr>
                <w:sz w:val="18"/>
                <w:lang w:val="en-AU"/>
              </w:rPr>
              <w:t>0.00</w:t>
            </w:r>
          </w:p>
        </w:tc>
        <w:tc>
          <w:tcPr>
            <w:tcW w:w="1773" w:type="dxa"/>
            <w:tcBorders>
              <w:top w:val="single" w:sz="18" w:space="0" w:color="auto"/>
            </w:tcBorders>
          </w:tcPr>
          <w:p w14:paraId="2D8BA7DB" w14:textId="77777777" w:rsidR="00607FAB" w:rsidRPr="00E75831" w:rsidRDefault="00607FAB" w:rsidP="00607FAB">
            <w:pPr>
              <w:jc w:val="center"/>
              <w:rPr>
                <w:sz w:val="18"/>
                <w:lang w:val="en-AU"/>
              </w:rPr>
            </w:pPr>
            <w:r w:rsidRPr="00E75831">
              <w:rPr>
                <w:sz w:val="18"/>
                <w:lang w:val="en-AU"/>
              </w:rPr>
              <w:t>1.38</w:t>
            </w:r>
          </w:p>
        </w:tc>
      </w:tr>
      <w:tr w:rsidR="00607FAB" w:rsidRPr="00E75831" w14:paraId="5F38806E" w14:textId="77777777" w:rsidTr="00836448">
        <w:trPr>
          <w:trHeight w:val="180"/>
        </w:trPr>
        <w:tc>
          <w:tcPr>
            <w:tcW w:w="1785" w:type="dxa"/>
            <w:vMerge/>
            <w:shd w:val="clear" w:color="auto" w:fill="C6D9F1" w:themeFill="text2" w:themeFillTint="33"/>
          </w:tcPr>
          <w:p w14:paraId="34DBBD33" w14:textId="77777777" w:rsidR="00607FAB" w:rsidRPr="00E75831" w:rsidRDefault="00607FAB" w:rsidP="00607FAB">
            <w:pPr>
              <w:jc w:val="center"/>
              <w:rPr>
                <w:sz w:val="18"/>
                <w:lang w:val="en-AU"/>
              </w:rPr>
            </w:pPr>
          </w:p>
        </w:tc>
        <w:tc>
          <w:tcPr>
            <w:tcW w:w="1795" w:type="dxa"/>
            <w:shd w:val="clear" w:color="auto" w:fill="C6D9F1" w:themeFill="text2" w:themeFillTint="33"/>
          </w:tcPr>
          <w:p w14:paraId="6CF60BCA" w14:textId="77777777" w:rsidR="00607FAB" w:rsidRPr="00E75831" w:rsidRDefault="00607FAB" w:rsidP="00607FAB">
            <w:pPr>
              <w:jc w:val="center"/>
              <w:rPr>
                <w:sz w:val="18"/>
                <w:lang w:val="en-AU"/>
              </w:rPr>
            </w:pPr>
            <w:r w:rsidRPr="00E75831">
              <w:rPr>
                <w:sz w:val="18"/>
                <w:lang w:val="en-AU"/>
              </w:rPr>
              <w:t>2 (56)</w:t>
            </w:r>
          </w:p>
        </w:tc>
        <w:tc>
          <w:tcPr>
            <w:tcW w:w="1772" w:type="dxa"/>
            <w:shd w:val="clear" w:color="auto" w:fill="C6D9F1" w:themeFill="text2" w:themeFillTint="33"/>
          </w:tcPr>
          <w:p w14:paraId="362F426A" w14:textId="77777777" w:rsidR="00607FAB" w:rsidRPr="00E75831" w:rsidRDefault="00607FAB" w:rsidP="00607FAB">
            <w:pPr>
              <w:jc w:val="center"/>
              <w:rPr>
                <w:sz w:val="18"/>
                <w:lang w:val="en-AU"/>
              </w:rPr>
            </w:pPr>
            <w:r>
              <w:rPr>
                <w:sz w:val="18"/>
                <w:lang w:val="en-AU"/>
              </w:rPr>
              <w:t>1.38</w:t>
            </w:r>
          </w:p>
        </w:tc>
        <w:tc>
          <w:tcPr>
            <w:tcW w:w="1773" w:type="dxa"/>
            <w:shd w:val="clear" w:color="auto" w:fill="C6D9F1" w:themeFill="text2" w:themeFillTint="33"/>
          </w:tcPr>
          <w:p w14:paraId="4E13A410" w14:textId="77777777" w:rsidR="00607FAB" w:rsidRPr="00E75831" w:rsidRDefault="00607FAB" w:rsidP="00607FAB">
            <w:pPr>
              <w:jc w:val="center"/>
              <w:rPr>
                <w:sz w:val="18"/>
                <w:lang w:val="en-AU"/>
              </w:rPr>
            </w:pPr>
            <w:r>
              <w:rPr>
                <w:sz w:val="18"/>
                <w:lang w:val="en-AU"/>
              </w:rPr>
              <w:t>0.06</w:t>
            </w:r>
          </w:p>
        </w:tc>
        <w:tc>
          <w:tcPr>
            <w:tcW w:w="1773" w:type="dxa"/>
            <w:shd w:val="clear" w:color="auto" w:fill="C6D9F1" w:themeFill="text2" w:themeFillTint="33"/>
          </w:tcPr>
          <w:p w14:paraId="6289E58F" w14:textId="77777777" w:rsidR="00607FAB" w:rsidRPr="00E75831" w:rsidRDefault="00607FAB" w:rsidP="00607FAB">
            <w:pPr>
              <w:jc w:val="center"/>
              <w:rPr>
                <w:sz w:val="18"/>
                <w:lang w:val="en-AU"/>
              </w:rPr>
            </w:pPr>
            <w:r>
              <w:rPr>
                <w:sz w:val="18"/>
                <w:lang w:val="en-AU"/>
              </w:rPr>
              <w:t>1.44</w:t>
            </w:r>
          </w:p>
        </w:tc>
      </w:tr>
      <w:tr w:rsidR="00607FAB" w:rsidRPr="00E75831" w14:paraId="1DB183BB" w14:textId="77777777" w:rsidTr="00836448">
        <w:trPr>
          <w:trHeight w:val="180"/>
        </w:trPr>
        <w:tc>
          <w:tcPr>
            <w:tcW w:w="1785" w:type="dxa"/>
            <w:vMerge/>
            <w:shd w:val="clear" w:color="auto" w:fill="FFFFFF" w:themeFill="background1"/>
          </w:tcPr>
          <w:p w14:paraId="15A3E1DE" w14:textId="77777777" w:rsidR="00607FAB" w:rsidRPr="00E75831" w:rsidRDefault="00607FAB" w:rsidP="00607FAB">
            <w:pPr>
              <w:jc w:val="center"/>
              <w:rPr>
                <w:sz w:val="18"/>
                <w:lang w:val="en-AU"/>
              </w:rPr>
            </w:pPr>
          </w:p>
        </w:tc>
        <w:tc>
          <w:tcPr>
            <w:tcW w:w="1795" w:type="dxa"/>
            <w:shd w:val="clear" w:color="auto" w:fill="FFFFFF" w:themeFill="background1"/>
          </w:tcPr>
          <w:p w14:paraId="4B1CB653" w14:textId="77777777" w:rsidR="00607FAB" w:rsidRPr="00E75831" w:rsidRDefault="00607FAB" w:rsidP="00607FAB">
            <w:pPr>
              <w:jc w:val="center"/>
              <w:rPr>
                <w:sz w:val="18"/>
                <w:lang w:val="en-AU"/>
              </w:rPr>
            </w:pPr>
            <w:r w:rsidRPr="00E75831">
              <w:rPr>
                <w:sz w:val="18"/>
                <w:lang w:val="en-AU"/>
              </w:rPr>
              <w:t>4 (112)</w:t>
            </w:r>
          </w:p>
        </w:tc>
        <w:tc>
          <w:tcPr>
            <w:tcW w:w="1772" w:type="dxa"/>
            <w:shd w:val="clear" w:color="auto" w:fill="FFFFFF" w:themeFill="background1"/>
          </w:tcPr>
          <w:p w14:paraId="278B5C3B" w14:textId="77777777" w:rsidR="00607FAB" w:rsidRPr="00E75831" w:rsidRDefault="00607FAB" w:rsidP="00607FAB">
            <w:pPr>
              <w:jc w:val="center"/>
              <w:rPr>
                <w:sz w:val="18"/>
                <w:lang w:val="en-AU"/>
              </w:rPr>
            </w:pPr>
            <w:r w:rsidRPr="00E75831">
              <w:rPr>
                <w:sz w:val="18"/>
                <w:lang w:val="en-AU"/>
              </w:rPr>
              <w:t>1.38</w:t>
            </w:r>
          </w:p>
        </w:tc>
        <w:tc>
          <w:tcPr>
            <w:tcW w:w="1773" w:type="dxa"/>
            <w:shd w:val="clear" w:color="auto" w:fill="FFFFFF" w:themeFill="background1"/>
          </w:tcPr>
          <w:p w14:paraId="285E0140" w14:textId="77777777" w:rsidR="00607FAB" w:rsidRPr="00E75831" w:rsidRDefault="00607FAB" w:rsidP="00607FAB">
            <w:pPr>
              <w:jc w:val="center"/>
              <w:rPr>
                <w:sz w:val="18"/>
                <w:lang w:val="en-AU"/>
              </w:rPr>
            </w:pPr>
            <w:r w:rsidRPr="00E75831">
              <w:rPr>
                <w:sz w:val="18"/>
                <w:lang w:val="en-AU"/>
              </w:rPr>
              <w:t>0.11</w:t>
            </w:r>
          </w:p>
        </w:tc>
        <w:tc>
          <w:tcPr>
            <w:tcW w:w="1773" w:type="dxa"/>
            <w:shd w:val="clear" w:color="auto" w:fill="FFFFFF" w:themeFill="background1"/>
          </w:tcPr>
          <w:p w14:paraId="3962C878" w14:textId="77777777" w:rsidR="00607FAB" w:rsidRPr="00E75831" w:rsidRDefault="00607FAB" w:rsidP="00607FAB">
            <w:pPr>
              <w:jc w:val="center"/>
              <w:rPr>
                <w:sz w:val="18"/>
                <w:lang w:val="en-AU"/>
              </w:rPr>
            </w:pPr>
            <w:r w:rsidRPr="00E75831">
              <w:rPr>
                <w:sz w:val="18"/>
                <w:lang w:val="en-AU"/>
              </w:rPr>
              <w:t>1.49</w:t>
            </w:r>
          </w:p>
        </w:tc>
      </w:tr>
      <w:tr w:rsidR="00607FAB" w:rsidRPr="00E75831" w14:paraId="498C850F" w14:textId="77777777" w:rsidTr="00836448">
        <w:trPr>
          <w:trHeight w:val="180"/>
        </w:trPr>
        <w:tc>
          <w:tcPr>
            <w:tcW w:w="1785" w:type="dxa"/>
            <w:vMerge/>
          </w:tcPr>
          <w:p w14:paraId="3E175222" w14:textId="77777777" w:rsidR="00607FAB" w:rsidRPr="00E75831" w:rsidRDefault="00607FAB" w:rsidP="00607FAB">
            <w:pPr>
              <w:jc w:val="center"/>
              <w:rPr>
                <w:sz w:val="18"/>
                <w:lang w:val="en-AU"/>
              </w:rPr>
            </w:pPr>
          </w:p>
        </w:tc>
        <w:tc>
          <w:tcPr>
            <w:tcW w:w="1795" w:type="dxa"/>
          </w:tcPr>
          <w:p w14:paraId="1FB6BAD8" w14:textId="77777777" w:rsidR="00607FAB" w:rsidRPr="00E75831" w:rsidRDefault="00607FAB" w:rsidP="00607FAB">
            <w:pPr>
              <w:jc w:val="center"/>
              <w:rPr>
                <w:sz w:val="18"/>
                <w:lang w:val="en-AU"/>
              </w:rPr>
            </w:pPr>
            <w:r w:rsidRPr="00E75831">
              <w:rPr>
                <w:sz w:val="18"/>
                <w:lang w:val="en-AU"/>
              </w:rPr>
              <w:t>8 (224)</w:t>
            </w:r>
          </w:p>
        </w:tc>
        <w:tc>
          <w:tcPr>
            <w:tcW w:w="1772" w:type="dxa"/>
          </w:tcPr>
          <w:p w14:paraId="402AB7CD" w14:textId="77777777" w:rsidR="00607FAB" w:rsidRPr="00E75831" w:rsidRDefault="00607FAB" w:rsidP="00607FAB">
            <w:pPr>
              <w:jc w:val="center"/>
              <w:rPr>
                <w:sz w:val="18"/>
                <w:lang w:val="en-AU"/>
              </w:rPr>
            </w:pPr>
            <w:r w:rsidRPr="00E75831">
              <w:rPr>
                <w:sz w:val="18"/>
                <w:lang w:val="en-AU"/>
              </w:rPr>
              <w:t>1.38</w:t>
            </w:r>
          </w:p>
        </w:tc>
        <w:tc>
          <w:tcPr>
            <w:tcW w:w="1773" w:type="dxa"/>
          </w:tcPr>
          <w:p w14:paraId="41DA0A51" w14:textId="77777777" w:rsidR="00607FAB" w:rsidRPr="00E75831" w:rsidRDefault="00607FAB" w:rsidP="00607FAB">
            <w:pPr>
              <w:jc w:val="center"/>
              <w:rPr>
                <w:sz w:val="18"/>
                <w:lang w:val="en-AU"/>
              </w:rPr>
            </w:pPr>
            <w:r w:rsidRPr="00E75831">
              <w:rPr>
                <w:sz w:val="18"/>
                <w:lang w:val="en-AU"/>
              </w:rPr>
              <w:t>0.22</w:t>
            </w:r>
          </w:p>
        </w:tc>
        <w:tc>
          <w:tcPr>
            <w:tcW w:w="1773" w:type="dxa"/>
            <w:shd w:val="clear" w:color="auto" w:fill="FFFFFF" w:themeFill="background1"/>
          </w:tcPr>
          <w:p w14:paraId="64CA8CE8" w14:textId="77777777" w:rsidR="00607FAB" w:rsidRPr="00E75831" w:rsidRDefault="00607FAB" w:rsidP="00607FAB">
            <w:pPr>
              <w:jc w:val="center"/>
              <w:rPr>
                <w:sz w:val="18"/>
                <w:lang w:val="en-AU"/>
              </w:rPr>
            </w:pPr>
            <w:r w:rsidRPr="00E75831">
              <w:rPr>
                <w:sz w:val="18"/>
                <w:lang w:val="en-AU"/>
              </w:rPr>
              <w:t>1.60</w:t>
            </w:r>
          </w:p>
        </w:tc>
      </w:tr>
      <w:tr w:rsidR="00607FAB" w:rsidRPr="00E75831" w14:paraId="55B4D2D3" w14:textId="77777777" w:rsidTr="00836448">
        <w:trPr>
          <w:trHeight w:val="180"/>
        </w:trPr>
        <w:tc>
          <w:tcPr>
            <w:tcW w:w="1785" w:type="dxa"/>
            <w:vMerge/>
          </w:tcPr>
          <w:p w14:paraId="2ED9760E" w14:textId="77777777" w:rsidR="00607FAB" w:rsidRPr="00E75831" w:rsidRDefault="00607FAB" w:rsidP="00607FAB">
            <w:pPr>
              <w:jc w:val="center"/>
              <w:rPr>
                <w:sz w:val="18"/>
                <w:lang w:val="en-AU"/>
              </w:rPr>
            </w:pPr>
          </w:p>
        </w:tc>
        <w:tc>
          <w:tcPr>
            <w:tcW w:w="1795" w:type="dxa"/>
          </w:tcPr>
          <w:p w14:paraId="6792B640" w14:textId="77777777" w:rsidR="00607FAB" w:rsidRPr="00E75831" w:rsidRDefault="00607FAB" w:rsidP="00607FAB">
            <w:pPr>
              <w:jc w:val="center"/>
              <w:rPr>
                <w:sz w:val="18"/>
                <w:lang w:val="en-AU"/>
              </w:rPr>
            </w:pPr>
            <w:r w:rsidRPr="00E75831">
              <w:rPr>
                <w:sz w:val="18"/>
                <w:lang w:val="en-AU"/>
              </w:rPr>
              <w:t>16 (448)</w:t>
            </w:r>
          </w:p>
        </w:tc>
        <w:tc>
          <w:tcPr>
            <w:tcW w:w="1772" w:type="dxa"/>
          </w:tcPr>
          <w:p w14:paraId="026693D0" w14:textId="77777777" w:rsidR="00607FAB" w:rsidRPr="00E75831" w:rsidRDefault="00607FAB" w:rsidP="00607FAB">
            <w:pPr>
              <w:jc w:val="center"/>
              <w:rPr>
                <w:sz w:val="18"/>
                <w:lang w:val="en-AU"/>
              </w:rPr>
            </w:pPr>
            <w:r w:rsidRPr="00E75831">
              <w:rPr>
                <w:sz w:val="18"/>
                <w:lang w:val="en-AU"/>
              </w:rPr>
              <w:t>1.38</w:t>
            </w:r>
          </w:p>
        </w:tc>
        <w:tc>
          <w:tcPr>
            <w:tcW w:w="1773" w:type="dxa"/>
          </w:tcPr>
          <w:p w14:paraId="34414EE1" w14:textId="77777777" w:rsidR="00607FAB" w:rsidRPr="00E75831" w:rsidRDefault="00607FAB" w:rsidP="00607FAB">
            <w:pPr>
              <w:jc w:val="center"/>
              <w:rPr>
                <w:sz w:val="18"/>
                <w:lang w:val="en-AU"/>
              </w:rPr>
            </w:pPr>
            <w:r w:rsidRPr="00E75831">
              <w:rPr>
                <w:sz w:val="18"/>
                <w:lang w:val="en-AU"/>
              </w:rPr>
              <w:t>0.45</w:t>
            </w:r>
          </w:p>
        </w:tc>
        <w:tc>
          <w:tcPr>
            <w:tcW w:w="1773" w:type="dxa"/>
            <w:shd w:val="clear" w:color="auto" w:fill="D99594" w:themeFill="accent2" w:themeFillTint="99"/>
          </w:tcPr>
          <w:p w14:paraId="487BF00C" w14:textId="77777777" w:rsidR="00607FAB" w:rsidRPr="00E75831" w:rsidRDefault="00607FAB" w:rsidP="00607FAB">
            <w:pPr>
              <w:jc w:val="center"/>
              <w:rPr>
                <w:sz w:val="18"/>
                <w:lang w:val="en-AU"/>
              </w:rPr>
            </w:pPr>
            <w:r w:rsidRPr="00E75831">
              <w:rPr>
                <w:sz w:val="18"/>
                <w:lang w:val="en-AU"/>
              </w:rPr>
              <w:t>1.83</w:t>
            </w:r>
          </w:p>
        </w:tc>
      </w:tr>
      <w:tr w:rsidR="00607FAB" w:rsidRPr="00E75831" w14:paraId="425E9C47" w14:textId="77777777" w:rsidTr="00836448">
        <w:trPr>
          <w:trHeight w:val="180"/>
        </w:trPr>
        <w:tc>
          <w:tcPr>
            <w:tcW w:w="1785" w:type="dxa"/>
            <w:vMerge/>
          </w:tcPr>
          <w:p w14:paraId="1508DA06" w14:textId="77777777" w:rsidR="00607FAB" w:rsidRPr="00E75831" w:rsidRDefault="00607FAB" w:rsidP="00607FAB">
            <w:pPr>
              <w:jc w:val="center"/>
              <w:rPr>
                <w:sz w:val="18"/>
                <w:lang w:val="en-AU"/>
              </w:rPr>
            </w:pPr>
          </w:p>
        </w:tc>
        <w:tc>
          <w:tcPr>
            <w:tcW w:w="1795" w:type="dxa"/>
            <w:shd w:val="clear" w:color="auto" w:fill="C4BC96" w:themeFill="background2" w:themeFillShade="BF"/>
          </w:tcPr>
          <w:p w14:paraId="0FA0C4D7" w14:textId="77777777" w:rsidR="00607FAB" w:rsidRPr="00E75831" w:rsidRDefault="00607FAB" w:rsidP="00607FAB">
            <w:pPr>
              <w:jc w:val="center"/>
              <w:rPr>
                <w:sz w:val="18"/>
                <w:lang w:val="en-AU"/>
              </w:rPr>
            </w:pPr>
            <w:r w:rsidRPr="00E75831">
              <w:rPr>
                <w:sz w:val="18"/>
                <w:lang w:val="en-AU"/>
              </w:rPr>
              <w:t>20 (560)</w:t>
            </w:r>
          </w:p>
        </w:tc>
        <w:tc>
          <w:tcPr>
            <w:tcW w:w="1772" w:type="dxa"/>
            <w:shd w:val="clear" w:color="auto" w:fill="C4BC96" w:themeFill="background2" w:themeFillShade="BF"/>
          </w:tcPr>
          <w:p w14:paraId="25AC2979" w14:textId="77777777" w:rsidR="00607FAB" w:rsidRPr="00E75831" w:rsidRDefault="00607FAB" w:rsidP="00607FAB">
            <w:pPr>
              <w:jc w:val="center"/>
              <w:rPr>
                <w:sz w:val="18"/>
                <w:lang w:val="en-AU"/>
              </w:rPr>
            </w:pPr>
            <w:r w:rsidRPr="00E75831">
              <w:rPr>
                <w:sz w:val="18"/>
                <w:lang w:val="en-AU"/>
              </w:rPr>
              <w:t>1.38</w:t>
            </w:r>
          </w:p>
        </w:tc>
        <w:tc>
          <w:tcPr>
            <w:tcW w:w="1773" w:type="dxa"/>
            <w:shd w:val="clear" w:color="auto" w:fill="C4BC96" w:themeFill="background2" w:themeFillShade="BF"/>
          </w:tcPr>
          <w:p w14:paraId="58BFD7BB" w14:textId="77777777" w:rsidR="00607FAB" w:rsidRPr="00E75831" w:rsidRDefault="00607FAB" w:rsidP="00607FAB">
            <w:pPr>
              <w:jc w:val="center"/>
              <w:rPr>
                <w:sz w:val="18"/>
                <w:lang w:val="en-AU"/>
              </w:rPr>
            </w:pPr>
            <w:r w:rsidRPr="00E75831">
              <w:rPr>
                <w:sz w:val="18"/>
                <w:lang w:val="en-AU"/>
              </w:rPr>
              <w:t>0.56</w:t>
            </w:r>
          </w:p>
        </w:tc>
        <w:tc>
          <w:tcPr>
            <w:tcW w:w="1773" w:type="dxa"/>
            <w:shd w:val="clear" w:color="auto" w:fill="D99594" w:themeFill="accent2" w:themeFillTint="99"/>
          </w:tcPr>
          <w:p w14:paraId="52C3F36E" w14:textId="77777777" w:rsidR="00607FAB" w:rsidRPr="00E75831" w:rsidRDefault="00607FAB" w:rsidP="00607FAB">
            <w:pPr>
              <w:jc w:val="center"/>
              <w:rPr>
                <w:sz w:val="18"/>
                <w:lang w:val="en-AU"/>
              </w:rPr>
            </w:pPr>
            <w:r w:rsidRPr="00E75831">
              <w:rPr>
                <w:sz w:val="18"/>
                <w:lang w:val="en-AU"/>
              </w:rPr>
              <w:t>1.94</w:t>
            </w:r>
          </w:p>
        </w:tc>
      </w:tr>
      <w:tr w:rsidR="00607FAB" w:rsidRPr="00E75831" w14:paraId="7B66A72E" w14:textId="77777777" w:rsidTr="00836448">
        <w:trPr>
          <w:trHeight w:val="180"/>
        </w:trPr>
        <w:tc>
          <w:tcPr>
            <w:tcW w:w="1785" w:type="dxa"/>
            <w:vMerge/>
          </w:tcPr>
          <w:p w14:paraId="429E170D" w14:textId="77777777" w:rsidR="00607FAB" w:rsidRPr="00E75831" w:rsidRDefault="00607FAB" w:rsidP="00607FAB">
            <w:pPr>
              <w:jc w:val="center"/>
              <w:rPr>
                <w:sz w:val="18"/>
                <w:lang w:val="en-AU"/>
              </w:rPr>
            </w:pPr>
          </w:p>
        </w:tc>
        <w:tc>
          <w:tcPr>
            <w:tcW w:w="1795" w:type="dxa"/>
            <w:shd w:val="clear" w:color="auto" w:fill="C4BC96" w:themeFill="background2" w:themeFillShade="BF"/>
          </w:tcPr>
          <w:p w14:paraId="45E71D99" w14:textId="77777777" w:rsidR="00607FAB" w:rsidRPr="00E75831" w:rsidRDefault="00607FAB" w:rsidP="00607FAB">
            <w:pPr>
              <w:jc w:val="center"/>
              <w:rPr>
                <w:sz w:val="18"/>
                <w:lang w:val="en-AU"/>
              </w:rPr>
            </w:pPr>
            <w:r w:rsidRPr="00E75831">
              <w:rPr>
                <w:sz w:val="18"/>
                <w:lang w:val="en-AU"/>
              </w:rPr>
              <w:t>25 (700)</w:t>
            </w:r>
          </w:p>
        </w:tc>
        <w:tc>
          <w:tcPr>
            <w:tcW w:w="1772" w:type="dxa"/>
            <w:shd w:val="clear" w:color="auto" w:fill="C4BC96" w:themeFill="background2" w:themeFillShade="BF"/>
          </w:tcPr>
          <w:p w14:paraId="4E67422F" w14:textId="77777777" w:rsidR="00607FAB" w:rsidRPr="00E75831" w:rsidRDefault="00607FAB" w:rsidP="00607FAB">
            <w:pPr>
              <w:jc w:val="center"/>
              <w:rPr>
                <w:sz w:val="18"/>
                <w:lang w:val="en-AU"/>
              </w:rPr>
            </w:pPr>
            <w:r w:rsidRPr="00E75831">
              <w:rPr>
                <w:sz w:val="18"/>
                <w:lang w:val="en-AU"/>
              </w:rPr>
              <w:t>1.38</w:t>
            </w:r>
          </w:p>
        </w:tc>
        <w:tc>
          <w:tcPr>
            <w:tcW w:w="1773" w:type="dxa"/>
            <w:shd w:val="clear" w:color="auto" w:fill="C4BC96" w:themeFill="background2" w:themeFillShade="BF"/>
          </w:tcPr>
          <w:p w14:paraId="6A62E97A" w14:textId="77777777" w:rsidR="00607FAB" w:rsidRPr="00E75831" w:rsidRDefault="00607FAB" w:rsidP="00607FAB">
            <w:pPr>
              <w:jc w:val="center"/>
              <w:rPr>
                <w:sz w:val="18"/>
                <w:lang w:val="en-AU"/>
              </w:rPr>
            </w:pPr>
            <w:r w:rsidRPr="00E75831">
              <w:rPr>
                <w:sz w:val="18"/>
                <w:lang w:val="en-AU"/>
              </w:rPr>
              <w:t>0.70</w:t>
            </w:r>
          </w:p>
        </w:tc>
        <w:tc>
          <w:tcPr>
            <w:tcW w:w="1773" w:type="dxa"/>
            <w:shd w:val="clear" w:color="auto" w:fill="D99594" w:themeFill="accent2" w:themeFillTint="99"/>
          </w:tcPr>
          <w:p w14:paraId="6FA3D671" w14:textId="77777777" w:rsidR="00607FAB" w:rsidRPr="00E75831" w:rsidRDefault="00607FAB" w:rsidP="00607FAB">
            <w:pPr>
              <w:jc w:val="center"/>
              <w:rPr>
                <w:sz w:val="18"/>
                <w:lang w:val="en-AU"/>
              </w:rPr>
            </w:pPr>
            <w:r w:rsidRPr="00E75831">
              <w:rPr>
                <w:sz w:val="18"/>
                <w:lang w:val="en-AU"/>
              </w:rPr>
              <w:t>2.08</w:t>
            </w:r>
          </w:p>
        </w:tc>
      </w:tr>
    </w:tbl>
    <w:p w14:paraId="5C0DD4C8" w14:textId="77777777" w:rsidR="00836448" w:rsidRPr="00836448" w:rsidRDefault="00836448" w:rsidP="00836448">
      <w:pPr>
        <w:keepNext/>
        <w:keepLines/>
        <w:rPr>
          <w:i/>
          <w:sz w:val="18"/>
          <w:lang w:val="en-AU"/>
        </w:rPr>
      </w:pPr>
      <w:r w:rsidRPr="00836448">
        <w:rPr>
          <w:i/>
          <w:sz w:val="18"/>
          <w:lang w:val="en-AU"/>
        </w:rPr>
        <w:t>F = Fluoride</w:t>
      </w:r>
    </w:p>
    <w:p w14:paraId="2B98D095" w14:textId="6B6EE4A2" w:rsidR="00607FAB" w:rsidRDefault="00836448" w:rsidP="002D3773">
      <w:pPr>
        <w:keepNext/>
        <w:keepLines/>
        <w:rPr>
          <w:i/>
          <w:sz w:val="18"/>
          <w:lang w:val="en-AU"/>
        </w:rPr>
      </w:pPr>
      <w:r w:rsidRPr="00836448">
        <w:rPr>
          <w:i/>
          <w:sz w:val="18"/>
          <w:lang w:val="en-AU"/>
        </w:rPr>
        <w:t>IF = Infant For</w:t>
      </w:r>
      <w:r w:rsidR="002D3773">
        <w:rPr>
          <w:i/>
          <w:sz w:val="18"/>
          <w:lang w:val="en-AU"/>
        </w:rPr>
        <w:t>mula</w:t>
      </w:r>
    </w:p>
    <w:p w14:paraId="18460900" w14:textId="77777777" w:rsidR="002D3773" w:rsidRPr="002D3773" w:rsidRDefault="002D3773" w:rsidP="002D3773">
      <w:pPr>
        <w:keepNext/>
        <w:keepLines/>
        <w:rPr>
          <w:i/>
          <w:sz w:val="18"/>
          <w:lang w:val="en-AU"/>
        </w:rPr>
      </w:pPr>
    </w:p>
    <w:p w14:paraId="2086B91A" w14:textId="51965D89" w:rsidR="008401A5" w:rsidRDefault="008401A5">
      <w:pPr>
        <w:rPr>
          <w:lang w:val="en-AU"/>
        </w:rPr>
      </w:pPr>
      <w:r>
        <w:rPr>
          <w:lang w:val="en-AU"/>
        </w:rPr>
        <w:br w:type="page"/>
      </w:r>
    </w:p>
    <w:p w14:paraId="6B77CD2B" w14:textId="0E382B34" w:rsidR="00607FAB" w:rsidRPr="00842BA0" w:rsidRDefault="00607FAB" w:rsidP="00842BA0">
      <w:pPr>
        <w:rPr>
          <w:b/>
          <w:i/>
          <w:lang w:val="en-AU"/>
        </w:rPr>
      </w:pPr>
      <w:r w:rsidRPr="00842BA0">
        <w:rPr>
          <w:b/>
          <w:i/>
          <w:lang w:val="en-AU"/>
        </w:rPr>
        <w:lastRenderedPageBreak/>
        <w:t xml:space="preserve">Example </w:t>
      </w:r>
      <w:r w:rsidR="00954695">
        <w:rPr>
          <w:b/>
          <w:i/>
          <w:lang w:val="en-AU"/>
        </w:rPr>
        <w:t>brand 4 formula powder</w:t>
      </w:r>
      <w:r w:rsidRPr="00842BA0">
        <w:rPr>
          <w:b/>
          <w:i/>
          <w:lang w:val="en-AU"/>
        </w:rPr>
        <w:t xml:space="preserve"> for 3-month-old male infant (6 kg):</w:t>
      </w:r>
    </w:p>
    <w:p w14:paraId="6E06E9B2" w14:textId="77777777" w:rsidR="00607FAB" w:rsidRDefault="00607FAB" w:rsidP="00774FC6">
      <w:pPr>
        <w:pStyle w:val="ListParagraph"/>
        <w:numPr>
          <w:ilvl w:val="0"/>
          <w:numId w:val="27"/>
        </w:numPr>
        <w:rPr>
          <w:lang w:val="en-AU"/>
        </w:rPr>
      </w:pPr>
      <w:r>
        <w:rPr>
          <w:lang w:val="en-AU"/>
        </w:rPr>
        <w:t>Formula energy content = 281 kJ/100 mL as prepared</w:t>
      </w:r>
    </w:p>
    <w:p w14:paraId="1A405444" w14:textId="77777777" w:rsidR="00607FAB" w:rsidRDefault="00607FAB" w:rsidP="00774FC6">
      <w:pPr>
        <w:pStyle w:val="ListParagraph"/>
        <w:numPr>
          <w:ilvl w:val="0"/>
          <w:numId w:val="27"/>
        </w:numPr>
        <w:rPr>
          <w:lang w:val="en-AU"/>
        </w:rPr>
      </w:pPr>
      <w:r>
        <w:rPr>
          <w:lang w:val="en-AU"/>
        </w:rPr>
        <w:t>Recommended energy intake (EER) = 2400 kJ/day</w:t>
      </w:r>
    </w:p>
    <w:p w14:paraId="30ED7F42" w14:textId="77777777" w:rsidR="00607FAB" w:rsidRDefault="00607FAB" w:rsidP="00774FC6">
      <w:pPr>
        <w:pStyle w:val="ListParagraph"/>
        <w:numPr>
          <w:ilvl w:val="0"/>
          <w:numId w:val="27"/>
        </w:numPr>
        <w:rPr>
          <w:lang w:val="en-AU"/>
        </w:rPr>
      </w:pPr>
      <w:r>
        <w:rPr>
          <w:lang w:val="en-AU"/>
        </w:rPr>
        <w:t>Prepared with 13 g powder + 90mL water provides 281 kJ</w:t>
      </w:r>
    </w:p>
    <w:p w14:paraId="2237D68D" w14:textId="77777777" w:rsidR="00607FAB" w:rsidRDefault="00607FAB" w:rsidP="00774FC6">
      <w:pPr>
        <w:pStyle w:val="ListParagraph"/>
        <w:numPr>
          <w:ilvl w:val="0"/>
          <w:numId w:val="27"/>
        </w:numPr>
        <w:rPr>
          <w:lang w:val="en-AU"/>
        </w:rPr>
      </w:pPr>
      <w:r>
        <w:rPr>
          <w:lang w:val="en-AU"/>
        </w:rPr>
        <w:t>Estimated formula volume = 854 mL</w:t>
      </w:r>
    </w:p>
    <w:p w14:paraId="7D53FBE6" w14:textId="46AAE887" w:rsidR="00607FAB" w:rsidRDefault="00607FAB" w:rsidP="00774FC6">
      <w:pPr>
        <w:pStyle w:val="ListParagraph"/>
        <w:numPr>
          <w:ilvl w:val="0"/>
          <w:numId w:val="27"/>
        </w:numPr>
        <w:rPr>
          <w:lang w:val="en-AU"/>
        </w:rPr>
      </w:pPr>
      <w:r>
        <w:rPr>
          <w:lang w:val="en-AU"/>
        </w:rPr>
        <w:t>Estimated water volume = 752 mL water (and 109 g infant formula powder) per 2400 kJ</w:t>
      </w:r>
    </w:p>
    <w:p w14:paraId="25A75278" w14:textId="77777777" w:rsidR="002D3773" w:rsidRPr="002D3773" w:rsidRDefault="002D3773" w:rsidP="002D3773">
      <w:pPr>
        <w:rPr>
          <w:lang w:val="en-AU"/>
        </w:rPr>
      </w:pPr>
    </w:p>
    <w:p w14:paraId="19F3AEC7" w14:textId="5300811D" w:rsidR="00607FAB" w:rsidRDefault="00607FAB" w:rsidP="00842BA0">
      <w:pPr>
        <w:pStyle w:val="FSTitle"/>
        <w:rPr>
          <w:lang w:val="en-AU"/>
        </w:rPr>
      </w:pPr>
      <w:bookmarkStart w:id="494" w:name="_Toc74061265"/>
      <w:r>
        <w:rPr>
          <w:lang w:val="en-AU"/>
        </w:rPr>
        <w:t xml:space="preserve">Table </w:t>
      </w:r>
      <w:r w:rsidR="00113BD1">
        <w:rPr>
          <w:lang w:val="en-AU"/>
        </w:rPr>
        <w:t>A</w:t>
      </w:r>
      <w:r>
        <w:rPr>
          <w:lang w:val="en-AU"/>
        </w:rPr>
        <w:t xml:space="preserve">4: Male infant 3-month-old (6kg) consuming </w:t>
      </w:r>
      <w:r w:rsidR="00954695">
        <w:rPr>
          <w:lang w:val="en-AU"/>
        </w:rPr>
        <w:t>brand 4 formula powder</w:t>
      </w:r>
      <w:bookmarkEnd w:id="494"/>
      <w:r w:rsidR="00954695">
        <w:rPr>
          <w:lang w:val="en-AU"/>
        </w:rPr>
        <w:t xml:space="preserve"> </w:t>
      </w:r>
      <w:r>
        <w:rPr>
          <w:lang w:val="en-AU"/>
        </w:rPr>
        <w:t xml:space="preserve"> </w:t>
      </w:r>
    </w:p>
    <w:tbl>
      <w:tblPr>
        <w:tblStyle w:val="TableGrid"/>
        <w:tblW w:w="0" w:type="auto"/>
        <w:tblLook w:val="04A0" w:firstRow="1" w:lastRow="0" w:firstColumn="1" w:lastColumn="0" w:noHBand="0" w:noVBand="1"/>
        <w:tblCaption w:val="Table 4: Male infant 3-month-old (6kg) consuming brand 4 formula powder  "/>
        <w:tblDescription w:val="Calculations for Brand 4 formula powder"/>
      </w:tblPr>
      <w:tblGrid>
        <w:gridCol w:w="1783"/>
        <w:gridCol w:w="1788"/>
        <w:gridCol w:w="1770"/>
        <w:gridCol w:w="1771"/>
        <w:gridCol w:w="1786"/>
      </w:tblGrid>
      <w:tr w:rsidR="00607FAB" w:rsidRPr="00E75831" w14:paraId="695EC787" w14:textId="77777777" w:rsidTr="00836448">
        <w:tc>
          <w:tcPr>
            <w:tcW w:w="1783" w:type="dxa"/>
          </w:tcPr>
          <w:p w14:paraId="3484C476" w14:textId="77777777" w:rsidR="00607FAB" w:rsidRPr="00E75831" w:rsidRDefault="00607FAB" w:rsidP="00774FC6">
            <w:pPr>
              <w:pStyle w:val="ListParagraph"/>
              <w:numPr>
                <w:ilvl w:val="0"/>
                <w:numId w:val="26"/>
              </w:numPr>
              <w:jc w:val="center"/>
              <w:rPr>
                <w:b/>
                <w:sz w:val="18"/>
                <w:lang w:val="en-AU"/>
              </w:rPr>
            </w:pPr>
          </w:p>
        </w:tc>
        <w:tc>
          <w:tcPr>
            <w:tcW w:w="1788" w:type="dxa"/>
          </w:tcPr>
          <w:p w14:paraId="6471B73C" w14:textId="77777777" w:rsidR="00607FAB" w:rsidRPr="00E75831" w:rsidRDefault="00607FAB" w:rsidP="00774FC6">
            <w:pPr>
              <w:pStyle w:val="ListParagraph"/>
              <w:numPr>
                <w:ilvl w:val="0"/>
                <w:numId w:val="26"/>
              </w:numPr>
              <w:jc w:val="center"/>
              <w:rPr>
                <w:b/>
                <w:sz w:val="18"/>
                <w:lang w:val="en-AU"/>
              </w:rPr>
            </w:pPr>
          </w:p>
        </w:tc>
        <w:tc>
          <w:tcPr>
            <w:tcW w:w="1770" w:type="dxa"/>
          </w:tcPr>
          <w:p w14:paraId="798F66DD" w14:textId="77777777" w:rsidR="00607FAB" w:rsidRPr="00E75831" w:rsidRDefault="00607FAB" w:rsidP="00774FC6">
            <w:pPr>
              <w:pStyle w:val="ListParagraph"/>
              <w:numPr>
                <w:ilvl w:val="0"/>
                <w:numId w:val="26"/>
              </w:numPr>
              <w:jc w:val="center"/>
              <w:rPr>
                <w:b/>
                <w:sz w:val="18"/>
                <w:lang w:val="en-AU"/>
              </w:rPr>
            </w:pPr>
          </w:p>
        </w:tc>
        <w:tc>
          <w:tcPr>
            <w:tcW w:w="1771" w:type="dxa"/>
          </w:tcPr>
          <w:p w14:paraId="0D6A25F9" w14:textId="77777777" w:rsidR="00607FAB" w:rsidRPr="00E75831" w:rsidRDefault="00607FAB" w:rsidP="00774FC6">
            <w:pPr>
              <w:pStyle w:val="ListParagraph"/>
              <w:numPr>
                <w:ilvl w:val="0"/>
                <w:numId w:val="26"/>
              </w:numPr>
              <w:jc w:val="center"/>
              <w:rPr>
                <w:b/>
                <w:sz w:val="18"/>
                <w:lang w:val="en-AU"/>
              </w:rPr>
            </w:pPr>
          </w:p>
        </w:tc>
        <w:tc>
          <w:tcPr>
            <w:tcW w:w="1786" w:type="dxa"/>
          </w:tcPr>
          <w:p w14:paraId="3C3F7455" w14:textId="77777777" w:rsidR="00607FAB" w:rsidRPr="00E75831" w:rsidRDefault="00607FAB" w:rsidP="00607FAB">
            <w:pPr>
              <w:jc w:val="center"/>
              <w:rPr>
                <w:b/>
                <w:sz w:val="18"/>
                <w:lang w:val="en-AU"/>
              </w:rPr>
            </w:pPr>
            <w:r w:rsidRPr="00E75831">
              <w:rPr>
                <w:b/>
                <w:sz w:val="18"/>
                <w:lang w:val="en-AU"/>
              </w:rPr>
              <w:t>(3) + (4)</w:t>
            </w:r>
          </w:p>
        </w:tc>
      </w:tr>
      <w:tr w:rsidR="00607FAB" w:rsidRPr="00E75831" w14:paraId="73606FE7" w14:textId="77777777" w:rsidTr="00836448">
        <w:tc>
          <w:tcPr>
            <w:tcW w:w="1783" w:type="dxa"/>
          </w:tcPr>
          <w:p w14:paraId="74198066" w14:textId="77777777" w:rsidR="00607FAB" w:rsidRPr="00E75831" w:rsidRDefault="00607FAB" w:rsidP="00607FAB">
            <w:pPr>
              <w:jc w:val="center"/>
              <w:rPr>
                <w:b/>
                <w:sz w:val="18"/>
                <w:lang w:val="en-AU"/>
              </w:rPr>
            </w:pPr>
            <w:r w:rsidRPr="00E75831">
              <w:rPr>
                <w:b/>
                <w:sz w:val="18"/>
                <w:lang w:val="en-AU"/>
              </w:rPr>
              <w:t>F level in water</w:t>
            </w:r>
          </w:p>
          <w:p w14:paraId="115FBAA6" w14:textId="77777777" w:rsidR="00607FAB" w:rsidRPr="00E75831" w:rsidRDefault="00607FAB" w:rsidP="00607FAB">
            <w:pPr>
              <w:jc w:val="center"/>
              <w:rPr>
                <w:b/>
                <w:sz w:val="18"/>
                <w:lang w:val="en-AU"/>
              </w:rPr>
            </w:pPr>
            <w:r w:rsidRPr="00E75831">
              <w:rPr>
                <w:b/>
                <w:sz w:val="18"/>
                <w:lang w:val="en-AU"/>
              </w:rPr>
              <w:t>mg/L</w:t>
            </w:r>
          </w:p>
        </w:tc>
        <w:tc>
          <w:tcPr>
            <w:tcW w:w="1788" w:type="dxa"/>
          </w:tcPr>
          <w:p w14:paraId="208833DF" w14:textId="77777777" w:rsidR="00607FAB" w:rsidRPr="00E75831" w:rsidRDefault="00607FAB" w:rsidP="00607FAB">
            <w:pPr>
              <w:jc w:val="center"/>
              <w:rPr>
                <w:b/>
                <w:sz w:val="18"/>
                <w:lang w:val="en-AU"/>
              </w:rPr>
            </w:pPr>
            <w:r w:rsidRPr="00E75831">
              <w:rPr>
                <w:b/>
                <w:sz w:val="18"/>
                <w:lang w:val="en-AU"/>
              </w:rPr>
              <w:t>F level in IF powder</w:t>
            </w:r>
          </w:p>
          <w:p w14:paraId="243AA304" w14:textId="77777777" w:rsidR="00607FAB" w:rsidRPr="00E75831" w:rsidRDefault="00607FAB" w:rsidP="00607FAB">
            <w:pPr>
              <w:jc w:val="center"/>
              <w:rPr>
                <w:b/>
                <w:sz w:val="18"/>
                <w:lang w:val="en-AU"/>
              </w:rPr>
            </w:pPr>
            <w:r w:rsidRPr="00E75831">
              <w:rPr>
                <w:rFonts w:cs="Arial"/>
                <w:b/>
                <w:sz w:val="18"/>
                <w:lang w:val="en-AU"/>
              </w:rPr>
              <w:t>µ</w:t>
            </w:r>
            <w:r w:rsidRPr="00E75831">
              <w:rPr>
                <w:b/>
                <w:sz w:val="18"/>
                <w:lang w:val="en-AU"/>
              </w:rPr>
              <w:t>g/100kJ</w:t>
            </w:r>
            <w:r w:rsidRPr="00E75831">
              <w:rPr>
                <w:rStyle w:val="FootnoteReference"/>
                <w:b/>
                <w:sz w:val="18"/>
                <w:lang w:val="en-AU"/>
              </w:rPr>
              <w:footnoteReference w:id="23"/>
            </w:r>
          </w:p>
          <w:p w14:paraId="788CA259" w14:textId="77777777" w:rsidR="00607FAB" w:rsidRPr="00E75831" w:rsidRDefault="00607FAB" w:rsidP="00607FAB">
            <w:pPr>
              <w:jc w:val="center"/>
              <w:rPr>
                <w:b/>
                <w:sz w:val="18"/>
                <w:lang w:val="en-AU"/>
              </w:rPr>
            </w:pPr>
            <w:r w:rsidRPr="00E75831">
              <w:rPr>
                <w:b/>
                <w:sz w:val="18"/>
                <w:lang w:val="en-AU"/>
              </w:rPr>
              <w:t>(</w:t>
            </w:r>
            <w:r w:rsidRPr="00E75831">
              <w:rPr>
                <w:rFonts w:cs="Arial"/>
                <w:b/>
                <w:sz w:val="18"/>
                <w:lang w:val="en-AU"/>
              </w:rPr>
              <w:t>µ</w:t>
            </w:r>
            <w:r w:rsidRPr="00E75831">
              <w:rPr>
                <w:b/>
                <w:sz w:val="18"/>
                <w:lang w:val="en-AU"/>
              </w:rPr>
              <w:t>g/2400 kJ or day)</w:t>
            </w:r>
          </w:p>
        </w:tc>
        <w:tc>
          <w:tcPr>
            <w:tcW w:w="1770" w:type="dxa"/>
          </w:tcPr>
          <w:p w14:paraId="463D1EA0" w14:textId="77777777" w:rsidR="00607FAB" w:rsidRPr="00E75831" w:rsidRDefault="00607FAB" w:rsidP="00607FAB">
            <w:pPr>
              <w:jc w:val="center"/>
              <w:rPr>
                <w:b/>
                <w:sz w:val="18"/>
                <w:lang w:val="en-AU"/>
              </w:rPr>
            </w:pPr>
            <w:r w:rsidRPr="00E75831">
              <w:rPr>
                <w:b/>
                <w:sz w:val="18"/>
                <w:lang w:val="en-AU"/>
              </w:rPr>
              <w:t>F intake water</w:t>
            </w:r>
          </w:p>
          <w:p w14:paraId="31CCC85A" w14:textId="77777777" w:rsidR="00607FAB" w:rsidRPr="00E75831" w:rsidRDefault="00607FAB" w:rsidP="00607FAB">
            <w:pPr>
              <w:jc w:val="center"/>
              <w:rPr>
                <w:b/>
                <w:sz w:val="18"/>
                <w:lang w:val="en-AU"/>
              </w:rPr>
            </w:pPr>
            <w:r w:rsidRPr="00E75831">
              <w:rPr>
                <w:b/>
                <w:sz w:val="18"/>
                <w:lang w:val="en-AU"/>
              </w:rPr>
              <w:t>mg/day</w:t>
            </w:r>
          </w:p>
          <w:p w14:paraId="182EF193" w14:textId="77777777" w:rsidR="00607FAB" w:rsidRPr="00E75831" w:rsidRDefault="00607FAB" w:rsidP="00607FAB">
            <w:pPr>
              <w:jc w:val="center"/>
              <w:rPr>
                <w:b/>
                <w:sz w:val="18"/>
                <w:lang w:val="en-AU"/>
              </w:rPr>
            </w:pPr>
            <w:r w:rsidRPr="00E75831">
              <w:rPr>
                <w:b/>
                <w:sz w:val="18"/>
                <w:lang w:val="en-AU"/>
              </w:rPr>
              <w:t>(at 752 mL)</w:t>
            </w:r>
          </w:p>
        </w:tc>
        <w:tc>
          <w:tcPr>
            <w:tcW w:w="1771" w:type="dxa"/>
          </w:tcPr>
          <w:p w14:paraId="5BF655D0" w14:textId="77777777" w:rsidR="00607FAB" w:rsidRPr="00E75831" w:rsidRDefault="00607FAB" w:rsidP="00607FAB">
            <w:pPr>
              <w:jc w:val="center"/>
              <w:rPr>
                <w:b/>
                <w:sz w:val="18"/>
                <w:lang w:val="en-AU"/>
              </w:rPr>
            </w:pPr>
            <w:r w:rsidRPr="00E75831">
              <w:rPr>
                <w:b/>
                <w:sz w:val="18"/>
                <w:lang w:val="en-AU"/>
              </w:rPr>
              <w:t>F intake IF powder</w:t>
            </w:r>
          </w:p>
          <w:p w14:paraId="1446FC5C" w14:textId="77777777" w:rsidR="00607FAB" w:rsidRPr="00E75831" w:rsidRDefault="00607FAB" w:rsidP="00607FAB">
            <w:pPr>
              <w:jc w:val="center"/>
              <w:rPr>
                <w:b/>
                <w:sz w:val="18"/>
                <w:lang w:val="en-AU"/>
              </w:rPr>
            </w:pPr>
            <w:r w:rsidRPr="00E75831">
              <w:rPr>
                <w:b/>
                <w:sz w:val="18"/>
                <w:lang w:val="en-AU"/>
              </w:rPr>
              <w:t>mg/day</w:t>
            </w:r>
          </w:p>
          <w:p w14:paraId="024C0934" w14:textId="77777777" w:rsidR="00607FAB" w:rsidRPr="00E75831" w:rsidRDefault="00607FAB" w:rsidP="00607FAB">
            <w:pPr>
              <w:jc w:val="center"/>
              <w:rPr>
                <w:b/>
                <w:sz w:val="18"/>
                <w:lang w:val="en-AU"/>
              </w:rPr>
            </w:pPr>
          </w:p>
        </w:tc>
        <w:tc>
          <w:tcPr>
            <w:tcW w:w="1786" w:type="dxa"/>
          </w:tcPr>
          <w:p w14:paraId="3A09B0B6" w14:textId="77777777" w:rsidR="00607FAB" w:rsidRPr="00E75831" w:rsidRDefault="00607FAB" w:rsidP="00607FAB">
            <w:pPr>
              <w:jc w:val="center"/>
              <w:rPr>
                <w:b/>
                <w:sz w:val="18"/>
                <w:lang w:val="en-AU"/>
              </w:rPr>
            </w:pPr>
            <w:r w:rsidRPr="00E75831">
              <w:rPr>
                <w:b/>
                <w:sz w:val="18"/>
                <w:lang w:val="en-AU"/>
              </w:rPr>
              <w:t>Total est. F intake</w:t>
            </w:r>
          </w:p>
          <w:p w14:paraId="20CCFF07" w14:textId="77777777" w:rsidR="00607FAB" w:rsidRPr="00E75831" w:rsidRDefault="00607FAB" w:rsidP="00607FAB">
            <w:pPr>
              <w:jc w:val="center"/>
              <w:rPr>
                <w:b/>
                <w:sz w:val="18"/>
                <w:lang w:val="en-AU"/>
              </w:rPr>
            </w:pPr>
            <w:r w:rsidRPr="00E75831">
              <w:rPr>
                <w:b/>
                <w:sz w:val="18"/>
                <w:lang w:val="en-AU"/>
              </w:rPr>
              <w:t>mg/day</w:t>
            </w:r>
          </w:p>
        </w:tc>
      </w:tr>
      <w:tr w:rsidR="00607FAB" w:rsidRPr="00E75831" w14:paraId="4907EC56" w14:textId="77777777" w:rsidTr="00836448">
        <w:trPr>
          <w:trHeight w:val="216"/>
        </w:trPr>
        <w:tc>
          <w:tcPr>
            <w:tcW w:w="1783" w:type="dxa"/>
            <w:vMerge w:val="restart"/>
          </w:tcPr>
          <w:p w14:paraId="55B1F23E" w14:textId="77777777" w:rsidR="00607FAB" w:rsidRPr="00E75831" w:rsidRDefault="00607FAB" w:rsidP="00607FAB">
            <w:pPr>
              <w:jc w:val="center"/>
              <w:rPr>
                <w:sz w:val="18"/>
                <w:lang w:val="en-AU"/>
              </w:rPr>
            </w:pPr>
          </w:p>
          <w:p w14:paraId="26A72225" w14:textId="77777777" w:rsidR="00607FAB" w:rsidRPr="00E75831" w:rsidRDefault="00607FAB" w:rsidP="00607FAB">
            <w:pPr>
              <w:shd w:val="clear" w:color="auto" w:fill="B6DDE8" w:themeFill="accent5" w:themeFillTint="66"/>
              <w:jc w:val="center"/>
              <w:rPr>
                <w:sz w:val="18"/>
                <w:lang w:val="en-AU"/>
              </w:rPr>
            </w:pPr>
            <w:r w:rsidRPr="00E75831">
              <w:rPr>
                <w:sz w:val="18"/>
                <w:lang w:val="en-AU"/>
              </w:rPr>
              <w:t>Median level found in Au IF powder</w:t>
            </w:r>
          </w:p>
          <w:p w14:paraId="74D5B550" w14:textId="77777777" w:rsidR="00607FAB" w:rsidRPr="00E75831" w:rsidRDefault="00607FAB" w:rsidP="00607FAB">
            <w:pPr>
              <w:jc w:val="center"/>
              <w:rPr>
                <w:sz w:val="18"/>
                <w:lang w:val="en-AU"/>
              </w:rPr>
            </w:pPr>
          </w:p>
          <w:p w14:paraId="4599B007" w14:textId="77777777" w:rsidR="00607FAB" w:rsidRPr="00D857FF" w:rsidRDefault="00607FAB" w:rsidP="00607FAB">
            <w:pPr>
              <w:jc w:val="center"/>
              <w:rPr>
                <w:b/>
                <w:sz w:val="18"/>
                <w:lang w:val="en-AU"/>
              </w:rPr>
            </w:pPr>
            <w:r>
              <w:rPr>
                <w:b/>
                <w:sz w:val="18"/>
                <w:lang w:val="en-AU"/>
              </w:rPr>
              <w:t>0</w:t>
            </w:r>
          </w:p>
          <w:p w14:paraId="3402E106" w14:textId="77777777" w:rsidR="00607FAB" w:rsidRPr="00E75831" w:rsidRDefault="00607FAB" w:rsidP="00607FAB">
            <w:pPr>
              <w:jc w:val="center"/>
              <w:rPr>
                <w:sz w:val="18"/>
                <w:lang w:val="en-AU"/>
              </w:rPr>
            </w:pPr>
            <w:r w:rsidRPr="00E75831">
              <w:rPr>
                <w:sz w:val="18"/>
                <w:shd w:val="clear" w:color="auto" w:fill="C4BC96" w:themeFill="background2" w:themeFillShade="BF"/>
                <w:lang w:val="en-AU"/>
              </w:rPr>
              <w:t xml:space="preserve">2.9.1 Fluorosis statement required </w:t>
            </w:r>
            <w:r w:rsidRPr="00E75831">
              <w:rPr>
                <w:rFonts w:cs="Arial"/>
                <w:sz w:val="18"/>
                <w:shd w:val="clear" w:color="auto" w:fill="C4BC96" w:themeFill="background2" w:themeFillShade="BF"/>
                <w:lang w:val="en-AU"/>
              </w:rPr>
              <w:t>˃</w:t>
            </w:r>
            <w:r w:rsidRPr="00E75831">
              <w:rPr>
                <w:sz w:val="18"/>
                <w:shd w:val="clear" w:color="auto" w:fill="C4BC96" w:themeFill="background2" w:themeFillShade="BF"/>
                <w:lang w:val="en-AU"/>
              </w:rPr>
              <w:t xml:space="preserve">17 </w:t>
            </w:r>
            <w:r w:rsidRPr="00E75831">
              <w:rPr>
                <w:rFonts w:cs="Arial"/>
                <w:sz w:val="18"/>
                <w:shd w:val="clear" w:color="auto" w:fill="C4BC96" w:themeFill="background2" w:themeFillShade="BF"/>
                <w:lang w:val="en-AU"/>
              </w:rPr>
              <w:t>µ</w:t>
            </w:r>
            <w:r w:rsidRPr="00E75831">
              <w:rPr>
                <w:sz w:val="18"/>
                <w:shd w:val="clear" w:color="auto" w:fill="C4BC96" w:themeFill="background2" w:themeFillShade="BF"/>
                <w:lang w:val="en-AU"/>
              </w:rPr>
              <w:t>g/100kJ</w:t>
            </w:r>
          </w:p>
        </w:tc>
        <w:tc>
          <w:tcPr>
            <w:tcW w:w="1788" w:type="dxa"/>
          </w:tcPr>
          <w:p w14:paraId="6D7F6CE8" w14:textId="77777777" w:rsidR="00607FAB" w:rsidRPr="00E75831" w:rsidRDefault="00607FAB" w:rsidP="00607FAB">
            <w:pPr>
              <w:jc w:val="center"/>
              <w:rPr>
                <w:sz w:val="18"/>
                <w:lang w:val="en-AU"/>
              </w:rPr>
            </w:pPr>
            <w:r w:rsidRPr="00E75831">
              <w:rPr>
                <w:sz w:val="18"/>
                <w:lang w:val="en-AU"/>
              </w:rPr>
              <w:t>0 (0)</w:t>
            </w:r>
          </w:p>
        </w:tc>
        <w:tc>
          <w:tcPr>
            <w:tcW w:w="1770" w:type="dxa"/>
          </w:tcPr>
          <w:p w14:paraId="4C81F64B" w14:textId="77777777" w:rsidR="00607FAB" w:rsidRPr="00E75831" w:rsidRDefault="00607FAB" w:rsidP="00607FAB">
            <w:pPr>
              <w:jc w:val="center"/>
              <w:rPr>
                <w:sz w:val="18"/>
                <w:lang w:val="en-AU"/>
              </w:rPr>
            </w:pPr>
            <w:r w:rsidRPr="00E75831">
              <w:rPr>
                <w:sz w:val="18"/>
                <w:lang w:val="en-AU"/>
              </w:rPr>
              <w:t>0</w:t>
            </w:r>
          </w:p>
        </w:tc>
        <w:tc>
          <w:tcPr>
            <w:tcW w:w="1771" w:type="dxa"/>
          </w:tcPr>
          <w:p w14:paraId="30D27862" w14:textId="77777777" w:rsidR="00607FAB" w:rsidRPr="00E75831" w:rsidRDefault="00607FAB" w:rsidP="00607FAB">
            <w:pPr>
              <w:jc w:val="center"/>
              <w:rPr>
                <w:sz w:val="18"/>
                <w:lang w:val="en-AU"/>
              </w:rPr>
            </w:pPr>
            <w:r w:rsidRPr="00E75831">
              <w:rPr>
                <w:sz w:val="18"/>
                <w:lang w:val="en-AU"/>
              </w:rPr>
              <w:t>0.00</w:t>
            </w:r>
          </w:p>
        </w:tc>
        <w:tc>
          <w:tcPr>
            <w:tcW w:w="1786" w:type="dxa"/>
          </w:tcPr>
          <w:p w14:paraId="156118FA" w14:textId="77777777" w:rsidR="00607FAB" w:rsidRPr="00E75831" w:rsidRDefault="00607FAB" w:rsidP="00607FAB">
            <w:pPr>
              <w:jc w:val="center"/>
              <w:rPr>
                <w:sz w:val="18"/>
                <w:lang w:val="en-AU"/>
              </w:rPr>
            </w:pPr>
            <w:r w:rsidRPr="00E75831">
              <w:rPr>
                <w:sz w:val="18"/>
                <w:lang w:val="en-AU"/>
              </w:rPr>
              <w:t>0.00</w:t>
            </w:r>
          </w:p>
        </w:tc>
      </w:tr>
      <w:tr w:rsidR="00607FAB" w:rsidRPr="00E75831" w14:paraId="43CE765D" w14:textId="77777777" w:rsidTr="00836448">
        <w:trPr>
          <w:trHeight w:val="216"/>
        </w:trPr>
        <w:tc>
          <w:tcPr>
            <w:tcW w:w="1783" w:type="dxa"/>
            <w:vMerge/>
          </w:tcPr>
          <w:p w14:paraId="50027DF3" w14:textId="77777777" w:rsidR="00607FAB" w:rsidRPr="00E75831" w:rsidRDefault="00607FAB" w:rsidP="00607FAB">
            <w:pPr>
              <w:jc w:val="center"/>
              <w:rPr>
                <w:sz w:val="18"/>
                <w:lang w:val="en-AU"/>
              </w:rPr>
            </w:pPr>
          </w:p>
        </w:tc>
        <w:tc>
          <w:tcPr>
            <w:tcW w:w="1788" w:type="dxa"/>
          </w:tcPr>
          <w:p w14:paraId="0AA6C3E6" w14:textId="77777777" w:rsidR="00607FAB" w:rsidRPr="00E75831" w:rsidRDefault="00607FAB" w:rsidP="00607FAB">
            <w:pPr>
              <w:jc w:val="center"/>
              <w:rPr>
                <w:sz w:val="18"/>
                <w:lang w:val="en-AU"/>
              </w:rPr>
            </w:pPr>
            <w:r w:rsidRPr="00E75831">
              <w:rPr>
                <w:sz w:val="18"/>
                <w:lang w:val="en-AU"/>
              </w:rPr>
              <w:t>4 (96)</w:t>
            </w:r>
          </w:p>
        </w:tc>
        <w:tc>
          <w:tcPr>
            <w:tcW w:w="1770" w:type="dxa"/>
          </w:tcPr>
          <w:p w14:paraId="3AB60242" w14:textId="77777777" w:rsidR="00607FAB" w:rsidRPr="00E75831" w:rsidRDefault="00607FAB" w:rsidP="00607FAB">
            <w:pPr>
              <w:jc w:val="center"/>
              <w:rPr>
                <w:sz w:val="18"/>
                <w:lang w:val="en-AU"/>
              </w:rPr>
            </w:pPr>
            <w:r w:rsidRPr="00E75831">
              <w:rPr>
                <w:sz w:val="18"/>
                <w:lang w:val="en-AU"/>
              </w:rPr>
              <w:t>0</w:t>
            </w:r>
          </w:p>
        </w:tc>
        <w:tc>
          <w:tcPr>
            <w:tcW w:w="1771" w:type="dxa"/>
          </w:tcPr>
          <w:p w14:paraId="73815E30" w14:textId="77777777" w:rsidR="00607FAB" w:rsidRPr="00E75831" w:rsidRDefault="00607FAB" w:rsidP="00607FAB">
            <w:pPr>
              <w:jc w:val="center"/>
              <w:rPr>
                <w:sz w:val="18"/>
                <w:lang w:val="en-AU"/>
              </w:rPr>
            </w:pPr>
            <w:r w:rsidRPr="00E75831">
              <w:rPr>
                <w:sz w:val="18"/>
                <w:lang w:val="en-AU"/>
              </w:rPr>
              <w:t>0.10</w:t>
            </w:r>
          </w:p>
        </w:tc>
        <w:tc>
          <w:tcPr>
            <w:tcW w:w="1786" w:type="dxa"/>
          </w:tcPr>
          <w:p w14:paraId="45074AD4" w14:textId="77777777" w:rsidR="00607FAB" w:rsidRPr="00E75831" w:rsidRDefault="00607FAB" w:rsidP="00607FAB">
            <w:pPr>
              <w:jc w:val="center"/>
              <w:rPr>
                <w:sz w:val="18"/>
                <w:lang w:val="en-AU"/>
              </w:rPr>
            </w:pPr>
            <w:r w:rsidRPr="00E75831">
              <w:rPr>
                <w:sz w:val="18"/>
                <w:lang w:val="en-AU"/>
              </w:rPr>
              <w:t>0.10</w:t>
            </w:r>
          </w:p>
        </w:tc>
      </w:tr>
      <w:tr w:rsidR="00607FAB" w:rsidRPr="00E75831" w14:paraId="3A1D7803" w14:textId="77777777" w:rsidTr="00836448">
        <w:trPr>
          <w:trHeight w:val="216"/>
        </w:trPr>
        <w:tc>
          <w:tcPr>
            <w:tcW w:w="1783" w:type="dxa"/>
            <w:vMerge/>
            <w:shd w:val="clear" w:color="auto" w:fill="B6DDE8" w:themeFill="accent5" w:themeFillTint="66"/>
          </w:tcPr>
          <w:p w14:paraId="629FB556" w14:textId="77777777" w:rsidR="00607FAB" w:rsidRPr="00E75831" w:rsidRDefault="00607FAB" w:rsidP="00607FAB">
            <w:pPr>
              <w:jc w:val="center"/>
              <w:rPr>
                <w:sz w:val="18"/>
                <w:lang w:val="en-AU"/>
              </w:rPr>
            </w:pPr>
          </w:p>
        </w:tc>
        <w:tc>
          <w:tcPr>
            <w:tcW w:w="1788" w:type="dxa"/>
            <w:shd w:val="clear" w:color="auto" w:fill="B6DDE8" w:themeFill="accent5" w:themeFillTint="66"/>
          </w:tcPr>
          <w:p w14:paraId="23FC7F22" w14:textId="77777777" w:rsidR="00607FAB" w:rsidRPr="00E75831" w:rsidRDefault="00607FAB" w:rsidP="00607FAB">
            <w:pPr>
              <w:jc w:val="center"/>
              <w:rPr>
                <w:sz w:val="18"/>
                <w:lang w:val="en-AU"/>
              </w:rPr>
            </w:pPr>
            <w:r w:rsidRPr="00E75831">
              <w:rPr>
                <w:sz w:val="18"/>
                <w:lang w:val="en-AU"/>
              </w:rPr>
              <w:t>5 (120)</w:t>
            </w:r>
          </w:p>
        </w:tc>
        <w:tc>
          <w:tcPr>
            <w:tcW w:w="1770" w:type="dxa"/>
            <w:shd w:val="clear" w:color="auto" w:fill="B6DDE8" w:themeFill="accent5" w:themeFillTint="66"/>
          </w:tcPr>
          <w:p w14:paraId="28A5FB7E" w14:textId="77777777" w:rsidR="00607FAB" w:rsidRPr="00E75831" w:rsidRDefault="00607FAB" w:rsidP="00607FAB">
            <w:pPr>
              <w:jc w:val="center"/>
              <w:rPr>
                <w:sz w:val="18"/>
                <w:lang w:val="en-AU"/>
              </w:rPr>
            </w:pPr>
            <w:r w:rsidRPr="00E75831">
              <w:rPr>
                <w:sz w:val="18"/>
                <w:lang w:val="en-AU"/>
              </w:rPr>
              <w:t>0</w:t>
            </w:r>
          </w:p>
        </w:tc>
        <w:tc>
          <w:tcPr>
            <w:tcW w:w="1771" w:type="dxa"/>
            <w:shd w:val="clear" w:color="auto" w:fill="B6DDE8" w:themeFill="accent5" w:themeFillTint="66"/>
          </w:tcPr>
          <w:p w14:paraId="02ADD6D6" w14:textId="77777777" w:rsidR="00607FAB" w:rsidRPr="00E75831" w:rsidRDefault="00607FAB" w:rsidP="00607FAB">
            <w:pPr>
              <w:jc w:val="center"/>
              <w:rPr>
                <w:sz w:val="18"/>
                <w:lang w:val="en-AU"/>
              </w:rPr>
            </w:pPr>
            <w:r w:rsidRPr="00E75831">
              <w:rPr>
                <w:sz w:val="18"/>
                <w:lang w:val="en-AU"/>
              </w:rPr>
              <w:t>0.12</w:t>
            </w:r>
          </w:p>
        </w:tc>
        <w:tc>
          <w:tcPr>
            <w:tcW w:w="1786" w:type="dxa"/>
            <w:shd w:val="clear" w:color="auto" w:fill="B6DDE8" w:themeFill="accent5" w:themeFillTint="66"/>
          </w:tcPr>
          <w:p w14:paraId="62177CD9" w14:textId="77777777" w:rsidR="00607FAB" w:rsidRPr="00E75831" w:rsidRDefault="00607FAB" w:rsidP="00607FAB">
            <w:pPr>
              <w:jc w:val="center"/>
              <w:rPr>
                <w:sz w:val="18"/>
                <w:lang w:val="en-AU"/>
              </w:rPr>
            </w:pPr>
            <w:r w:rsidRPr="00E75831">
              <w:rPr>
                <w:sz w:val="18"/>
                <w:lang w:val="en-AU"/>
              </w:rPr>
              <w:t>0.12</w:t>
            </w:r>
          </w:p>
        </w:tc>
      </w:tr>
      <w:tr w:rsidR="00607FAB" w:rsidRPr="00E75831" w14:paraId="21CA0AD1" w14:textId="77777777" w:rsidTr="00836448">
        <w:trPr>
          <w:trHeight w:val="216"/>
        </w:trPr>
        <w:tc>
          <w:tcPr>
            <w:tcW w:w="1783" w:type="dxa"/>
            <w:vMerge/>
          </w:tcPr>
          <w:p w14:paraId="1791DA24" w14:textId="77777777" w:rsidR="00607FAB" w:rsidRPr="00E75831" w:rsidRDefault="00607FAB" w:rsidP="00607FAB">
            <w:pPr>
              <w:jc w:val="center"/>
              <w:rPr>
                <w:sz w:val="18"/>
                <w:lang w:val="en-AU"/>
              </w:rPr>
            </w:pPr>
          </w:p>
        </w:tc>
        <w:tc>
          <w:tcPr>
            <w:tcW w:w="1788" w:type="dxa"/>
          </w:tcPr>
          <w:p w14:paraId="516A62C1" w14:textId="77777777" w:rsidR="00607FAB" w:rsidRPr="00E75831" w:rsidRDefault="00607FAB" w:rsidP="00607FAB">
            <w:pPr>
              <w:jc w:val="center"/>
              <w:rPr>
                <w:sz w:val="18"/>
                <w:lang w:val="en-AU"/>
              </w:rPr>
            </w:pPr>
            <w:r w:rsidRPr="00E75831">
              <w:rPr>
                <w:sz w:val="18"/>
                <w:lang w:val="en-AU"/>
              </w:rPr>
              <w:t>8 (192)</w:t>
            </w:r>
          </w:p>
        </w:tc>
        <w:tc>
          <w:tcPr>
            <w:tcW w:w="1770" w:type="dxa"/>
          </w:tcPr>
          <w:p w14:paraId="795B717B" w14:textId="77777777" w:rsidR="00607FAB" w:rsidRPr="00E75831" w:rsidRDefault="00607FAB" w:rsidP="00607FAB">
            <w:pPr>
              <w:jc w:val="center"/>
              <w:rPr>
                <w:sz w:val="18"/>
                <w:lang w:val="en-AU"/>
              </w:rPr>
            </w:pPr>
            <w:r w:rsidRPr="00E75831">
              <w:rPr>
                <w:sz w:val="18"/>
                <w:lang w:val="en-AU"/>
              </w:rPr>
              <w:t>0</w:t>
            </w:r>
          </w:p>
        </w:tc>
        <w:tc>
          <w:tcPr>
            <w:tcW w:w="1771" w:type="dxa"/>
          </w:tcPr>
          <w:p w14:paraId="441D870D" w14:textId="77777777" w:rsidR="00607FAB" w:rsidRPr="00E75831" w:rsidRDefault="00607FAB" w:rsidP="00607FAB">
            <w:pPr>
              <w:jc w:val="center"/>
              <w:rPr>
                <w:sz w:val="18"/>
                <w:lang w:val="en-AU"/>
              </w:rPr>
            </w:pPr>
            <w:r w:rsidRPr="00E75831">
              <w:rPr>
                <w:sz w:val="18"/>
                <w:lang w:val="en-AU"/>
              </w:rPr>
              <w:t>0.19</w:t>
            </w:r>
          </w:p>
        </w:tc>
        <w:tc>
          <w:tcPr>
            <w:tcW w:w="1786" w:type="dxa"/>
          </w:tcPr>
          <w:p w14:paraId="3BD2D1DE" w14:textId="77777777" w:rsidR="00607FAB" w:rsidRPr="00E75831" w:rsidRDefault="00607FAB" w:rsidP="00607FAB">
            <w:pPr>
              <w:jc w:val="center"/>
              <w:rPr>
                <w:sz w:val="18"/>
                <w:lang w:val="en-AU"/>
              </w:rPr>
            </w:pPr>
            <w:r w:rsidRPr="00E75831">
              <w:rPr>
                <w:sz w:val="18"/>
                <w:lang w:val="en-AU"/>
              </w:rPr>
              <w:t>0.19</w:t>
            </w:r>
          </w:p>
        </w:tc>
      </w:tr>
      <w:tr w:rsidR="00607FAB" w:rsidRPr="00E75831" w14:paraId="6219F610" w14:textId="77777777" w:rsidTr="00836448">
        <w:trPr>
          <w:trHeight w:val="216"/>
        </w:trPr>
        <w:tc>
          <w:tcPr>
            <w:tcW w:w="1783" w:type="dxa"/>
            <w:vMerge/>
          </w:tcPr>
          <w:p w14:paraId="5F0DAD3F" w14:textId="77777777" w:rsidR="00607FAB" w:rsidRPr="00E75831" w:rsidRDefault="00607FAB" w:rsidP="00607FAB">
            <w:pPr>
              <w:jc w:val="center"/>
              <w:rPr>
                <w:sz w:val="18"/>
                <w:lang w:val="en-AU"/>
              </w:rPr>
            </w:pPr>
          </w:p>
        </w:tc>
        <w:tc>
          <w:tcPr>
            <w:tcW w:w="1788" w:type="dxa"/>
          </w:tcPr>
          <w:p w14:paraId="2ABC2201" w14:textId="77777777" w:rsidR="00607FAB" w:rsidRPr="00E75831" w:rsidRDefault="00607FAB" w:rsidP="00607FAB">
            <w:pPr>
              <w:jc w:val="center"/>
              <w:rPr>
                <w:sz w:val="18"/>
                <w:lang w:val="en-AU"/>
              </w:rPr>
            </w:pPr>
            <w:r w:rsidRPr="00E75831">
              <w:rPr>
                <w:sz w:val="18"/>
                <w:lang w:val="en-AU"/>
              </w:rPr>
              <w:t>16 (384)</w:t>
            </w:r>
          </w:p>
        </w:tc>
        <w:tc>
          <w:tcPr>
            <w:tcW w:w="1770" w:type="dxa"/>
          </w:tcPr>
          <w:p w14:paraId="0E714B38" w14:textId="77777777" w:rsidR="00607FAB" w:rsidRPr="00E75831" w:rsidRDefault="00607FAB" w:rsidP="00607FAB">
            <w:pPr>
              <w:jc w:val="center"/>
              <w:rPr>
                <w:sz w:val="18"/>
                <w:lang w:val="en-AU"/>
              </w:rPr>
            </w:pPr>
            <w:r w:rsidRPr="00E75831">
              <w:rPr>
                <w:sz w:val="18"/>
                <w:lang w:val="en-AU"/>
              </w:rPr>
              <w:t>0</w:t>
            </w:r>
          </w:p>
        </w:tc>
        <w:tc>
          <w:tcPr>
            <w:tcW w:w="1771" w:type="dxa"/>
          </w:tcPr>
          <w:p w14:paraId="2B5F686E" w14:textId="77777777" w:rsidR="00607FAB" w:rsidRPr="00E75831" w:rsidRDefault="00607FAB" w:rsidP="00607FAB">
            <w:pPr>
              <w:jc w:val="center"/>
              <w:rPr>
                <w:sz w:val="18"/>
                <w:lang w:val="en-AU"/>
              </w:rPr>
            </w:pPr>
            <w:r w:rsidRPr="00E75831">
              <w:rPr>
                <w:sz w:val="18"/>
                <w:lang w:val="en-AU"/>
              </w:rPr>
              <w:t>0.38</w:t>
            </w:r>
          </w:p>
        </w:tc>
        <w:tc>
          <w:tcPr>
            <w:tcW w:w="1786" w:type="dxa"/>
          </w:tcPr>
          <w:p w14:paraId="06360993" w14:textId="77777777" w:rsidR="00607FAB" w:rsidRPr="00E75831" w:rsidRDefault="00607FAB" w:rsidP="00607FAB">
            <w:pPr>
              <w:jc w:val="center"/>
              <w:rPr>
                <w:sz w:val="18"/>
                <w:lang w:val="en-AU"/>
              </w:rPr>
            </w:pPr>
            <w:r w:rsidRPr="00E75831">
              <w:rPr>
                <w:sz w:val="18"/>
                <w:lang w:val="en-AU"/>
              </w:rPr>
              <w:t>0.38</w:t>
            </w:r>
          </w:p>
        </w:tc>
      </w:tr>
      <w:tr w:rsidR="00607FAB" w:rsidRPr="00E75831" w14:paraId="0ED0EAE1" w14:textId="77777777" w:rsidTr="00836448">
        <w:trPr>
          <w:trHeight w:val="216"/>
        </w:trPr>
        <w:tc>
          <w:tcPr>
            <w:tcW w:w="1783" w:type="dxa"/>
            <w:vMerge/>
          </w:tcPr>
          <w:p w14:paraId="19019D5B" w14:textId="77777777" w:rsidR="00607FAB" w:rsidRPr="00E75831" w:rsidRDefault="00607FAB" w:rsidP="00607FAB">
            <w:pPr>
              <w:jc w:val="center"/>
              <w:rPr>
                <w:sz w:val="18"/>
                <w:lang w:val="en-AU"/>
              </w:rPr>
            </w:pPr>
          </w:p>
        </w:tc>
        <w:tc>
          <w:tcPr>
            <w:tcW w:w="1788" w:type="dxa"/>
            <w:shd w:val="clear" w:color="auto" w:fill="C4BC96" w:themeFill="background2" w:themeFillShade="BF"/>
          </w:tcPr>
          <w:p w14:paraId="6DFE61DB" w14:textId="77777777" w:rsidR="00607FAB" w:rsidRPr="00E75831" w:rsidRDefault="00607FAB" w:rsidP="00607FAB">
            <w:pPr>
              <w:jc w:val="center"/>
              <w:rPr>
                <w:sz w:val="18"/>
                <w:lang w:val="en-AU"/>
              </w:rPr>
            </w:pPr>
            <w:r w:rsidRPr="00E75831">
              <w:rPr>
                <w:sz w:val="18"/>
                <w:lang w:val="en-AU"/>
              </w:rPr>
              <w:t>20 (480)</w:t>
            </w:r>
          </w:p>
        </w:tc>
        <w:tc>
          <w:tcPr>
            <w:tcW w:w="1770" w:type="dxa"/>
            <w:shd w:val="clear" w:color="auto" w:fill="C4BC96" w:themeFill="background2" w:themeFillShade="BF"/>
          </w:tcPr>
          <w:p w14:paraId="52FCF86E" w14:textId="77777777" w:rsidR="00607FAB" w:rsidRPr="00E75831" w:rsidRDefault="00607FAB" w:rsidP="00607FAB">
            <w:pPr>
              <w:jc w:val="center"/>
              <w:rPr>
                <w:sz w:val="18"/>
                <w:lang w:val="en-AU"/>
              </w:rPr>
            </w:pPr>
            <w:r w:rsidRPr="00E75831">
              <w:rPr>
                <w:sz w:val="18"/>
                <w:lang w:val="en-AU"/>
              </w:rPr>
              <w:t>0</w:t>
            </w:r>
          </w:p>
        </w:tc>
        <w:tc>
          <w:tcPr>
            <w:tcW w:w="1771" w:type="dxa"/>
            <w:shd w:val="clear" w:color="auto" w:fill="C4BC96" w:themeFill="background2" w:themeFillShade="BF"/>
          </w:tcPr>
          <w:p w14:paraId="4DD38720" w14:textId="77777777" w:rsidR="00607FAB" w:rsidRPr="00E75831" w:rsidRDefault="00607FAB" w:rsidP="00607FAB">
            <w:pPr>
              <w:jc w:val="center"/>
              <w:rPr>
                <w:sz w:val="18"/>
                <w:lang w:val="en-AU"/>
              </w:rPr>
            </w:pPr>
            <w:r w:rsidRPr="00E75831">
              <w:rPr>
                <w:sz w:val="18"/>
                <w:lang w:val="en-AU"/>
              </w:rPr>
              <w:t>0.48</w:t>
            </w:r>
          </w:p>
        </w:tc>
        <w:tc>
          <w:tcPr>
            <w:tcW w:w="1786" w:type="dxa"/>
            <w:shd w:val="clear" w:color="auto" w:fill="C4BC96" w:themeFill="background2" w:themeFillShade="BF"/>
          </w:tcPr>
          <w:p w14:paraId="46F3B76F" w14:textId="77777777" w:rsidR="00607FAB" w:rsidRPr="00E75831" w:rsidRDefault="00607FAB" w:rsidP="00607FAB">
            <w:pPr>
              <w:jc w:val="center"/>
              <w:rPr>
                <w:sz w:val="18"/>
                <w:lang w:val="en-AU"/>
              </w:rPr>
            </w:pPr>
            <w:r w:rsidRPr="00E75831">
              <w:rPr>
                <w:sz w:val="18"/>
                <w:lang w:val="en-AU"/>
              </w:rPr>
              <w:t>0.48</w:t>
            </w:r>
          </w:p>
        </w:tc>
      </w:tr>
      <w:tr w:rsidR="00607FAB" w:rsidRPr="00E75831" w14:paraId="71E0824B" w14:textId="77777777" w:rsidTr="00836448">
        <w:trPr>
          <w:trHeight w:val="216"/>
        </w:trPr>
        <w:tc>
          <w:tcPr>
            <w:tcW w:w="1783" w:type="dxa"/>
            <w:shd w:val="clear" w:color="auto" w:fill="C2D69B" w:themeFill="accent3" w:themeFillTint="99"/>
          </w:tcPr>
          <w:p w14:paraId="7FCF6D23" w14:textId="77777777" w:rsidR="00607FAB" w:rsidRPr="00E75831" w:rsidRDefault="00607FAB" w:rsidP="00607FAB">
            <w:pPr>
              <w:jc w:val="center"/>
              <w:rPr>
                <w:sz w:val="18"/>
                <w:lang w:val="en-AU"/>
              </w:rPr>
            </w:pPr>
            <w:r w:rsidRPr="00E75831">
              <w:rPr>
                <w:sz w:val="18"/>
                <w:lang w:val="en-AU"/>
              </w:rPr>
              <w:t>STAN 72-1981 max</w:t>
            </w:r>
          </w:p>
        </w:tc>
        <w:tc>
          <w:tcPr>
            <w:tcW w:w="1788" w:type="dxa"/>
            <w:shd w:val="clear" w:color="auto" w:fill="C2D69B" w:themeFill="accent3" w:themeFillTint="99"/>
          </w:tcPr>
          <w:p w14:paraId="539AC8C8" w14:textId="77777777" w:rsidR="00607FAB" w:rsidRPr="00E75831" w:rsidRDefault="00607FAB" w:rsidP="00607FAB">
            <w:pPr>
              <w:jc w:val="center"/>
              <w:rPr>
                <w:sz w:val="18"/>
                <w:lang w:val="en-AU"/>
              </w:rPr>
            </w:pPr>
            <w:r w:rsidRPr="00E75831">
              <w:rPr>
                <w:sz w:val="18"/>
                <w:lang w:val="en-AU"/>
              </w:rPr>
              <w:t>24 (576)</w:t>
            </w:r>
          </w:p>
        </w:tc>
        <w:tc>
          <w:tcPr>
            <w:tcW w:w="1770" w:type="dxa"/>
            <w:shd w:val="clear" w:color="auto" w:fill="C2D69B" w:themeFill="accent3" w:themeFillTint="99"/>
          </w:tcPr>
          <w:p w14:paraId="74157E3D" w14:textId="77777777" w:rsidR="00607FAB" w:rsidRPr="00E75831" w:rsidRDefault="00607FAB" w:rsidP="00607FAB">
            <w:pPr>
              <w:jc w:val="center"/>
              <w:rPr>
                <w:sz w:val="18"/>
                <w:lang w:val="en-AU"/>
              </w:rPr>
            </w:pPr>
            <w:r w:rsidRPr="00E75831">
              <w:rPr>
                <w:sz w:val="18"/>
                <w:lang w:val="en-AU"/>
              </w:rPr>
              <w:t>0</w:t>
            </w:r>
          </w:p>
        </w:tc>
        <w:tc>
          <w:tcPr>
            <w:tcW w:w="1771" w:type="dxa"/>
            <w:shd w:val="clear" w:color="auto" w:fill="C2D69B" w:themeFill="accent3" w:themeFillTint="99"/>
          </w:tcPr>
          <w:p w14:paraId="7798E557" w14:textId="77777777" w:rsidR="00607FAB" w:rsidRPr="00E75831" w:rsidRDefault="00607FAB" w:rsidP="00607FAB">
            <w:pPr>
              <w:jc w:val="center"/>
              <w:rPr>
                <w:sz w:val="18"/>
                <w:lang w:val="en-AU"/>
              </w:rPr>
            </w:pPr>
            <w:r w:rsidRPr="00E75831">
              <w:rPr>
                <w:sz w:val="18"/>
                <w:lang w:val="en-AU"/>
              </w:rPr>
              <w:t>0.58</w:t>
            </w:r>
          </w:p>
        </w:tc>
        <w:tc>
          <w:tcPr>
            <w:tcW w:w="1786" w:type="dxa"/>
            <w:shd w:val="clear" w:color="auto" w:fill="C2D69B" w:themeFill="accent3" w:themeFillTint="99"/>
          </w:tcPr>
          <w:p w14:paraId="3FA32C1F" w14:textId="77777777" w:rsidR="00607FAB" w:rsidRPr="00E75831" w:rsidRDefault="00607FAB" w:rsidP="00607FAB">
            <w:pPr>
              <w:jc w:val="center"/>
              <w:rPr>
                <w:sz w:val="18"/>
                <w:lang w:val="en-AU"/>
              </w:rPr>
            </w:pPr>
            <w:r w:rsidRPr="00E75831">
              <w:rPr>
                <w:sz w:val="18"/>
                <w:lang w:val="en-AU"/>
              </w:rPr>
              <w:t>0.58</w:t>
            </w:r>
          </w:p>
        </w:tc>
      </w:tr>
      <w:tr w:rsidR="00607FAB" w:rsidRPr="00E75831" w14:paraId="104FEB5B" w14:textId="77777777" w:rsidTr="00836448">
        <w:trPr>
          <w:trHeight w:val="216"/>
        </w:trPr>
        <w:tc>
          <w:tcPr>
            <w:tcW w:w="1783" w:type="dxa"/>
          </w:tcPr>
          <w:p w14:paraId="4CF359B4" w14:textId="77777777" w:rsidR="00607FAB" w:rsidRPr="00E75831" w:rsidRDefault="00607FAB" w:rsidP="00607FAB">
            <w:pPr>
              <w:jc w:val="center"/>
              <w:rPr>
                <w:sz w:val="18"/>
                <w:lang w:val="en-AU"/>
              </w:rPr>
            </w:pPr>
          </w:p>
        </w:tc>
        <w:tc>
          <w:tcPr>
            <w:tcW w:w="1788" w:type="dxa"/>
            <w:shd w:val="clear" w:color="auto" w:fill="C4BC96" w:themeFill="background2" w:themeFillShade="BF"/>
          </w:tcPr>
          <w:p w14:paraId="2EC51BF1" w14:textId="77777777" w:rsidR="00607FAB" w:rsidRPr="00E75831" w:rsidRDefault="00607FAB" w:rsidP="00607FAB">
            <w:pPr>
              <w:jc w:val="center"/>
              <w:rPr>
                <w:sz w:val="18"/>
                <w:lang w:val="en-AU"/>
              </w:rPr>
            </w:pPr>
            <w:r w:rsidRPr="00E75831">
              <w:rPr>
                <w:sz w:val="18"/>
                <w:lang w:val="en-AU"/>
              </w:rPr>
              <w:t>25 (600)</w:t>
            </w:r>
          </w:p>
        </w:tc>
        <w:tc>
          <w:tcPr>
            <w:tcW w:w="1770" w:type="dxa"/>
            <w:shd w:val="clear" w:color="auto" w:fill="C4BC96" w:themeFill="background2" w:themeFillShade="BF"/>
          </w:tcPr>
          <w:p w14:paraId="5ACDC650" w14:textId="77777777" w:rsidR="00607FAB" w:rsidRPr="00E75831" w:rsidRDefault="00607FAB" w:rsidP="00607FAB">
            <w:pPr>
              <w:jc w:val="center"/>
              <w:rPr>
                <w:sz w:val="18"/>
                <w:lang w:val="en-AU"/>
              </w:rPr>
            </w:pPr>
            <w:r w:rsidRPr="00E75831">
              <w:rPr>
                <w:sz w:val="18"/>
                <w:lang w:val="en-AU"/>
              </w:rPr>
              <w:t>0</w:t>
            </w:r>
          </w:p>
        </w:tc>
        <w:tc>
          <w:tcPr>
            <w:tcW w:w="1771" w:type="dxa"/>
            <w:shd w:val="clear" w:color="auto" w:fill="C4BC96" w:themeFill="background2" w:themeFillShade="BF"/>
          </w:tcPr>
          <w:p w14:paraId="233DDC22" w14:textId="77777777" w:rsidR="00607FAB" w:rsidRPr="00E75831" w:rsidRDefault="00607FAB" w:rsidP="00607FAB">
            <w:pPr>
              <w:jc w:val="center"/>
              <w:rPr>
                <w:sz w:val="18"/>
                <w:lang w:val="en-AU"/>
              </w:rPr>
            </w:pPr>
            <w:r w:rsidRPr="00E75831">
              <w:rPr>
                <w:sz w:val="18"/>
                <w:lang w:val="en-AU"/>
              </w:rPr>
              <w:t>0.60</w:t>
            </w:r>
          </w:p>
        </w:tc>
        <w:tc>
          <w:tcPr>
            <w:tcW w:w="1786" w:type="dxa"/>
            <w:shd w:val="clear" w:color="auto" w:fill="C4BC96" w:themeFill="background2" w:themeFillShade="BF"/>
          </w:tcPr>
          <w:p w14:paraId="1732BB80" w14:textId="77777777" w:rsidR="00607FAB" w:rsidRPr="00E75831" w:rsidRDefault="00607FAB" w:rsidP="00607FAB">
            <w:pPr>
              <w:jc w:val="center"/>
              <w:rPr>
                <w:sz w:val="18"/>
                <w:lang w:val="en-AU"/>
              </w:rPr>
            </w:pPr>
            <w:r w:rsidRPr="00E75831">
              <w:rPr>
                <w:sz w:val="18"/>
                <w:lang w:val="en-AU"/>
              </w:rPr>
              <w:t>0.60</w:t>
            </w:r>
          </w:p>
        </w:tc>
      </w:tr>
      <w:tr w:rsidR="00607FAB" w:rsidRPr="00E75831" w14:paraId="74A9F7D1" w14:textId="77777777" w:rsidTr="00836448">
        <w:trPr>
          <w:trHeight w:val="180"/>
        </w:trPr>
        <w:tc>
          <w:tcPr>
            <w:tcW w:w="1783" w:type="dxa"/>
            <w:vMerge w:val="restart"/>
          </w:tcPr>
          <w:p w14:paraId="6504AAF8" w14:textId="77777777" w:rsidR="00607FAB" w:rsidRPr="00E75831" w:rsidRDefault="00607FAB" w:rsidP="00607FAB">
            <w:pPr>
              <w:jc w:val="center"/>
              <w:rPr>
                <w:sz w:val="18"/>
                <w:lang w:val="en-AU"/>
              </w:rPr>
            </w:pPr>
          </w:p>
          <w:p w14:paraId="7F1FCCAC" w14:textId="77777777" w:rsidR="00607FAB" w:rsidRPr="00E75831" w:rsidRDefault="00607FAB" w:rsidP="00607FAB">
            <w:pPr>
              <w:shd w:val="clear" w:color="auto" w:fill="B6DDE8" w:themeFill="accent5" w:themeFillTint="66"/>
              <w:jc w:val="center"/>
              <w:rPr>
                <w:sz w:val="18"/>
                <w:lang w:val="en-AU"/>
              </w:rPr>
            </w:pPr>
            <w:r w:rsidRPr="00E75831">
              <w:rPr>
                <w:sz w:val="18"/>
                <w:lang w:val="en-AU"/>
              </w:rPr>
              <w:t>Median level found in Au IF powder</w:t>
            </w:r>
          </w:p>
          <w:p w14:paraId="01FBE7DC" w14:textId="77777777" w:rsidR="00607FAB" w:rsidRPr="00E75831" w:rsidRDefault="00607FAB" w:rsidP="00607FAB">
            <w:pPr>
              <w:rPr>
                <w:sz w:val="18"/>
                <w:lang w:val="en-AU"/>
              </w:rPr>
            </w:pPr>
          </w:p>
          <w:p w14:paraId="37FAA2B0" w14:textId="77777777" w:rsidR="00607FAB" w:rsidRPr="00D857FF" w:rsidRDefault="00607FAB" w:rsidP="00607FAB">
            <w:pPr>
              <w:jc w:val="center"/>
              <w:rPr>
                <w:b/>
                <w:sz w:val="18"/>
                <w:lang w:val="en-AU"/>
              </w:rPr>
            </w:pPr>
            <w:r>
              <w:rPr>
                <w:b/>
                <w:sz w:val="18"/>
                <w:lang w:val="en-AU"/>
              </w:rPr>
              <w:t>0.5</w:t>
            </w:r>
          </w:p>
          <w:p w14:paraId="25400385" w14:textId="77777777" w:rsidR="00607FAB" w:rsidRPr="00E75831" w:rsidRDefault="00607FAB" w:rsidP="00607FAB">
            <w:pPr>
              <w:jc w:val="center"/>
              <w:rPr>
                <w:sz w:val="18"/>
                <w:lang w:val="en-AU"/>
              </w:rPr>
            </w:pPr>
            <w:r w:rsidRPr="00E75831">
              <w:rPr>
                <w:sz w:val="18"/>
                <w:shd w:val="clear" w:color="auto" w:fill="C4BC96" w:themeFill="background2" w:themeFillShade="BF"/>
                <w:lang w:val="en-AU"/>
              </w:rPr>
              <w:t xml:space="preserve">2.9.1 Fluorosis statement required </w:t>
            </w:r>
            <w:r w:rsidRPr="00E75831">
              <w:rPr>
                <w:rFonts w:cs="Arial"/>
                <w:sz w:val="18"/>
                <w:shd w:val="clear" w:color="auto" w:fill="C4BC96" w:themeFill="background2" w:themeFillShade="BF"/>
                <w:lang w:val="en-AU"/>
              </w:rPr>
              <w:t>˃</w:t>
            </w:r>
            <w:r w:rsidRPr="00E75831">
              <w:rPr>
                <w:sz w:val="18"/>
                <w:shd w:val="clear" w:color="auto" w:fill="C4BC96" w:themeFill="background2" w:themeFillShade="BF"/>
                <w:lang w:val="en-AU"/>
              </w:rPr>
              <w:t xml:space="preserve">17 </w:t>
            </w:r>
            <w:r w:rsidRPr="00E75831">
              <w:rPr>
                <w:rFonts w:cs="Arial"/>
                <w:sz w:val="18"/>
                <w:shd w:val="clear" w:color="auto" w:fill="C4BC96" w:themeFill="background2" w:themeFillShade="BF"/>
                <w:lang w:val="en-AU"/>
              </w:rPr>
              <w:t>µ</w:t>
            </w:r>
            <w:r w:rsidRPr="00E75831">
              <w:rPr>
                <w:sz w:val="18"/>
                <w:shd w:val="clear" w:color="auto" w:fill="C4BC96" w:themeFill="background2" w:themeFillShade="BF"/>
                <w:lang w:val="en-AU"/>
              </w:rPr>
              <w:t>g/100kJ</w:t>
            </w:r>
          </w:p>
        </w:tc>
        <w:tc>
          <w:tcPr>
            <w:tcW w:w="1788" w:type="dxa"/>
          </w:tcPr>
          <w:p w14:paraId="23D3DE09" w14:textId="77777777" w:rsidR="00607FAB" w:rsidRPr="00E75831" w:rsidRDefault="00607FAB" w:rsidP="00607FAB">
            <w:pPr>
              <w:jc w:val="center"/>
              <w:rPr>
                <w:sz w:val="18"/>
                <w:lang w:val="en-AU"/>
              </w:rPr>
            </w:pPr>
            <w:r w:rsidRPr="00E75831">
              <w:rPr>
                <w:sz w:val="18"/>
                <w:lang w:val="en-AU"/>
              </w:rPr>
              <w:t>0 (0)</w:t>
            </w:r>
          </w:p>
        </w:tc>
        <w:tc>
          <w:tcPr>
            <w:tcW w:w="1770" w:type="dxa"/>
          </w:tcPr>
          <w:p w14:paraId="11F9B525" w14:textId="77777777" w:rsidR="00607FAB" w:rsidRPr="00E75831" w:rsidRDefault="00607FAB" w:rsidP="00607FAB">
            <w:pPr>
              <w:jc w:val="center"/>
              <w:rPr>
                <w:sz w:val="18"/>
                <w:lang w:val="en-AU"/>
              </w:rPr>
            </w:pPr>
            <w:r w:rsidRPr="00E75831">
              <w:rPr>
                <w:sz w:val="18"/>
                <w:lang w:val="en-AU"/>
              </w:rPr>
              <w:t>0.38</w:t>
            </w:r>
          </w:p>
        </w:tc>
        <w:tc>
          <w:tcPr>
            <w:tcW w:w="1771" w:type="dxa"/>
          </w:tcPr>
          <w:p w14:paraId="33A716EC" w14:textId="77777777" w:rsidR="00607FAB" w:rsidRPr="00E75831" w:rsidRDefault="00607FAB" w:rsidP="00607FAB">
            <w:pPr>
              <w:jc w:val="center"/>
              <w:rPr>
                <w:sz w:val="18"/>
                <w:lang w:val="en-AU"/>
              </w:rPr>
            </w:pPr>
            <w:r w:rsidRPr="00E75831">
              <w:rPr>
                <w:sz w:val="18"/>
                <w:lang w:val="en-AU"/>
              </w:rPr>
              <w:t>0.00</w:t>
            </w:r>
          </w:p>
        </w:tc>
        <w:tc>
          <w:tcPr>
            <w:tcW w:w="1786" w:type="dxa"/>
          </w:tcPr>
          <w:p w14:paraId="2C272457" w14:textId="77777777" w:rsidR="00607FAB" w:rsidRPr="00E75831" w:rsidRDefault="00607FAB" w:rsidP="00607FAB">
            <w:pPr>
              <w:jc w:val="center"/>
              <w:rPr>
                <w:sz w:val="18"/>
                <w:lang w:val="en-AU"/>
              </w:rPr>
            </w:pPr>
            <w:r w:rsidRPr="00E75831">
              <w:rPr>
                <w:sz w:val="18"/>
                <w:lang w:val="en-AU"/>
              </w:rPr>
              <w:t>0.00</w:t>
            </w:r>
          </w:p>
        </w:tc>
      </w:tr>
      <w:tr w:rsidR="00607FAB" w:rsidRPr="00E75831" w14:paraId="7DBB6A84" w14:textId="77777777" w:rsidTr="00836448">
        <w:trPr>
          <w:trHeight w:val="180"/>
        </w:trPr>
        <w:tc>
          <w:tcPr>
            <w:tcW w:w="1783" w:type="dxa"/>
            <w:vMerge/>
          </w:tcPr>
          <w:p w14:paraId="37950171" w14:textId="77777777" w:rsidR="00607FAB" w:rsidRPr="00E75831" w:rsidRDefault="00607FAB" w:rsidP="00607FAB">
            <w:pPr>
              <w:jc w:val="center"/>
              <w:rPr>
                <w:sz w:val="18"/>
                <w:lang w:val="en-AU"/>
              </w:rPr>
            </w:pPr>
          </w:p>
        </w:tc>
        <w:tc>
          <w:tcPr>
            <w:tcW w:w="1788" w:type="dxa"/>
          </w:tcPr>
          <w:p w14:paraId="6A6510E8" w14:textId="77777777" w:rsidR="00607FAB" w:rsidRPr="00E75831" w:rsidRDefault="00607FAB" w:rsidP="00607FAB">
            <w:pPr>
              <w:jc w:val="center"/>
              <w:rPr>
                <w:sz w:val="18"/>
                <w:lang w:val="en-AU"/>
              </w:rPr>
            </w:pPr>
            <w:r w:rsidRPr="00E75831">
              <w:rPr>
                <w:sz w:val="18"/>
                <w:lang w:val="en-AU"/>
              </w:rPr>
              <w:t>4 (96)</w:t>
            </w:r>
          </w:p>
        </w:tc>
        <w:tc>
          <w:tcPr>
            <w:tcW w:w="1770" w:type="dxa"/>
          </w:tcPr>
          <w:p w14:paraId="424691B6" w14:textId="77777777" w:rsidR="00607FAB" w:rsidRPr="00E75831" w:rsidRDefault="00607FAB" w:rsidP="00607FAB">
            <w:pPr>
              <w:jc w:val="center"/>
              <w:rPr>
                <w:sz w:val="18"/>
                <w:lang w:val="en-AU"/>
              </w:rPr>
            </w:pPr>
            <w:r w:rsidRPr="00E75831">
              <w:rPr>
                <w:sz w:val="18"/>
                <w:lang w:val="en-AU"/>
              </w:rPr>
              <w:t>0.38</w:t>
            </w:r>
          </w:p>
        </w:tc>
        <w:tc>
          <w:tcPr>
            <w:tcW w:w="1771" w:type="dxa"/>
          </w:tcPr>
          <w:p w14:paraId="2850CF81" w14:textId="77777777" w:rsidR="00607FAB" w:rsidRPr="00E75831" w:rsidRDefault="00607FAB" w:rsidP="00607FAB">
            <w:pPr>
              <w:jc w:val="center"/>
              <w:rPr>
                <w:sz w:val="18"/>
                <w:lang w:val="en-AU"/>
              </w:rPr>
            </w:pPr>
            <w:r w:rsidRPr="00E75831">
              <w:rPr>
                <w:sz w:val="18"/>
                <w:lang w:val="en-AU"/>
              </w:rPr>
              <w:t>0.10</w:t>
            </w:r>
          </w:p>
        </w:tc>
        <w:tc>
          <w:tcPr>
            <w:tcW w:w="1786" w:type="dxa"/>
          </w:tcPr>
          <w:p w14:paraId="3F356047" w14:textId="77777777" w:rsidR="00607FAB" w:rsidRPr="00E75831" w:rsidRDefault="00607FAB" w:rsidP="00607FAB">
            <w:pPr>
              <w:jc w:val="center"/>
              <w:rPr>
                <w:sz w:val="18"/>
                <w:lang w:val="en-AU"/>
              </w:rPr>
            </w:pPr>
            <w:r w:rsidRPr="00E75831">
              <w:rPr>
                <w:sz w:val="18"/>
                <w:lang w:val="en-AU"/>
              </w:rPr>
              <w:t>0.48</w:t>
            </w:r>
          </w:p>
        </w:tc>
      </w:tr>
      <w:tr w:rsidR="00607FAB" w:rsidRPr="00E75831" w14:paraId="081C6A28" w14:textId="77777777" w:rsidTr="00836448">
        <w:trPr>
          <w:trHeight w:val="180"/>
        </w:trPr>
        <w:tc>
          <w:tcPr>
            <w:tcW w:w="1783" w:type="dxa"/>
            <w:vMerge/>
            <w:shd w:val="clear" w:color="auto" w:fill="B6DDE8" w:themeFill="accent5" w:themeFillTint="66"/>
          </w:tcPr>
          <w:p w14:paraId="19F24B48" w14:textId="77777777" w:rsidR="00607FAB" w:rsidRPr="00E75831" w:rsidRDefault="00607FAB" w:rsidP="00607FAB">
            <w:pPr>
              <w:jc w:val="center"/>
              <w:rPr>
                <w:sz w:val="18"/>
                <w:lang w:val="en-AU"/>
              </w:rPr>
            </w:pPr>
          </w:p>
        </w:tc>
        <w:tc>
          <w:tcPr>
            <w:tcW w:w="1788" w:type="dxa"/>
            <w:shd w:val="clear" w:color="auto" w:fill="B6DDE8" w:themeFill="accent5" w:themeFillTint="66"/>
          </w:tcPr>
          <w:p w14:paraId="7F3ED069" w14:textId="77777777" w:rsidR="00607FAB" w:rsidRPr="00E75831" w:rsidRDefault="00607FAB" w:rsidP="00607FAB">
            <w:pPr>
              <w:jc w:val="center"/>
              <w:rPr>
                <w:sz w:val="18"/>
                <w:lang w:val="en-AU"/>
              </w:rPr>
            </w:pPr>
            <w:r w:rsidRPr="00E75831">
              <w:rPr>
                <w:sz w:val="18"/>
                <w:lang w:val="en-AU"/>
              </w:rPr>
              <w:t>5 (120)</w:t>
            </w:r>
          </w:p>
        </w:tc>
        <w:tc>
          <w:tcPr>
            <w:tcW w:w="1770" w:type="dxa"/>
            <w:shd w:val="clear" w:color="auto" w:fill="B6DDE8" w:themeFill="accent5" w:themeFillTint="66"/>
          </w:tcPr>
          <w:p w14:paraId="27CE4262" w14:textId="77777777" w:rsidR="00607FAB" w:rsidRPr="00E75831" w:rsidRDefault="00607FAB" w:rsidP="00607FAB">
            <w:pPr>
              <w:jc w:val="center"/>
              <w:rPr>
                <w:sz w:val="18"/>
                <w:lang w:val="en-AU"/>
              </w:rPr>
            </w:pPr>
            <w:r w:rsidRPr="00E75831">
              <w:rPr>
                <w:sz w:val="18"/>
                <w:lang w:val="en-AU"/>
              </w:rPr>
              <w:t>0.38</w:t>
            </w:r>
          </w:p>
        </w:tc>
        <w:tc>
          <w:tcPr>
            <w:tcW w:w="1771" w:type="dxa"/>
            <w:shd w:val="clear" w:color="auto" w:fill="B6DDE8" w:themeFill="accent5" w:themeFillTint="66"/>
          </w:tcPr>
          <w:p w14:paraId="2ED5755B" w14:textId="77777777" w:rsidR="00607FAB" w:rsidRPr="00E75831" w:rsidRDefault="00607FAB" w:rsidP="00607FAB">
            <w:pPr>
              <w:jc w:val="center"/>
              <w:rPr>
                <w:sz w:val="18"/>
                <w:lang w:val="en-AU"/>
              </w:rPr>
            </w:pPr>
            <w:r w:rsidRPr="00E75831">
              <w:rPr>
                <w:sz w:val="18"/>
                <w:lang w:val="en-AU"/>
              </w:rPr>
              <w:t>0.12</w:t>
            </w:r>
          </w:p>
        </w:tc>
        <w:tc>
          <w:tcPr>
            <w:tcW w:w="1786" w:type="dxa"/>
            <w:shd w:val="clear" w:color="auto" w:fill="B6DDE8" w:themeFill="accent5" w:themeFillTint="66"/>
          </w:tcPr>
          <w:p w14:paraId="4E03F009" w14:textId="77777777" w:rsidR="00607FAB" w:rsidRPr="00E75831" w:rsidRDefault="00607FAB" w:rsidP="00607FAB">
            <w:pPr>
              <w:jc w:val="center"/>
              <w:rPr>
                <w:sz w:val="18"/>
                <w:lang w:val="en-AU"/>
              </w:rPr>
            </w:pPr>
            <w:r w:rsidRPr="00E75831">
              <w:rPr>
                <w:sz w:val="18"/>
                <w:lang w:val="en-AU"/>
              </w:rPr>
              <w:t>0.50</w:t>
            </w:r>
          </w:p>
        </w:tc>
      </w:tr>
      <w:tr w:rsidR="00607FAB" w:rsidRPr="00E75831" w14:paraId="064A0481" w14:textId="77777777" w:rsidTr="00836448">
        <w:trPr>
          <w:trHeight w:val="180"/>
        </w:trPr>
        <w:tc>
          <w:tcPr>
            <w:tcW w:w="1783" w:type="dxa"/>
            <w:vMerge/>
          </w:tcPr>
          <w:p w14:paraId="45212EB0" w14:textId="77777777" w:rsidR="00607FAB" w:rsidRPr="00E75831" w:rsidRDefault="00607FAB" w:rsidP="00607FAB">
            <w:pPr>
              <w:jc w:val="center"/>
              <w:rPr>
                <w:sz w:val="18"/>
                <w:lang w:val="en-AU"/>
              </w:rPr>
            </w:pPr>
          </w:p>
        </w:tc>
        <w:tc>
          <w:tcPr>
            <w:tcW w:w="1788" w:type="dxa"/>
          </w:tcPr>
          <w:p w14:paraId="2508EB95" w14:textId="77777777" w:rsidR="00607FAB" w:rsidRPr="00E75831" w:rsidRDefault="00607FAB" w:rsidP="00607FAB">
            <w:pPr>
              <w:jc w:val="center"/>
              <w:rPr>
                <w:sz w:val="18"/>
                <w:lang w:val="en-AU"/>
              </w:rPr>
            </w:pPr>
            <w:r w:rsidRPr="00E75831">
              <w:rPr>
                <w:sz w:val="18"/>
                <w:lang w:val="en-AU"/>
              </w:rPr>
              <w:t>8 (192)</w:t>
            </w:r>
          </w:p>
        </w:tc>
        <w:tc>
          <w:tcPr>
            <w:tcW w:w="1770" w:type="dxa"/>
          </w:tcPr>
          <w:p w14:paraId="62427E35" w14:textId="77777777" w:rsidR="00607FAB" w:rsidRPr="00E75831" w:rsidRDefault="00607FAB" w:rsidP="00607FAB">
            <w:pPr>
              <w:jc w:val="center"/>
              <w:rPr>
                <w:sz w:val="18"/>
                <w:lang w:val="en-AU"/>
              </w:rPr>
            </w:pPr>
            <w:r w:rsidRPr="00E75831">
              <w:rPr>
                <w:sz w:val="18"/>
                <w:lang w:val="en-AU"/>
              </w:rPr>
              <w:t>0.38</w:t>
            </w:r>
          </w:p>
        </w:tc>
        <w:tc>
          <w:tcPr>
            <w:tcW w:w="1771" w:type="dxa"/>
          </w:tcPr>
          <w:p w14:paraId="2BF0913F" w14:textId="77777777" w:rsidR="00607FAB" w:rsidRPr="00E75831" w:rsidRDefault="00607FAB" w:rsidP="00607FAB">
            <w:pPr>
              <w:jc w:val="center"/>
              <w:rPr>
                <w:sz w:val="18"/>
                <w:lang w:val="en-AU"/>
              </w:rPr>
            </w:pPr>
            <w:r w:rsidRPr="00E75831">
              <w:rPr>
                <w:sz w:val="18"/>
                <w:lang w:val="en-AU"/>
              </w:rPr>
              <w:t>0.19</w:t>
            </w:r>
          </w:p>
        </w:tc>
        <w:tc>
          <w:tcPr>
            <w:tcW w:w="1786" w:type="dxa"/>
          </w:tcPr>
          <w:p w14:paraId="4700D722" w14:textId="77777777" w:rsidR="00607FAB" w:rsidRPr="00E75831" w:rsidRDefault="00607FAB" w:rsidP="00607FAB">
            <w:pPr>
              <w:jc w:val="center"/>
              <w:rPr>
                <w:sz w:val="18"/>
                <w:lang w:val="en-AU"/>
              </w:rPr>
            </w:pPr>
            <w:r w:rsidRPr="00E75831">
              <w:rPr>
                <w:sz w:val="18"/>
                <w:lang w:val="en-AU"/>
              </w:rPr>
              <w:t>0.57</w:t>
            </w:r>
          </w:p>
        </w:tc>
      </w:tr>
      <w:tr w:rsidR="00607FAB" w:rsidRPr="00E75831" w14:paraId="14D6EFFD" w14:textId="77777777" w:rsidTr="00836448">
        <w:trPr>
          <w:trHeight w:val="180"/>
        </w:trPr>
        <w:tc>
          <w:tcPr>
            <w:tcW w:w="1783" w:type="dxa"/>
            <w:vMerge/>
          </w:tcPr>
          <w:p w14:paraId="609B7179" w14:textId="77777777" w:rsidR="00607FAB" w:rsidRPr="00E75831" w:rsidRDefault="00607FAB" w:rsidP="00607FAB">
            <w:pPr>
              <w:jc w:val="center"/>
              <w:rPr>
                <w:sz w:val="18"/>
                <w:lang w:val="en-AU"/>
              </w:rPr>
            </w:pPr>
          </w:p>
        </w:tc>
        <w:tc>
          <w:tcPr>
            <w:tcW w:w="1788" w:type="dxa"/>
          </w:tcPr>
          <w:p w14:paraId="465D1A08" w14:textId="77777777" w:rsidR="00607FAB" w:rsidRPr="00E75831" w:rsidRDefault="00607FAB" w:rsidP="00607FAB">
            <w:pPr>
              <w:jc w:val="center"/>
              <w:rPr>
                <w:sz w:val="18"/>
                <w:lang w:val="en-AU"/>
              </w:rPr>
            </w:pPr>
            <w:r w:rsidRPr="00E75831">
              <w:rPr>
                <w:sz w:val="18"/>
                <w:lang w:val="en-AU"/>
              </w:rPr>
              <w:t>16 (384)</w:t>
            </w:r>
          </w:p>
        </w:tc>
        <w:tc>
          <w:tcPr>
            <w:tcW w:w="1770" w:type="dxa"/>
          </w:tcPr>
          <w:p w14:paraId="7CBC6E08" w14:textId="77777777" w:rsidR="00607FAB" w:rsidRPr="00E75831" w:rsidRDefault="00607FAB" w:rsidP="00607FAB">
            <w:pPr>
              <w:jc w:val="center"/>
              <w:rPr>
                <w:sz w:val="18"/>
                <w:lang w:val="en-AU"/>
              </w:rPr>
            </w:pPr>
            <w:r w:rsidRPr="00E75831">
              <w:rPr>
                <w:sz w:val="18"/>
                <w:lang w:val="en-AU"/>
              </w:rPr>
              <w:t>0.38</w:t>
            </w:r>
          </w:p>
        </w:tc>
        <w:tc>
          <w:tcPr>
            <w:tcW w:w="1771" w:type="dxa"/>
          </w:tcPr>
          <w:p w14:paraId="63D633E5" w14:textId="77777777" w:rsidR="00607FAB" w:rsidRPr="00E75831" w:rsidRDefault="00607FAB" w:rsidP="00607FAB">
            <w:pPr>
              <w:jc w:val="center"/>
              <w:rPr>
                <w:sz w:val="18"/>
                <w:lang w:val="en-AU"/>
              </w:rPr>
            </w:pPr>
            <w:r w:rsidRPr="00E75831">
              <w:rPr>
                <w:sz w:val="18"/>
                <w:lang w:val="en-AU"/>
              </w:rPr>
              <w:t>0.38</w:t>
            </w:r>
          </w:p>
        </w:tc>
        <w:tc>
          <w:tcPr>
            <w:tcW w:w="1786" w:type="dxa"/>
          </w:tcPr>
          <w:p w14:paraId="2B91D64C" w14:textId="77777777" w:rsidR="00607FAB" w:rsidRPr="00E75831" w:rsidRDefault="00607FAB" w:rsidP="00607FAB">
            <w:pPr>
              <w:jc w:val="center"/>
              <w:rPr>
                <w:sz w:val="18"/>
                <w:lang w:val="en-AU"/>
              </w:rPr>
            </w:pPr>
            <w:r w:rsidRPr="00E75831">
              <w:rPr>
                <w:sz w:val="18"/>
                <w:lang w:val="en-AU"/>
              </w:rPr>
              <w:t>0.76</w:t>
            </w:r>
          </w:p>
        </w:tc>
      </w:tr>
      <w:tr w:rsidR="00607FAB" w:rsidRPr="00E75831" w14:paraId="18772ED9" w14:textId="77777777" w:rsidTr="00836448">
        <w:trPr>
          <w:trHeight w:val="180"/>
        </w:trPr>
        <w:tc>
          <w:tcPr>
            <w:tcW w:w="1783" w:type="dxa"/>
            <w:vMerge/>
          </w:tcPr>
          <w:p w14:paraId="14C1703D" w14:textId="77777777" w:rsidR="00607FAB" w:rsidRPr="00E75831" w:rsidRDefault="00607FAB" w:rsidP="00607FAB">
            <w:pPr>
              <w:jc w:val="center"/>
              <w:rPr>
                <w:sz w:val="18"/>
                <w:lang w:val="en-AU"/>
              </w:rPr>
            </w:pPr>
          </w:p>
        </w:tc>
        <w:tc>
          <w:tcPr>
            <w:tcW w:w="1788" w:type="dxa"/>
            <w:shd w:val="clear" w:color="auto" w:fill="C4BC96" w:themeFill="background2" w:themeFillShade="BF"/>
          </w:tcPr>
          <w:p w14:paraId="5BFB97E5" w14:textId="77777777" w:rsidR="00607FAB" w:rsidRPr="00E75831" w:rsidRDefault="00607FAB" w:rsidP="00607FAB">
            <w:pPr>
              <w:jc w:val="center"/>
              <w:rPr>
                <w:sz w:val="18"/>
                <w:lang w:val="en-AU"/>
              </w:rPr>
            </w:pPr>
            <w:r w:rsidRPr="00E75831">
              <w:rPr>
                <w:sz w:val="18"/>
                <w:lang w:val="en-AU"/>
              </w:rPr>
              <w:t>20 (480)</w:t>
            </w:r>
          </w:p>
        </w:tc>
        <w:tc>
          <w:tcPr>
            <w:tcW w:w="1770" w:type="dxa"/>
            <w:shd w:val="clear" w:color="auto" w:fill="C4BC96" w:themeFill="background2" w:themeFillShade="BF"/>
          </w:tcPr>
          <w:p w14:paraId="5DFF0DD2" w14:textId="77777777" w:rsidR="00607FAB" w:rsidRPr="00E75831" w:rsidRDefault="00607FAB" w:rsidP="00607FAB">
            <w:pPr>
              <w:jc w:val="center"/>
              <w:rPr>
                <w:sz w:val="18"/>
                <w:lang w:val="en-AU"/>
              </w:rPr>
            </w:pPr>
            <w:r w:rsidRPr="00E75831">
              <w:rPr>
                <w:sz w:val="18"/>
                <w:lang w:val="en-AU"/>
              </w:rPr>
              <w:t>0.38</w:t>
            </w:r>
          </w:p>
        </w:tc>
        <w:tc>
          <w:tcPr>
            <w:tcW w:w="1771" w:type="dxa"/>
            <w:shd w:val="clear" w:color="auto" w:fill="C4BC96" w:themeFill="background2" w:themeFillShade="BF"/>
          </w:tcPr>
          <w:p w14:paraId="1CC22521" w14:textId="77777777" w:rsidR="00607FAB" w:rsidRPr="00E75831" w:rsidRDefault="00607FAB" w:rsidP="00607FAB">
            <w:pPr>
              <w:jc w:val="center"/>
              <w:rPr>
                <w:sz w:val="18"/>
                <w:lang w:val="en-AU"/>
              </w:rPr>
            </w:pPr>
            <w:r w:rsidRPr="00E75831">
              <w:rPr>
                <w:sz w:val="18"/>
                <w:lang w:val="en-AU"/>
              </w:rPr>
              <w:t>0.48</w:t>
            </w:r>
          </w:p>
        </w:tc>
        <w:tc>
          <w:tcPr>
            <w:tcW w:w="1786" w:type="dxa"/>
            <w:shd w:val="clear" w:color="auto" w:fill="C4BC96" w:themeFill="background2" w:themeFillShade="BF"/>
          </w:tcPr>
          <w:p w14:paraId="5F1735C8" w14:textId="77777777" w:rsidR="00607FAB" w:rsidRPr="00E75831" w:rsidRDefault="00607FAB" w:rsidP="00607FAB">
            <w:pPr>
              <w:jc w:val="center"/>
              <w:rPr>
                <w:sz w:val="18"/>
                <w:lang w:val="en-AU"/>
              </w:rPr>
            </w:pPr>
            <w:r w:rsidRPr="00E75831">
              <w:rPr>
                <w:sz w:val="18"/>
                <w:lang w:val="en-AU"/>
              </w:rPr>
              <w:t>0.86</w:t>
            </w:r>
          </w:p>
        </w:tc>
      </w:tr>
      <w:tr w:rsidR="00607FAB" w:rsidRPr="00E75831" w14:paraId="20DC1807" w14:textId="77777777" w:rsidTr="00836448">
        <w:trPr>
          <w:trHeight w:val="180"/>
        </w:trPr>
        <w:tc>
          <w:tcPr>
            <w:tcW w:w="1783" w:type="dxa"/>
            <w:vMerge/>
            <w:tcBorders>
              <w:bottom w:val="single" w:sz="18" w:space="0" w:color="auto"/>
            </w:tcBorders>
          </w:tcPr>
          <w:p w14:paraId="2F4CF19B" w14:textId="77777777" w:rsidR="00607FAB" w:rsidRPr="00E75831" w:rsidRDefault="00607FAB" w:rsidP="00607FAB">
            <w:pPr>
              <w:jc w:val="center"/>
              <w:rPr>
                <w:sz w:val="18"/>
                <w:lang w:val="en-AU"/>
              </w:rPr>
            </w:pPr>
          </w:p>
        </w:tc>
        <w:tc>
          <w:tcPr>
            <w:tcW w:w="1788" w:type="dxa"/>
            <w:tcBorders>
              <w:bottom w:val="single" w:sz="18" w:space="0" w:color="auto"/>
            </w:tcBorders>
            <w:shd w:val="clear" w:color="auto" w:fill="C4BC96" w:themeFill="background2" w:themeFillShade="BF"/>
          </w:tcPr>
          <w:p w14:paraId="35DD98AF" w14:textId="77777777" w:rsidR="00607FAB" w:rsidRPr="00E75831" w:rsidRDefault="00607FAB" w:rsidP="00607FAB">
            <w:pPr>
              <w:jc w:val="center"/>
              <w:rPr>
                <w:sz w:val="18"/>
                <w:lang w:val="en-AU"/>
              </w:rPr>
            </w:pPr>
            <w:r w:rsidRPr="00E75831">
              <w:rPr>
                <w:sz w:val="18"/>
                <w:lang w:val="en-AU"/>
              </w:rPr>
              <w:t>25 (600)</w:t>
            </w:r>
          </w:p>
        </w:tc>
        <w:tc>
          <w:tcPr>
            <w:tcW w:w="1770" w:type="dxa"/>
            <w:tcBorders>
              <w:bottom w:val="single" w:sz="18" w:space="0" w:color="auto"/>
            </w:tcBorders>
            <w:shd w:val="clear" w:color="auto" w:fill="C4BC96" w:themeFill="background2" w:themeFillShade="BF"/>
          </w:tcPr>
          <w:p w14:paraId="11372F18" w14:textId="77777777" w:rsidR="00607FAB" w:rsidRPr="00E75831" w:rsidRDefault="00607FAB" w:rsidP="00607FAB">
            <w:pPr>
              <w:jc w:val="center"/>
              <w:rPr>
                <w:sz w:val="18"/>
                <w:lang w:val="en-AU"/>
              </w:rPr>
            </w:pPr>
            <w:r w:rsidRPr="00E75831">
              <w:rPr>
                <w:sz w:val="18"/>
                <w:lang w:val="en-AU"/>
              </w:rPr>
              <w:t>0.38</w:t>
            </w:r>
          </w:p>
        </w:tc>
        <w:tc>
          <w:tcPr>
            <w:tcW w:w="1771" w:type="dxa"/>
            <w:tcBorders>
              <w:bottom w:val="single" w:sz="18" w:space="0" w:color="auto"/>
            </w:tcBorders>
            <w:shd w:val="clear" w:color="auto" w:fill="C4BC96" w:themeFill="background2" w:themeFillShade="BF"/>
          </w:tcPr>
          <w:p w14:paraId="0D166411" w14:textId="77777777" w:rsidR="00607FAB" w:rsidRPr="00E75831" w:rsidRDefault="00607FAB" w:rsidP="00607FAB">
            <w:pPr>
              <w:jc w:val="center"/>
              <w:rPr>
                <w:sz w:val="18"/>
                <w:lang w:val="en-AU"/>
              </w:rPr>
            </w:pPr>
            <w:r w:rsidRPr="00E75831">
              <w:rPr>
                <w:sz w:val="18"/>
                <w:lang w:val="en-AU"/>
              </w:rPr>
              <w:t>0.60</w:t>
            </w:r>
          </w:p>
        </w:tc>
        <w:tc>
          <w:tcPr>
            <w:tcW w:w="1786" w:type="dxa"/>
            <w:tcBorders>
              <w:bottom w:val="single" w:sz="18" w:space="0" w:color="auto"/>
            </w:tcBorders>
            <w:shd w:val="clear" w:color="auto" w:fill="C4BC96" w:themeFill="background2" w:themeFillShade="BF"/>
          </w:tcPr>
          <w:p w14:paraId="2F09AA6E" w14:textId="77777777" w:rsidR="00607FAB" w:rsidRPr="00E75831" w:rsidRDefault="00607FAB" w:rsidP="00607FAB">
            <w:pPr>
              <w:jc w:val="center"/>
              <w:rPr>
                <w:sz w:val="18"/>
                <w:lang w:val="en-AU"/>
              </w:rPr>
            </w:pPr>
            <w:r w:rsidRPr="00E75831">
              <w:rPr>
                <w:sz w:val="18"/>
                <w:lang w:val="en-AU"/>
              </w:rPr>
              <w:t xml:space="preserve">0.98100kJ </w:t>
            </w:r>
          </w:p>
        </w:tc>
      </w:tr>
      <w:tr w:rsidR="00607FAB" w:rsidRPr="00E75831" w14:paraId="63D2AFEF" w14:textId="77777777" w:rsidTr="00836448">
        <w:trPr>
          <w:trHeight w:val="180"/>
        </w:trPr>
        <w:tc>
          <w:tcPr>
            <w:tcW w:w="1783" w:type="dxa"/>
            <w:vMerge w:val="restart"/>
            <w:tcBorders>
              <w:top w:val="single" w:sz="18" w:space="0" w:color="auto"/>
              <w:left w:val="single" w:sz="18" w:space="0" w:color="auto"/>
            </w:tcBorders>
          </w:tcPr>
          <w:p w14:paraId="369284C2" w14:textId="77777777" w:rsidR="00607FAB" w:rsidRPr="00E75831" w:rsidRDefault="00607FAB" w:rsidP="00607FAB">
            <w:pPr>
              <w:jc w:val="center"/>
              <w:rPr>
                <w:sz w:val="18"/>
                <w:lang w:val="en-AU"/>
              </w:rPr>
            </w:pPr>
          </w:p>
          <w:p w14:paraId="2DFBD381" w14:textId="77777777" w:rsidR="00607FAB" w:rsidRPr="00E75831" w:rsidRDefault="00607FAB" w:rsidP="00607FAB">
            <w:pPr>
              <w:shd w:val="clear" w:color="auto" w:fill="B6DDE8" w:themeFill="accent5" w:themeFillTint="66"/>
              <w:jc w:val="center"/>
              <w:rPr>
                <w:sz w:val="18"/>
                <w:lang w:val="en-AU"/>
              </w:rPr>
            </w:pPr>
            <w:r w:rsidRPr="00E75831">
              <w:rPr>
                <w:sz w:val="18"/>
                <w:lang w:val="en-AU"/>
              </w:rPr>
              <w:t>Med</w:t>
            </w:r>
            <w:r>
              <w:rPr>
                <w:sz w:val="18"/>
                <w:lang w:val="en-AU"/>
              </w:rPr>
              <w:t>ian level found in Au IF powder</w:t>
            </w:r>
          </w:p>
          <w:p w14:paraId="30EDCB37" w14:textId="77777777" w:rsidR="00607FAB" w:rsidRPr="00E75831" w:rsidRDefault="00607FAB" w:rsidP="00607FAB">
            <w:pPr>
              <w:rPr>
                <w:sz w:val="18"/>
                <w:lang w:val="en-AU"/>
              </w:rPr>
            </w:pPr>
          </w:p>
          <w:p w14:paraId="2D99BE2B" w14:textId="77777777" w:rsidR="00607FAB" w:rsidRPr="0046177C" w:rsidRDefault="00607FAB" w:rsidP="00607FAB">
            <w:pPr>
              <w:jc w:val="center"/>
              <w:rPr>
                <w:b/>
                <w:sz w:val="18"/>
                <w:lang w:val="en-AU"/>
              </w:rPr>
            </w:pPr>
            <w:r w:rsidRPr="0046177C">
              <w:rPr>
                <w:b/>
                <w:sz w:val="18"/>
                <w:lang w:val="en-AU"/>
              </w:rPr>
              <w:t>1.0</w:t>
            </w:r>
            <w:r>
              <w:rPr>
                <w:rStyle w:val="FootnoteReference"/>
                <w:b/>
                <w:sz w:val="18"/>
                <w:lang w:val="en-AU"/>
              </w:rPr>
              <w:footnoteReference w:id="24"/>
            </w:r>
          </w:p>
          <w:p w14:paraId="7E215281" w14:textId="77777777" w:rsidR="00607FAB" w:rsidRPr="00E75831" w:rsidRDefault="00607FAB" w:rsidP="00607FAB">
            <w:pPr>
              <w:jc w:val="center"/>
              <w:rPr>
                <w:sz w:val="18"/>
                <w:lang w:val="en-AU"/>
              </w:rPr>
            </w:pPr>
            <w:r w:rsidRPr="00E75831">
              <w:rPr>
                <w:sz w:val="18"/>
                <w:shd w:val="clear" w:color="auto" w:fill="C4BC96" w:themeFill="background2" w:themeFillShade="BF"/>
                <w:lang w:val="en-AU"/>
              </w:rPr>
              <w:t>2.9.1 Fluorosis statement required</w:t>
            </w:r>
            <w:r w:rsidRPr="00E75831">
              <w:rPr>
                <w:rFonts w:cs="Arial"/>
                <w:sz w:val="18"/>
                <w:shd w:val="clear" w:color="auto" w:fill="C4BC96" w:themeFill="background2" w:themeFillShade="BF"/>
                <w:lang w:val="en-AU"/>
              </w:rPr>
              <w:t xml:space="preserve"> ˃</w:t>
            </w:r>
            <w:r w:rsidRPr="00E75831">
              <w:rPr>
                <w:sz w:val="18"/>
                <w:shd w:val="clear" w:color="auto" w:fill="C4BC96" w:themeFill="background2" w:themeFillShade="BF"/>
                <w:lang w:val="en-AU"/>
              </w:rPr>
              <w:t xml:space="preserve">17 </w:t>
            </w:r>
            <w:r w:rsidRPr="00E75831">
              <w:rPr>
                <w:rFonts w:cs="Arial"/>
                <w:sz w:val="18"/>
                <w:shd w:val="clear" w:color="auto" w:fill="C4BC96" w:themeFill="background2" w:themeFillShade="BF"/>
                <w:lang w:val="en-AU"/>
              </w:rPr>
              <w:t>µ</w:t>
            </w:r>
            <w:r w:rsidRPr="00E75831">
              <w:rPr>
                <w:sz w:val="18"/>
                <w:shd w:val="clear" w:color="auto" w:fill="C4BC96" w:themeFill="background2" w:themeFillShade="BF"/>
                <w:lang w:val="en-AU"/>
              </w:rPr>
              <w:t>g/100kJ</w:t>
            </w:r>
          </w:p>
        </w:tc>
        <w:tc>
          <w:tcPr>
            <w:tcW w:w="1788" w:type="dxa"/>
            <w:tcBorders>
              <w:top w:val="single" w:sz="18" w:space="0" w:color="auto"/>
            </w:tcBorders>
          </w:tcPr>
          <w:p w14:paraId="5F672BBA" w14:textId="77777777" w:rsidR="00607FAB" w:rsidRPr="00E75831" w:rsidRDefault="00607FAB" w:rsidP="00607FAB">
            <w:pPr>
              <w:jc w:val="center"/>
              <w:rPr>
                <w:sz w:val="18"/>
                <w:lang w:val="en-AU"/>
              </w:rPr>
            </w:pPr>
            <w:r w:rsidRPr="00E75831">
              <w:rPr>
                <w:sz w:val="18"/>
                <w:lang w:val="en-AU"/>
              </w:rPr>
              <w:t>0 (0)</w:t>
            </w:r>
          </w:p>
        </w:tc>
        <w:tc>
          <w:tcPr>
            <w:tcW w:w="1770" w:type="dxa"/>
            <w:tcBorders>
              <w:top w:val="single" w:sz="18" w:space="0" w:color="auto"/>
            </w:tcBorders>
          </w:tcPr>
          <w:p w14:paraId="14056AFF" w14:textId="77777777" w:rsidR="00607FAB" w:rsidRPr="00E75831" w:rsidRDefault="00607FAB" w:rsidP="00607FAB">
            <w:pPr>
              <w:jc w:val="center"/>
              <w:rPr>
                <w:sz w:val="18"/>
                <w:lang w:val="en-AU"/>
              </w:rPr>
            </w:pPr>
            <w:r w:rsidRPr="00E75831">
              <w:rPr>
                <w:sz w:val="18"/>
                <w:lang w:val="en-AU"/>
              </w:rPr>
              <w:t>0.75</w:t>
            </w:r>
          </w:p>
        </w:tc>
        <w:tc>
          <w:tcPr>
            <w:tcW w:w="1771" w:type="dxa"/>
            <w:tcBorders>
              <w:top w:val="single" w:sz="18" w:space="0" w:color="auto"/>
            </w:tcBorders>
          </w:tcPr>
          <w:p w14:paraId="2EE665BF" w14:textId="77777777" w:rsidR="00607FAB" w:rsidRPr="00E75831" w:rsidRDefault="00607FAB" w:rsidP="00607FAB">
            <w:pPr>
              <w:jc w:val="center"/>
              <w:rPr>
                <w:sz w:val="18"/>
                <w:lang w:val="en-AU"/>
              </w:rPr>
            </w:pPr>
            <w:r w:rsidRPr="00E75831">
              <w:rPr>
                <w:sz w:val="18"/>
                <w:lang w:val="en-AU"/>
              </w:rPr>
              <w:t>0</w:t>
            </w:r>
          </w:p>
        </w:tc>
        <w:tc>
          <w:tcPr>
            <w:tcW w:w="1786" w:type="dxa"/>
            <w:tcBorders>
              <w:top w:val="single" w:sz="18" w:space="0" w:color="auto"/>
              <w:right w:val="single" w:sz="18" w:space="0" w:color="auto"/>
            </w:tcBorders>
          </w:tcPr>
          <w:p w14:paraId="57DA1133" w14:textId="77777777" w:rsidR="00607FAB" w:rsidRPr="00E75831" w:rsidRDefault="00607FAB" w:rsidP="00607FAB">
            <w:pPr>
              <w:jc w:val="center"/>
              <w:rPr>
                <w:sz w:val="18"/>
                <w:lang w:val="en-AU"/>
              </w:rPr>
            </w:pPr>
            <w:r w:rsidRPr="00E75831">
              <w:rPr>
                <w:sz w:val="18"/>
                <w:lang w:val="en-AU"/>
              </w:rPr>
              <w:t>0.75</w:t>
            </w:r>
          </w:p>
        </w:tc>
      </w:tr>
      <w:tr w:rsidR="00607FAB" w:rsidRPr="00E75831" w14:paraId="5A69EDD9" w14:textId="77777777" w:rsidTr="00836448">
        <w:trPr>
          <w:trHeight w:val="180"/>
        </w:trPr>
        <w:tc>
          <w:tcPr>
            <w:tcW w:w="1783" w:type="dxa"/>
            <w:vMerge/>
            <w:tcBorders>
              <w:left w:val="single" w:sz="18" w:space="0" w:color="auto"/>
            </w:tcBorders>
          </w:tcPr>
          <w:p w14:paraId="24B45EEF" w14:textId="77777777" w:rsidR="00607FAB" w:rsidRPr="00E75831" w:rsidRDefault="00607FAB" w:rsidP="00607FAB">
            <w:pPr>
              <w:jc w:val="center"/>
              <w:rPr>
                <w:sz w:val="18"/>
                <w:lang w:val="en-AU"/>
              </w:rPr>
            </w:pPr>
          </w:p>
        </w:tc>
        <w:tc>
          <w:tcPr>
            <w:tcW w:w="1788" w:type="dxa"/>
          </w:tcPr>
          <w:p w14:paraId="36AABB03" w14:textId="77777777" w:rsidR="00607FAB" w:rsidRPr="00E75831" w:rsidRDefault="00607FAB" w:rsidP="00607FAB">
            <w:pPr>
              <w:jc w:val="center"/>
              <w:rPr>
                <w:sz w:val="18"/>
                <w:lang w:val="en-AU"/>
              </w:rPr>
            </w:pPr>
            <w:r w:rsidRPr="00E75831">
              <w:rPr>
                <w:sz w:val="18"/>
                <w:lang w:val="en-AU"/>
              </w:rPr>
              <w:t>4 (96)</w:t>
            </w:r>
          </w:p>
        </w:tc>
        <w:tc>
          <w:tcPr>
            <w:tcW w:w="1770" w:type="dxa"/>
          </w:tcPr>
          <w:p w14:paraId="4ED520CE" w14:textId="77777777" w:rsidR="00607FAB" w:rsidRPr="00E75831" w:rsidRDefault="00607FAB" w:rsidP="00607FAB">
            <w:pPr>
              <w:jc w:val="center"/>
              <w:rPr>
                <w:sz w:val="18"/>
                <w:lang w:val="en-AU"/>
              </w:rPr>
            </w:pPr>
            <w:r w:rsidRPr="00E75831">
              <w:rPr>
                <w:sz w:val="18"/>
                <w:lang w:val="en-AU"/>
              </w:rPr>
              <w:t>0.75</w:t>
            </w:r>
          </w:p>
        </w:tc>
        <w:tc>
          <w:tcPr>
            <w:tcW w:w="1771" w:type="dxa"/>
          </w:tcPr>
          <w:p w14:paraId="615859F2" w14:textId="77777777" w:rsidR="00607FAB" w:rsidRPr="00E75831" w:rsidRDefault="00607FAB" w:rsidP="00607FAB">
            <w:pPr>
              <w:jc w:val="center"/>
              <w:rPr>
                <w:sz w:val="18"/>
                <w:lang w:val="en-AU"/>
              </w:rPr>
            </w:pPr>
            <w:r w:rsidRPr="00E75831">
              <w:rPr>
                <w:sz w:val="18"/>
                <w:lang w:val="en-AU"/>
              </w:rPr>
              <w:t>0.10</w:t>
            </w:r>
          </w:p>
        </w:tc>
        <w:tc>
          <w:tcPr>
            <w:tcW w:w="1786" w:type="dxa"/>
            <w:tcBorders>
              <w:right w:val="single" w:sz="18" w:space="0" w:color="auto"/>
            </w:tcBorders>
          </w:tcPr>
          <w:p w14:paraId="157F9453" w14:textId="77777777" w:rsidR="00607FAB" w:rsidRPr="00E75831" w:rsidRDefault="00607FAB" w:rsidP="00607FAB">
            <w:pPr>
              <w:jc w:val="center"/>
              <w:rPr>
                <w:sz w:val="18"/>
                <w:lang w:val="en-AU"/>
              </w:rPr>
            </w:pPr>
            <w:r w:rsidRPr="00E75831">
              <w:rPr>
                <w:sz w:val="18"/>
                <w:lang w:val="en-AU"/>
              </w:rPr>
              <w:t>0.85</w:t>
            </w:r>
          </w:p>
        </w:tc>
      </w:tr>
      <w:tr w:rsidR="00607FAB" w:rsidRPr="00E75831" w14:paraId="16BCC3CA" w14:textId="77777777" w:rsidTr="00836448">
        <w:trPr>
          <w:trHeight w:val="180"/>
        </w:trPr>
        <w:tc>
          <w:tcPr>
            <w:tcW w:w="1783" w:type="dxa"/>
            <w:vMerge/>
            <w:tcBorders>
              <w:left w:val="single" w:sz="18" w:space="0" w:color="auto"/>
            </w:tcBorders>
            <w:shd w:val="clear" w:color="auto" w:fill="B6DDE8" w:themeFill="accent5" w:themeFillTint="66"/>
          </w:tcPr>
          <w:p w14:paraId="2CD6726D" w14:textId="77777777" w:rsidR="00607FAB" w:rsidRPr="00E75831" w:rsidRDefault="00607FAB" w:rsidP="00607FAB">
            <w:pPr>
              <w:jc w:val="center"/>
              <w:rPr>
                <w:sz w:val="18"/>
                <w:lang w:val="en-AU"/>
              </w:rPr>
            </w:pPr>
          </w:p>
        </w:tc>
        <w:tc>
          <w:tcPr>
            <w:tcW w:w="1788" w:type="dxa"/>
            <w:shd w:val="clear" w:color="auto" w:fill="B6DDE8" w:themeFill="accent5" w:themeFillTint="66"/>
          </w:tcPr>
          <w:p w14:paraId="39F09C36" w14:textId="77777777" w:rsidR="00607FAB" w:rsidRPr="00E75831" w:rsidRDefault="00607FAB" w:rsidP="00607FAB">
            <w:pPr>
              <w:jc w:val="center"/>
              <w:rPr>
                <w:sz w:val="18"/>
                <w:lang w:val="en-AU"/>
              </w:rPr>
            </w:pPr>
            <w:r w:rsidRPr="00E75831">
              <w:rPr>
                <w:sz w:val="18"/>
                <w:lang w:val="en-AU"/>
              </w:rPr>
              <w:t xml:space="preserve">5 (120) </w:t>
            </w:r>
          </w:p>
        </w:tc>
        <w:tc>
          <w:tcPr>
            <w:tcW w:w="1770" w:type="dxa"/>
            <w:shd w:val="clear" w:color="auto" w:fill="B6DDE8" w:themeFill="accent5" w:themeFillTint="66"/>
          </w:tcPr>
          <w:p w14:paraId="5EA58A93" w14:textId="77777777" w:rsidR="00607FAB" w:rsidRPr="00E75831" w:rsidRDefault="00607FAB" w:rsidP="00607FAB">
            <w:pPr>
              <w:jc w:val="center"/>
              <w:rPr>
                <w:sz w:val="18"/>
                <w:lang w:val="en-AU"/>
              </w:rPr>
            </w:pPr>
            <w:r w:rsidRPr="00E75831">
              <w:rPr>
                <w:sz w:val="18"/>
                <w:lang w:val="en-AU"/>
              </w:rPr>
              <w:t>0.75</w:t>
            </w:r>
          </w:p>
        </w:tc>
        <w:tc>
          <w:tcPr>
            <w:tcW w:w="1771" w:type="dxa"/>
            <w:shd w:val="clear" w:color="auto" w:fill="B6DDE8" w:themeFill="accent5" w:themeFillTint="66"/>
          </w:tcPr>
          <w:p w14:paraId="0FC203C5" w14:textId="77777777" w:rsidR="00607FAB" w:rsidRPr="00E75831" w:rsidRDefault="00607FAB" w:rsidP="00607FAB">
            <w:pPr>
              <w:jc w:val="center"/>
              <w:rPr>
                <w:sz w:val="18"/>
                <w:lang w:val="en-AU"/>
              </w:rPr>
            </w:pPr>
            <w:r w:rsidRPr="00E75831">
              <w:rPr>
                <w:sz w:val="18"/>
                <w:lang w:val="en-AU"/>
              </w:rPr>
              <w:t>0.12</w:t>
            </w:r>
          </w:p>
        </w:tc>
        <w:tc>
          <w:tcPr>
            <w:tcW w:w="1786" w:type="dxa"/>
            <w:tcBorders>
              <w:right w:val="single" w:sz="18" w:space="0" w:color="auto"/>
            </w:tcBorders>
            <w:shd w:val="clear" w:color="auto" w:fill="B6DDE8" w:themeFill="accent5" w:themeFillTint="66"/>
          </w:tcPr>
          <w:p w14:paraId="2117524B" w14:textId="77777777" w:rsidR="00607FAB" w:rsidRPr="00E75831" w:rsidRDefault="00607FAB" w:rsidP="00607FAB">
            <w:pPr>
              <w:jc w:val="center"/>
              <w:rPr>
                <w:sz w:val="18"/>
                <w:lang w:val="en-AU"/>
              </w:rPr>
            </w:pPr>
            <w:r w:rsidRPr="00E75831">
              <w:rPr>
                <w:sz w:val="18"/>
                <w:lang w:val="en-AU"/>
              </w:rPr>
              <w:t>0.87</w:t>
            </w:r>
          </w:p>
        </w:tc>
      </w:tr>
      <w:tr w:rsidR="00607FAB" w:rsidRPr="00E75831" w14:paraId="56E36700" w14:textId="77777777" w:rsidTr="00836448">
        <w:trPr>
          <w:trHeight w:val="180"/>
        </w:trPr>
        <w:tc>
          <w:tcPr>
            <w:tcW w:w="1783" w:type="dxa"/>
            <w:vMerge/>
            <w:tcBorders>
              <w:left w:val="single" w:sz="18" w:space="0" w:color="auto"/>
            </w:tcBorders>
          </w:tcPr>
          <w:p w14:paraId="62AFED3B" w14:textId="77777777" w:rsidR="00607FAB" w:rsidRPr="00E75831" w:rsidRDefault="00607FAB" w:rsidP="00607FAB">
            <w:pPr>
              <w:jc w:val="center"/>
              <w:rPr>
                <w:sz w:val="18"/>
                <w:lang w:val="en-AU"/>
              </w:rPr>
            </w:pPr>
          </w:p>
        </w:tc>
        <w:tc>
          <w:tcPr>
            <w:tcW w:w="1788" w:type="dxa"/>
          </w:tcPr>
          <w:p w14:paraId="122CC9E7" w14:textId="77777777" w:rsidR="00607FAB" w:rsidRPr="00E75831" w:rsidRDefault="00607FAB" w:rsidP="00607FAB">
            <w:pPr>
              <w:jc w:val="center"/>
              <w:rPr>
                <w:sz w:val="18"/>
                <w:lang w:val="en-AU"/>
              </w:rPr>
            </w:pPr>
            <w:r w:rsidRPr="00E75831">
              <w:rPr>
                <w:sz w:val="18"/>
                <w:lang w:val="en-AU"/>
              </w:rPr>
              <w:t>8 (192)</w:t>
            </w:r>
          </w:p>
        </w:tc>
        <w:tc>
          <w:tcPr>
            <w:tcW w:w="1770" w:type="dxa"/>
          </w:tcPr>
          <w:p w14:paraId="5B4A51BF" w14:textId="77777777" w:rsidR="00607FAB" w:rsidRPr="00E75831" w:rsidRDefault="00607FAB" w:rsidP="00607FAB">
            <w:pPr>
              <w:jc w:val="center"/>
              <w:rPr>
                <w:sz w:val="18"/>
                <w:lang w:val="en-AU"/>
              </w:rPr>
            </w:pPr>
            <w:r w:rsidRPr="00E75831">
              <w:rPr>
                <w:sz w:val="18"/>
                <w:lang w:val="en-AU"/>
              </w:rPr>
              <w:t>0.75</w:t>
            </w:r>
          </w:p>
        </w:tc>
        <w:tc>
          <w:tcPr>
            <w:tcW w:w="1771" w:type="dxa"/>
          </w:tcPr>
          <w:p w14:paraId="4D2EFA62" w14:textId="77777777" w:rsidR="00607FAB" w:rsidRPr="00E75831" w:rsidRDefault="00607FAB" w:rsidP="00607FAB">
            <w:pPr>
              <w:jc w:val="center"/>
              <w:rPr>
                <w:sz w:val="18"/>
                <w:lang w:val="en-AU"/>
              </w:rPr>
            </w:pPr>
            <w:r w:rsidRPr="00E75831">
              <w:rPr>
                <w:sz w:val="18"/>
                <w:lang w:val="en-AU"/>
              </w:rPr>
              <w:t>0.19</w:t>
            </w:r>
          </w:p>
        </w:tc>
        <w:tc>
          <w:tcPr>
            <w:tcW w:w="1786" w:type="dxa"/>
            <w:tcBorders>
              <w:right w:val="single" w:sz="18" w:space="0" w:color="auto"/>
            </w:tcBorders>
          </w:tcPr>
          <w:p w14:paraId="1E484DF5" w14:textId="77777777" w:rsidR="00607FAB" w:rsidRPr="00E75831" w:rsidRDefault="00607FAB" w:rsidP="00607FAB">
            <w:pPr>
              <w:jc w:val="center"/>
              <w:rPr>
                <w:sz w:val="18"/>
                <w:lang w:val="en-AU"/>
              </w:rPr>
            </w:pPr>
            <w:r w:rsidRPr="00E75831">
              <w:rPr>
                <w:sz w:val="18"/>
                <w:lang w:val="en-AU"/>
              </w:rPr>
              <w:t>0.94</w:t>
            </w:r>
          </w:p>
        </w:tc>
      </w:tr>
      <w:tr w:rsidR="00607FAB" w:rsidRPr="00E75831" w14:paraId="3491F698" w14:textId="77777777" w:rsidTr="00836448">
        <w:trPr>
          <w:trHeight w:val="180"/>
        </w:trPr>
        <w:tc>
          <w:tcPr>
            <w:tcW w:w="1783" w:type="dxa"/>
            <w:vMerge/>
            <w:tcBorders>
              <w:left w:val="single" w:sz="18" w:space="0" w:color="auto"/>
            </w:tcBorders>
          </w:tcPr>
          <w:p w14:paraId="6CF35146" w14:textId="77777777" w:rsidR="00607FAB" w:rsidRPr="00E75831" w:rsidRDefault="00607FAB" w:rsidP="00607FAB">
            <w:pPr>
              <w:jc w:val="center"/>
              <w:rPr>
                <w:sz w:val="18"/>
                <w:lang w:val="en-AU"/>
              </w:rPr>
            </w:pPr>
          </w:p>
        </w:tc>
        <w:tc>
          <w:tcPr>
            <w:tcW w:w="1788" w:type="dxa"/>
          </w:tcPr>
          <w:p w14:paraId="4D81E84F" w14:textId="77777777" w:rsidR="00607FAB" w:rsidRPr="00E75831" w:rsidRDefault="00607FAB" w:rsidP="00607FAB">
            <w:pPr>
              <w:jc w:val="center"/>
              <w:rPr>
                <w:sz w:val="18"/>
                <w:lang w:val="en-AU"/>
              </w:rPr>
            </w:pPr>
            <w:r w:rsidRPr="00E75831">
              <w:rPr>
                <w:sz w:val="18"/>
                <w:lang w:val="en-AU"/>
              </w:rPr>
              <w:t>16 (384)</w:t>
            </w:r>
          </w:p>
        </w:tc>
        <w:tc>
          <w:tcPr>
            <w:tcW w:w="1770" w:type="dxa"/>
          </w:tcPr>
          <w:p w14:paraId="0BB9FE89" w14:textId="77777777" w:rsidR="00607FAB" w:rsidRPr="00E75831" w:rsidRDefault="00607FAB" w:rsidP="00607FAB">
            <w:pPr>
              <w:jc w:val="center"/>
              <w:rPr>
                <w:sz w:val="18"/>
                <w:lang w:val="en-AU"/>
              </w:rPr>
            </w:pPr>
            <w:r w:rsidRPr="00E75831">
              <w:rPr>
                <w:sz w:val="18"/>
                <w:lang w:val="en-AU"/>
              </w:rPr>
              <w:t>0.75</w:t>
            </w:r>
          </w:p>
        </w:tc>
        <w:tc>
          <w:tcPr>
            <w:tcW w:w="1771" w:type="dxa"/>
          </w:tcPr>
          <w:p w14:paraId="79668D75" w14:textId="77777777" w:rsidR="00607FAB" w:rsidRPr="00E75831" w:rsidRDefault="00607FAB" w:rsidP="00607FAB">
            <w:pPr>
              <w:jc w:val="center"/>
              <w:rPr>
                <w:sz w:val="18"/>
                <w:lang w:val="en-AU"/>
              </w:rPr>
            </w:pPr>
            <w:r w:rsidRPr="00E75831">
              <w:rPr>
                <w:sz w:val="18"/>
                <w:lang w:val="en-AU"/>
              </w:rPr>
              <w:t>0.38</w:t>
            </w:r>
          </w:p>
        </w:tc>
        <w:tc>
          <w:tcPr>
            <w:tcW w:w="1786" w:type="dxa"/>
            <w:tcBorders>
              <w:right w:val="single" w:sz="18" w:space="0" w:color="auto"/>
            </w:tcBorders>
          </w:tcPr>
          <w:p w14:paraId="6E4DAA7A" w14:textId="77777777" w:rsidR="00607FAB" w:rsidRPr="00E75831" w:rsidRDefault="00607FAB" w:rsidP="00607FAB">
            <w:pPr>
              <w:jc w:val="center"/>
              <w:rPr>
                <w:sz w:val="18"/>
                <w:lang w:val="en-AU"/>
              </w:rPr>
            </w:pPr>
            <w:r w:rsidRPr="00E75831">
              <w:rPr>
                <w:sz w:val="18"/>
                <w:lang w:val="en-AU"/>
              </w:rPr>
              <w:t>1.13</w:t>
            </w:r>
          </w:p>
        </w:tc>
      </w:tr>
      <w:tr w:rsidR="00607FAB" w:rsidRPr="00E75831" w14:paraId="1B178928" w14:textId="77777777" w:rsidTr="00836448">
        <w:trPr>
          <w:trHeight w:val="180"/>
        </w:trPr>
        <w:tc>
          <w:tcPr>
            <w:tcW w:w="1783" w:type="dxa"/>
            <w:vMerge/>
            <w:tcBorders>
              <w:left w:val="single" w:sz="18" w:space="0" w:color="auto"/>
            </w:tcBorders>
          </w:tcPr>
          <w:p w14:paraId="5EADEAD3" w14:textId="77777777" w:rsidR="00607FAB" w:rsidRPr="00E75831" w:rsidRDefault="00607FAB" w:rsidP="00607FAB">
            <w:pPr>
              <w:jc w:val="center"/>
              <w:rPr>
                <w:sz w:val="18"/>
                <w:lang w:val="en-AU"/>
              </w:rPr>
            </w:pPr>
          </w:p>
        </w:tc>
        <w:tc>
          <w:tcPr>
            <w:tcW w:w="1788" w:type="dxa"/>
            <w:shd w:val="clear" w:color="auto" w:fill="C4BC96" w:themeFill="background2" w:themeFillShade="BF"/>
          </w:tcPr>
          <w:p w14:paraId="5116970A" w14:textId="77777777" w:rsidR="00607FAB" w:rsidRPr="00E75831" w:rsidRDefault="00607FAB" w:rsidP="00607FAB">
            <w:pPr>
              <w:jc w:val="center"/>
              <w:rPr>
                <w:sz w:val="18"/>
                <w:lang w:val="en-AU"/>
              </w:rPr>
            </w:pPr>
            <w:r w:rsidRPr="00E75831">
              <w:rPr>
                <w:sz w:val="18"/>
                <w:lang w:val="en-AU"/>
              </w:rPr>
              <w:t>20 (480)</w:t>
            </w:r>
          </w:p>
        </w:tc>
        <w:tc>
          <w:tcPr>
            <w:tcW w:w="1770" w:type="dxa"/>
            <w:shd w:val="clear" w:color="auto" w:fill="C4BC96" w:themeFill="background2" w:themeFillShade="BF"/>
          </w:tcPr>
          <w:p w14:paraId="6AAD342B" w14:textId="77777777" w:rsidR="00607FAB" w:rsidRPr="00E75831" w:rsidRDefault="00607FAB" w:rsidP="00607FAB">
            <w:pPr>
              <w:jc w:val="center"/>
              <w:rPr>
                <w:sz w:val="18"/>
                <w:lang w:val="en-AU"/>
              </w:rPr>
            </w:pPr>
            <w:r w:rsidRPr="00E75831">
              <w:rPr>
                <w:sz w:val="18"/>
                <w:lang w:val="en-AU"/>
              </w:rPr>
              <w:t>0.75</w:t>
            </w:r>
          </w:p>
        </w:tc>
        <w:tc>
          <w:tcPr>
            <w:tcW w:w="1771" w:type="dxa"/>
            <w:shd w:val="clear" w:color="auto" w:fill="C4BC96" w:themeFill="background2" w:themeFillShade="BF"/>
          </w:tcPr>
          <w:p w14:paraId="11B75826" w14:textId="77777777" w:rsidR="00607FAB" w:rsidRPr="00E75831" w:rsidRDefault="00607FAB" w:rsidP="00607FAB">
            <w:pPr>
              <w:jc w:val="center"/>
              <w:rPr>
                <w:sz w:val="18"/>
                <w:lang w:val="en-AU"/>
              </w:rPr>
            </w:pPr>
            <w:r w:rsidRPr="00E75831">
              <w:rPr>
                <w:sz w:val="18"/>
                <w:lang w:val="en-AU"/>
              </w:rPr>
              <w:t>0.48</w:t>
            </w:r>
          </w:p>
        </w:tc>
        <w:tc>
          <w:tcPr>
            <w:tcW w:w="1786" w:type="dxa"/>
            <w:tcBorders>
              <w:right w:val="single" w:sz="18" w:space="0" w:color="auto"/>
            </w:tcBorders>
            <w:shd w:val="clear" w:color="auto" w:fill="D99594" w:themeFill="accent2" w:themeFillTint="99"/>
          </w:tcPr>
          <w:p w14:paraId="41BD6D51" w14:textId="77777777" w:rsidR="00607FAB" w:rsidRPr="00E75831" w:rsidRDefault="00607FAB" w:rsidP="00607FAB">
            <w:pPr>
              <w:jc w:val="center"/>
              <w:rPr>
                <w:sz w:val="18"/>
                <w:lang w:val="en-AU"/>
              </w:rPr>
            </w:pPr>
            <w:r w:rsidRPr="00E75831">
              <w:rPr>
                <w:sz w:val="18"/>
                <w:lang w:val="en-AU"/>
              </w:rPr>
              <w:t>1.23</w:t>
            </w:r>
          </w:p>
        </w:tc>
      </w:tr>
      <w:tr w:rsidR="00607FAB" w:rsidRPr="00E75831" w14:paraId="1FF53A57" w14:textId="77777777" w:rsidTr="00836448">
        <w:trPr>
          <w:trHeight w:val="180"/>
        </w:trPr>
        <w:tc>
          <w:tcPr>
            <w:tcW w:w="1783" w:type="dxa"/>
            <w:vMerge/>
            <w:tcBorders>
              <w:left w:val="single" w:sz="18" w:space="0" w:color="auto"/>
              <w:bottom w:val="single" w:sz="18" w:space="0" w:color="auto"/>
            </w:tcBorders>
          </w:tcPr>
          <w:p w14:paraId="70F57701" w14:textId="77777777" w:rsidR="00607FAB" w:rsidRPr="00E75831" w:rsidRDefault="00607FAB" w:rsidP="00607FAB">
            <w:pPr>
              <w:jc w:val="center"/>
              <w:rPr>
                <w:sz w:val="18"/>
                <w:lang w:val="en-AU"/>
              </w:rPr>
            </w:pPr>
          </w:p>
        </w:tc>
        <w:tc>
          <w:tcPr>
            <w:tcW w:w="1788" w:type="dxa"/>
            <w:tcBorders>
              <w:bottom w:val="single" w:sz="18" w:space="0" w:color="auto"/>
            </w:tcBorders>
            <w:shd w:val="clear" w:color="auto" w:fill="C4BC96" w:themeFill="background2" w:themeFillShade="BF"/>
          </w:tcPr>
          <w:p w14:paraId="13E35967" w14:textId="77777777" w:rsidR="00607FAB" w:rsidRPr="00E75831" w:rsidRDefault="00607FAB" w:rsidP="00607FAB">
            <w:pPr>
              <w:jc w:val="center"/>
              <w:rPr>
                <w:sz w:val="18"/>
                <w:lang w:val="en-AU"/>
              </w:rPr>
            </w:pPr>
            <w:r w:rsidRPr="00E75831">
              <w:rPr>
                <w:sz w:val="18"/>
                <w:lang w:val="en-AU"/>
              </w:rPr>
              <w:t>25 (600)</w:t>
            </w:r>
          </w:p>
        </w:tc>
        <w:tc>
          <w:tcPr>
            <w:tcW w:w="1770" w:type="dxa"/>
            <w:tcBorders>
              <w:bottom w:val="single" w:sz="18" w:space="0" w:color="auto"/>
            </w:tcBorders>
            <w:shd w:val="clear" w:color="auto" w:fill="C4BC96" w:themeFill="background2" w:themeFillShade="BF"/>
          </w:tcPr>
          <w:p w14:paraId="13E97799" w14:textId="77777777" w:rsidR="00607FAB" w:rsidRPr="00E75831" w:rsidRDefault="00607FAB" w:rsidP="00607FAB">
            <w:pPr>
              <w:jc w:val="center"/>
              <w:rPr>
                <w:sz w:val="18"/>
                <w:lang w:val="en-AU"/>
              </w:rPr>
            </w:pPr>
            <w:r w:rsidRPr="00E75831">
              <w:rPr>
                <w:sz w:val="18"/>
                <w:lang w:val="en-AU"/>
              </w:rPr>
              <w:t>0.75</w:t>
            </w:r>
          </w:p>
        </w:tc>
        <w:tc>
          <w:tcPr>
            <w:tcW w:w="1771" w:type="dxa"/>
            <w:tcBorders>
              <w:bottom w:val="single" w:sz="18" w:space="0" w:color="auto"/>
            </w:tcBorders>
            <w:shd w:val="clear" w:color="auto" w:fill="C4BC96" w:themeFill="background2" w:themeFillShade="BF"/>
          </w:tcPr>
          <w:p w14:paraId="7E9DDE61" w14:textId="77777777" w:rsidR="00607FAB" w:rsidRPr="00E75831" w:rsidRDefault="00607FAB" w:rsidP="00607FAB">
            <w:pPr>
              <w:jc w:val="center"/>
              <w:rPr>
                <w:sz w:val="18"/>
                <w:lang w:val="en-AU"/>
              </w:rPr>
            </w:pPr>
            <w:r w:rsidRPr="00E75831">
              <w:rPr>
                <w:sz w:val="18"/>
                <w:lang w:val="en-AU"/>
              </w:rPr>
              <w:t>0.60</w:t>
            </w:r>
          </w:p>
        </w:tc>
        <w:tc>
          <w:tcPr>
            <w:tcW w:w="1786" w:type="dxa"/>
            <w:tcBorders>
              <w:bottom w:val="single" w:sz="18" w:space="0" w:color="auto"/>
              <w:right w:val="single" w:sz="18" w:space="0" w:color="auto"/>
            </w:tcBorders>
            <w:shd w:val="clear" w:color="auto" w:fill="D99594" w:themeFill="accent2" w:themeFillTint="99"/>
          </w:tcPr>
          <w:p w14:paraId="0969191E" w14:textId="77777777" w:rsidR="00607FAB" w:rsidRPr="00E75831" w:rsidRDefault="00607FAB" w:rsidP="00607FAB">
            <w:pPr>
              <w:jc w:val="center"/>
              <w:rPr>
                <w:sz w:val="18"/>
                <w:lang w:val="en-AU"/>
              </w:rPr>
            </w:pPr>
            <w:r w:rsidRPr="00E75831">
              <w:rPr>
                <w:sz w:val="18"/>
                <w:lang w:val="en-AU"/>
              </w:rPr>
              <w:t>1.35</w:t>
            </w:r>
          </w:p>
        </w:tc>
      </w:tr>
      <w:tr w:rsidR="00607FAB" w:rsidRPr="00E75831" w14:paraId="1D532C9C" w14:textId="77777777" w:rsidTr="00836448">
        <w:trPr>
          <w:trHeight w:val="180"/>
        </w:trPr>
        <w:tc>
          <w:tcPr>
            <w:tcW w:w="1783" w:type="dxa"/>
            <w:vMerge w:val="restart"/>
            <w:tcBorders>
              <w:top w:val="single" w:sz="18" w:space="0" w:color="auto"/>
            </w:tcBorders>
          </w:tcPr>
          <w:p w14:paraId="1DCBD60D" w14:textId="77777777" w:rsidR="00607FAB" w:rsidRPr="00E75831" w:rsidRDefault="00607FAB" w:rsidP="00607FAB">
            <w:pPr>
              <w:jc w:val="center"/>
              <w:rPr>
                <w:sz w:val="18"/>
                <w:lang w:val="en-AU"/>
              </w:rPr>
            </w:pPr>
          </w:p>
          <w:p w14:paraId="2FDF7E46" w14:textId="77777777" w:rsidR="00607FAB" w:rsidRPr="00E75831" w:rsidRDefault="00607FAB" w:rsidP="00607FAB">
            <w:pPr>
              <w:shd w:val="clear" w:color="auto" w:fill="B6DDE8" w:themeFill="accent5" w:themeFillTint="66"/>
              <w:jc w:val="center"/>
              <w:rPr>
                <w:sz w:val="18"/>
                <w:lang w:val="en-AU"/>
              </w:rPr>
            </w:pPr>
            <w:r w:rsidRPr="00E75831">
              <w:rPr>
                <w:sz w:val="18"/>
                <w:lang w:val="en-AU"/>
              </w:rPr>
              <w:t>Med</w:t>
            </w:r>
            <w:r>
              <w:rPr>
                <w:sz w:val="18"/>
                <w:lang w:val="en-AU"/>
              </w:rPr>
              <w:t>ian level found in Au IF powder</w:t>
            </w:r>
          </w:p>
          <w:p w14:paraId="2BFC1D32" w14:textId="77777777" w:rsidR="00607FAB" w:rsidRPr="00E75831" w:rsidRDefault="00607FAB" w:rsidP="00607FAB">
            <w:pPr>
              <w:jc w:val="center"/>
              <w:rPr>
                <w:sz w:val="18"/>
                <w:lang w:val="en-AU"/>
              </w:rPr>
            </w:pPr>
          </w:p>
          <w:p w14:paraId="01F8D1DF" w14:textId="77777777" w:rsidR="00607FAB" w:rsidRPr="002C5F7A" w:rsidRDefault="00607FAB" w:rsidP="00607FAB">
            <w:pPr>
              <w:jc w:val="center"/>
              <w:rPr>
                <w:b/>
                <w:sz w:val="18"/>
                <w:lang w:val="en-AU"/>
              </w:rPr>
            </w:pPr>
            <w:r w:rsidRPr="002C5F7A">
              <w:rPr>
                <w:b/>
                <w:sz w:val="18"/>
                <w:lang w:val="en-AU"/>
              </w:rPr>
              <w:t>1.5</w:t>
            </w:r>
          </w:p>
          <w:p w14:paraId="41980F29" w14:textId="77777777" w:rsidR="00607FAB" w:rsidRPr="00E75831" w:rsidRDefault="00607FAB" w:rsidP="00607FAB">
            <w:pPr>
              <w:jc w:val="center"/>
              <w:rPr>
                <w:sz w:val="18"/>
                <w:lang w:val="en-AU"/>
              </w:rPr>
            </w:pPr>
            <w:r w:rsidRPr="00E75831">
              <w:rPr>
                <w:sz w:val="18"/>
                <w:shd w:val="clear" w:color="auto" w:fill="C4BC96" w:themeFill="background2" w:themeFillShade="BF"/>
                <w:lang w:val="en-AU"/>
              </w:rPr>
              <w:t xml:space="preserve">2.9.1 Fluorosis statement required </w:t>
            </w:r>
            <w:r w:rsidRPr="00E75831">
              <w:rPr>
                <w:rFonts w:cs="Arial"/>
                <w:sz w:val="18"/>
                <w:shd w:val="clear" w:color="auto" w:fill="C4BC96" w:themeFill="background2" w:themeFillShade="BF"/>
                <w:lang w:val="en-AU"/>
              </w:rPr>
              <w:t>˃</w:t>
            </w:r>
            <w:r w:rsidRPr="00E75831">
              <w:rPr>
                <w:sz w:val="18"/>
                <w:shd w:val="clear" w:color="auto" w:fill="C4BC96" w:themeFill="background2" w:themeFillShade="BF"/>
                <w:lang w:val="en-AU"/>
              </w:rPr>
              <w:t xml:space="preserve">17 </w:t>
            </w:r>
            <w:r w:rsidRPr="00E75831">
              <w:rPr>
                <w:rFonts w:cs="Arial"/>
                <w:sz w:val="18"/>
                <w:shd w:val="clear" w:color="auto" w:fill="C4BC96" w:themeFill="background2" w:themeFillShade="BF"/>
                <w:lang w:val="en-AU"/>
              </w:rPr>
              <w:t>µ</w:t>
            </w:r>
            <w:r w:rsidRPr="00E75831">
              <w:rPr>
                <w:sz w:val="18"/>
                <w:shd w:val="clear" w:color="auto" w:fill="C4BC96" w:themeFill="background2" w:themeFillShade="BF"/>
                <w:lang w:val="en-AU"/>
              </w:rPr>
              <w:t>g/100kJ</w:t>
            </w:r>
          </w:p>
        </w:tc>
        <w:tc>
          <w:tcPr>
            <w:tcW w:w="1788" w:type="dxa"/>
            <w:tcBorders>
              <w:top w:val="single" w:sz="18" w:space="0" w:color="auto"/>
            </w:tcBorders>
          </w:tcPr>
          <w:p w14:paraId="018A65C0" w14:textId="77777777" w:rsidR="00607FAB" w:rsidRPr="00E75831" w:rsidRDefault="00607FAB" w:rsidP="00607FAB">
            <w:pPr>
              <w:jc w:val="center"/>
              <w:rPr>
                <w:sz w:val="18"/>
                <w:lang w:val="en-AU"/>
              </w:rPr>
            </w:pPr>
            <w:r w:rsidRPr="00E75831">
              <w:rPr>
                <w:sz w:val="18"/>
                <w:lang w:val="en-AU"/>
              </w:rPr>
              <w:t>0 (0)</w:t>
            </w:r>
          </w:p>
        </w:tc>
        <w:tc>
          <w:tcPr>
            <w:tcW w:w="1770" w:type="dxa"/>
            <w:tcBorders>
              <w:top w:val="single" w:sz="18" w:space="0" w:color="auto"/>
            </w:tcBorders>
          </w:tcPr>
          <w:p w14:paraId="356E36AA" w14:textId="77777777" w:rsidR="00607FAB" w:rsidRPr="00E75831" w:rsidRDefault="00607FAB" w:rsidP="00607FAB">
            <w:pPr>
              <w:jc w:val="center"/>
              <w:rPr>
                <w:sz w:val="18"/>
                <w:lang w:val="en-AU"/>
              </w:rPr>
            </w:pPr>
            <w:r w:rsidRPr="00E75831">
              <w:rPr>
                <w:sz w:val="18"/>
                <w:lang w:val="en-AU"/>
              </w:rPr>
              <w:t>1.13</w:t>
            </w:r>
          </w:p>
        </w:tc>
        <w:tc>
          <w:tcPr>
            <w:tcW w:w="1771" w:type="dxa"/>
            <w:tcBorders>
              <w:top w:val="single" w:sz="18" w:space="0" w:color="auto"/>
            </w:tcBorders>
          </w:tcPr>
          <w:p w14:paraId="6033EF46" w14:textId="77777777" w:rsidR="00607FAB" w:rsidRPr="00E75831" w:rsidRDefault="00607FAB" w:rsidP="00607FAB">
            <w:pPr>
              <w:jc w:val="center"/>
              <w:rPr>
                <w:sz w:val="18"/>
                <w:lang w:val="en-AU"/>
              </w:rPr>
            </w:pPr>
            <w:r w:rsidRPr="00E75831">
              <w:rPr>
                <w:sz w:val="18"/>
                <w:lang w:val="en-AU"/>
              </w:rPr>
              <w:t>0.00</w:t>
            </w:r>
          </w:p>
        </w:tc>
        <w:tc>
          <w:tcPr>
            <w:tcW w:w="1786" w:type="dxa"/>
            <w:tcBorders>
              <w:top w:val="single" w:sz="18" w:space="0" w:color="auto"/>
            </w:tcBorders>
          </w:tcPr>
          <w:p w14:paraId="436F3BBA" w14:textId="77777777" w:rsidR="00607FAB" w:rsidRPr="00E75831" w:rsidRDefault="00607FAB" w:rsidP="00607FAB">
            <w:pPr>
              <w:jc w:val="center"/>
              <w:rPr>
                <w:sz w:val="18"/>
                <w:lang w:val="en-AU"/>
              </w:rPr>
            </w:pPr>
            <w:r w:rsidRPr="00E75831">
              <w:rPr>
                <w:sz w:val="18"/>
                <w:lang w:val="en-AU"/>
              </w:rPr>
              <w:t>1.13</w:t>
            </w:r>
          </w:p>
        </w:tc>
      </w:tr>
      <w:tr w:rsidR="00607FAB" w:rsidRPr="00E75831" w14:paraId="30DE5326" w14:textId="77777777" w:rsidTr="00836448">
        <w:trPr>
          <w:trHeight w:val="180"/>
        </w:trPr>
        <w:tc>
          <w:tcPr>
            <w:tcW w:w="1783" w:type="dxa"/>
            <w:vMerge/>
          </w:tcPr>
          <w:p w14:paraId="1AE30E94" w14:textId="77777777" w:rsidR="00607FAB" w:rsidRPr="00E75831" w:rsidRDefault="00607FAB" w:rsidP="00607FAB">
            <w:pPr>
              <w:jc w:val="center"/>
              <w:rPr>
                <w:sz w:val="18"/>
                <w:lang w:val="en-AU"/>
              </w:rPr>
            </w:pPr>
          </w:p>
        </w:tc>
        <w:tc>
          <w:tcPr>
            <w:tcW w:w="1788" w:type="dxa"/>
          </w:tcPr>
          <w:p w14:paraId="13B2F632" w14:textId="77777777" w:rsidR="00607FAB" w:rsidRPr="00E75831" w:rsidRDefault="00607FAB" w:rsidP="00607FAB">
            <w:pPr>
              <w:jc w:val="center"/>
              <w:rPr>
                <w:sz w:val="18"/>
                <w:lang w:val="en-AU"/>
              </w:rPr>
            </w:pPr>
            <w:r w:rsidRPr="00E75831">
              <w:rPr>
                <w:sz w:val="18"/>
                <w:lang w:val="en-AU"/>
              </w:rPr>
              <w:t>4 (96)</w:t>
            </w:r>
          </w:p>
        </w:tc>
        <w:tc>
          <w:tcPr>
            <w:tcW w:w="1770" w:type="dxa"/>
          </w:tcPr>
          <w:p w14:paraId="539B9901" w14:textId="77777777" w:rsidR="00607FAB" w:rsidRPr="00E75831" w:rsidRDefault="00607FAB" w:rsidP="00607FAB">
            <w:pPr>
              <w:jc w:val="center"/>
              <w:rPr>
                <w:sz w:val="18"/>
                <w:lang w:val="en-AU"/>
              </w:rPr>
            </w:pPr>
            <w:r w:rsidRPr="00E75831">
              <w:rPr>
                <w:sz w:val="18"/>
                <w:lang w:val="en-AU"/>
              </w:rPr>
              <w:t>1.13</w:t>
            </w:r>
          </w:p>
        </w:tc>
        <w:tc>
          <w:tcPr>
            <w:tcW w:w="1771" w:type="dxa"/>
          </w:tcPr>
          <w:p w14:paraId="1349A816" w14:textId="77777777" w:rsidR="00607FAB" w:rsidRPr="00E75831" w:rsidRDefault="00607FAB" w:rsidP="00607FAB">
            <w:pPr>
              <w:jc w:val="center"/>
              <w:rPr>
                <w:sz w:val="18"/>
                <w:lang w:val="en-AU"/>
              </w:rPr>
            </w:pPr>
            <w:r w:rsidRPr="00E75831">
              <w:rPr>
                <w:sz w:val="18"/>
                <w:lang w:val="en-AU"/>
              </w:rPr>
              <w:t>0.10</w:t>
            </w:r>
          </w:p>
        </w:tc>
        <w:tc>
          <w:tcPr>
            <w:tcW w:w="1786" w:type="dxa"/>
            <w:shd w:val="clear" w:color="auto" w:fill="D99594" w:themeFill="accent2" w:themeFillTint="99"/>
          </w:tcPr>
          <w:p w14:paraId="0BC21CFA" w14:textId="77777777" w:rsidR="00607FAB" w:rsidRPr="00E75831" w:rsidRDefault="00607FAB" w:rsidP="00607FAB">
            <w:pPr>
              <w:jc w:val="center"/>
              <w:rPr>
                <w:sz w:val="18"/>
                <w:lang w:val="en-AU"/>
              </w:rPr>
            </w:pPr>
            <w:r w:rsidRPr="00E75831">
              <w:rPr>
                <w:sz w:val="18"/>
                <w:lang w:val="en-AU"/>
              </w:rPr>
              <w:t>1.23</w:t>
            </w:r>
          </w:p>
        </w:tc>
      </w:tr>
      <w:tr w:rsidR="00607FAB" w:rsidRPr="00E75831" w14:paraId="4BBBAF2E" w14:textId="77777777" w:rsidTr="00836448">
        <w:trPr>
          <w:trHeight w:val="180"/>
        </w:trPr>
        <w:tc>
          <w:tcPr>
            <w:tcW w:w="1783" w:type="dxa"/>
            <w:vMerge/>
            <w:shd w:val="clear" w:color="auto" w:fill="B6DDE8" w:themeFill="accent5" w:themeFillTint="66"/>
          </w:tcPr>
          <w:p w14:paraId="5C28B8B6" w14:textId="77777777" w:rsidR="00607FAB" w:rsidRPr="00E75831" w:rsidRDefault="00607FAB" w:rsidP="00607FAB">
            <w:pPr>
              <w:jc w:val="center"/>
              <w:rPr>
                <w:sz w:val="18"/>
                <w:lang w:val="en-AU"/>
              </w:rPr>
            </w:pPr>
          </w:p>
        </w:tc>
        <w:tc>
          <w:tcPr>
            <w:tcW w:w="1788" w:type="dxa"/>
            <w:shd w:val="clear" w:color="auto" w:fill="B6DDE8" w:themeFill="accent5" w:themeFillTint="66"/>
          </w:tcPr>
          <w:p w14:paraId="21430B24" w14:textId="77777777" w:rsidR="00607FAB" w:rsidRPr="00E75831" w:rsidRDefault="00607FAB" w:rsidP="00607FAB">
            <w:pPr>
              <w:jc w:val="center"/>
              <w:rPr>
                <w:sz w:val="18"/>
                <w:lang w:val="en-AU"/>
              </w:rPr>
            </w:pPr>
            <w:r w:rsidRPr="00E75831">
              <w:rPr>
                <w:sz w:val="18"/>
                <w:lang w:val="en-AU"/>
              </w:rPr>
              <w:t>5 (120)</w:t>
            </w:r>
          </w:p>
        </w:tc>
        <w:tc>
          <w:tcPr>
            <w:tcW w:w="1770" w:type="dxa"/>
            <w:shd w:val="clear" w:color="auto" w:fill="B6DDE8" w:themeFill="accent5" w:themeFillTint="66"/>
          </w:tcPr>
          <w:p w14:paraId="240F2292" w14:textId="77777777" w:rsidR="00607FAB" w:rsidRPr="00E75831" w:rsidRDefault="00607FAB" w:rsidP="00607FAB">
            <w:pPr>
              <w:jc w:val="center"/>
              <w:rPr>
                <w:sz w:val="18"/>
                <w:lang w:val="en-AU"/>
              </w:rPr>
            </w:pPr>
            <w:r w:rsidRPr="00E75831">
              <w:rPr>
                <w:sz w:val="18"/>
                <w:lang w:val="en-AU"/>
              </w:rPr>
              <w:t>1.13</w:t>
            </w:r>
          </w:p>
        </w:tc>
        <w:tc>
          <w:tcPr>
            <w:tcW w:w="1771" w:type="dxa"/>
            <w:shd w:val="clear" w:color="auto" w:fill="B6DDE8" w:themeFill="accent5" w:themeFillTint="66"/>
          </w:tcPr>
          <w:p w14:paraId="73AE013E" w14:textId="77777777" w:rsidR="00607FAB" w:rsidRPr="00E75831" w:rsidRDefault="00607FAB" w:rsidP="00607FAB">
            <w:pPr>
              <w:jc w:val="center"/>
              <w:rPr>
                <w:sz w:val="18"/>
                <w:lang w:val="en-AU"/>
              </w:rPr>
            </w:pPr>
            <w:r w:rsidRPr="00E75831">
              <w:rPr>
                <w:sz w:val="18"/>
                <w:lang w:val="en-AU"/>
              </w:rPr>
              <w:t>0.12</w:t>
            </w:r>
          </w:p>
        </w:tc>
        <w:tc>
          <w:tcPr>
            <w:tcW w:w="1786" w:type="dxa"/>
            <w:shd w:val="clear" w:color="auto" w:fill="B6DDE8" w:themeFill="accent5" w:themeFillTint="66"/>
          </w:tcPr>
          <w:p w14:paraId="7572AF4A" w14:textId="77777777" w:rsidR="00607FAB" w:rsidRPr="00E75831" w:rsidRDefault="00607FAB" w:rsidP="00607FAB">
            <w:pPr>
              <w:jc w:val="center"/>
              <w:rPr>
                <w:sz w:val="18"/>
                <w:lang w:val="en-AU"/>
              </w:rPr>
            </w:pPr>
            <w:r w:rsidRPr="00E75831">
              <w:rPr>
                <w:sz w:val="18"/>
                <w:lang w:val="en-AU"/>
              </w:rPr>
              <w:t>1.25</w:t>
            </w:r>
          </w:p>
        </w:tc>
      </w:tr>
      <w:tr w:rsidR="00607FAB" w:rsidRPr="00E75831" w14:paraId="5F91BBF8" w14:textId="77777777" w:rsidTr="00836448">
        <w:trPr>
          <w:trHeight w:val="180"/>
        </w:trPr>
        <w:tc>
          <w:tcPr>
            <w:tcW w:w="1783" w:type="dxa"/>
            <w:vMerge/>
          </w:tcPr>
          <w:p w14:paraId="7A3C56F1" w14:textId="77777777" w:rsidR="00607FAB" w:rsidRPr="00E75831" w:rsidRDefault="00607FAB" w:rsidP="00607FAB">
            <w:pPr>
              <w:jc w:val="center"/>
              <w:rPr>
                <w:sz w:val="18"/>
                <w:lang w:val="en-AU"/>
              </w:rPr>
            </w:pPr>
          </w:p>
        </w:tc>
        <w:tc>
          <w:tcPr>
            <w:tcW w:w="1788" w:type="dxa"/>
          </w:tcPr>
          <w:p w14:paraId="77E05694" w14:textId="77777777" w:rsidR="00607FAB" w:rsidRPr="00E75831" w:rsidRDefault="00607FAB" w:rsidP="00607FAB">
            <w:pPr>
              <w:jc w:val="center"/>
              <w:rPr>
                <w:sz w:val="18"/>
                <w:lang w:val="en-AU"/>
              </w:rPr>
            </w:pPr>
            <w:r w:rsidRPr="00E75831">
              <w:rPr>
                <w:sz w:val="18"/>
                <w:lang w:val="en-AU"/>
              </w:rPr>
              <w:t>8 (192)</w:t>
            </w:r>
          </w:p>
        </w:tc>
        <w:tc>
          <w:tcPr>
            <w:tcW w:w="1770" w:type="dxa"/>
          </w:tcPr>
          <w:p w14:paraId="746675DB" w14:textId="77777777" w:rsidR="00607FAB" w:rsidRPr="00E75831" w:rsidRDefault="00607FAB" w:rsidP="00607FAB">
            <w:pPr>
              <w:jc w:val="center"/>
              <w:rPr>
                <w:sz w:val="18"/>
                <w:lang w:val="en-AU"/>
              </w:rPr>
            </w:pPr>
            <w:r w:rsidRPr="00E75831">
              <w:rPr>
                <w:sz w:val="18"/>
                <w:lang w:val="en-AU"/>
              </w:rPr>
              <w:t>1.13</w:t>
            </w:r>
          </w:p>
        </w:tc>
        <w:tc>
          <w:tcPr>
            <w:tcW w:w="1771" w:type="dxa"/>
          </w:tcPr>
          <w:p w14:paraId="19C449C6" w14:textId="77777777" w:rsidR="00607FAB" w:rsidRPr="00E75831" w:rsidRDefault="00607FAB" w:rsidP="00607FAB">
            <w:pPr>
              <w:jc w:val="center"/>
              <w:rPr>
                <w:sz w:val="18"/>
                <w:lang w:val="en-AU"/>
              </w:rPr>
            </w:pPr>
            <w:r w:rsidRPr="00E75831">
              <w:rPr>
                <w:sz w:val="18"/>
                <w:lang w:val="en-AU"/>
              </w:rPr>
              <w:t>0.19</w:t>
            </w:r>
          </w:p>
        </w:tc>
        <w:tc>
          <w:tcPr>
            <w:tcW w:w="1786" w:type="dxa"/>
            <w:shd w:val="clear" w:color="auto" w:fill="D99594" w:themeFill="accent2" w:themeFillTint="99"/>
          </w:tcPr>
          <w:p w14:paraId="1A4EE41C" w14:textId="77777777" w:rsidR="00607FAB" w:rsidRPr="00E75831" w:rsidRDefault="00607FAB" w:rsidP="00607FAB">
            <w:pPr>
              <w:jc w:val="center"/>
              <w:rPr>
                <w:sz w:val="18"/>
                <w:lang w:val="en-AU"/>
              </w:rPr>
            </w:pPr>
            <w:r w:rsidRPr="00E75831">
              <w:rPr>
                <w:sz w:val="18"/>
                <w:lang w:val="en-AU"/>
              </w:rPr>
              <w:t>1.32</w:t>
            </w:r>
          </w:p>
        </w:tc>
      </w:tr>
      <w:tr w:rsidR="00607FAB" w:rsidRPr="00E75831" w14:paraId="0AA64E40" w14:textId="77777777" w:rsidTr="00836448">
        <w:trPr>
          <w:trHeight w:val="180"/>
        </w:trPr>
        <w:tc>
          <w:tcPr>
            <w:tcW w:w="1783" w:type="dxa"/>
            <w:vMerge/>
          </w:tcPr>
          <w:p w14:paraId="74E502F7" w14:textId="77777777" w:rsidR="00607FAB" w:rsidRPr="00E75831" w:rsidRDefault="00607FAB" w:rsidP="00607FAB">
            <w:pPr>
              <w:jc w:val="center"/>
              <w:rPr>
                <w:sz w:val="18"/>
                <w:lang w:val="en-AU"/>
              </w:rPr>
            </w:pPr>
          </w:p>
        </w:tc>
        <w:tc>
          <w:tcPr>
            <w:tcW w:w="1788" w:type="dxa"/>
          </w:tcPr>
          <w:p w14:paraId="10AFB0D3" w14:textId="77777777" w:rsidR="00607FAB" w:rsidRPr="00E75831" w:rsidRDefault="00607FAB" w:rsidP="00607FAB">
            <w:pPr>
              <w:jc w:val="center"/>
              <w:rPr>
                <w:sz w:val="18"/>
                <w:lang w:val="en-AU"/>
              </w:rPr>
            </w:pPr>
            <w:r w:rsidRPr="00E75831">
              <w:rPr>
                <w:sz w:val="18"/>
                <w:lang w:val="en-AU"/>
              </w:rPr>
              <w:t>16 (384)</w:t>
            </w:r>
          </w:p>
        </w:tc>
        <w:tc>
          <w:tcPr>
            <w:tcW w:w="1770" w:type="dxa"/>
          </w:tcPr>
          <w:p w14:paraId="3F1F4221" w14:textId="77777777" w:rsidR="00607FAB" w:rsidRPr="00E75831" w:rsidRDefault="00607FAB" w:rsidP="00607FAB">
            <w:pPr>
              <w:jc w:val="center"/>
              <w:rPr>
                <w:sz w:val="18"/>
                <w:lang w:val="en-AU"/>
              </w:rPr>
            </w:pPr>
            <w:r w:rsidRPr="00E75831">
              <w:rPr>
                <w:sz w:val="18"/>
                <w:lang w:val="en-AU"/>
              </w:rPr>
              <w:t>1.13</w:t>
            </w:r>
          </w:p>
        </w:tc>
        <w:tc>
          <w:tcPr>
            <w:tcW w:w="1771" w:type="dxa"/>
          </w:tcPr>
          <w:p w14:paraId="2D38BDA9" w14:textId="77777777" w:rsidR="00607FAB" w:rsidRPr="00E75831" w:rsidRDefault="00607FAB" w:rsidP="00607FAB">
            <w:pPr>
              <w:jc w:val="center"/>
              <w:rPr>
                <w:sz w:val="18"/>
                <w:lang w:val="en-AU"/>
              </w:rPr>
            </w:pPr>
            <w:r w:rsidRPr="00E75831">
              <w:rPr>
                <w:sz w:val="18"/>
                <w:lang w:val="en-AU"/>
              </w:rPr>
              <w:t>0.38</w:t>
            </w:r>
          </w:p>
        </w:tc>
        <w:tc>
          <w:tcPr>
            <w:tcW w:w="1786" w:type="dxa"/>
            <w:shd w:val="clear" w:color="auto" w:fill="D99594" w:themeFill="accent2" w:themeFillTint="99"/>
          </w:tcPr>
          <w:p w14:paraId="74D0D5C8" w14:textId="77777777" w:rsidR="00607FAB" w:rsidRPr="00E75831" w:rsidRDefault="00607FAB" w:rsidP="00607FAB">
            <w:pPr>
              <w:jc w:val="center"/>
              <w:rPr>
                <w:sz w:val="18"/>
                <w:lang w:val="en-AU"/>
              </w:rPr>
            </w:pPr>
            <w:r w:rsidRPr="00E75831">
              <w:rPr>
                <w:sz w:val="18"/>
                <w:lang w:val="en-AU"/>
              </w:rPr>
              <w:t>1.51</w:t>
            </w:r>
          </w:p>
        </w:tc>
      </w:tr>
      <w:tr w:rsidR="00607FAB" w:rsidRPr="00E75831" w14:paraId="58D036CA" w14:textId="77777777" w:rsidTr="00836448">
        <w:trPr>
          <w:trHeight w:val="180"/>
        </w:trPr>
        <w:tc>
          <w:tcPr>
            <w:tcW w:w="1783" w:type="dxa"/>
            <w:vMerge/>
          </w:tcPr>
          <w:p w14:paraId="291492A4" w14:textId="77777777" w:rsidR="00607FAB" w:rsidRPr="00E75831" w:rsidRDefault="00607FAB" w:rsidP="00607FAB">
            <w:pPr>
              <w:jc w:val="center"/>
              <w:rPr>
                <w:sz w:val="18"/>
                <w:lang w:val="en-AU"/>
              </w:rPr>
            </w:pPr>
          </w:p>
        </w:tc>
        <w:tc>
          <w:tcPr>
            <w:tcW w:w="1788" w:type="dxa"/>
            <w:shd w:val="clear" w:color="auto" w:fill="C4BC96" w:themeFill="background2" w:themeFillShade="BF"/>
          </w:tcPr>
          <w:p w14:paraId="154A698F" w14:textId="77777777" w:rsidR="00607FAB" w:rsidRPr="00E75831" w:rsidRDefault="00607FAB" w:rsidP="00607FAB">
            <w:pPr>
              <w:jc w:val="center"/>
              <w:rPr>
                <w:sz w:val="18"/>
                <w:lang w:val="en-AU"/>
              </w:rPr>
            </w:pPr>
            <w:r w:rsidRPr="00E75831">
              <w:rPr>
                <w:sz w:val="18"/>
                <w:lang w:val="en-AU"/>
              </w:rPr>
              <w:t>20 (480)</w:t>
            </w:r>
          </w:p>
        </w:tc>
        <w:tc>
          <w:tcPr>
            <w:tcW w:w="1770" w:type="dxa"/>
            <w:shd w:val="clear" w:color="auto" w:fill="C4BC96" w:themeFill="background2" w:themeFillShade="BF"/>
          </w:tcPr>
          <w:p w14:paraId="62C04D77" w14:textId="77777777" w:rsidR="00607FAB" w:rsidRPr="00E75831" w:rsidRDefault="00607FAB" w:rsidP="00607FAB">
            <w:pPr>
              <w:jc w:val="center"/>
              <w:rPr>
                <w:sz w:val="18"/>
                <w:lang w:val="en-AU"/>
              </w:rPr>
            </w:pPr>
            <w:r w:rsidRPr="00E75831">
              <w:rPr>
                <w:sz w:val="18"/>
                <w:lang w:val="en-AU"/>
              </w:rPr>
              <w:t>1.13</w:t>
            </w:r>
          </w:p>
        </w:tc>
        <w:tc>
          <w:tcPr>
            <w:tcW w:w="1771" w:type="dxa"/>
            <w:shd w:val="clear" w:color="auto" w:fill="C4BC96" w:themeFill="background2" w:themeFillShade="BF"/>
          </w:tcPr>
          <w:p w14:paraId="0668C91E" w14:textId="77777777" w:rsidR="00607FAB" w:rsidRPr="00E75831" w:rsidRDefault="00607FAB" w:rsidP="00607FAB">
            <w:pPr>
              <w:jc w:val="center"/>
              <w:rPr>
                <w:sz w:val="18"/>
                <w:lang w:val="en-AU"/>
              </w:rPr>
            </w:pPr>
            <w:r w:rsidRPr="00E75831">
              <w:rPr>
                <w:sz w:val="18"/>
                <w:lang w:val="en-AU"/>
              </w:rPr>
              <w:t>0.48</w:t>
            </w:r>
          </w:p>
        </w:tc>
        <w:tc>
          <w:tcPr>
            <w:tcW w:w="1786" w:type="dxa"/>
            <w:shd w:val="clear" w:color="auto" w:fill="D99594" w:themeFill="accent2" w:themeFillTint="99"/>
          </w:tcPr>
          <w:p w14:paraId="7CF8332D" w14:textId="77777777" w:rsidR="00607FAB" w:rsidRPr="00E75831" w:rsidRDefault="00607FAB" w:rsidP="00607FAB">
            <w:pPr>
              <w:jc w:val="center"/>
              <w:rPr>
                <w:sz w:val="18"/>
                <w:lang w:val="en-AU"/>
              </w:rPr>
            </w:pPr>
            <w:r w:rsidRPr="00E75831">
              <w:rPr>
                <w:sz w:val="18"/>
                <w:lang w:val="en-AU"/>
              </w:rPr>
              <w:t>1.61</w:t>
            </w:r>
          </w:p>
        </w:tc>
      </w:tr>
      <w:tr w:rsidR="00607FAB" w:rsidRPr="00E75831" w14:paraId="68C20A66" w14:textId="77777777" w:rsidTr="00836448">
        <w:trPr>
          <w:trHeight w:val="180"/>
        </w:trPr>
        <w:tc>
          <w:tcPr>
            <w:tcW w:w="1783" w:type="dxa"/>
            <w:vMerge/>
          </w:tcPr>
          <w:p w14:paraId="46D2BD85" w14:textId="77777777" w:rsidR="00607FAB" w:rsidRPr="00E75831" w:rsidRDefault="00607FAB" w:rsidP="00607FAB">
            <w:pPr>
              <w:jc w:val="center"/>
              <w:rPr>
                <w:sz w:val="18"/>
                <w:lang w:val="en-AU"/>
              </w:rPr>
            </w:pPr>
          </w:p>
        </w:tc>
        <w:tc>
          <w:tcPr>
            <w:tcW w:w="1788" w:type="dxa"/>
            <w:shd w:val="clear" w:color="auto" w:fill="C4BC96" w:themeFill="background2" w:themeFillShade="BF"/>
          </w:tcPr>
          <w:p w14:paraId="1DBD84DD" w14:textId="77777777" w:rsidR="00607FAB" w:rsidRPr="00E75831" w:rsidRDefault="00607FAB" w:rsidP="00607FAB">
            <w:pPr>
              <w:jc w:val="center"/>
              <w:rPr>
                <w:sz w:val="18"/>
                <w:lang w:val="en-AU"/>
              </w:rPr>
            </w:pPr>
            <w:r w:rsidRPr="00E75831">
              <w:rPr>
                <w:sz w:val="18"/>
                <w:lang w:val="en-AU"/>
              </w:rPr>
              <w:t>25 (600)</w:t>
            </w:r>
          </w:p>
        </w:tc>
        <w:tc>
          <w:tcPr>
            <w:tcW w:w="1770" w:type="dxa"/>
            <w:shd w:val="clear" w:color="auto" w:fill="C4BC96" w:themeFill="background2" w:themeFillShade="BF"/>
          </w:tcPr>
          <w:p w14:paraId="0A9EDB32" w14:textId="77777777" w:rsidR="00607FAB" w:rsidRPr="00E75831" w:rsidRDefault="00607FAB" w:rsidP="00607FAB">
            <w:pPr>
              <w:jc w:val="center"/>
              <w:rPr>
                <w:sz w:val="18"/>
                <w:lang w:val="en-AU"/>
              </w:rPr>
            </w:pPr>
            <w:r w:rsidRPr="00E75831">
              <w:rPr>
                <w:sz w:val="18"/>
                <w:lang w:val="en-AU"/>
              </w:rPr>
              <w:t>1.13</w:t>
            </w:r>
          </w:p>
        </w:tc>
        <w:tc>
          <w:tcPr>
            <w:tcW w:w="1771" w:type="dxa"/>
            <w:shd w:val="clear" w:color="auto" w:fill="C4BC96" w:themeFill="background2" w:themeFillShade="BF"/>
          </w:tcPr>
          <w:p w14:paraId="0B4BB687" w14:textId="77777777" w:rsidR="00607FAB" w:rsidRPr="00E75831" w:rsidRDefault="00607FAB" w:rsidP="00607FAB">
            <w:pPr>
              <w:jc w:val="center"/>
              <w:rPr>
                <w:sz w:val="18"/>
                <w:lang w:val="en-AU"/>
              </w:rPr>
            </w:pPr>
            <w:r w:rsidRPr="00E75831">
              <w:rPr>
                <w:sz w:val="18"/>
                <w:lang w:val="en-AU"/>
              </w:rPr>
              <w:t>0.60</w:t>
            </w:r>
          </w:p>
        </w:tc>
        <w:tc>
          <w:tcPr>
            <w:tcW w:w="1786" w:type="dxa"/>
            <w:shd w:val="clear" w:color="auto" w:fill="D99594" w:themeFill="accent2" w:themeFillTint="99"/>
          </w:tcPr>
          <w:p w14:paraId="72A616B5" w14:textId="77777777" w:rsidR="00607FAB" w:rsidRPr="00E75831" w:rsidRDefault="00607FAB" w:rsidP="00607FAB">
            <w:pPr>
              <w:jc w:val="center"/>
              <w:rPr>
                <w:sz w:val="18"/>
                <w:lang w:val="en-AU"/>
              </w:rPr>
            </w:pPr>
            <w:r w:rsidRPr="00E75831">
              <w:rPr>
                <w:sz w:val="18"/>
                <w:lang w:val="en-AU"/>
              </w:rPr>
              <w:t>1.73</w:t>
            </w:r>
          </w:p>
        </w:tc>
      </w:tr>
    </w:tbl>
    <w:p w14:paraId="7BAAA298" w14:textId="77777777" w:rsidR="00836448" w:rsidRPr="00836448" w:rsidRDefault="00836448" w:rsidP="00836448">
      <w:pPr>
        <w:keepNext/>
        <w:keepLines/>
        <w:rPr>
          <w:i/>
          <w:sz w:val="18"/>
          <w:lang w:val="en-AU"/>
        </w:rPr>
      </w:pPr>
      <w:r w:rsidRPr="00836448">
        <w:rPr>
          <w:i/>
          <w:sz w:val="18"/>
          <w:lang w:val="en-AU"/>
        </w:rPr>
        <w:t>F = Fluoride</w:t>
      </w:r>
    </w:p>
    <w:p w14:paraId="5C2C949C" w14:textId="54B2DA87" w:rsidR="00836448" w:rsidRDefault="00836448" w:rsidP="00836448">
      <w:pPr>
        <w:keepNext/>
        <w:keepLines/>
        <w:rPr>
          <w:i/>
          <w:sz w:val="18"/>
          <w:lang w:val="en-AU"/>
        </w:rPr>
      </w:pPr>
      <w:r w:rsidRPr="00836448">
        <w:rPr>
          <w:i/>
          <w:sz w:val="18"/>
          <w:lang w:val="en-AU"/>
        </w:rPr>
        <w:t>IF = Infant Formula</w:t>
      </w:r>
    </w:p>
    <w:p w14:paraId="4A228266" w14:textId="5CA61976" w:rsidR="00BA10DA" w:rsidRDefault="00BA10DA" w:rsidP="00BA10DA"/>
    <w:p w14:paraId="7715D394" w14:textId="400384C8" w:rsidR="00607FAB" w:rsidRDefault="00607FAB" w:rsidP="00607FAB">
      <w:pPr>
        <w:rPr>
          <w:lang w:val="en-AU"/>
        </w:rPr>
      </w:pPr>
    </w:p>
    <w:p w14:paraId="58AFA07D" w14:textId="754C8A19" w:rsidR="00D5526B" w:rsidRPr="00836448" w:rsidRDefault="00D5526B" w:rsidP="003A01FB">
      <w:pPr>
        <w:rPr>
          <w:lang w:val="en-AU"/>
        </w:rPr>
      </w:pPr>
    </w:p>
    <w:sectPr w:rsidR="00D5526B" w:rsidRPr="00836448" w:rsidSect="00C377DD">
      <w:pgSz w:w="11906" w:h="16838"/>
      <w:pgMar w:top="1440" w:right="1558" w:bottom="1276"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226EFC" w14:textId="77777777" w:rsidR="001938AB" w:rsidRDefault="001938AB" w:rsidP="00776154">
      <w:r>
        <w:separator/>
      </w:r>
    </w:p>
    <w:p w14:paraId="07088394" w14:textId="77777777" w:rsidR="001938AB" w:rsidRDefault="001938AB"/>
  </w:endnote>
  <w:endnote w:type="continuationSeparator" w:id="0">
    <w:p w14:paraId="323415AD" w14:textId="77777777" w:rsidR="001938AB" w:rsidRDefault="001938AB" w:rsidP="00776154">
      <w:r>
        <w:continuationSeparator/>
      </w:r>
    </w:p>
    <w:p w14:paraId="133059E7" w14:textId="77777777" w:rsidR="001938AB" w:rsidRDefault="001938AB"/>
  </w:endnote>
  <w:endnote w:type="continuationNotice" w:id="1">
    <w:p w14:paraId="2D16CA2E" w14:textId="77777777" w:rsidR="001938AB" w:rsidRDefault="001938AB"/>
    <w:p w14:paraId="5E571CBA" w14:textId="77777777" w:rsidR="001938AB" w:rsidRDefault="001938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altName w:val="Arial"/>
    <w:panose1 w:val="020B0704020202020204"/>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Frutiger LT Std 45 Light">
    <w:altName w:val="Frutiger LT Std 45 Light"/>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9C95D" w14:textId="77777777" w:rsidR="00EC27CD" w:rsidRDefault="00EC27CD" w:rsidP="00776154">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end"/>
    </w:r>
  </w:p>
  <w:p w14:paraId="590EE46E" w14:textId="77777777" w:rsidR="00EC27CD" w:rsidRDefault="00EC27CD" w:rsidP="006E1D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DBEFA" w14:textId="009CE67B" w:rsidR="00EC27CD" w:rsidRDefault="00EC27CD" w:rsidP="0077615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2008A">
      <w:rPr>
        <w:rStyle w:val="PageNumber"/>
        <w:noProof/>
      </w:rPr>
      <w:t>ii</w:t>
    </w:r>
    <w:r>
      <w:rPr>
        <w:rStyle w:val="PageNumber"/>
      </w:rPr>
      <w:fldChar w:fldCharType="end"/>
    </w:r>
  </w:p>
  <w:p w14:paraId="70F46C29" w14:textId="77777777" w:rsidR="00EC27CD" w:rsidRDefault="00EC27CD" w:rsidP="006E1D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9977679"/>
      <w:docPartObj>
        <w:docPartGallery w:val="Page Numbers (Bottom of Page)"/>
        <w:docPartUnique/>
      </w:docPartObj>
    </w:sdtPr>
    <w:sdtEndPr>
      <w:rPr>
        <w:noProof/>
      </w:rPr>
    </w:sdtEndPr>
    <w:sdtContent>
      <w:p w14:paraId="14C993AA" w14:textId="53460C84" w:rsidR="00EC27CD" w:rsidRDefault="00EC27CD">
        <w:pPr>
          <w:pStyle w:val="Footer"/>
          <w:jc w:val="right"/>
        </w:pPr>
        <w:r>
          <w:fldChar w:fldCharType="begin"/>
        </w:r>
        <w:r>
          <w:instrText xml:space="preserve"> PAGE   \* MERGEFORMAT </w:instrText>
        </w:r>
        <w:r>
          <w:fldChar w:fldCharType="separate"/>
        </w:r>
        <w:r w:rsidR="00F2008A">
          <w:rPr>
            <w:noProof/>
          </w:rPr>
          <w:t>6</w:t>
        </w:r>
        <w:r>
          <w:rPr>
            <w:noProof/>
          </w:rPr>
          <w:fldChar w:fldCharType="end"/>
        </w:r>
      </w:p>
    </w:sdtContent>
  </w:sdt>
  <w:p w14:paraId="1432936A" w14:textId="77777777" w:rsidR="00EC27CD" w:rsidRDefault="00EC27CD" w:rsidP="00297132">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3584314"/>
      <w:docPartObj>
        <w:docPartGallery w:val="Page Numbers (Bottom of Page)"/>
        <w:docPartUnique/>
      </w:docPartObj>
    </w:sdtPr>
    <w:sdtEndPr>
      <w:rPr>
        <w:noProof/>
      </w:rPr>
    </w:sdtEndPr>
    <w:sdtContent>
      <w:p w14:paraId="4A328F7A" w14:textId="77777777" w:rsidR="00EC27CD" w:rsidRDefault="00EC27CD">
        <w:pPr>
          <w:pStyle w:val="Footer"/>
          <w:jc w:val="center"/>
        </w:pPr>
      </w:p>
      <w:p w14:paraId="04E7CA6A" w14:textId="0CBCEB10" w:rsidR="00EC27CD" w:rsidRDefault="00EC27CD">
        <w:pPr>
          <w:pStyle w:val="Footer"/>
          <w:jc w:val="center"/>
        </w:pPr>
        <w:r>
          <w:fldChar w:fldCharType="begin"/>
        </w:r>
        <w:r>
          <w:instrText xml:space="preserve"> PAGE   \* MERGEFORMAT </w:instrText>
        </w:r>
        <w:r>
          <w:fldChar w:fldCharType="separate"/>
        </w:r>
        <w:r w:rsidR="00F2008A">
          <w:rPr>
            <w:noProof/>
          </w:rPr>
          <w:t>133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B3D88C" w14:textId="77777777" w:rsidR="001938AB" w:rsidRDefault="001938AB" w:rsidP="00776154">
      <w:r>
        <w:separator/>
      </w:r>
    </w:p>
    <w:p w14:paraId="4487505F" w14:textId="77777777" w:rsidR="001938AB" w:rsidRDefault="001938AB"/>
  </w:footnote>
  <w:footnote w:type="continuationSeparator" w:id="0">
    <w:p w14:paraId="5BB7310F" w14:textId="77777777" w:rsidR="001938AB" w:rsidRDefault="001938AB" w:rsidP="00776154">
      <w:r>
        <w:continuationSeparator/>
      </w:r>
    </w:p>
    <w:p w14:paraId="1DE1ED09" w14:textId="77777777" w:rsidR="001938AB" w:rsidRDefault="001938AB"/>
  </w:footnote>
  <w:footnote w:type="continuationNotice" w:id="1">
    <w:p w14:paraId="1B2E3923" w14:textId="77777777" w:rsidR="001938AB" w:rsidRDefault="001938AB"/>
    <w:p w14:paraId="5752BD5E" w14:textId="77777777" w:rsidR="001938AB" w:rsidRDefault="001938AB"/>
  </w:footnote>
  <w:footnote w:id="2">
    <w:p w14:paraId="77E32765" w14:textId="77777777" w:rsidR="00EC27CD" w:rsidRDefault="00EC27CD" w:rsidP="00F409E9">
      <w:pPr>
        <w:pStyle w:val="FootnoteText"/>
      </w:pPr>
      <w:r>
        <w:rPr>
          <w:rStyle w:val="FootnoteReference"/>
        </w:rPr>
        <w:footnoteRef/>
      </w:r>
      <w:r>
        <w:t xml:space="preserve"> </w:t>
      </w:r>
      <w:r w:rsidRPr="00712783">
        <w:t>http://www.foodstandards.gov.au/code/proposals/Pages/P1028.aspx</w:t>
      </w:r>
    </w:p>
  </w:footnote>
  <w:footnote w:id="3">
    <w:p w14:paraId="5622A751" w14:textId="77777777" w:rsidR="00EC27CD" w:rsidRPr="00713CAC" w:rsidRDefault="00EC27CD" w:rsidP="00776154">
      <w:pPr>
        <w:pStyle w:val="Footnote"/>
        <w:rPr>
          <w:sz w:val="18"/>
          <w:szCs w:val="18"/>
          <w:lang w:val="en-AU"/>
        </w:rPr>
      </w:pPr>
      <w:r w:rsidRPr="00713CAC">
        <w:rPr>
          <w:rStyle w:val="FootnoteReference"/>
          <w:sz w:val="18"/>
          <w:szCs w:val="18"/>
        </w:rPr>
        <w:footnoteRef/>
      </w:r>
      <w:r w:rsidRPr="00713CAC">
        <w:rPr>
          <w:sz w:val="18"/>
          <w:szCs w:val="18"/>
        </w:rPr>
        <w:t xml:space="preserve"> </w:t>
      </w:r>
      <w:r w:rsidRPr="00713CAC">
        <w:rPr>
          <w:sz w:val="18"/>
          <w:szCs w:val="18"/>
          <w:lang w:val="en-AU"/>
        </w:rPr>
        <w:t xml:space="preserve">Now known as the </w:t>
      </w:r>
      <w:r w:rsidRPr="00713CAC">
        <w:rPr>
          <w:rFonts w:cs="Helvetica"/>
          <w:sz w:val="18"/>
          <w:szCs w:val="18"/>
          <w:lang w:val="en-AU"/>
        </w:rPr>
        <w:t>Food Ministers’ Meeting; previously called</w:t>
      </w:r>
      <w:r w:rsidRPr="00713CAC">
        <w:rPr>
          <w:sz w:val="18"/>
          <w:szCs w:val="18"/>
          <w:lang w:val="en-AU"/>
        </w:rPr>
        <w:t xml:space="preserve"> the</w:t>
      </w:r>
      <w:r w:rsidRPr="00713CAC">
        <w:rPr>
          <w:rFonts w:cs="Helvetica"/>
          <w:sz w:val="18"/>
          <w:szCs w:val="18"/>
          <w:lang w:val="en-AU"/>
        </w:rPr>
        <w:t xml:space="preserve"> Australia and New Zealand Ministerial Forum on Food Regulation (convening as the Australia and New Zealand Food Regulation Ministerial Council)</w:t>
      </w:r>
    </w:p>
  </w:footnote>
  <w:footnote w:id="4">
    <w:p w14:paraId="7C5D5AC0" w14:textId="5D61D8A7" w:rsidR="00EC27CD" w:rsidRPr="002A7E2B" w:rsidRDefault="00EC27CD">
      <w:pPr>
        <w:pStyle w:val="FootnoteText"/>
        <w:rPr>
          <w:lang w:val="en-AU"/>
        </w:rPr>
      </w:pPr>
      <w:r w:rsidRPr="00713CAC">
        <w:rPr>
          <w:rStyle w:val="FootnoteReference"/>
          <w:szCs w:val="18"/>
        </w:rPr>
        <w:footnoteRef/>
      </w:r>
      <w:r w:rsidRPr="00713CAC">
        <w:rPr>
          <w:szCs w:val="18"/>
        </w:rPr>
        <w:t xml:space="preserve"> </w:t>
      </w:r>
      <w:hyperlink r:id="rId1" w:history="1">
        <w:r w:rsidRPr="00713CAC">
          <w:rPr>
            <w:rStyle w:val="Hyperlink"/>
            <w:szCs w:val="18"/>
          </w:rPr>
          <w:t>https://www.foodstandards.gov.au/publications/riskanalysisfoodregulation/Pages/default.aspx</w:t>
        </w:r>
      </w:hyperlink>
    </w:p>
  </w:footnote>
  <w:footnote w:id="5">
    <w:p w14:paraId="02841243" w14:textId="1690BD7A" w:rsidR="00EC27CD" w:rsidRPr="002A4EA4" w:rsidRDefault="00EC27CD">
      <w:pPr>
        <w:pStyle w:val="FootnoteText"/>
        <w:rPr>
          <w:lang w:val="en-AU"/>
        </w:rPr>
      </w:pPr>
      <w:r>
        <w:rPr>
          <w:rStyle w:val="FootnoteReference"/>
        </w:rPr>
        <w:footnoteRef/>
      </w:r>
      <w:r>
        <w:t xml:space="preserve"> </w:t>
      </w:r>
      <w:r>
        <w:rPr>
          <w:lang w:val="en-AU"/>
        </w:rPr>
        <w:t xml:space="preserve">Referred to as </w:t>
      </w:r>
      <w:r>
        <w:t xml:space="preserve">Codex Draft Standard for FUF in this paper. </w:t>
      </w:r>
    </w:p>
  </w:footnote>
  <w:footnote w:id="6">
    <w:p w14:paraId="363289DB" w14:textId="22E0D9F5" w:rsidR="00EC27CD" w:rsidRPr="005D1A51" w:rsidRDefault="00EC27CD" w:rsidP="00776154">
      <w:pPr>
        <w:pStyle w:val="FootnoteText"/>
        <w:rPr>
          <w:lang w:val="en-AU"/>
        </w:rPr>
      </w:pPr>
      <w:r w:rsidRPr="00480AF4">
        <w:rPr>
          <w:vertAlign w:val="superscript"/>
        </w:rPr>
        <w:footnoteRef/>
      </w:r>
      <w:r>
        <w:t xml:space="preserve"> Cysteine is the sulphydryl form, cystine is the disulphide form. The two forms are interconverted through a redox reaction, are nutritionally equivalent, and combined represent “cysteine total”. Some older literature reports appear to use the terms interchangeably. </w:t>
      </w:r>
    </w:p>
  </w:footnote>
  <w:footnote w:id="7">
    <w:p w14:paraId="4BDF54F9" w14:textId="6104ADDB" w:rsidR="00EC27CD" w:rsidRPr="00064AE2" w:rsidRDefault="00EC27CD" w:rsidP="00776154">
      <w:pPr>
        <w:pStyle w:val="FootnoteText"/>
        <w:rPr>
          <w:lang w:val="en-AU"/>
        </w:rPr>
      </w:pPr>
      <w:r>
        <w:rPr>
          <w:rStyle w:val="FootnoteReference"/>
        </w:rPr>
        <w:footnoteRef/>
      </w:r>
      <w:r>
        <w:t xml:space="preserve"> Using minimum amounts in </w:t>
      </w:r>
      <w:r>
        <w:rPr>
          <w:lang w:val="en-AU"/>
        </w:rPr>
        <w:t>Table 4.5: If cysteine + cysteine total = 6 and methionine + cysteine + cystine = 19 then methionine = 13 (by difference) and the ratio of Met:Cys = 2.2.</w:t>
      </w:r>
    </w:p>
  </w:footnote>
  <w:footnote w:id="8">
    <w:p w14:paraId="16517362" w14:textId="77777777" w:rsidR="00EC27CD" w:rsidRPr="004C58E6" w:rsidRDefault="00EC27CD" w:rsidP="00776154">
      <w:pPr>
        <w:pStyle w:val="FootnoteText"/>
      </w:pPr>
      <w:r>
        <w:rPr>
          <w:rStyle w:val="FootnoteReference"/>
        </w:rPr>
        <w:footnoteRef/>
      </w:r>
      <w:r>
        <w:t xml:space="preserve"> </w:t>
      </w:r>
      <w:hyperlink r:id="rId2" w:history="1">
        <w:r w:rsidRPr="002B22BC">
          <w:rPr>
            <w:rStyle w:val="Hyperlink"/>
          </w:rPr>
          <w:t>https://foodregulation.gov.au/internet/fr/publishing.nsf/Content/publication-Policy-Guideline-on-Infant-Formula-Products</w:t>
        </w:r>
      </w:hyperlink>
      <w:r>
        <w:t xml:space="preserve"> See Specific Policy Principal g) </w:t>
      </w:r>
      <w:r w:rsidRPr="004C58E6">
        <w:rPr>
          <w:i/>
          <w:lang w:val="en-AU"/>
        </w:rPr>
        <w:t>Compositional requirements for infant formula and follow-on formula products should only be mandated in regulation where there is sufficient evidence to demonstrate that they are safe and essential for normal growth and development of infants.</w:t>
      </w:r>
    </w:p>
    <w:p w14:paraId="4DC432EB" w14:textId="77777777" w:rsidR="00EC27CD" w:rsidRPr="004C58E6" w:rsidRDefault="00EC27CD" w:rsidP="00776154">
      <w:pPr>
        <w:pStyle w:val="FootnoteText"/>
        <w:rPr>
          <w:lang w:val="en-AU"/>
        </w:rPr>
      </w:pPr>
    </w:p>
  </w:footnote>
  <w:footnote w:id="9">
    <w:p w14:paraId="7AE243AC" w14:textId="77777777" w:rsidR="00EC27CD" w:rsidRPr="00A74D33" w:rsidRDefault="00EC27CD" w:rsidP="00776154">
      <w:pPr>
        <w:pStyle w:val="FootnoteText"/>
        <w:rPr>
          <w:lang w:val="en-AU"/>
        </w:rPr>
      </w:pPr>
      <w:r>
        <w:rPr>
          <w:rStyle w:val="FootnoteReference"/>
        </w:rPr>
        <w:footnoteRef/>
      </w:r>
      <w:r>
        <w:t xml:space="preserve"> </w:t>
      </w:r>
      <w:hyperlink r:id="rId3" w:history="1">
        <w:r w:rsidRPr="00A74D33">
          <w:rPr>
            <w:rStyle w:val="Hyperlink"/>
          </w:rPr>
          <w:t>https://ec.europa.eu/food/safety/labelling_nutrition/special_groups_food/children_en</w:t>
        </w:r>
      </w:hyperlink>
    </w:p>
  </w:footnote>
  <w:footnote w:id="10">
    <w:p w14:paraId="3F8AA5FE" w14:textId="4A7CF1CB" w:rsidR="00EC27CD" w:rsidRPr="00A071D9" w:rsidRDefault="00EC27CD" w:rsidP="00776154">
      <w:pPr>
        <w:pStyle w:val="FootnoteText"/>
        <w:rPr>
          <w:lang w:val="en-AU"/>
        </w:rPr>
      </w:pPr>
      <w:r>
        <w:rPr>
          <w:rStyle w:val="FootnoteReference"/>
        </w:rPr>
        <w:footnoteRef/>
      </w:r>
      <w:r>
        <w:t xml:space="preserve"> </w:t>
      </w:r>
      <w:r w:rsidRPr="00895101">
        <w:t>The vitamin A requirements were expressed as RE in the previous infant formula standards in the Code (Standard R7, transitional Standard 1.1A.1) however, it is not clear why RE was removed in Standard 2.9.1</w:t>
      </w:r>
      <w:r>
        <w:t xml:space="preserve"> (S29).</w:t>
      </w:r>
    </w:p>
  </w:footnote>
  <w:footnote w:id="11">
    <w:p w14:paraId="316C46A1" w14:textId="02E5D589" w:rsidR="00EC27CD" w:rsidRPr="00172CC8" w:rsidRDefault="00EC27CD" w:rsidP="00776154">
      <w:pPr>
        <w:pStyle w:val="FootnoteText"/>
        <w:rPr>
          <w:lang w:val="en-AU"/>
        </w:rPr>
      </w:pPr>
      <w:r>
        <w:rPr>
          <w:rStyle w:val="FootnoteReference"/>
        </w:rPr>
        <w:footnoteRef/>
      </w:r>
      <w:r>
        <w:t xml:space="preserve"> </w:t>
      </w:r>
      <w:r w:rsidRPr="00066861">
        <w:t>Codex</w:t>
      </w:r>
      <w:r w:rsidRPr="00172CC8">
        <w:t xml:space="preserve"> </w:t>
      </w:r>
      <w:r w:rsidRPr="00066861">
        <w:t>CAC/GL 10-1979 is the list of nutrient</w:t>
      </w:r>
      <w:r>
        <w:t xml:space="preserve"> compounds (not food additives) </w:t>
      </w:r>
      <w:r w:rsidRPr="00066861">
        <w:t xml:space="preserve">that may be used in infant formula products. </w:t>
      </w:r>
      <w:r>
        <w:t>S16-3 of the Code permits carotene as colouring at GMP but this permission does not apply to infant formula (because it is not listed in S15 category 13.1 infant formula products)</w:t>
      </w:r>
    </w:p>
  </w:footnote>
  <w:footnote w:id="12">
    <w:p w14:paraId="6A164A0D" w14:textId="620AF07B" w:rsidR="00EC27CD" w:rsidRPr="00F00A26" w:rsidRDefault="00EC27CD" w:rsidP="00776154">
      <w:pPr>
        <w:pStyle w:val="FootnoteText"/>
        <w:rPr>
          <w:lang w:val="en-AU"/>
        </w:rPr>
      </w:pPr>
      <w:r>
        <w:rPr>
          <w:rStyle w:val="FootnoteReference"/>
        </w:rPr>
        <w:footnoteRef/>
      </w:r>
      <w:r>
        <w:t xml:space="preserve"> The US FDA has issued guidance (i.e. voluntary) for using DFE in expressing folate amounts in conventional </w:t>
      </w:r>
      <w:r w:rsidRPr="008B519A">
        <w:t>foods (FDA, 2019).</w:t>
      </w:r>
    </w:p>
  </w:footnote>
  <w:footnote w:id="13">
    <w:p w14:paraId="1AA43CB1" w14:textId="21DD4B22" w:rsidR="00EC27CD" w:rsidRPr="006C3C74" w:rsidRDefault="00EC27CD" w:rsidP="00776154">
      <w:pPr>
        <w:pStyle w:val="FootnoteText"/>
        <w:rPr>
          <w:lang w:val="en-AU"/>
        </w:rPr>
      </w:pPr>
      <w:r>
        <w:rPr>
          <w:rStyle w:val="FootnoteReference"/>
        </w:rPr>
        <w:footnoteRef/>
      </w:r>
      <w:r>
        <w:t xml:space="preserve"> </w:t>
      </w:r>
      <w:hyperlink r:id="rId4" w:history="1">
        <w:r w:rsidRPr="003F4EF2">
          <w:rPr>
            <w:rStyle w:val="Hyperlink"/>
          </w:rPr>
          <w:t>https://ec.europa.eu/food/sites/food/files/safety/docs/sci-com_scf_out145_en.pdf</w:t>
        </w:r>
      </w:hyperlink>
      <w:r>
        <w:t xml:space="preserve"> </w:t>
      </w:r>
    </w:p>
  </w:footnote>
  <w:footnote w:id="14">
    <w:p w14:paraId="3CBEBBF3" w14:textId="249A3C7A" w:rsidR="00EC27CD" w:rsidRPr="006735E9" w:rsidRDefault="00EC27CD">
      <w:pPr>
        <w:pStyle w:val="FootnoteText"/>
        <w:rPr>
          <w:lang w:val="en-AU"/>
        </w:rPr>
      </w:pPr>
      <w:r>
        <w:rPr>
          <w:rStyle w:val="FootnoteReference"/>
        </w:rPr>
        <w:footnoteRef/>
      </w:r>
      <w:r>
        <w:t xml:space="preserve"> </w:t>
      </w:r>
      <w:hyperlink r:id="rId5" w:history="1">
        <w:r w:rsidRPr="00255C08">
          <w:rPr>
            <w:rStyle w:val="Hyperlink"/>
            <w:lang w:val="en-AU"/>
          </w:rPr>
          <w:t>Proposal P1025 Code Revision</w:t>
        </w:r>
      </w:hyperlink>
      <w:r>
        <w:rPr>
          <w:lang w:val="en-AU"/>
        </w:rPr>
        <w:t xml:space="preserve"> brought in a new section to Schedule 29 (</w:t>
      </w:r>
      <w:r w:rsidRPr="006735E9">
        <w:rPr>
          <w:lang w:val="en-AU"/>
        </w:rPr>
        <w:t>S29—5</w:t>
      </w:r>
      <w:r>
        <w:rPr>
          <w:lang w:val="en-AU"/>
        </w:rPr>
        <w:t xml:space="preserve">) to </w:t>
      </w:r>
      <w:r w:rsidRPr="006735E9">
        <w:rPr>
          <w:lang w:val="en-AU"/>
        </w:rPr>
        <w:t>list permitted nutritive substances for infant formula products</w:t>
      </w:r>
      <w:r>
        <w:rPr>
          <w:lang w:val="en-AU"/>
        </w:rPr>
        <w:t xml:space="preserve">, including nucleotides. </w:t>
      </w:r>
      <w:r w:rsidRPr="006735E9">
        <w:rPr>
          <w:lang w:val="en-AU"/>
        </w:rPr>
        <w:t xml:space="preserve">This information </w:t>
      </w:r>
      <w:r>
        <w:rPr>
          <w:lang w:val="en-AU"/>
        </w:rPr>
        <w:t>wa</w:t>
      </w:r>
      <w:r w:rsidRPr="006735E9">
        <w:rPr>
          <w:lang w:val="en-AU"/>
        </w:rPr>
        <w:t>s</w:t>
      </w:r>
      <w:r>
        <w:rPr>
          <w:lang w:val="en-AU"/>
        </w:rPr>
        <w:t xml:space="preserve"> previously </w:t>
      </w:r>
      <w:r w:rsidRPr="006735E9">
        <w:rPr>
          <w:lang w:val="en-AU"/>
        </w:rPr>
        <w:t>in the table to clause 7 of Standard 2.9.1.</w:t>
      </w:r>
      <w:r>
        <w:rPr>
          <w:lang w:val="en-AU"/>
        </w:rPr>
        <w:t xml:space="preserve"> The revised Code came into effect 1 March 2016.</w:t>
      </w:r>
    </w:p>
  </w:footnote>
  <w:footnote w:id="15">
    <w:p w14:paraId="360D4865" w14:textId="77777777" w:rsidR="00EC27CD" w:rsidRPr="006D4F8F" w:rsidRDefault="00EC27CD" w:rsidP="00607FAB">
      <w:pPr>
        <w:pStyle w:val="FootnoteText"/>
        <w:rPr>
          <w:lang w:val="en-AU"/>
        </w:rPr>
      </w:pPr>
      <w:r>
        <w:rPr>
          <w:rStyle w:val="FootnoteReference"/>
        </w:rPr>
        <w:footnoteRef/>
      </w:r>
      <w:r>
        <w:t xml:space="preserve"> </w:t>
      </w:r>
      <w:r>
        <w:rPr>
          <w:lang w:val="en-AU"/>
        </w:rPr>
        <w:t>Water fluoridation levels from 0 to 1.5 mg/L were used in these calculations to account for water fluoride concentration variation. While 1.5 is the maximum allowed fluoride content in Australian tap water, in practice 1.0 mg/L is recognised as the optimum level for both reduction of dental caries and minimisation of risk of severe dental fluorosis.</w:t>
      </w:r>
    </w:p>
  </w:footnote>
  <w:footnote w:id="16">
    <w:p w14:paraId="369F238F" w14:textId="77777777" w:rsidR="00EC27CD" w:rsidRPr="00C657C3" w:rsidRDefault="00EC27CD" w:rsidP="00607FAB">
      <w:pPr>
        <w:rPr>
          <w:sz w:val="18"/>
          <w:lang w:val="en-AU"/>
        </w:rPr>
      </w:pPr>
      <w:r w:rsidRPr="006D4F8F">
        <w:rPr>
          <w:rStyle w:val="FootnoteReference"/>
          <w:sz w:val="18"/>
        </w:rPr>
        <w:footnoteRef/>
      </w:r>
      <w:r w:rsidRPr="006D4F8F">
        <w:rPr>
          <w:sz w:val="18"/>
        </w:rPr>
        <w:t xml:space="preserve"> A wide range of </w:t>
      </w:r>
      <w:r>
        <w:rPr>
          <w:sz w:val="18"/>
          <w:lang w:val="en-AU"/>
        </w:rPr>
        <w:t>f</w:t>
      </w:r>
      <w:r w:rsidRPr="006D4F8F">
        <w:rPr>
          <w:sz w:val="18"/>
          <w:lang w:val="en-AU"/>
        </w:rPr>
        <w:t xml:space="preserve">luoride content of milk based infant formula powder was used (0 – 25 </w:t>
      </w:r>
      <w:r w:rsidRPr="006D4F8F">
        <w:rPr>
          <w:rFonts w:cs="Arial"/>
          <w:sz w:val="18"/>
          <w:lang w:val="en-AU"/>
        </w:rPr>
        <w:t>µ</w:t>
      </w:r>
      <w:r w:rsidRPr="006D4F8F">
        <w:rPr>
          <w:sz w:val="18"/>
          <w:lang w:val="en-AU"/>
        </w:rPr>
        <w:t>g/100 kJ) in these calculations in order to encompass the STAN 72- 1981 maximum allowed and the Standard 2.9.1 labelling requirement at 17</w:t>
      </w:r>
      <w:r w:rsidRPr="006D4F8F">
        <w:rPr>
          <w:rFonts w:cs="Arial"/>
          <w:sz w:val="18"/>
          <w:lang w:val="en-AU"/>
        </w:rPr>
        <w:t xml:space="preserve"> µ</w:t>
      </w:r>
      <w:r w:rsidRPr="006D4F8F">
        <w:rPr>
          <w:sz w:val="18"/>
          <w:lang w:val="en-AU"/>
        </w:rPr>
        <w:t xml:space="preserve">g/100 kJ). The Codex standard is marked with a green background in the table and the Standard 2.9.1 trigger for labelling in gold. The median concentration of fluoride was 2.37 </w:t>
      </w:r>
      <w:r w:rsidRPr="006D4F8F">
        <w:rPr>
          <w:rFonts w:cs="Arial"/>
          <w:sz w:val="18"/>
          <w:lang w:val="en-AU"/>
        </w:rPr>
        <w:t>µ</w:t>
      </w:r>
      <w:r w:rsidRPr="006D4F8F">
        <w:rPr>
          <w:sz w:val="18"/>
          <w:lang w:val="en-AU"/>
        </w:rPr>
        <w:t xml:space="preserve">g/100 kJ in milk based formula powder (Clifford et al. [2009]) and this is indicated with the blue shading. </w:t>
      </w:r>
      <w:r>
        <w:rPr>
          <w:sz w:val="18"/>
          <w:lang w:val="en-AU"/>
        </w:rPr>
        <w:t xml:space="preserve">It is important to note that the STAN 72- 1981 refers to formula reconstituted as recommended, and Standard 2.9.1 refers to infant formula powder prior to reconstitution so the only STAN 72-1981 figure to consider for each Table is that which uses water with zero fluoride content. </w:t>
      </w:r>
    </w:p>
  </w:footnote>
  <w:footnote w:id="17">
    <w:p w14:paraId="1223E8C3" w14:textId="77777777" w:rsidR="00EC27CD" w:rsidRPr="006A39CA" w:rsidRDefault="00EC27CD" w:rsidP="00607FAB">
      <w:pPr>
        <w:pStyle w:val="FootnoteText"/>
        <w:rPr>
          <w:lang w:val="en-AU"/>
        </w:rPr>
      </w:pPr>
      <w:r>
        <w:rPr>
          <w:rStyle w:val="FootnoteReference"/>
        </w:rPr>
        <w:footnoteRef/>
      </w:r>
      <w:r>
        <w:t xml:space="preserve"> To convert </w:t>
      </w:r>
      <w:r>
        <w:rPr>
          <w:rFonts w:cs="Arial"/>
        </w:rPr>
        <w:t>µ</w:t>
      </w:r>
      <w:r>
        <w:t xml:space="preserve">g F/100KJ to </w:t>
      </w:r>
      <w:r>
        <w:rPr>
          <w:rFonts w:cs="Arial"/>
        </w:rPr>
        <w:t>µ</w:t>
      </w:r>
      <w:r>
        <w:t>g F/day (2000 kJ) multiply by 20</w:t>
      </w:r>
    </w:p>
  </w:footnote>
  <w:footnote w:id="18">
    <w:p w14:paraId="06A54315" w14:textId="77777777" w:rsidR="00EC27CD" w:rsidRPr="00EE2F9D" w:rsidRDefault="00EC27CD" w:rsidP="00607FAB">
      <w:pPr>
        <w:pStyle w:val="FootnoteText"/>
        <w:rPr>
          <w:lang w:val="en-AU"/>
        </w:rPr>
      </w:pPr>
      <w:r>
        <w:rPr>
          <w:rStyle w:val="FootnoteReference"/>
        </w:rPr>
        <w:footnoteRef/>
      </w:r>
      <w:r>
        <w:t xml:space="preserve"> </w:t>
      </w:r>
      <w:r>
        <w:rPr>
          <w:lang w:val="en-AU"/>
        </w:rPr>
        <w:t>Optimally fluoridated water (1.0 mg/L) results in a daily fluoride intake from reconstituted milk based formula of approximately half the UL.</w:t>
      </w:r>
    </w:p>
  </w:footnote>
  <w:footnote w:id="19">
    <w:p w14:paraId="0D0B1FA0" w14:textId="77777777" w:rsidR="00EC27CD" w:rsidRPr="004E376B" w:rsidRDefault="00EC27CD" w:rsidP="00607FAB">
      <w:pPr>
        <w:pStyle w:val="FootnoteText"/>
        <w:rPr>
          <w:lang w:val="en-AU"/>
        </w:rPr>
      </w:pPr>
      <w:r>
        <w:rPr>
          <w:rStyle w:val="FootnoteReference"/>
        </w:rPr>
        <w:footnoteRef/>
      </w:r>
      <w:r>
        <w:t xml:space="preserve"> </w:t>
      </w:r>
      <w:r>
        <w:rPr>
          <w:lang w:val="en-AU"/>
        </w:rPr>
        <w:t xml:space="preserve">It is extremely unlikely that water with a fluoride concentration of 1.5 mg/L would be used to reconstitute infant formula powder. As the median fluoride level found in milk based infant formula in Australia was less than 2.5 </w:t>
      </w:r>
      <w:r>
        <w:rPr>
          <w:rFonts w:cs="Arial"/>
          <w:lang w:val="en-AU"/>
        </w:rPr>
        <w:t>µ</w:t>
      </w:r>
      <w:r>
        <w:rPr>
          <w:lang w:val="en-AU"/>
        </w:rPr>
        <w:t xml:space="preserve">g/100 kJ it would require concentrations of fluoride six times higher than normal to reach a level that would (a) trigger labelling requirements and (b) reach the UL for infants. </w:t>
      </w:r>
    </w:p>
  </w:footnote>
  <w:footnote w:id="20">
    <w:p w14:paraId="7EC8E9EE" w14:textId="77777777" w:rsidR="00EC27CD" w:rsidRPr="0080696E" w:rsidRDefault="00EC27CD" w:rsidP="00607FAB">
      <w:pPr>
        <w:pStyle w:val="FootnoteText"/>
        <w:rPr>
          <w:lang w:val="en-AU"/>
        </w:rPr>
      </w:pPr>
      <w:r>
        <w:rPr>
          <w:rStyle w:val="FootnoteReference"/>
        </w:rPr>
        <w:footnoteRef/>
      </w:r>
      <w:r>
        <w:t xml:space="preserve"> </w:t>
      </w:r>
      <w:r>
        <w:rPr>
          <w:lang w:val="en-AU"/>
        </w:rPr>
        <w:t xml:space="preserve">A 3-month-old male infant consuming reconstituted milk based infant formula at recommended levels would reach the UL when optimally fluoridated water was used only if the milk powder contained levels of fluoride seven times that currently found (Clifford et al. 2009). </w:t>
      </w:r>
    </w:p>
  </w:footnote>
  <w:footnote w:id="21">
    <w:p w14:paraId="7CC34120" w14:textId="77777777" w:rsidR="00EC27CD" w:rsidRPr="006A39CA" w:rsidRDefault="00EC27CD" w:rsidP="00607FAB">
      <w:pPr>
        <w:pStyle w:val="FootnoteText"/>
        <w:rPr>
          <w:lang w:val="en-AU"/>
        </w:rPr>
      </w:pPr>
      <w:r>
        <w:rPr>
          <w:rStyle w:val="FootnoteReference"/>
        </w:rPr>
        <w:footnoteRef/>
      </w:r>
      <w:r>
        <w:t xml:space="preserve"> </w:t>
      </w:r>
      <w:r>
        <w:rPr>
          <w:lang w:val="en-AU"/>
        </w:rPr>
        <w:t xml:space="preserve">To convert F level in infant formula powder from </w:t>
      </w:r>
      <w:r>
        <w:rPr>
          <w:rFonts w:cs="Arial"/>
          <w:lang w:val="en-AU"/>
        </w:rPr>
        <w:t>µ</w:t>
      </w:r>
      <w:r>
        <w:rPr>
          <w:lang w:val="en-AU"/>
        </w:rPr>
        <w:t xml:space="preserve">g/100 kJ to </w:t>
      </w:r>
      <w:r>
        <w:rPr>
          <w:rFonts w:cs="Arial"/>
          <w:lang w:val="en-AU"/>
        </w:rPr>
        <w:t>µ</w:t>
      </w:r>
      <w:r>
        <w:rPr>
          <w:lang w:val="en-AU"/>
        </w:rPr>
        <w:t>g/day (2400 kJ) multiply by 24</w:t>
      </w:r>
    </w:p>
  </w:footnote>
  <w:footnote w:id="22">
    <w:p w14:paraId="69A65797" w14:textId="77777777" w:rsidR="00EC27CD" w:rsidRPr="00D857FF" w:rsidRDefault="00EC27CD" w:rsidP="00607FAB">
      <w:pPr>
        <w:pStyle w:val="FootnoteText"/>
        <w:rPr>
          <w:lang w:val="en-AU"/>
        </w:rPr>
      </w:pPr>
      <w:r>
        <w:rPr>
          <w:rStyle w:val="FootnoteReference"/>
        </w:rPr>
        <w:footnoteRef/>
      </w:r>
      <w:r>
        <w:t xml:space="preserve"> </w:t>
      </w:r>
      <w:r>
        <w:rPr>
          <w:lang w:val="en-AU"/>
        </w:rPr>
        <w:t xml:space="preserve">Fluoride levels in reconstituted infant formula would not reach the UL unless water fluoridated at the maximum allowable level was used, and infant formula powder contained approximately 8 times the amount of fluoride currently seen. </w:t>
      </w:r>
    </w:p>
  </w:footnote>
  <w:footnote w:id="23">
    <w:p w14:paraId="2D7B3C82" w14:textId="77777777" w:rsidR="00EC27CD" w:rsidRPr="00CD2336" w:rsidRDefault="00EC27CD" w:rsidP="00607FAB">
      <w:pPr>
        <w:rPr>
          <w:sz w:val="18"/>
          <w:lang w:val="en-AU"/>
        </w:rPr>
      </w:pPr>
      <w:r w:rsidRPr="002C5F7A">
        <w:rPr>
          <w:rStyle w:val="FootnoteReference"/>
          <w:sz w:val="18"/>
        </w:rPr>
        <w:footnoteRef/>
      </w:r>
      <w:r w:rsidRPr="002C5F7A">
        <w:rPr>
          <w:sz w:val="18"/>
        </w:rPr>
        <w:t xml:space="preserve"> </w:t>
      </w:r>
      <w:r w:rsidRPr="002C5F7A">
        <w:rPr>
          <w:sz w:val="18"/>
          <w:lang w:val="en-AU"/>
        </w:rPr>
        <w:t xml:space="preserve">A wide range of fluoride concentrations in soy based infant formula was used in these calculations to include the Standard 2.9.1 label trigger of 17 </w:t>
      </w:r>
      <w:r w:rsidRPr="002C5F7A">
        <w:rPr>
          <w:rFonts w:cs="Arial"/>
          <w:sz w:val="18"/>
          <w:lang w:val="en-AU"/>
        </w:rPr>
        <w:t>µ</w:t>
      </w:r>
      <w:r w:rsidRPr="002C5F7A">
        <w:rPr>
          <w:sz w:val="18"/>
          <w:lang w:val="en-AU"/>
        </w:rPr>
        <w:t xml:space="preserve">g F/100kJ formula powder and the STAN 72-1981 maximum level of 24 </w:t>
      </w:r>
      <w:r w:rsidRPr="002C5F7A">
        <w:rPr>
          <w:rFonts w:cs="Arial"/>
          <w:sz w:val="18"/>
          <w:lang w:val="en-AU"/>
        </w:rPr>
        <w:t>µ</w:t>
      </w:r>
      <w:r w:rsidRPr="002C5F7A">
        <w:rPr>
          <w:sz w:val="18"/>
          <w:lang w:val="en-AU"/>
        </w:rPr>
        <w:t xml:space="preserve">g F/ 100 kJ when made as recommended. The median concentration of fluoride in soy based formula powder was 5.15 </w:t>
      </w:r>
      <w:r w:rsidRPr="002C5F7A">
        <w:rPr>
          <w:rFonts w:cs="Arial"/>
          <w:sz w:val="18"/>
          <w:lang w:val="en-AU"/>
        </w:rPr>
        <w:t>µ</w:t>
      </w:r>
      <w:r w:rsidRPr="002C5F7A">
        <w:rPr>
          <w:sz w:val="18"/>
          <w:lang w:val="en-AU"/>
        </w:rPr>
        <w:t xml:space="preserve">g/100 kJ (Clifford et al [2006]). </w:t>
      </w:r>
    </w:p>
  </w:footnote>
  <w:footnote w:id="24">
    <w:p w14:paraId="6BCD1C58" w14:textId="77777777" w:rsidR="00EC27CD" w:rsidRPr="002C5F7A" w:rsidRDefault="00EC27CD" w:rsidP="00607FAB">
      <w:pPr>
        <w:pStyle w:val="FootnoteText"/>
        <w:rPr>
          <w:lang w:val="en-AU"/>
        </w:rPr>
      </w:pPr>
      <w:r>
        <w:rPr>
          <w:rStyle w:val="FootnoteReference"/>
        </w:rPr>
        <w:footnoteRef/>
      </w:r>
      <w:r>
        <w:t xml:space="preserve"> </w:t>
      </w:r>
      <w:r>
        <w:rPr>
          <w:lang w:val="en-AU"/>
        </w:rPr>
        <w:t xml:space="preserve">A male 3-month-old infant would only have a fluoride intake over the UL if powder were reconstituted at the optimal level with powder containing approximately four times the levels currently found (Clifford et al. 2009) or water at the maximum fluoride level allowed was to be used for reconstitution.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AF1342" w14:textId="77777777" w:rsidR="00EC27CD" w:rsidRDefault="00EC27CD">
    <w:pPr>
      <w:pStyle w:val="Header"/>
      <w:rPr>
        <w:b w:val="0"/>
        <w:bCs/>
      </w:rPr>
    </w:pPr>
    <w:r>
      <w:rPr>
        <w:b w:val="0"/>
        <w:bCs/>
      </w:rPr>
      <w:t>BOARD-IN-CONFIDENCE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multilevel"/>
    <w:tmpl w:val="4BF8F2FA"/>
    <w:name w:val="main numbering"/>
    <w:lvl w:ilvl="0">
      <w:start w:val="1"/>
      <w:numFmt w:val="decimal"/>
      <w:lvlRestart w:val="0"/>
      <w:lvlText w:val="Chapter %1"/>
      <w:lvlJc w:val="left"/>
      <w:pPr>
        <w:ind w:left="0" w:firstLine="0"/>
      </w:pPr>
    </w:lvl>
    <w:lvl w:ilvl="1">
      <w:start w:val="1"/>
      <w:numFmt w:val="decimal"/>
      <w:lvlText w:val="Part %2"/>
      <w:lvlJc w:val="left"/>
      <w:pPr>
        <w:ind w:left="0" w:firstLine="0"/>
      </w:pPr>
    </w:lvl>
    <w:lvl w:ilvl="2">
      <w:start w:val="1"/>
      <w:numFmt w:val="decimal"/>
      <w:lvlText w:val="Division %2.%3"/>
      <w:lvlJc w:val="left"/>
      <w:pPr>
        <w:ind w:left="0" w:firstLine="0"/>
      </w:pPr>
    </w:lvl>
    <w:lvl w:ilvl="3">
      <w:start w:val="1"/>
      <w:numFmt w:val="decimal"/>
      <w:lvlText w:val="Subdivision %2.%3.%4"/>
      <w:lvlJc w:val="left"/>
      <w:pPr>
        <w:ind w:left="1440" w:hanging="1440"/>
      </w:pPr>
    </w:lvl>
    <w:lvl w:ilvl="4">
      <w:start w:val="1"/>
      <w:numFmt w:val="decimal"/>
      <w:lvlRestart w:val="1"/>
      <w:lvlText w:val="%5"/>
      <w:lvlJc w:val="left"/>
      <w:pPr>
        <w:ind w:left="0" w:firstLine="0"/>
      </w:pPr>
    </w:lvl>
    <w:lvl w:ilvl="5">
      <w:start w:val="1"/>
      <w:numFmt w:val="decimal"/>
      <w:lvlText w:val="(%6)"/>
      <w:lvlJc w:val="left"/>
      <w:pPr>
        <w:ind w:left="0" w:firstLine="0"/>
      </w:pPr>
    </w:lvl>
    <w:lvl w:ilvl="6">
      <w:start w:val="1"/>
      <w:numFmt w:val="lowerLetter"/>
      <w:lvlText w:val="(%7)"/>
      <w:lvlJc w:val="left"/>
      <w:pPr>
        <w:ind w:left="0" w:firstLine="0"/>
      </w:pPr>
    </w:lvl>
    <w:lvl w:ilvl="7">
      <w:start w:val="1"/>
      <w:numFmt w:val="lowerRoman"/>
      <w:lvlText w:val="(%8)"/>
      <w:lvlJc w:val="left"/>
      <w:pPr>
        <w:ind w:left="0" w:firstLine="0"/>
      </w:pPr>
    </w:lvl>
    <w:lvl w:ilvl="8">
      <w:start w:val="1"/>
      <w:numFmt w:val="upperLetter"/>
      <w:lvlText w:val="(%9)"/>
      <w:lvlJc w:val="left"/>
      <w:pPr>
        <w:ind w:left="0" w:firstLine="0"/>
      </w:pPr>
    </w:lvl>
  </w:abstractNum>
  <w:abstractNum w:abstractNumId="1" w15:restartNumberingAfterBreak="0">
    <w:nsid w:val="0000000D"/>
    <w:multiLevelType w:val="multilevel"/>
    <w:tmpl w:val="894EE87F"/>
    <w:lvl w:ilvl="0">
      <w:start w:val="1"/>
      <w:numFmt w:val="bullet"/>
      <w:pStyle w:val="List31"/>
      <w:lvlText w:val="•"/>
      <w:lvlJc w:val="left"/>
      <w:pPr>
        <w:tabs>
          <w:tab w:val="num" w:pos="619"/>
        </w:tabs>
        <w:ind w:left="619" w:firstLine="0"/>
      </w:pPr>
      <w:rPr>
        <w:rFonts w:hint="default"/>
        <w:position w:val="0"/>
      </w:rPr>
    </w:lvl>
    <w:lvl w:ilvl="1">
      <w:start w:val="1"/>
      <w:numFmt w:val="bullet"/>
      <w:lvlText w:val="o"/>
      <w:lvlJc w:val="left"/>
      <w:pPr>
        <w:tabs>
          <w:tab w:val="num" w:pos="360"/>
        </w:tabs>
        <w:ind w:left="360" w:firstLine="1080"/>
      </w:pPr>
      <w:rPr>
        <w:rFonts w:hint="default"/>
        <w:position w:val="0"/>
      </w:rPr>
    </w:lvl>
    <w:lvl w:ilvl="2">
      <w:start w:val="1"/>
      <w:numFmt w:val="bullet"/>
      <w:lvlText w:val="•"/>
      <w:lvlJc w:val="left"/>
      <w:pPr>
        <w:tabs>
          <w:tab w:val="num" w:pos="360"/>
        </w:tabs>
        <w:ind w:left="360" w:firstLine="1800"/>
      </w:pPr>
      <w:rPr>
        <w:rFonts w:hint="default"/>
        <w:position w:val="0"/>
      </w:rPr>
    </w:lvl>
    <w:lvl w:ilvl="3">
      <w:start w:val="1"/>
      <w:numFmt w:val="bullet"/>
      <w:lvlText w:val="•"/>
      <w:lvlJc w:val="left"/>
      <w:pPr>
        <w:tabs>
          <w:tab w:val="num" w:pos="360"/>
        </w:tabs>
        <w:ind w:left="360" w:firstLine="2520"/>
      </w:pPr>
      <w:rPr>
        <w:rFonts w:hint="default"/>
        <w:position w:val="0"/>
      </w:rPr>
    </w:lvl>
    <w:lvl w:ilvl="4">
      <w:start w:val="1"/>
      <w:numFmt w:val="bullet"/>
      <w:lvlText w:val="o"/>
      <w:lvlJc w:val="left"/>
      <w:pPr>
        <w:tabs>
          <w:tab w:val="num" w:pos="360"/>
        </w:tabs>
        <w:ind w:left="360" w:firstLine="3240"/>
      </w:pPr>
      <w:rPr>
        <w:rFonts w:hint="default"/>
        <w:position w:val="0"/>
      </w:rPr>
    </w:lvl>
    <w:lvl w:ilvl="5">
      <w:start w:val="1"/>
      <w:numFmt w:val="bullet"/>
      <w:lvlText w:val="•"/>
      <w:lvlJc w:val="left"/>
      <w:pPr>
        <w:tabs>
          <w:tab w:val="num" w:pos="360"/>
        </w:tabs>
        <w:ind w:left="360" w:firstLine="3960"/>
      </w:pPr>
      <w:rPr>
        <w:rFonts w:hint="default"/>
        <w:position w:val="0"/>
      </w:rPr>
    </w:lvl>
    <w:lvl w:ilvl="6">
      <w:start w:val="1"/>
      <w:numFmt w:val="bullet"/>
      <w:lvlText w:val="•"/>
      <w:lvlJc w:val="left"/>
      <w:pPr>
        <w:tabs>
          <w:tab w:val="num" w:pos="360"/>
        </w:tabs>
        <w:ind w:left="360" w:firstLine="4680"/>
      </w:pPr>
      <w:rPr>
        <w:rFonts w:hint="default"/>
        <w:position w:val="0"/>
      </w:rPr>
    </w:lvl>
    <w:lvl w:ilvl="7">
      <w:start w:val="1"/>
      <w:numFmt w:val="bullet"/>
      <w:lvlText w:val="o"/>
      <w:lvlJc w:val="left"/>
      <w:pPr>
        <w:tabs>
          <w:tab w:val="num" w:pos="360"/>
        </w:tabs>
        <w:ind w:left="360" w:firstLine="5400"/>
      </w:pPr>
      <w:rPr>
        <w:rFonts w:hint="default"/>
        <w:position w:val="0"/>
      </w:rPr>
    </w:lvl>
    <w:lvl w:ilvl="8">
      <w:start w:val="1"/>
      <w:numFmt w:val="bullet"/>
      <w:lvlText w:val="•"/>
      <w:lvlJc w:val="left"/>
      <w:pPr>
        <w:tabs>
          <w:tab w:val="num" w:pos="360"/>
        </w:tabs>
        <w:ind w:left="360" w:firstLine="6120"/>
      </w:pPr>
      <w:rPr>
        <w:rFonts w:hint="default"/>
        <w:position w:val="0"/>
      </w:rPr>
    </w:lvl>
  </w:abstractNum>
  <w:abstractNum w:abstractNumId="2" w15:restartNumberingAfterBreak="0">
    <w:nsid w:val="00000010"/>
    <w:multiLevelType w:val="multilevel"/>
    <w:tmpl w:val="894EE882"/>
    <w:lvl w:ilvl="0">
      <w:start w:val="1"/>
      <w:numFmt w:val="bullet"/>
      <w:pStyle w:val="List41"/>
      <w:lvlText w:val="•"/>
      <w:lvlJc w:val="left"/>
      <w:pPr>
        <w:tabs>
          <w:tab w:val="num" w:pos="360"/>
        </w:tabs>
        <w:ind w:left="360" w:firstLine="360"/>
      </w:pPr>
      <w:rPr>
        <w:rFonts w:hint="default"/>
        <w:position w:val="0"/>
      </w:rPr>
    </w:lvl>
    <w:lvl w:ilvl="1">
      <w:start w:val="1"/>
      <w:numFmt w:val="bullet"/>
      <w:lvlText w:val="o"/>
      <w:lvlJc w:val="left"/>
      <w:pPr>
        <w:tabs>
          <w:tab w:val="num" w:pos="393"/>
        </w:tabs>
        <w:ind w:left="393" w:firstLine="1080"/>
      </w:pPr>
      <w:rPr>
        <w:rFonts w:hint="default"/>
        <w:position w:val="0"/>
      </w:rPr>
    </w:lvl>
    <w:lvl w:ilvl="2">
      <w:start w:val="1"/>
      <w:numFmt w:val="bullet"/>
      <w:lvlText w:val="•"/>
      <w:lvlJc w:val="left"/>
      <w:pPr>
        <w:tabs>
          <w:tab w:val="num" w:pos="360"/>
        </w:tabs>
        <w:ind w:left="360" w:firstLine="1800"/>
      </w:pPr>
      <w:rPr>
        <w:rFonts w:hint="default"/>
        <w:position w:val="0"/>
      </w:rPr>
    </w:lvl>
    <w:lvl w:ilvl="3">
      <w:start w:val="1"/>
      <w:numFmt w:val="bullet"/>
      <w:lvlText w:val="•"/>
      <w:lvlJc w:val="left"/>
      <w:pPr>
        <w:tabs>
          <w:tab w:val="num" w:pos="360"/>
        </w:tabs>
        <w:ind w:left="360" w:firstLine="2520"/>
      </w:pPr>
      <w:rPr>
        <w:rFonts w:hint="default"/>
        <w:position w:val="0"/>
      </w:rPr>
    </w:lvl>
    <w:lvl w:ilvl="4">
      <w:start w:val="1"/>
      <w:numFmt w:val="bullet"/>
      <w:lvlText w:val="o"/>
      <w:lvlJc w:val="left"/>
      <w:pPr>
        <w:tabs>
          <w:tab w:val="num" w:pos="360"/>
        </w:tabs>
        <w:ind w:left="360" w:firstLine="3240"/>
      </w:pPr>
      <w:rPr>
        <w:rFonts w:hint="default"/>
        <w:position w:val="0"/>
      </w:rPr>
    </w:lvl>
    <w:lvl w:ilvl="5">
      <w:start w:val="1"/>
      <w:numFmt w:val="bullet"/>
      <w:lvlText w:val="•"/>
      <w:lvlJc w:val="left"/>
      <w:pPr>
        <w:tabs>
          <w:tab w:val="num" w:pos="360"/>
        </w:tabs>
        <w:ind w:left="360" w:firstLine="3960"/>
      </w:pPr>
      <w:rPr>
        <w:rFonts w:hint="default"/>
        <w:position w:val="0"/>
      </w:rPr>
    </w:lvl>
    <w:lvl w:ilvl="6">
      <w:start w:val="1"/>
      <w:numFmt w:val="bullet"/>
      <w:lvlText w:val="•"/>
      <w:lvlJc w:val="left"/>
      <w:pPr>
        <w:tabs>
          <w:tab w:val="num" w:pos="360"/>
        </w:tabs>
        <w:ind w:left="360" w:firstLine="4680"/>
      </w:pPr>
      <w:rPr>
        <w:rFonts w:hint="default"/>
        <w:position w:val="0"/>
      </w:rPr>
    </w:lvl>
    <w:lvl w:ilvl="7">
      <w:start w:val="1"/>
      <w:numFmt w:val="bullet"/>
      <w:lvlText w:val="o"/>
      <w:lvlJc w:val="left"/>
      <w:pPr>
        <w:tabs>
          <w:tab w:val="num" w:pos="360"/>
        </w:tabs>
        <w:ind w:left="360" w:firstLine="5400"/>
      </w:pPr>
      <w:rPr>
        <w:rFonts w:hint="default"/>
        <w:position w:val="0"/>
      </w:rPr>
    </w:lvl>
    <w:lvl w:ilvl="8">
      <w:start w:val="1"/>
      <w:numFmt w:val="bullet"/>
      <w:lvlText w:val="•"/>
      <w:lvlJc w:val="left"/>
      <w:pPr>
        <w:tabs>
          <w:tab w:val="num" w:pos="360"/>
        </w:tabs>
        <w:ind w:left="360" w:firstLine="6120"/>
      </w:pPr>
      <w:rPr>
        <w:rFonts w:hint="default"/>
        <w:position w:val="0"/>
      </w:rPr>
    </w:lvl>
  </w:abstractNum>
  <w:abstractNum w:abstractNumId="3" w15:restartNumberingAfterBreak="0">
    <w:nsid w:val="00000013"/>
    <w:multiLevelType w:val="multilevel"/>
    <w:tmpl w:val="894EE885"/>
    <w:lvl w:ilvl="0">
      <w:start w:val="1"/>
      <w:numFmt w:val="bullet"/>
      <w:pStyle w:val="List51"/>
      <w:lvlText w:val="•"/>
      <w:lvlJc w:val="left"/>
      <w:pPr>
        <w:tabs>
          <w:tab w:val="num" w:pos="360"/>
        </w:tabs>
        <w:ind w:left="360" w:firstLine="360"/>
      </w:pPr>
      <w:rPr>
        <w:rFonts w:hint="default"/>
        <w:position w:val="0"/>
      </w:rPr>
    </w:lvl>
    <w:lvl w:ilvl="1">
      <w:start w:val="1"/>
      <w:numFmt w:val="bullet"/>
      <w:lvlText w:val="o"/>
      <w:lvlJc w:val="left"/>
      <w:pPr>
        <w:tabs>
          <w:tab w:val="num" w:pos="360"/>
        </w:tabs>
        <w:ind w:left="360" w:firstLine="1080"/>
      </w:pPr>
      <w:rPr>
        <w:rFonts w:hint="default"/>
        <w:position w:val="0"/>
      </w:rPr>
    </w:lvl>
    <w:lvl w:ilvl="2">
      <w:start w:val="1"/>
      <w:numFmt w:val="bullet"/>
      <w:lvlText w:val="•"/>
      <w:lvlJc w:val="left"/>
      <w:pPr>
        <w:tabs>
          <w:tab w:val="num" w:pos="393"/>
        </w:tabs>
        <w:ind w:left="393" w:firstLine="1800"/>
      </w:pPr>
      <w:rPr>
        <w:rFonts w:hint="default"/>
        <w:position w:val="0"/>
      </w:rPr>
    </w:lvl>
    <w:lvl w:ilvl="3">
      <w:start w:val="1"/>
      <w:numFmt w:val="bullet"/>
      <w:lvlText w:val="•"/>
      <w:lvlJc w:val="left"/>
      <w:pPr>
        <w:tabs>
          <w:tab w:val="num" w:pos="360"/>
        </w:tabs>
        <w:ind w:left="360" w:firstLine="2520"/>
      </w:pPr>
      <w:rPr>
        <w:rFonts w:hint="default"/>
        <w:position w:val="0"/>
      </w:rPr>
    </w:lvl>
    <w:lvl w:ilvl="4">
      <w:start w:val="1"/>
      <w:numFmt w:val="bullet"/>
      <w:lvlText w:val="o"/>
      <w:lvlJc w:val="left"/>
      <w:pPr>
        <w:tabs>
          <w:tab w:val="num" w:pos="360"/>
        </w:tabs>
        <w:ind w:left="360" w:firstLine="3240"/>
      </w:pPr>
      <w:rPr>
        <w:rFonts w:hint="default"/>
        <w:position w:val="0"/>
      </w:rPr>
    </w:lvl>
    <w:lvl w:ilvl="5">
      <w:start w:val="1"/>
      <w:numFmt w:val="bullet"/>
      <w:lvlText w:val="•"/>
      <w:lvlJc w:val="left"/>
      <w:pPr>
        <w:tabs>
          <w:tab w:val="num" w:pos="360"/>
        </w:tabs>
        <w:ind w:left="360" w:firstLine="3960"/>
      </w:pPr>
      <w:rPr>
        <w:rFonts w:hint="default"/>
        <w:position w:val="0"/>
      </w:rPr>
    </w:lvl>
    <w:lvl w:ilvl="6">
      <w:start w:val="1"/>
      <w:numFmt w:val="bullet"/>
      <w:lvlText w:val="•"/>
      <w:lvlJc w:val="left"/>
      <w:pPr>
        <w:tabs>
          <w:tab w:val="num" w:pos="360"/>
        </w:tabs>
        <w:ind w:left="360" w:firstLine="4680"/>
      </w:pPr>
      <w:rPr>
        <w:rFonts w:hint="default"/>
        <w:position w:val="0"/>
      </w:rPr>
    </w:lvl>
    <w:lvl w:ilvl="7">
      <w:start w:val="1"/>
      <w:numFmt w:val="bullet"/>
      <w:lvlText w:val="o"/>
      <w:lvlJc w:val="left"/>
      <w:pPr>
        <w:tabs>
          <w:tab w:val="num" w:pos="360"/>
        </w:tabs>
        <w:ind w:left="360" w:firstLine="5400"/>
      </w:pPr>
      <w:rPr>
        <w:rFonts w:hint="default"/>
        <w:position w:val="0"/>
      </w:rPr>
    </w:lvl>
    <w:lvl w:ilvl="8">
      <w:start w:val="1"/>
      <w:numFmt w:val="bullet"/>
      <w:lvlText w:val="•"/>
      <w:lvlJc w:val="left"/>
      <w:pPr>
        <w:tabs>
          <w:tab w:val="num" w:pos="360"/>
        </w:tabs>
        <w:ind w:left="360" w:firstLine="6120"/>
      </w:pPr>
      <w:rPr>
        <w:rFonts w:hint="default"/>
        <w:position w:val="0"/>
      </w:rPr>
    </w:lvl>
  </w:abstractNum>
  <w:abstractNum w:abstractNumId="4" w15:restartNumberingAfterBreak="0">
    <w:nsid w:val="00000018"/>
    <w:multiLevelType w:val="multilevel"/>
    <w:tmpl w:val="894EE88A"/>
    <w:lvl w:ilvl="0">
      <w:start w:val="1"/>
      <w:numFmt w:val="decimal"/>
      <w:pStyle w:val="List6"/>
      <w:lvlText w:val="%1."/>
      <w:lvlJc w:val="left"/>
      <w:pPr>
        <w:tabs>
          <w:tab w:val="num" w:pos="619"/>
        </w:tabs>
        <w:ind w:left="619" w:firstLine="567"/>
      </w:pPr>
      <w:rPr>
        <w:rFonts w:hint="default"/>
        <w:position w:val="0"/>
      </w:rPr>
    </w:lvl>
    <w:lvl w:ilvl="1">
      <w:start w:val="1"/>
      <w:numFmt w:val="lowerLetter"/>
      <w:lvlText w:val="%2."/>
      <w:lvlJc w:val="left"/>
      <w:pPr>
        <w:tabs>
          <w:tab w:val="num" w:pos="360"/>
        </w:tabs>
        <w:ind w:left="360" w:firstLine="1571"/>
      </w:pPr>
      <w:rPr>
        <w:rFonts w:hint="default"/>
        <w:position w:val="0"/>
      </w:rPr>
    </w:lvl>
    <w:lvl w:ilvl="2">
      <w:start w:val="1"/>
      <w:numFmt w:val="lowerRoman"/>
      <w:lvlText w:val="%3."/>
      <w:lvlJc w:val="left"/>
      <w:pPr>
        <w:tabs>
          <w:tab w:val="num" w:pos="296"/>
        </w:tabs>
        <w:ind w:left="296" w:firstLine="2355"/>
      </w:pPr>
      <w:rPr>
        <w:rFonts w:hint="default"/>
        <w:position w:val="0"/>
      </w:rPr>
    </w:lvl>
    <w:lvl w:ilvl="3">
      <w:start w:val="1"/>
      <w:numFmt w:val="decimal"/>
      <w:lvlText w:val="%4."/>
      <w:lvlJc w:val="left"/>
      <w:pPr>
        <w:tabs>
          <w:tab w:val="num" w:pos="360"/>
        </w:tabs>
        <w:ind w:left="360" w:firstLine="3011"/>
      </w:pPr>
      <w:rPr>
        <w:rFonts w:hint="default"/>
        <w:position w:val="0"/>
      </w:rPr>
    </w:lvl>
    <w:lvl w:ilvl="4">
      <w:start w:val="1"/>
      <w:numFmt w:val="lowerLetter"/>
      <w:lvlText w:val="%5."/>
      <w:lvlJc w:val="left"/>
      <w:pPr>
        <w:tabs>
          <w:tab w:val="num" w:pos="360"/>
        </w:tabs>
        <w:ind w:left="360" w:firstLine="3731"/>
      </w:pPr>
      <w:rPr>
        <w:rFonts w:hint="default"/>
        <w:position w:val="0"/>
      </w:rPr>
    </w:lvl>
    <w:lvl w:ilvl="5">
      <w:start w:val="1"/>
      <w:numFmt w:val="lowerRoman"/>
      <w:lvlText w:val="%6."/>
      <w:lvlJc w:val="left"/>
      <w:pPr>
        <w:tabs>
          <w:tab w:val="num" w:pos="296"/>
        </w:tabs>
        <w:ind w:left="296" w:firstLine="4515"/>
      </w:pPr>
      <w:rPr>
        <w:rFonts w:hint="default"/>
        <w:position w:val="0"/>
      </w:rPr>
    </w:lvl>
    <w:lvl w:ilvl="6">
      <w:start w:val="1"/>
      <w:numFmt w:val="decimal"/>
      <w:lvlText w:val="%7."/>
      <w:lvlJc w:val="left"/>
      <w:pPr>
        <w:tabs>
          <w:tab w:val="num" w:pos="360"/>
        </w:tabs>
        <w:ind w:left="360" w:firstLine="5171"/>
      </w:pPr>
      <w:rPr>
        <w:rFonts w:hint="default"/>
        <w:position w:val="0"/>
      </w:rPr>
    </w:lvl>
    <w:lvl w:ilvl="7">
      <w:start w:val="1"/>
      <w:numFmt w:val="lowerLetter"/>
      <w:lvlText w:val="%8."/>
      <w:lvlJc w:val="left"/>
      <w:pPr>
        <w:tabs>
          <w:tab w:val="num" w:pos="360"/>
        </w:tabs>
        <w:ind w:left="360" w:firstLine="5891"/>
      </w:pPr>
      <w:rPr>
        <w:rFonts w:hint="default"/>
        <w:position w:val="0"/>
      </w:rPr>
    </w:lvl>
    <w:lvl w:ilvl="8">
      <w:start w:val="1"/>
      <w:numFmt w:val="lowerRoman"/>
      <w:lvlText w:val="%9."/>
      <w:lvlJc w:val="left"/>
      <w:pPr>
        <w:tabs>
          <w:tab w:val="num" w:pos="296"/>
        </w:tabs>
        <w:ind w:left="296" w:firstLine="6675"/>
      </w:pPr>
      <w:rPr>
        <w:rFonts w:hint="default"/>
        <w:position w:val="0"/>
      </w:rPr>
    </w:lvl>
  </w:abstractNum>
  <w:abstractNum w:abstractNumId="5" w15:restartNumberingAfterBreak="0">
    <w:nsid w:val="0000001B"/>
    <w:multiLevelType w:val="multilevel"/>
    <w:tmpl w:val="894EE88D"/>
    <w:lvl w:ilvl="0">
      <w:start w:val="1"/>
      <w:numFmt w:val="lowerLetter"/>
      <w:pStyle w:val="List7"/>
      <w:lvlText w:val="%1."/>
      <w:lvlJc w:val="left"/>
      <w:pPr>
        <w:tabs>
          <w:tab w:val="num" w:pos="285"/>
        </w:tabs>
        <w:ind w:left="285" w:firstLine="1440"/>
      </w:pPr>
      <w:rPr>
        <w:rFonts w:hint="default"/>
        <w:position w:val="0"/>
      </w:rPr>
    </w:lvl>
    <w:lvl w:ilvl="1">
      <w:start w:val="1"/>
      <w:numFmt w:val="lowerLetter"/>
      <w:lvlText w:val="%2."/>
      <w:lvlJc w:val="left"/>
      <w:pPr>
        <w:tabs>
          <w:tab w:val="num" w:pos="360"/>
        </w:tabs>
        <w:ind w:left="360" w:firstLine="2160"/>
      </w:pPr>
      <w:rPr>
        <w:rFonts w:hint="default"/>
        <w:position w:val="0"/>
      </w:rPr>
    </w:lvl>
    <w:lvl w:ilvl="2">
      <w:start w:val="1"/>
      <w:numFmt w:val="lowerRoman"/>
      <w:lvlText w:val="%3."/>
      <w:lvlJc w:val="left"/>
      <w:pPr>
        <w:tabs>
          <w:tab w:val="num" w:pos="296"/>
        </w:tabs>
        <w:ind w:left="296" w:firstLine="2944"/>
      </w:pPr>
      <w:rPr>
        <w:rFonts w:hint="default"/>
        <w:position w:val="0"/>
      </w:rPr>
    </w:lvl>
    <w:lvl w:ilvl="3">
      <w:start w:val="1"/>
      <w:numFmt w:val="decimal"/>
      <w:lvlText w:val="%4."/>
      <w:lvlJc w:val="left"/>
      <w:pPr>
        <w:tabs>
          <w:tab w:val="num" w:pos="360"/>
        </w:tabs>
        <w:ind w:left="360" w:firstLine="3600"/>
      </w:pPr>
      <w:rPr>
        <w:rFonts w:hint="default"/>
        <w:position w:val="0"/>
      </w:rPr>
    </w:lvl>
    <w:lvl w:ilvl="4">
      <w:start w:val="1"/>
      <w:numFmt w:val="lowerLetter"/>
      <w:lvlText w:val="%5."/>
      <w:lvlJc w:val="left"/>
      <w:pPr>
        <w:tabs>
          <w:tab w:val="num" w:pos="360"/>
        </w:tabs>
        <w:ind w:left="360" w:firstLine="4320"/>
      </w:pPr>
      <w:rPr>
        <w:rFonts w:hint="default"/>
        <w:position w:val="0"/>
      </w:rPr>
    </w:lvl>
    <w:lvl w:ilvl="5">
      <w:start w:val="1"/>
      <w:numFmt w:val="lowerRoman"/>
      <w:lvlText w:val="%6."/>
      <w:lvlJc w:val="left"/>
      <w:pPr>
        <w:tabs>
          <w:tab w:val="num" w:pos="296"/>
        </w:tabs>
        <w:ind w:left="296" w:firstLine="5104"/>
      </w:pPr>
      <w:rPr>
        <w:rFonts w:hint="default"/>
        <w:position w:val="0"/>
      </w:rPr>
    </w:lvl>
    <w:lvl w:ilvl="6">
      <w:start w:val="1"/>
      <w:numFmt w:val="decimal"/>
      <w:lvlText w:val="%7."/>
      <w:lvlJc w:val="left"/>
      <w:pPr>
        <w:tabs>
          <w:tab w:val="num" w:pos="360"/>
        </w:tabs>
        <w:ind w:left="360" w:firstLine="5760"/>
      </w:pPr>
      <w:rPr>
        <w:rFonts w:hint="default"/>
        <w:position w:val="0"/>
      </w:rPr>
    </w:lvl>
    <w:lvl w:ilvl="7">
      <w:start w:val="1"/>
      <w:numFmt w:val="lowerLetter"/>
      <w:lvlText w:val="%8."/>
      <w:lvlJc w:val="left"/>
      <w:pPr>
        <w:tabs>
          <w:tab w:val="num" w:pos="360"/>
        </w:tabs>
        <w:ind w:left="360" w:firstLine="6480"/>
      </w:pPr>
      <w:rPr>
        <w:rFonts w:hint="default"/>
        <w:position w:val="0"/>
      </w:rPr>
    </w:lvl>
    <w:lvl w:ilvl="8">
      <w:start w:val="1"/>
      <w:numFmt w:val="lowerRoman"/>
      <w:lvlText w:val="%9."/>
      <w:lvlJc w:val="left"/>
      <w:pPr>
        <w:tabs>
          <w:tab w:val="num" w:pos="296"/>
        </w:tabs>
        <w:ind w:left="296" w:firstLine="7264"/>
      </w:pPr>
      <w:rPr>
        <w:rFonts w:hint="default"/>
        <w:position w:val="0"/>
      </w:rPr>
    </w:lvl>
  </w:abstractNum>
  <w:abstractNum w:abstractNumId="6" w15:restartNumberingAfterBreak="0">
    <w:nsid w:val="012816C3"/>
    <w:multiLevelType w:val="hybridMultilevel"/>
    <w:tmpl w:val="EDC435B2"/>
    <w:lvl w:ilvl="0" w:tplc="7614577C">
      <w:start w:val="1"/>
      <w:numFmt w:val="bullet"/>
      <w:pStyle w:val="FSBullet"/>
      <w:lvlText w:val=""/>
      <w:lvlJc w:val="left"/>
      <w:pPr>
        <w:ind w:left="720" w:hanging="360"/>
      </w:pPr>
      <w:rPr>
        <w:rFonts w:ascii="Symbol" w:hAnsi="Symbol" w:hint="default"/>
        <w:color w:val="auto"/>
        <w:sz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4E2208"/>
    <w:multiLevelType w:val="hybridMultilevel"/>
    <w:tmpl w:val="E572C7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74458F"/>
    <w:multiLevelType w:val="hybridMultilevel"/>
    <w:tmpl w:val="E572C7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68117F7"/>
    <w:multiLevelType w:val="hybridMultilevel"/>
    <w:tmpl w:val="0B1EB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362A21"/>
    <w:multiLevelType w:val="hybridMultilevel"/>
    <w:tmpl w:val="A0E60558"/>
    <w:lvl w:ilvl="0" w:tplc="9580CBC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1CB251B"/>
    <w:multiLevelType w:val="hybridMultilevel"/>
    <w:tmpl w:val="3ED25BDC"/>
    <w:lvl w:ilvl="0" w:tplc="79F63EA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EE5EBF"/>
    <w:multiLevelType w:val="hybridMultilevel"/>
    <w:tmpl w:val="A0E60558"/>
    <w:lvl w:ilvl="0" w:tplc="9580CBC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054271"/>
    <w:multiLevelType w:val="hybridMultilevel"/>
    <w:tmpl w:val="7AC0B316"/>
    <w:lvl w:ilvl="0" w:tplc="FDFEA674">
      <w:start w:val="1"/>
      <w:numFmt w:val="bullet"/>
      <w:lvlText w:val=""/>
      <w:lvlJc w:val="left"/>
      <w:pPr>
        <w:ind w:left="502"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D5A1C27"/>
    <w:multiLevelType w:val="hybridMultilevel"/>
    <w:tmpl w:val="7AB2814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14A22CE"/>
    <w:multiLevelType w:val="hybridMultilevel"/>
    <w:tmpl w:val="C78E4D3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3853E14"/>
    <w:multiLevelType w:val="hybridMultilevel"/>
    <w:tmpl w:val="70E80074"/>
    <w:lvl w:ilvl="0" w:tplc="6D1E70A2">
      <w:start w:val="1"/>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C901F68"/>
    <w:multiLevelType w:val="hybridMultilevel"/>
    <w:tmpl w:val="E572C7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E075305"/>
    <w:multiLevelType w:val="hybridMultilevel"/>
    <w:tmpl w:val="4F16843C"/>
    <w:lvl w:ilvl="0" w:tplc="31F29E78">
      <w:numFmt w:val="bullet"/>
      <w:lvlText w:val=""/>
      <w:lvlJc w:val="left"/>
      <w:pPr>
        <w:ind w:left="1440" w:hanging="360"/>
      </w:pPr>
      <w:rPr>
        <w:rFonts w:ascii="Symbol" w:eastAsiaTheme="minorHAnsi" w:hAnsi="Symbol"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4273095D"/>
    <w:multiLevelType w:val="hybridMultilevel"/>
    <w:tmpl w:val="DA78F074"/>
    <w:lvl w:ilvl="0" w:tplc="62E45508">
      <w:start w:val="1"/>
      <w:numFmt w:val="bullet"/>
      <w:pStyle w:val="FS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6963443"/>
    <w:multiLevelType w:val="hybridMultilevel"/>
    <w:tmpl w:val="E572C7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CBD36CE"/>
    <w:multiLevelType w:val="hybridMultilevel"/>
    <w:tmpl w:val="7FA69D36"/>
    <w:lvl w:ilvl="0" w:tplc="0388B4F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F483777"/>
    <w:multiLevelType w:val="hybridMultilevel"/>
    <w:tmpl w:val="A0E60558"/>
    <w:lvl w:ilvl="0" w:tplc="9580CBC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21A7000"/>
    <w:multiLevelType w:val="hybridMultilevel"/>
    <w:tmpl w:val="82E2B0B6"/>
    <w:lvl w:ilvl="0" w:tplc="B7246C0C">
      <w:start w:val="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7756E2"/>
    <w:multiLevelType w:val="hybridMultilevel"/>
    <w:tmpl w:val="B7802080"/>
    <w:lvl w:ilvl="0" w:tplc="80A261D6">
      <w:start w:val="1"/>
      <w:numFmt w:val="bullet"/>
      <w:pStyle w:val="FSBullet3"/>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AF813FB"/>
    <w:multiLevelType w:val="hybridMultilevel"/>
    <w:tmpl w:val="557AA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09555B"/>
    <w:multiLevelType w:val="hybridMultilevel"/>
    <w:tmpl w:val="A57E78F6"/>
    <w:lvl w:ilvl="0" w:tplc="A6C2E732">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805E2B"/>
    <w:multiLevelType w:val="hybridMultilevel"/>
    <w:tmpl w:val="204099BE"/>
    <w:lvl w:ilvl="0" w:tplc="936C2A34">
      <w:start w:val="1"/>
      <w:numFmt w:val="decimal"/>
      <w:lvlText w:val="%1."/>
      <w:lvlJc w:val="left"/>
      <w:pPr>
        <w:ind w:left="778" w:hanging="360"/>
      </w:pPr>
      <w:rPr>
        <w:i w:val="0"/>
        <w:color w:val="000000" w:themeColor="text1"/>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1755AD1"/>
    <w:multiLevelType w:val="hybridMultilevel"/>
    <w:tmpl w:val="34CE305E"/>
    <w:lvl w:ilvl="0" w:tplc="EEB42172">
      <w:start w:val="1"/>
      <w:numFmt w:val="bullet"/>
      <w:pStyle w:val="FSBullet1"/>
      <w:lvlText w:val=""/>
      <w:lvlJc w:val="left"/>
      <w:pPr>
        <w:ind w:left="720"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9" w15:restartNumberingAfterBreak="0">
    <w:nsid w:val="767821FC"/>
    <w:multiLevelType w:val="hybridMultilevel"/>
    <w:tmpl w:val="A0E60558"/>
    <w:lvl w:ilvl="0" w:tplc="9580CBC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8"/>
  </w:num>
  <w:num w:numId="2">
    <w:abstractNumId w:val="19"/>
  </w:num>
  <w:num w:numId="3">
    <w:abstractNumId w:val="24"/>
  </w:num>
  <w:num w:numId="4">
    <w:abstractNumId w:val="6"/>
  </w:num>
  <w:num w:numId="5">
    <w:abstractNumId w:val="4"/>
  </w:num>
  <w:num w:numId="6">
    <w:abstractNumId w:val="5"/>
  </w:num>
  <w:num w:numId="7">
    <w:abstractNumId w:val="1"/>
  </w:num>
  <w:num w:numId="8">
    <w:abstractNumId w:val="2"/>
  </w:num>
  <w:num w:numId="9">
    <w:abstractNumId w:val="3"/>
  </w:num>
  <w:num w:numId="10">
    <w:abstractNumId w:val="15"/>
  </w:num>
  <w:num w:numId="11">
    <w:abstractNumId w:val="25"/>
  </w:num>
  <w:num w:numId="12">
    <w:abstractNumId w:val="11"/>
  </w:num>
  <w:num w:numId="13">
    <w:abstractNumId w:val="26"/>
  </w:num>
  <w:num w:numId="14">
    <w:abstractNumId w:val="14"/>
  </w:num>
  <w:num w:numId="15">
    <w:abstractNumId w:val="13"/>
  </w:num>
  <w:num w:numId="16">
    <w:abstractNumId w:val="9"/>
  </w:num>
  <w:num w:numId="17">
    <w:abstractNumId w:val="23"/>
  </w:num>
  <w:num w:numId="18">
    <w:abstractNumId w:val="27"/>
  </w:num>
  <w:num w:numId="19">
    <w:abstractNumId w:val="16"/>
  </w:num>
  <w:num w:numId="20">
    <w:abstractNumId w:val="12"/>
  </w:num>
  <w:num w:numId="21">
    <w:abstractNumId w:val="20"/>
  </w:num>
  <w:num w:numId="22">
    <w:abstractNumId w:val="10"/>
  </w:num>
  <w:num w:numId="23">
    <w:abstractNumId w:val="17"/>
  </w:num>
  <w:num w:numId="24">
    <w:abstractNumId w:val="29"/>
  </w:num>
  <w:num w:numId="25">
    <w:abstractNumId w:val="8"/>
  </w:num>
  <w:num w:numId="26">
    <w:abstractNumId w:val="22"/>
  </w:num>
  <w:num w:numId="27">
    <w:abstractNumId w:val="7"/>
  </w:num>
  <w:num w:numId="28">
    <w:abstractNumId w:val="18"/>
  </w:num>
  <w:num w:numId="29">
    <w:abstractNumId w:val="2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567"/>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154"/>
    <w:rsid w:val="00003CEC"/>
    <w:rsid w:val="000040D0"/>
    <w:rsid w:val="0000542C"/>
    <w:rsid w:val="00005474"/>
    <w:rsid w:val="000062F9"/>
    <w:rsid w:val="0000761D"/>
    <w:rsid w:val="000117FF"/>
    <w:rsid w:val="00013D8C"/>
    <w:rsid w:val="00014EC6"/>
    <w:rsid w:val="00016CD7"/>
    <w:rsid w:val="00020CD0"/>
    <w:rsid w:val="00020FE8"/>
    <w:rsid w:val="00030790"/>
    <w:rsid w:val="00031FBB"/>
    <w:rsid w:val="00032A9F"/>
    <w:rsid w:val="00034F27"/>
    <w:rsid w:val="00036EB5"/>
    <w:rsid w:val="00041643"/>
    <w:rsid w:val="000420A1"/>
    <w:rsid w:val="00042818"/>
    <w:rsid w:val="00045A98"/>
    <w:rsid w:val="000465A6"/>
    <w:rsid w:val="00046BE8"/>
    <w:rsid w:val="00050342"/>
    <w:rsid w:val="00051374"/>
    <w:rsid w:val="00053313"/>
    <w:rsid w:val="00056097"/>
    <w:rsid w:val="000561C3"/>
    <w:rsid w:val="000562F6"/>
    <w:rsid w:val="000622E7"/>
    <w:rsid w:val="00062BE6"/>
    <w:rsid w:val="00066456"/>
    <w:rsid w:val="00066854"/>
    <w:rsid w:val="00066D85"/>
    <w:rsid w:val="00067C5E"/>
    <w:rsid w:val="000705EB"/>
    <w:rsid w:val="000753C0"/>
    <w:rsid w:val="0007721F"/>
    <w:rsid w:val="000809CB"/>
    <w:rsid w:val="000821E1"/>
    <w:rsid w:val="00085EF4"/>
    <w:rsid w:val="00087219"/>
    <w:rsid w:val="00090CB8"/>
    <w:rsid w:val="000913C4"/>
    <w:rsid w:val="0009276E"/>
    <w:rsid w:val="00092F26"/>
    <w:rsid w:val="00092FC2"/>
    <w:rsid w:val="00095F50"/>
    <w:rsid w:val="000A1C3A"/>
    <w:rsid w:val="000A38F8"/>
    <w:rsid w:val="000A5147"/>
    <w:rsid w:val="000A763A"/>
    <w:rsid w:val="000B207E"/>
    <w:rsid w:val="000B25EA"/>
    <w:rsid w:val="000B7B02"/>
    <w:rsid w:val="000C034F"/>
    <w:rsid w:val="000C348D"/>
    <w:rsid w:val="000D02BD"/>
    <w:rsid w:val="000D1481"/>
    <w:rsid w:val="000E05EC"/>
    <w:rsid w:val="000E1C73"/>
    <w:rsid w:val="000E2C8E"/>
    <w:rsid w:val="000E6B06"/>
    <w:rsid w:val="000E6EEA"/>
    <w:rsid w:val="000E7CD3"/>
    <w:rsid w:val="000F08CD"/>
    <w:rsid w:val="000F1668"/>
    <w:rsid w:val="000F2196"/>
    <w:rsid w:val="000F2EE2"/>
    <w:rsid w:val="000F350E"/>
    <w:rsid w:val="000F3BD8"/>
    <w:rsid w:val="000F6243"/>
    <w:rsid w:val="00101E8D"/>
    <w:rsid w:val="001040D5"/>
    <w:rsid w:val="001073DF"/>
    <w:rsid w:val="001075C4"/>
    <w:rsid w:val="001139E5"/>
    <w:rsid w:val="00113BD1"/>
    <w:rsid w:val="0011607A"/>
    <w:rsid w:val="00116285"/>
    <w:rsid w:val="00116E3E"/>
    <w:rsid w:val="0011728A"/>
    <w:rsid w:val="001173B1"/>
    <w:rsid w:val="00117F4D"/>
    <w:rsid w:val="001200A0"/>
    <w:rsid w:val="0012179C"/>
    <w:rsid w:val="00125669"/>
    <w:rsid w:val="00125BDF"/>
    <w:rsid w:val="00125BF5"/>
    <w:rsid w:val="00127597"/>
    <w:rsid w:val="001312BE"/>
    <w:rsid w:val="001332E7"/>
    <w:rsid w:val="0013751C"/>
    <w:rsid w:val="00142651"/>
    <w:rsid w:val="00143572"/>
    <w:rsid w:val="00150678"/>
    <w:rsid w:val="00150F8C"/>
    <w:rsid w:val="00151044"/>
    <w:rsid w:val="00152EDE"/>
    <w:rsid w:val="001538F9"/>
    <w:rsid w:val="00156756"/>
    <w:rsid w:val="00162584"/>
    <w:rsid w:val="00164820"/>
    <w:rsid w:val="001722F0"/>
    <w:rsid w:val="001734EA"/>
    <w:rsid w:val="00174AAB"/>
    <w:rsid w:val="00176B9D"/>
    <w:rsid w:val="00177CA5"/>
    <w:rsid w:val="00181E72"/>
    <w:rsid w:val="00182BD8"/>
    <w:rsid w:val="00184403"/>
    <w:rsid w:val="00185A57"/>
    <w:rsid w:val="001877F3"/>
    <w:rsid w:val="00187D9C"/>
    <w:rsid w:val="001905D2"/>
    <w:rsid w:val="00191770"/>
    <w:rsid w:val="00192F1E"/>
    <w:rsid w:val="001938AB"/>
    <w:rsid w:val="00193E8F"/>
    <w:rsid w:val="0019572E"/>
    <w:rsid w:val="001A1293"/>
    <w:rsid w:val="001A221D"/>
    <w:rsid w:val="001A32F5"/>
    <w:rsid w:val="001A44B7"/>
    <w:rsid w:val="001A6E34"/>
    <w:rsid w:val="001B2A80"/>
    <w:rsid w:val="001B3DE5"/>
    <w:rsid w:val="001B5C97"/>
    <w:rsid w:val="001C24DD"/>
    <w:rsid w:val="001C2AA7"/>
    <w:rsid w:val="001C3A56"/>
    <w:rsid w:val="001C4BEF"/>
    <w:rsid w:val="001C5126"/>
    <w:rsid w:val="001C6A68"/>
    <w:rsid w:val="001D01EE"/>
    <w:rsid w:val="001D5CEE"/>
    <w:rsid w:val="001D65CB"/>
    <w:rsid w:val="001E0417"/>
    <w:rsid w:val="001E68AB"/>
    <w:rsid w:val="001E696B"/>
    <w:rsid w:val="001E7BBF"/>
    <w:rsid w:val="001F00DA"/>
    <w:rsid w:val="001F2573"/>
    <w:rsid w:val="001F644E"/>
    <w:rsid w:val="001F7540"/>
    <w:rsid w:val="00200E3B"/>
    <w:rsid w:val="002017B1"/>
    <w:rsid w:val="00201E57"/>
    <w:rsid w:val="00202DF8"/>
    <w:rsid w:val="00202E81"/>
    <w:rsid w:val="00203270"/>
    <w:rsid w:val="00204D4F"/>
    <w:rsid w:val="002061D8"/>
    <w:rsid w:val="002071B2"/>
    <w:rsid w:val="002074F2"/>
    <w:rsid w:val="00207717"/>
    <w:rsid w:val="00213CD7"/>
    <w:rsid w:val="00213FB1"/>
    <w:rsid w:val="00214331"/>
    <w:rsid w:val="002170C5"/>
    <w:rsid w:val="002213E8"/>
    <w:rsid w:val="00222842"/>
    <w:rsid w:val="00222C06"/>
    <w:rsid w:val="002232B1"/>
    <w:rsid w:val="00223774"/>
    <w:rsid w:val="00234635"/>
    <w:rsid w:val="00234C31"/>
    <w:rsid w:val="00235E2C"/>
    <w:rsid w:val="00241E23"/>
    <w:rsid w:val="0024283B"/>
    <w:rsid w:val="002443C7"/>
    <w:rsid w:val="00244639"/>
    <w:rsid w:val="00244FDE"/>
    <w:rsid w:val="0024770D"/>
    <w:rsid w:val="00252ADD"/>
    <w:rsid w:val="00253742"/>
    <w:rsid w:val="00253C46"/>
    <w:rsid w:val="00255C08"/>
    <w:rsid w:val="00260EA9"/>
    <w:rsid w:val="002616F7"/>
    <w:rsid w:val="002626B1"/>
    <w:rsid w:val="00262B22"/>
    <w:rsid w:val="00262B87"/>
    <w:rsid w:val="00266051"/>
    <w:rsid w:val="00267260"/>
    <w:rsid w:val="002674A3"/>
    <w:rsid w:val="002713CB"/>
    <w:rsid w:val="002719DB"/>
    <w:rsid w:val="00276663"/>
    <w:rsid w:val="00276F56"/>
    <w:rsid w:val="0028502F"/>
    <w:rsid w:val="00286BA7"/>
    <w:rsid w:val="00286EBB"/>
    <w:rsid w:val="00287DB3"/>
    <w:rsid w:val="0029598D"/>
    <w:rsid w:val="00297132"/>
    <w:rsid w:val="002A0441"/>
    <w:rsid w:val="002A4EA4"/>
    <w:rsid w:val="002A7E2B"/>
    <w:rsid w:val="002B0FE7"/>
    <w:rsid w:val="002B5921"/>
    <w:rsid w:val="002C2F22"/>
    <w:rsid w:val="002D0686"/>
    <w:rsid w:val="002D1983"/>
    <w:rsid w:val="002D1FAF"/>
    <w:rsid w:val="002D211C"/>
    <w:rsid w:val="002D3773"/>
    <w:rsid w:val="002D4A4A"/>
    <w:rsid w:val="002D4D98"/>
    <w:rsid w:val="002D5D81"/>
    <w:rsid w:val="002D6780"/>
    <w:rsid w:val="002D6DFA"/>
    <w:rsid w:val="002D7A45"/>
    <w:rsid w:val="002E5060"/>
    <w:rsid w:val="002E75A1"/>
    <w:rsid w:val="002F0646"/>
    <w:rsid w:val="002F0F9C"/>
    <w:rsid w:val="002F51D8"/>
    <w:rsid w:val="002F58FF"/>
    <w:rsid w:val="00300B16"/>
    <w:rsid w:val="00312E04"/>
    <w:rsid w:val="00313605"/>
    <w:rsid w:val="003139BB"/>
    <w:rsid w:val="003145CD"/>
    <w:rsid w:val="00315129"/>
    <w:rsid w:val="00315F60"/>
    <w:rsid w:val="0031608E"/>
    <w:rsid w:val="00316EB7"/>
    <w:rsid w:val="00321F1E"/>
    <w:rsid w:val="0032361A"/>
    <w:rsid w:val="0032437B"/>
    <w:rsid w:val="003254B8"/>
    <w:rsid w:val="0032624D"/>
    <w:rsid w:val="003276BB"/>
    <w:rsid w:val="00327A0F"/>
    <w:rsid w:val="0033021F"/>
    <w:rsid w:val="00330C3C"/>
    <w:rsid w:val="003312AF"/>
    <w:rsid w:val="00334548"/>
    <w:rsid w:val="003362C9"/>
    <w:rsid w:val="003400CD"/>
    <w:rsid w:val="00341D25"/>
    <w:rsid w:val="00342630"/>
    <w:rsid w:val="003439F3"/>
    <w:rsid w:val="00344A8A"/>
    <w:rsid w:val="00345551"/>
    <w:rsid w:val="00350970"/>
    <w:rsid w:val="00353DEA"/>
    <w:rsid w:val="00353F20"/>
    <w:rsid w:val="003560DB"/>
    <w:rsid w:val="0036013E"/>
    <w:rsid w:val="003609B8"/>
    <w:rsid w:val="00361E7E"/>
    <w:rsid w:val="00363099"/>
    <w:rsid w:val="0036499F"/>
    <w:rsid w:val="00370498"/>
    <w:rsid w:val="0037143A"/>
    <w:rsid w:val="003732DA"/>
    <w:rsid w:val="00373A04"/>
    <w:rsid w:val="00373D1A"/>
    <w:rsid w:val="00377B78"/>
    <w:rsid w:val="00377F3A"/>
    <w:rsid w:val="0038118A"/>
    <w:rsid w:val="00385AF6"/>
    <w:rsid w:val="003907D7"/>
    <w:rsid w:val="00397750"/>
    <w:rsid w:val="003A01FB"/>
    <w:rsid w:val="003A656C"/>
    <w:rsid w:val="003A7FF6"/>
    <w:rsid w:val="003B20C3"/>
    <w:rsid w:val="003B2F2B"/>
    <w:rsid w:val="003B6F75"/>
    <w:rsid w:val="003B748D"/>
    <w:rsid w:val="003C1AF7"/>
    <w:rsid w:val="003C377C"/>
    <w:rsid w:val="003C400D"/>
    <w:rsid w:val="003C7660"/>
    <w:rsid w:val="003C7F63"/>
    <w:rsid w:val="003D0D18"/>
    <w:rsid w:val="003D1645"/>
    <w:rsid w:val="003D6712"/>
    <w:rsid w:val="003D7B66"/>
    <w:rsid w:val="003E11A4"/>
    <w:rsid w:val="003E1F6D"/>
    <w:rsid w:val="003E1F85"/>
    <w:rsid w:val="003E3687"/>
    <w:rsid w:val="003E6531"/>
    <w:rsid w:val="003E6A2E"/>
    <w:rsid w:val="003F046F"/>
    <w:rsid w:val="003F2326"/>
    <w:rsid w:val="004001C5"/>
    <w:rsid w:val="00401B83"/>
    <w:rsid w:val="004026FC"/>
    <w:rsid w:val="00403D6B"/>
    <w:rsid w:val="00404702"/>
    <w:rsid w:val="0040697B"/>
    <w:rsid w:val="00412F5B"/>
    <w:rsid w:val="00413829"/>
    <w:rsid w:val="0041469C"/>
    <w:rsid w:val="00415EBA"/>
    <w:rsid w:val="004164C2"/>
    <w:rsid w:val="00416F19"/>
    <w:rsid w:val="0042219E"/>
    <w:rsid w:val="00422206"/>
    <w:rsid w:val="00430D30"/>
    <w:rsid w:val="0043131E"/>
    <w:rsid w:val="004341B2"/>
    <w:rsid w:val="00437FB3"/>
    <w:rsid w:val="00441D77"/>
    <w:rsid w:val="00442A7D"/>
    <w:rsid w:val="00443F05"/>
    <w:rsid w:val="004469B4"/>
    <w:rsid w:val="00450004"/>
    <w:rsid w:val="00450832"/>
    <w:rsid w:val="00452CB3"/>
    <w:rsid w:val="004546E9"/>
    <w:rsid w:val="0046011E"/>
    <w:rsid w:val="004623F4"/>
    <w:rsid w:val="004675D6"/>
    <w:rsid w:val="00472E43"/>
    <w:rsid w:val="004743E9"/>
    <w:rsid w:val="00474767"/>
    <w:rsid w:val="00474BE2"/>
    <w:rsid w:val="00477C96"/>
    <w:rsid w:val="0048005E"/>
    <w:rsid w:val="004841A6"/>
    <w:rsid w:val="0048474C"/>
    <w:rsid w:val="00484EFC"/>
    <w:rsid w:val="00486619"/>
    <w:rsid w:val="00486BB9"/>
    <w:rsid w:val="00494593"/>
    <w:rsid w:val="00495F64"/>
    <w:rsid w:val="00496FFD"/>
    <w:rsid w:val="004A0044"/>
    <w:rsid w:val="004A0C4D"/>
    <w:rsid w:val="004A5EF0"/>
    <w:rsid w:val="004A6124"/>
    <w:rsid w:val="004B2CA9"/>
    <w:rsid w:val="004B393D"/>
    <w:rsid w:val="004B4F5D"/>
    <w:rsid w:val="004C0627"/>
    <w:rsid w:val="004C070C"/>
    <w:rsid w:val="004C31E3"/>
    <w:rsid w:val="004C6B9C"/>
    <w:rsid w:val="004D11A4"/>
    <w:rsid w:val="004D1676"/>
    <w:rsid w:val="004D1A49"/>
    <w:rsid w:val="004D2313"/>
    <w:rsid w:val="004D3868"/>
    <w:rsid w:val="004D44DC"/>
    <w:rsid w:val="004D4964"/>
    <w:rsid w:val="004D78EB"/>
    <w:rsid w:val="004E60D2"/>
    <w:rsid w:val="004E6694"/>
    <w:rsid w:val="004E6B57"/>
    <w:rsid w:val="004E6E0D"/>
    <w:rsid w:val="004E7B3D"/>
    <w:rsid w:val="004E7B81"/>
    <w:rsid w:val="004F001D"/>
    <w:rsid w:val="004F01A0"/>
    <w:rsid w:val="004F0F0A"/>
    <w:rsid w:val="004F24D4"/>
    <w:rsid w:val="004F2D08"/>
    <w:rsid w:val="004F3872"/>
    <w:rsid w:val="004F4FB8"/>
    <w:rsid w:val="005005A6"/>
    <w:rsid w:val="005023EF"/>
    <w:rsid w:val="0050367F"/>
    <w:rsid w:val="00505176"/>
    <w:rsid w:val="00505A38"/>
    <w:rsid w:val="00510C55"/>
    <w:rsid w:val="00511073"/>
    <w:rsid w:val="00514C3B"/>
    <w:rsid w:val="00515AA7"/>
    <w:rsid w:val="00517DF4"/>
    <w:rsid w:val="00521CF7"/>
    <w:rsid w:val="005222E9"/>
    <w:rsid w:val="00525732"/>
    <w:rsid w:val="00527D95"/>
    <w:rsid w:val="00534669"/>
    <w:rsid w:val="0054036E"/>
    <w:rsid w:val="005422F1"/>
    <w:rsid w:val="00542980"/>
    <w:rsid w:val="00544BB2"/>
    <w:rsid w:val="005504EA"/>
    <w:rsid w:val="00552141"/>
    <w:rsid w:val="00553E3A"/>
    <w:rsid w:val="005577E5"/>
    <w:rsid w:val="00560EE3"/>
    <w:rsid w:val="00561BD5"/>
    <w:rsid w:val="00565D11"/>
    <w:rsid w:val="00567AA0"/>
    <w:rsid w:val="0057403E"/>
    <w:rsid w:val="00576703"/>
    <w:rsid w:val="005804D8"/>
    <w:rsid w:val="00582064"/>
    <w:rsid w:val="005841E6"/>
    <w:rsid w:val="005848AC"/>
    <w:rsid w:val="00586CC8"/>
    <w:rsid w:val="00586D88"/>
    <w:rsid w:val="00587C07"/>
    <w:rsid w:val="00587FD2"/>
    <w:rsid w:val="005916EE"/>
    <w:rsid w:val="00592B89"/>
    <w:rsid w:val="005A0287"/>
    <w:rsid w:val="005A4ACD"/>
    <w:rsid w:val="005A4D64"/>
    <w:rsid w:val="005A6521"/>
    <w:rsid w:val="005B251E"/>
    <w:rsid w:val="005B2BF2"/>
    <w:rsid w:val="005B578D"/>
    <w:rsid w:val="005C0D5F"/>
    <w:rsid w:val="005C1684"/>
    <w:rsid w:val="005C1996"/>
    <w:rsid w:val="005C2EB5"/>
    <w:rsid w:val="005C368C"/>
    <w:rsid w:val="005C5109"/>
    <w:rsid w:val="005D0239"/>
    <w:rsid w:val="005D2DA6"/>
    <w:rsid w:val="005D4920"/>
    <w:rsid w:val="005D7571"/>
    <w:rsid w:val="005E038C"/>
    <w:rsid w:val="005E3A44"/>
    <w:rsid w:val="005E5981"/>
    <w:rsid w:val="005E61D0"/>
    <w:rsid w:val="005E75CC"/>
    <w:rsid w:val="005E78AA"/>
    <w:rsid w:val="005F3629"/>
    <w:rsid w:val="005F3931"/>
    <w:rsid w:val="005F7906"/>
    <w:rsid w:val="00600045"/>
    <w:rsid w:val="006035F4"/>
    <w:rsid w:val="006067B3"/>
    <w:rsid w:val="00607978"/>
    <w:rsid w:val="00607FAB"/>
    <w:rsid w:val="0061046A"/>
    <w:rsid w:val="00611AE9"/>
    <w:rsid w:val="0061382B"/>
    <w:rsid w:val="00615705"/>
    <w:rsid w:val="006178E8"/>
    <w:rsid w:val="0062110E"/>
    <w:rsid w:val="006212BD"/>
    <w:rsid w:val="006229FF"/>
    <w:rsid w:val="00630752"/>
    <w:rsid w:val="006309DB"/>
    <w:rsid w:val="00633923"/>
    <w:rsid w:val="0064083E"/>
    <w:rsid w:val="0064104B"/>
    <w:rsid w:val="0064359F"/>
    <w:rsid w:val="006438A6"/>
    <w:rsid w:val="0064449D"/>
    <w:rsid w:val="00645572"/>
    <w:rsid w:val="00646B8C"/>
    <w:rsid w:val="0064756F"/>
    <w:rsid w:val="006500D1"/>
    <w:rsid w:val="00651CEA"/>
    <w:rsid w:val="006525BE"/>
    <w:rsid w:val="006557D4"/>
    <w:rsid w:val="00655BF0"/>
    <w:rsid w:val="006607D9"/>
    <w:rsid w:val="00660C76"/>
    <w:rsid w:val="00660E2F"/>
    <w:rsid w:val="00663CA5"/>
    <w:rsid w:val="006642D1"/>
    <w:rsid w:val="00664A85"/>
    <w:rsid w:val="00664CE3"/>
    <w:rsid w:val="006654C6"/>
    <w:rsid w:val="0066552C"/>
    <w:rsid w:val="00667130"/>
    <w:rsid w:val="006678F3"/>
    <w:rsid w:val="00667EA6"/>
    <w:rsid w:val="00672012"/>
    <w:rsid w:val="00672CCE"/>
    <w:rsid w:val="006735E9"/>
    <w:rsid w:val="00680858"/>
    <w:rsid w:val="00681540"/>
    <w:rsid w:val="00683CF8"/>
    <w:rsid w:val="0068482E"/>
    <w:rsid w:val="00684AB0"/>
    <w:rsid w:val="0068522C"/>
    <w:rsid w:val="006868D0"/>
    <w:rsid w:val="00687697"/>
    <w:rsid w:val="00690623"/>
    <w:rsid w:val="00694393"/>
    <w:rsid w:val="006949C2"/>
    <w:rsid w:val="0069566D"/>
    <w:rsid w:val="006963CE"/>
    <w:rsid w:val="00696C1A"/>
    <w:rsid w:val="00696DA7"/>
    <w:rsid w:val="006A431A"/>
    <w:rsid w:val="006B0699"/>
    <w:rsid w:val="006B0EE9"/>
    <w:rsid w:val="006B2723"/>
    <w:rsid w:val="006B5DBC"/>
    <w:rsid w:val="006B6900"/>
    <w:rsid w:val="006C1501"/>
    <w:rsid w:val="006C364A"/>
    <w:rsid w:val="006C3B69"/>
    <w:rsid w:val="006D473E"/>
    <w:rsid w:val="006D756C"/>
    <w:rsid w:val="006E00BF"/>
    <w:rsid w:val="006E1B4F"/>
    <w:rsid w:val="006E1DC9"/>
    <w:rsid w:val="006E311A"/>
    <w:rsid w:val="006E3154"/>
    <w:rsid w:val="006E6FEB"/>
    <w:rsid w:val="006F0EB0"/>
    <w:rsid w:val="006F33C0"/>
    <w:rsid w:val="006F445B"/>
    <w:rsid w:val="006F44D4"/>
    <w:rsid w:val="0070287C"/>
    <w:rsid w:val="00702F16"/>
    <w:rsid w:val="0070370E"/>
    <w:rsid w:val="0070513E"/>
    <w:rsid w:val="00707964"/>
    <w:rsid w:val="00710169"/>
    <w:rsid w:val="00713CAC"/>
    <w:rsid w:val="007149FF"/>
    <w:rsid w:val="00717DD3"/>
    <w:rsid w:val="007201F8"/>
    <w:rsid w:val="00724890"/>
    <w:rsid w:val="007270E7"/>
    <w:rsid w:val="0072796E"/>
    <w:rsid w:val="0073062B"/>
    <w:rsid w:val="00731710"/>
    <w:rsid w:val="00737711"/>
    <w:rsid w:val="00737E5E"/>
    <w:rsid w:val="0074045F"/>
    <w:rsid w:val="007426FE"/>
    <w:rsid w:val="00742D89"/>
    <w:rsid w:val="0075026F"/>
    <w:rsid w:val="007527C3"/>
    <w:rsid w:val="00752D98"/>
    <w:rsid w:val="00754BEF"/>
    <w:rsid w:val="00764C9A"/>
    <w:rsid w:val="00767C29"/>
    <w:rsid w:val="00770C45"/>
    <w:rsid w:val="0077322E"/>
    <w:rsid w:val="00774FC6"/>
    <w:rsid w:val="007751FB"/>
    <w:rsid w:val="007752BA"/>
    <w:rsid w:val="00776154"/>
    <w:rsid w:val="0077681A"/>
    <w:rsid w:val="007804FF"/>
    <w:rsid w:val="00781476"/>
    <w:rsid w:val="00781A26"/>
    <w:rsid w:val="00790B79"/>
    <w:rsid w:val="0079148F"/>
    <w:rsid w:val="007914EF"/>
    <w:rsid w:val="00793DE6"/>
    <w:rsid w:val="007A26D0"/>
    <w:rsid w:val="007A49A6"/>
    <w:rsid w:val="007A4ADD"/>
    <w:rsid w:val="007A6CD5"/>
    <w:rsid w:val="007B074C"/>
    <w:rsid w:val="007B4A95"/>
    <w:rsid w:val="007C10BA"/>
    <w:rsid w:val="007C22E2"/>
    <w:rsid w:val="007C249B"/>
    <w:rsid w:val="007C2D0E"/>
    <w:rsid w:val="007C5B53"/>
    <w:rsid w:val="007C62B9"/>
    <w:rsid w:val="007D3B41"/>
    <w:rsid w:val="007D7D08"/>
    <w:rsid w:val="007E15DB"/>
    <w:rsid w:val="007E4311"/>
    <w:rsid w:val="007E4358"/>
    <w:rsid w:val="007E47E2"/>
    <w:rsid w:val="007F4143"/>
    <w:rsid w:val="007F48C2"/>
    <w:rsid w:val="007F4A71"/>
    <w:rsid w:val="007F6456"/>
    <w:rsid w:val="008078A7"/>
    <w:rsid w:val="008107DE"/>
    <w:rsid w:val="00811483"/>
    <w:rsid w:val="0081294D"/>
    <w:rsid w:val="00816D58"/>
    <w:rsid w:val="00824278"/>
    <w:rsid w:val="00826738"/>
    <w:rsid w:val="00826E50"/>
    <w:rsid w:val="00826F40"/>
    <w:rsid w:val="00830393"/>
    <w:rsid w:val="0083134A"/>
    <w:rsid w:val="008328B4"/>
    <w:rsid w:val="00833315"/>
    <w:rsid w:val="00833D5A"/>
    <w:rsid w:val="0083451D"/>
    <w:rsid w:val="00835CE9"/>
    <w:rsid w:val="0083638D"/>
    <w:rsid w:val="00836448"/>
    <w:rsid w:val="008401A5"/>
    <w:rsid w:val="00840CE5"/>
    <w:rsid w:val="008410B2"/>
    <w:rsid w:val="008419F4"/>
    <w:rsid w:val="008428EA"/>
    <w:rsid w:val="00842BA0"/>
    <w:rsid w:val="00843305"/>
    <w:rsid w:val="00852D7D"/>
    <w:rsid w:val="008608EB"/>
    <w:rsid w:val="00860DD8"/>
    <w:rsid w:val="00860EE7"/>
    <w:rsid w:val="0086184A"/>
    <w:rsid w:val="00862B63"/>
    <w:rsid w:val="0086665C"/>
    <w:rsid w:val="008675B7"/>
    <w:rsid w:val="00870502"/>
    <w:rsid w:val="00870B32"/>
    <w:rsid w:val="00876D16"/>
    <w:rsid w:val="00876E4C"/>
    <w:rsid w:val="008772B5"/>
    <w:rsid w:val="00877A81"/>
    <w:rsid w:val="008802D7"/>
    <w:rsid w:val="00880403"/>
    <w:rsid w:val="0088090E"/>
    <w:rsid w:val="00883B4B"/>
    <w:rsid w:val="00883DEC"/>
    <w:rsid w:val="00886664"/>
    <w:rsid w:val="008915F4"/>
    <w:rsid w:val="00892E44"/>
    <w:rsid w:val="008931F6"/>
    <w:rsid w:val="008960CE"/>
    <w:rsid w:val="00897866"/>
    <w:rsid w:val="00897B61"/>
    <w:rsid w:val="008A2FD8"/>
    <w:rsid w:val="008A4A55"/>
    <w:rsid w:val="008A5CD3"/>
    <w:rsid w:val="008A7B99"/>
    <w:rsid w:val="008B1973"/>
    <w:rsid w:val="008B1E3C"/>
    <w:rsid w:val="008B1ED5"/>
    <w:rsid w:val="008B519A"/>
    <w:rsid w:val="008B529B"/>
    <w:rsid w:val="008C5792"/>
    <w:rsid w:val="008C7B87"/>
    <w:rsid w:val="008D01CB"/>
    <w:rsid w:val="008D1246"/>
    <w:rsid w:val="008D1C2B"/>
    <w:rsid w:val="008D1F24"/>
    <w:rsid w:val="008D5F4E"/>
    <w:rsid w:val="008D675C"/>
    <w:rsid w:val="008E2339"/>
    <w:rsid w:val="008E2B96"/>
    <w:rsid w:val="008E3369"/>
    <w:rsid w:val="008E64A2"/>
    <w:rsid w:val="008F071E"/>
    <w:rsid w:val="008F1E1E"/>
    <w:rsid w:val="008F2BFB"/>
    <w:rsid w:val="008F3F58"/>
    <w:rsid w:val="008F7473"/>
    <w:rsid w:val="008F7808"/>
    <w:rsid w:val="008F7AFC"/>
    <w:rsid w:val="00900383"/>
    <w:rsid w:val="009022BE"/>
    <w:rsid w:val="00907604"/>
    <w:rsid w:val="00910346"/>
    <w:rsid w:val="009106D5"/>
    <w:rsid w:val="0091241E"/>
    <w:rsid w:val="00912B90"/>
    <w:rsid w:val="00912C20"/>
    <w:rsid w:val="00914231"/>
    <w:rsid w:val="00916602"/>
    <w:rsid w:val="00924791"/>
    <w:rsid w:val="009261F5"/>
    <w:rsid w:val="009262F2"/>
    <w:rsid w:val="00935023"/>
    <w:rsid w:val="00935C1E"/>
    <w:rsid w:val="009428AB"/>
    <w:rsid w:val="00943023"/>
    <w:rsid w:val="00944FE2"/>
    <w:rsid w:val="00953A8B"/>
    <w:rsid w:val="00953AD8"/>
    <w:rsid w:val="00954695"/>
    <w:rsid w:val="00954AD1"/>
    <w:rsid w:val="00954BDA"/>
    <w:rsid w:val="00956935"/>
    <w:rsid w:val="00961CF5"/>
    <w:rsid w:val="009623E8"/>
    <w:rsid w:val="00962408"/>
    <w:rsid w:val="00972992"/>
    <w:rsid w:val="00972F47"/>
    <w:rsid w:val="009748A5"/>
    <w:rsid w:val="00974DC9"/>
    <w:rsid w:val="009774ED"/>
    <w:rsid w:val="009806A5"/>
    <w:rsid w:val="00980DB7"/>
    <w:rsid w:val="00981215"/>
    <w:rsid w:val="0098309A"/>
    <w:rsid w:val="00986F78"/>
    <w:rsid w:val="00987287"/>
    <w:rsid w:val="00993ABD"/>
    <w:rsid w:val="009968E5"/>
    <w:rsid w:val="009978E8"/>
    <w:rsid w:val="009A2D5C"/>
    <w:rsid w:val="009A2FC7"/>
    <w:rsid w:val="009A5854"/>
    <w:rsid w:val="009A717F"/>
    <w:rsid w:val="009B15A6"/>
    <w:rsid w:val="009B24CA"/>
    <w:rsid w:val="009B353C"/>
    <w:rsid w:val="009B566E"/>
    <w:rsid w:val="009B5FC9"/>
    <w:rsid w:val="009C081C"/>
    <w:rsid w:val="009C21E8"/>
    <w:rsid w:val="009C356D"/>
    <w:rsid w:val="009C3BBB"/>
    <w:rsid w:val="009C7524"/>
    <w:rsid w:val="009C7DEA"/>
    <w:rsid w:val="009D3222"/>
    <w:rsid w:val="009D4752"/>
    <w:rsid w:val="009E081D"/>
    <w:rsid w:val="009E265A"/>
    <w:rsid w:val="009E2701"/>
    <w:rsid w:val="009E40A3"/>
    <w:rsid w:val="009E5033"/>
    <w:rsid w:val="009F17DB"/>
    <w:rsid w:val="009F4C0B"/>
    <w:rsid w:val="009F66FE"/>
    <w:rsid w:val="00A05059"/>
    <w:rsid w:val="00A05ECC"/>
    <w:rsid w:val="00A071FD"/>
    <w:rsid w:val="00A07CE9"/>
    <w:rsid w:val="00A12AAA"/>
    <w:rsid w:val="00A14CF1"/>
    <w:rsid w:val="00A15002"/>
    <w:rsid w:val="00A23B9C"/>
    <w:rsid w:val="00A24DCC"/>
    <w:rsid w:val="00A25B29"/>
    <w:rsid w:val="00A268F4"/>
    <w:rsid w:val="00A26D46"/>
    <w:rsid w:val="00A26F82"/>
    <w:rsid w:val="00A32B82"/>
    <w:rsid w:val="00A35350"/>
    <w:rsid w:val="00A36E47"/>
    <w:rsid w:val="00A402EC"/>
    <w:rsid w:val="00A41486"/>
    <w:rsid w:val="00A41AC2"/>
    <w:rsid w:val="00A42624"/>
    <w:rsid w:val="00A43FE1"/>
    <w:rsid w:val="00A45884"/>
    <w:rsid w:val="00A47927"/>
    <w:rsid w:val="00A536F5"/>
    <w:rsid w:val="00A538C8"/>
    <w:rsid w:val="00A540E3"/>
    <w:rsid w:val="00A548D9"/>
    <w:rsid w:val="00A55153"/>
    <w:rsid w:val="00A60BB7"/>
    <w:rsid w:val="00A61824"/>
    <w:rsid w:val="00A628F1"/>
    <w:rsid w:val="00A63452"/>
    <w:rsid w:val="00A664B5"/>
    <w:rsid w:val="00A70402"/>
    <w:rsid w:val="00A7134C"/>
    <w:rsid w:val="00A72F0D"/>
    <w:rsid w:val="00A73E47"/>
    <w:rsid w:val="00A760E5"/>
    <w:rsid w:val="00A771CE"/>
    <w:rsid w:val="00A808E9"/>
    <w:rsid w:val="00A80B4C"/>
    <w:rsid w:val="00A8112E"/>
    <w:rsid w:val="00A81C38"/>
    <w:rsid w:val="00A830F6"/>
    <w:rsid w:val="00A83651"/>
    <w:rsid w:val="00A8690A"/>
    <w:rsid w:val="00A86D66"/>
    <w:rsid w:val="00A8742F"/>
    <w:rsid w:val="00A90293"/>
    <w:rsid w:val="00A90DBD"/>
    <w:rsid w:val="00A95783"/>
    <w:rsid w:val="00A97F65"/>
    <w:rsid w:val="00AA3A9A"/>
    <w:rsid w:val="00AA58D6"/>
    <w:rsid w:val="00AA654F"/>
    <w:rsid w:val="00AA6F3C"/>
    <w:rsid w:val="00AB0E4F"/>
    <w:rsid w:val="00AC285D"/>
    <w:rsid w:val="00AC57F6"/>
    <w:rsid w:val="00AD033C"/>
    <w:rsid w:val="00AD4FAD"/>
    <w:rsid w:val="00AD6F69"/>
    <w:rsid w:val="00AE1331"/>
    <w:rsid w:val="00AE7074"/>
    <w:rsid w:val="00AF08C5"/>
    <w:rsid w:val="00AF4E9A"/>
    <w:rsid w:val="00AF5E47"/>
    <w:rsid w:val="00B05DBA"/>
    <w:rsid w:val="00B06DFF"/>
    <w:rsid w:val="00B07714"/>
    <w:rsid w:val="00B07BD6"/>
    <w:rsid w:val="00B07C77"/>
    <w:rsid w:val="00B11381"/>
    <w:rsid w:val="00B11ECC"/>
    <w:rsid w:val="00B177E5"/>
    <w:rsid w:val="00B223B5"/>
    <w:rsid w:val="00B2639C"/>
    <w:rsid w:val="00B275C1"/>
    <w:rsid w:val="00B30C8B"/>
    <w:rsid w:val="00B33D00"/>
    <w:rsid w:val="00B35827"/>
    <w:rsid w:val="00B3765B"/>
    <w:rsid w:val="00B4156F"/>
    <w:rsid w:val="00B46168"/>
    <w:rsid w:val="00B46F5B"/>
    <w:rsid w:val="00B50805"/>
    <w:rsid w:val="00B50D4B"/>
    <w:rsid w:val="00B51228"/>
    <w:rsid w:val="00B53154"/>
    <w:rsid w:val="00B5380D"/>
    <w:rsid w:val="00B56B4C"/>
    <w:rsid w:val="00B701F0"/>
    <w:rsid w:val="00B71513"/>
    <w:rsid w:val="00B72074"/>
    <w:rsid w:val="00B720B5"/>
    <w:rsid w:val="00B75094"/>
    <w:rsid w:val="00B75B6B"/>
    <w:rsid w:val="00B76C50"/>
    <w:rsid w:val="00B7709F"/>
    <w:rsid w:val="00B80F35"/>
    <w:rsid w:val="00B813D0"/>
    <w:rsid w:val="00B83EEF"/>
    <w:rsid w:val="00B8415E"/>
    <w:rsid w:val="00B8528E"/>
    <w:rsid w:val="00B9043C"/>
    <w:rsid w:val="00B96544"/>
    <w:rsid w:val="00BA0E4A"/>
    <w:rsid w:val="00BA10DA"/>
    <w:rsid w:val="00BA37A5"/>
    <w:rsid w:val="00BA3CDC"/>
    <w:rsid w:val="00BA537C"/>
    <w:rsid w:val="00BA55F6"/>
    <w:rsid w:val="00BB2297"/>
    <w:rsid w:val="00BB6C7B"/>
    <w:rsid w:val="00BB7EE0"/>
    <w:rsid w:val="00BC2133"/>
    <w:rsid w:val="00BC4A54"/>
    <w:rsid w:val="00BC5468"/>
    <w:rsid w:val="00BD1350"/>
    <w:rsid w:val="00BD1854"/>
    <w:rsid w:val="00BD2826"/>
    <w:rsid w:val="00BD34FF"/>
    <w:rsid w:val="00BE207B"/>
    <w:rsid w:val="00BE431C"/>
    <w:rsid w:val="00BE4F3A"/>
    <w:rsid w:val="00BE5647"/>
    <w:rsid w:val="00BE5B3E"/>
    <w:rsid w:val="00BE5CC1"/>
    <w:rsid w:val="00BE647E"/>
    <w:rsid w:val="00BE64B1"/>
    <w:rsid w:val="00BF175F"/>
    <w:rsid w:val="00BF19B5"/>
    <w:rsid w:val="00BF3F3E"/>
    <w:rsid w:val="00BF4F23"/>
    <w:rsid w:val="00C00D38"/>
    <w:rsid w:val="00C019A6"/>
    <w:rsid w:val="00C0484F"/>
    <w:rsid w:val="00C04989"/>
    <w:rsid w:val="00C058F1"/>
    <w:rsid w:val="00C061F7"/>
    <w:rsid w:val="00C157B4"/>
    <w:rsid w:val="00C16B10"/>
    <w:rsid w:val="00C17152"/>
    <w:rsid w:val="00C22FE9"/>
    <w:rsid w:val="00C23999"/>
    <w:rsid w:val="00C2441E"/>
    <w:rsid w:val="00C30BAC"/>
    <w:rsid w:val="00C31FBF"/>
    <w:rsid w:val="00C35E97"/>
    <w:rsid w:val="00C36AB6"/>
    <w:rsid w:val="00C377DD"/>
    <w:rsid w:val="00C379AB"/>
    <w:rsid w:val="00C4648B"/>
    <w:rsid w:val="00C466EF"/>
    <w:rsid w:val="00C46AA4"/>
    <w:rsid w:val="00C47D16"/>
    <w:rsid w:val="00C5471E"/>
    <w:rsid w:val="00C54F29"/>
    <w:rsid w:val="00C572A2"/>
    <w:rsid w:val="00C61B0A"/>
    <w:rsid w:val="00C6286D"/>
    <w:rsid w:val="00C63EE2"/>
    <w:rsid w:val="00C64ADB"/>
    <w:rsid w:val="00C65648"/>
    <w:rsid w:val="00C67F08"/>
    <w:rsid w:val="00C7067E"/>
    <w:rsid w:val="00C73A77"/>
    <w:rsid w:val="00C757F5"/>
    <w:rsid w:val="00C75C37"/>
    <w:rsid w:val="00C76930"/>
    <w:rsid w:val="00C87326"/>
    <w:rsid w:val="00C94F23"/>
    <w:rsid w:val="00C96091"/>
    <w:rsid w:val="00C96566"/>
    <w:rsid w:val="00C97EC8"/>
    <w:rsid w:val="00CA051F"/>
    <w:rsid w:val="00CA1C39"/>
    <w:rsid w:val="00CA3065"/>
    <w:rsid w:val="00CA5C3F"/>
    <w:rsid w:val="00CB1B93"/>
    <w:rsid w:val="00CB1EFF"/>
    <w:rsid w:val="00CB3260"/>
    <w:rsid w:val="00CB6AA7"/>
    <w:rsid w:val="00CB7AC9"/>
    <w:rsid w:val="00CC0B22"/>
    <w:rsid w:val="00CC1D03"/>
    <w:rsid w:val="00CC321C"/>
    <w:rsid w:val="00CC6F9B"/>
    <w:rsid w:val="00CD2597"/>
    <w:rsid w:val="00CD37AD"/>
    <w:rsid w:val="00CD47D1"/>
    <w:rsid w:val="00CD6297"/>
    <w:rsid w:val="00CE0926"/>
    <w:rsid w:val="00CE28F3"/>
    <w:rsid w:val="00CE3C26"/>
    <w:rsid w:val="00CE3E89"/>
    <w:rsid w:val="00CE513F"/>
    <w:rsid w:val="00CE6608"/>
    <w:rsid w:val="00CF073A"/>
    <w:rsid w:val="00CF0925"/>
    <w:rsid w:val="00CF2812"/>
    <w:rsid w:val="00CF36FB"/>
    <w:rsid w:val="00CF4169"/>
    <w:rsid w:val="00CF4E19"/>
    <w:rsid w:val="00D019A5"/>
    <w:rsid w:val="00D033BE"/>
    <w:rsid w:val="00D0347A"/>
    <w:rsid w:val="00D0433F"/>
    <w:rsid w:val="00D06048"/>
    <w:rsid w:val="00D0635C"/>
    <w:rsid w:val="00D107E7"/>
    <w:rsid w:val="00D11815"/>
    <w:rsid w:val="00D1258C"/>
    <w:rsid w:val="00D14D6B"/>
    <w:rsid w:val="00D15472"/>
    <w:rsid w:val="00D15DE5"/>
    <w:rsid w:val="00D168EB"/>
    <w:rsid w:val="00D16D1B"/>
    <w:rsid w:val="00D20D76"/>
    <w:rsid w:val="00D231D6"/>
    <w:rsid w:val="00D24865"/>
    <w:rsid w:val="00D25F13"/>
    <w:rsid w:val="00D26BB1"/>
    <w:rsid w:val="00D27761"/>
    <w:rsid w:val="00D27F7C"/>
    <w:rsid w:val="00D30D58"/>
    <w:rsid w:val="00D30E80"/>
    <w:rsid w:val="00D33658"/>
    <w:rsid w:val="00D342E1"/>
    <w:rsid w:val="00D35848"/>
    <w:rsid w:val="00D4225D"/>
    <w:rsid w:val="00D44087"/>
    <w:rsid w:val="00D44947"/>
    <w:rsid w:val="00D45881"/>
    <w:rsid w:val="00D50B21"/>
    <w:rsid w:val="00D51713"/>
    <w:rsid w:val="00D523C9"/>
    <w:rsid w:val="00D5526B"/>
    <w:rsid w:val="00D565B0"/>
    <w:rsid w:val="00D62B4C"/>
    <w:rsid w:val="00D63F6F"/>
    <w:rsid w:val="00D65ACD"/>
    <w:rsid w:val="00D65E89"/>
    <w:rsid w:val="00D66962"/>
    <w:rsid w:val="00D70A45"/>
    <w:rsid w:val="00D70D8A"/>
    <w:rsid w:val="00D71042"/>
    <w:rsid w:val="00D74225"/>
    <w:rsid w:val="00D74A16"/>
    <w:rsid w:val="00D777F8"/>
    <w:rsid w:val="00D77F83"/>
    <w:rsid w:val="00D80CDD"/>
    <w:rsid w:val="00D81FE2"/>
    <w:rsid w:val="00D83289"/>
    <w:rsid w:val="00D86C99"/>
    <w:rsid w:val="00D86D7D"/>
    <w:rsid w:val="00D87D9C"/>
    <w:rsid w:val="00D90E3F"/>
    <w:rsid w:val="00D9194E"/>
    <w:rsid w:val="00D9197D"/>
    <w:rsid w:val="00D92B3B"/>
    <w:rsid w:val="00D95F11"/>
    <w:rsid w:val="00DA2147"/>
    <w:rsid w:val="00DA5635"/>
    <w:rsid w:val="00DA588B"/>
    <w:rsid w:val="00DA7DED"/>
    <w:rsid w:val="00DB1823"/>
    <w:rsid w:val="00DB3F5B"/>
    <w:rsid w:val="00DB56AD"/>
    <w:rsid w:val="00DB62B6"/>
    <w:rsid w:val="00DC1DC9"/>
    <w:rsid w:val="00DC647C"/>
    <w:rsid w:val="00DC7E4A"/>
    <w:rsid w:val="00DD007C"/>
    <w:rsid w:val="00DD09AA"/>
    <w:rsid w:val="00DD1431"/>
    <w:rsid w:val="00DD37F0"/>
    <w:rsid w:val="00DE3D61"/>
    <w:rsid w:val="00DF300F"/>
    <w:rsid w:val="00DF4A30"/>
    <w:rsid w:val="00E004EF"/>
    <w:rsid w:val="00E0050C"/>
    <w:rsid w:val="00E04C1B"/>
    <w:rsid w:val="00E1070E"/>
    <w:rsid w:val="00E1267E"/>
    <w:rsid w:val="00E14CB8"/>
    <w:rsid w:val="00E20290"/>
    <w:rsid w:val="00E230C2"/>
    <w:rsid w:val="00E2450C"/>
    <w:rsid w:val="00E2454C"/>
    <w:rsid w:val="00E27161"/>
    <w:rsid w:val="00E325FC"/>
    <w:rsid w:val="00E32840"/>
    <w:rsid w:val="00E33010"/>
    <w:rsid w:val="00E340B5"/>
    <w:rsid w:val="00E37CC6"/>
    <w:rsid w:val="00E4001E"/>
    <w:rsid w:val="00E42873"/>
    <w:rsid w:val="00E466E5"/>
    <w:rsid w:val="00E50302"/>
    <w:rsid w:val="00E505EE"/>
    <w:rsid w:val="00E51436"/>
    <w:rsid w:val="00E51B84"/>
    <w:rsid w:val="00E53ACA"/>
    <w:rsid w:val="00E5540E"/>
    <w:rsid w:val="00E62112"/>
    <w:rsid w:val="00E63223"/>
    <w:rsid w:val="00E73C65"/>
    <w:rsid w:val="00E74A83"/>
    <w:rsid w:val="00E75493"/>
    <w:rsid w:val="00E821D5"/>
    <w:rsid w:val="00E8440A"/>
    <w:rsid w:val="00E8472C"/>
    <w:rsid w:val="00E87320"/>
    <w:rsid w:val="00E87513"/>
    <w:rsid w:val="00E9072E"/>
    <w:rsid w:val="00E92D17"/>
    <w:rsid w:val="00E93579"/>
    <w:rsid w:val="00E9409E"/>
    <w:rsid w:val="00E94C9C"/>
    <w:rsid w:val="00E9515E"/>
    <w:rsid w:val="00E97593"/>
    <w:rsid w:val="00EA16F8"/>
    <w:rsid w:val="00EA1DB1"/>
    <w:rsid w:val="00EA3E96"/>
    <w:rsid w:val="00EA5C5B"/>
    <w:rsid w:val="00EA5E74"/>
    <w:rsid w:val="00EB0F36"/>
    <w:rsid w:val="00EB6A98"/>
    <w:rsid w:val="00EC0889"/>
    <w:rsid w:val="00EC13E9"/>
    <w:rsid w:val="00EC27CD"/>
    <w:rsid w:val="00EC2B26"/>
    <w:rsid w:val="00EC65E9"/>
    <w:rsid w:val="00EC690D"/>
    <w:rsid w:val="00ED0F7B"/>
    <w:rsid w:val="00ED2DED"/>
    <w:rsid w:val="00ED336C"/>
    <w:rsid w:val="00ED38E1"/>
    <w:rsid w:val="00ED68F4"/>
    <w:rsid w:val="00ED6A3B"/>
    <w:rsid w:val="00ED6A3F"/>
    <w:rsid w:val="00ED7AA2"/>
    <w:rsid w:val="00EE1339"/>
    <w:rsid w:val="00EE2E38"/>
    <w:rsid w:val="00EE37E7"/>
    <w:rsid w:val="00EE5EBB"/>
    <w:rsid w:val="00EF0450"/>
    <w:rsid w:val="00EF3709"/>
    <w:rsid w:val="00EF5AEE"/>
    <w:rsid w:val="00F00946"/>
    <w:rsid w:val="00F02575"/>
    <w:rsid w:val="00F0473D"/>
    <w:rsid w:val="00F04933"/>
    <w:rsid w:val="00F053B9"/>
    <w:rsid w:val="00F1262C"/>
    <w:rsid w:val="00F2008A"/>
    <w:rsid w:val="00F21432"/>
    <w:rsid w:val="00F225A6"/>
    <w:rsid w:val="00F23BDF"/>
    <w:rsid w:val="00F24147"/>
    <w:rsid w:val="00F265B9"/>
    <w:rsid w:val="00F265EE"/>
    <w:rsid w:val="00F30E01"/>
    <w:rsid w:val="00F36EFE"/>
    <w:rsid w:val="00F409E9"/>
    <w:rsid w:val="00F40DE0"/>
    <w:rsid w:val="00F4105E"/>
    <w:rsid w:val="00F414CC"/>
    <w:rsid w:val="00F4294A"/>
    <w:rsid w:val="00F45997"/>
    <w:rsid w:val="00F45E20"/>
    <w:rsid w:val="00F46AB9"/>
    <w:rsid w:val="00F46DE8"/>
    <w:rsid w:val="00F46FB7"/>
    <w:rsid w:val="00F471A8"/>
    <w:rsid w:val="00F508CE"/>
    <w:rsid w:val="00F5707F"/>
    <w:rsid w:val="00F576A4"/>
    <w:rsid w:val="00F616DA"/>
    <w:rsid w:val="00F64ACF"/>
    <w:rsid w:val="00F6551F"/>
    <w:rsid w:val="00F66648"/>
    <w:rsid w:val="00F67C2D"/>
    <w:rsid w:val="00F71D6E"/>
    <w:rsid w:val="00F73C66"/>
    <w:rsid w:val="00F76F95"/>
    <w:rsid w:val="00F82DB0"/>
    <w:rsid w:val="00F864C0"/>
    <w:rsid w:val="00F93B31"/>
    <w:rsid w:val="00F9585E"/>
    <w:rsid w:val="00F978AB"/>
    <w:rsid w:val="00FA03D5"/>
    <w:rsid w:val="00FA2697"/>
    <w:rsid w:val="00FA28CD"/>
    <w:rsid w:val="00FA2BFB"/>
    <w:rsid w:val="00FB194C"/>
    <w:rsid w:val="00FB68A2"/>
    <w:rsid w:val="00FC051F"/>
    <w:rsid w:val="00FD4B8D"/>
    <w:rsid w:val="00FE3093"/>
    <w:rsid w:val="00FE3959"/>
    <w:rsid w:val="00FE68EE"/>
    <w:rsid w:val="00FE7413"/>
    <w:rsid w:val="00FF0EDC"/>
    <w:rsid w:val="00FF55E9"/>
    <w:rsid w:val="00FF5671"/>
    <w:rsid w:val="00FF580D"/>
    <w:rsid w:val="00FF5B13"/>
    <w:rsid w:val="00FF6312"/>
    <w:rsid w:val="00FF7C0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91CA80"/>
  <w15:chartTrackingRefBased/>
  <w15:docId w15:val="{B174D831-069A-4D98-8A78-D87A95D4F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en-AU" w:eastAsia="en-US" w:bidi="ar-SA"/>
      </w:rPr>
    </w:rPrDefault>
    <w:pPrDefault/>
  </w:docDefaults>
  <w:latentStyles w:defLockedState="0" w:defUIPriority="99" w:defSemiHidden="0" w:defUnhideWhenUsed="0" w:defQFormat="0" w:count="371">
    <w:lsdException w:name="Normal" w:uiPriority="0" w:qFormat="1"/>
    <w:lsdException w:name="heading 1" w:locked="1" w:uiPriority="2" w:qFormat="1"/>
    <w:lsdException w:name="heading 2" w:locked="1" w:semiHidden="1" w:uiPriority="2" w:unhideWhenUsed="1" w:qFormat="1"/>
    <w:lsdException w:name="heading 3" w:locked="1" w:semiHidden="1" w:uiPriority="2" w:unhideWhenUsed="1" w:qFormat="1"/>
    <w:lsdException w:name="heading 4" w:locked="1" w:semiHidden="1" w:uiPriority="2" w:unhideWhenUsed="1" w:qFormat="1"/>
    <w:lsdException w:name="heading 5" w:locked="1" w:semiHidden="1" w:uiPriority="2"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qFormat="1"/>
    <w:lsdException w:name="annotation text" w:semiHidden="1" w:unhideWhenUsed="1"/>
    <w:lsdException w:name="header" w:locked="1" w:semiHidden="1" w:unhideWhenUsed="1" w:qFormat="1"/>
    <w:lsdException w:name="footer" w:locked="1"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iPriority="0"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iPriority="0"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iPriority="0" w:unhideWhenUsed="1"/>
    <w:lsdException w:name="Table List 5" w:semiHidden="1" w:uiPriority="0"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2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FS Normal"/>
    <w:qFormat/>
    <w:rsid w:val="00776154"/>
    <w:rPr>
      <w:rFonts w:eastAsia="Times New Roman" w:cs="Times New Roman"/>
      <w:szCs w:val="24"/>
      <w:lang w:val="en-GB" w:bidi="en-US"/>
    </w:rPr>
  </w:style>
  <w:style w:type="paragraph" w:styleId="Heading1">
    <w:name w:val="heading 1"/>
    <w:aliases w:val="FSHeading 1,Chapter heading"/>
    <w:basedOn w:val="Normal"/>
    <w:next w:val="Normal"/>
    <w:link w:val="Heading1Char"/>
    <w:uiPriority w:val="2"/>
    <w:qFormat/>
    <w:locked/>
    <w:rsid w:val="00404702"/>
    <w:pPr>
      <w:keepNext/>
      <w:spacing w:after="240"/>
      <w:ind w:left="851" w:hanging="851"/>
      <w:outlineLvl w:val="0"/>
    </w:pPr>
    <w:rPr>
      <w:rFonts w:eastAsiaTheme="majorEastAsia" w:cstheme="majorBidi"/>
      <w:b/>
      <w:bCs/>
      <w:sz w:val="36"/>
      <w:szCs w:val="28"/>
    </w:rPr>
  </w:style>
  <w:style w:type="paragraph" w:styleId="Heading2">
    <w:name w:val="heading 2"/>
    <w:aliases w:val="FSHeading 2,Section heading"/>
    <w:basedOn w:val="Normal"/>
    <w:next w:val="Normal"/>
    <w:link w:val="Heading2Char"/>
    <w:uiPriority w:val="2"/>
    <w:unhideWhenUsed/>
    <w:qFormat/>
    <w:locked/>
    <w:rsid w:val="00EC65E9"/>
    <w:pPr>
      <w:keepNext/>
      <w:spacing w:before="240" w:after="240"/>
      <w:ind w:left="851" w:hanging="851"/>
      <w:outlineLvl w:val="1"/>
    </w:pPr>
    <w:rPr>
      <w:rFonts w:eastAsiaTheme="majorEastAsia" w:cs="Arial"/>
      <w:b/>
      <w:bCs/>
      <w:sz w:val="28"/>
    </w:rPr>
  </w:style>
  <w:style w:type="paragraph" w:styleId="Heading3">
    <w:name w:val="heading 3"/>
    <w:aliases w:val="FSHeading 3,Subheading 1"/>
    <w:basedOn w:val="Normal"/>
    <w:next w:val="Normal"/>
    <w:link w:val="Heading3Char"/>
    <w:autoRedefine/>
    <w:uiPriority w:val="2"/>
    <w:unhideWhenUsed/>
    <w:qFormat/>
    <w:locked/>
    <w:rsid w:val="002D0686"/>
    <w:pPr>
      <w:keepNext/>
      <w:spacing w:before="240" w:after="240"/>
      <w:ind w:left="851" w:hanging="851"/>
      <w:outlineLvl w:val="2"/>
    </w:pPr>
    <w:rPr>
      <w:rFonts w:eastAsiaTheme="majorEastAsia" w:cstheme="majorBidi"/>
      <w:b/>
      <w:bCs/>
      <w:lang w:eastAsia="en-AU"/>
    </w:rPr>
  </w:style>
  <w:style w:type="paragraph" w:styleId="Heading4">
    <w:name w:val="heading 4"/>
    <w:aliases w:val="FSHeading 4,Subheading 2"/>
    <w:basedOn w:val="Normal"/>
    <w:next w:val="Normal"/>
    <w:link w:val="Heading4Char"/>
    <w:uiPriority w:val="2"/>
    <w:unhideWhenUsed/>
    <w:qFormat/>
    <w:locked/>
    <w:rsid w:val="00404702"/>
    <w:pPr>
      <w:keepNext/>
      <w:spacing w:before="240" w:after="240"/>
      <w:ind w:left="851" w:hanging="851"/>
      <w:outlineLvl w:val="3"/>
    </w:pPr>
    <w:rPr>
      <w:rFonts w:eastAsiaTheme="majorEastAsia" w:cstheme="majorBidi"/>
      <w:b/>
      <w:bCs/>
      <w:i/>
      <w:iCs/>
    </w:rPr>
  </w:style>
  <w:style w:type="paragraph" w:styleId="Heading5">
    <w:name w:val="heading 5"/>
    <w:aliases w:val="FSHeading 5,Subheading 3"/>
    <w:basedOn w:val="Normal"/>
    <w:next w:val="Normal"/>
    <w:link w:val="Heading5Char"/>
    <w:uiPriority w:val="2"/>
    <w:unhideWhenUsed/>
    <w:qFormat/>
    <w:locked/>
    <w:rsid w:val="00404702"/>
    <w:pPr>
      <w:keepNext/>
      <w:spacing w:before="240" w:after="240"/>
      <w:ind w:left="851" w:hanging="851"/>
      <w:outlineLvl w:val="4"/>
    </w:pPr>
    <w:rPr>
      <w:rFonts w:eastAsiaTheme="majorEastAsia" w:cstheme="majorBidi"/>
      <w:i/>
    </w:rPr>
  </w:style>
  <w:style w:type="paragraph" w:styleId="Heading6">
    <w:name w:val="heading 6"/>
    <w:basedOn w:val="Normal"/>
    <w:next w:val="Normal"/>
    <w:link w:val="Heading6Char"/>
    <w:uiPriority w:val="9"/>
    <w:unhideWhenUsed/>
    <w:rsid w:val="008931F6"/>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rsid w:val="00776154"/>
    <w:pPr>
      <w:spacing w:before="240" w:after="60"/>
      <w:outlineLvl w:val="6"/>
    </w:pPr>
  </w:style>
  <w:style w:type="paragraph" w:styleId="Heading8">
    <w:name w:val="heading 8"/>
    <w:basedOn w:val="Normal"/>
    <w:next w:val="Normal"/>
    <w:link w:val="Heading8Char"/>
    <w:uiPriority w:val="9"/>
    <w:unhideWhenUsed/>
    <w:rsid w:val="00776154"/>
    <w:pPr>
      <w:spacing w:before="240" w:after="60"/>
      <w:outlineLvl w:val="7"/>
    </w:pPr>
    <w:rPr>
      <w:i/>
      <w:iCs/>
    </w:rPr>
  </w:style>
  <w:style w:type="paragraph" w:styleId="Heading9">
    <w:name w:val="heading 9"/>
    <w:basedOn w:val="Normal"/>
    <w:next w:val="Normal"/>
    <w:link w:val="Heading9Char"/>
    <w:uiPriority w:val="9"/>
    <w:unhideWhenUsed/>
    <w:rsid w:val="00776154"/>
    <w:p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basedOn w:val="DefaultParagraphFont"/>
    <w:link w:val="Heading1"/>
    <w:uiPriority w:val="2"/>
    <w:rsid w:val="0000542C"/>
    <w:rPr>
      <w:rFonts w:eastAsiaTheme="majorEastAsia" w:cstheme="majorBidi"/>
      <w:b/>
      <w:bCs/>
      <w:sz w:val="36"/>
      <w:szCs w:val="28"/>
      <w:lang w:val="en-GB"/>
    </w:rPr>
  </w:style>
  <w:style w:type="character" w:customStyle="1" w:styleId="Heading2Char">
    <w:name w:val="Heading 2 Char"/>
    <w:aliases w:val="FSHeading 2 Char,Section heading Char"/>
    <w:basedOn w:val="DefaultParagraphFont"/>
    <w:link w:val="Heading2"/>
    <w:uiPriority w:val="2"/>
    <w:rsid w:val="00EC65E9"/>
    <w:rPr>
      <w:rFonts w:eastAsiaTheme="majorEastAsia"/>
      <w:b/>
      <w:bCs/>
      <w:sz w:val="28"/>
      <w:lang w:val="en-GB"/>
    </w:rPr>
  </w:style>
  <w:style w:type="character" w:customStyle="1" w:styleId="Heading3Char">
    <w:name w:val="Heading 3 Char"/>
    <w:aliases w:val="FSHeading 3 Char,Subheading 1 Char"/>
    <w:basedOn w:val="DefaultParagraphFont"/>
    <w:link w:val="Heading3"/>
    <w:uiPriority w:val="2"/>
    <w:rsid w:val="002D0686"/>
    <w:rPr>
      <w:rFonts w:eastAsiaTheme="majorEastAsia" w:cstheme="majorBidi"/>
      <w:b/>
      <w:bCs/>
      <w:szCs w:val="24"/>
      <w:lang w:val="en-GB" w:eastAsia="en-AU" w:bidi="en-US"/>
    </w:rPr>
  </w:style>
  <w:style w:type="character" w:customStyle="1" w:styleId="Heading4Char">
    <w:name w:val="Heading 4 Char"/>
    <w:aliases w:val="FSHeading 4 Char,Subheading 2 Char"/>
    <w:basedOn w:val="DefaultParagraphFont"/>
    <w:link w:val="Heading4"/>
    <w:uiPriority w:val="2"/>
    <w:rsid w:val="0000542C"/>
    <w:rPr>
      <w:rFonts w:eastAsiaTheme="majorEastAsia" w:cstheme="majorBidi"/>
      <w:b/>
      <w:bCs/>
      <w:i/>
      <w:iCs/>
      <w:lang w:val="en-GB"/>
    </w:rPr>
  </w:style>
  <w:style w:type="character" w:customStyle="1" w:styleId="Heading5Char">
    <w:name w:val="Heading 5 Char"/>
    <w:aliases w:val="FSHeading 5 Char,Subheading 3 Char"/>
    <w:basedOn w:val="DefaultParagraphFont"/>
    <w:link w:val="Heading5"/>
    <w:uiPriority w:val="2"/>
    <w:rsid w:val="0000542C"/>
    <w:rPr>
      <w:rFonts w:eastAsiaTheme="majorEastAsia" w:cstheme="majorBidi"/>
      <w:i/>
      <w:lang w:val="en-GB"/>
    </w:rPr>
  </w:style>
  <w:style w:type="character" w:customStyle="1" w:styleId="Heading6Char">
    <w:name w:val="Heading 6 Char"/>
    <w:basedOn w:val="DefaultParagraphFont"/>
    <w:link w:val="Heading6"/>
    <w:uiPriority w:val="9"/>
    <w:rsid w:val="008931F6"/>
    <w:rPr>
      <w:rFonts w:asciiTheme="majorHAnsi" w:eastAsiaTheme="majorEastAsia" w:hAnsiTheme="majorHAnsi" w:cstheme="majorBidi"/>
      <w:i/>
      <w:iCs/>
      <w:color w:val="243F60" w:themeColor="accent1" w:themeShade="7F"/>
      <w:lang w:val="en-GB"/>
    </w:rPr>
  </w:style>
  <w:style w:type="paragraph" w:customStyle="1" w:styleId="Table2">
    <w:name w:val="Table 2"/>
    <w:basedOn w:val="Normal"/>
    <w:link w:val="Table2Char"/>
    <w:uiPriority w:val="20"/>
    <w:qFormat/>
    <w:rsid w:val="00404702"/>
    <w:pPr>
      <w:ind w:left="142" w:hanging="142"/>
    </w:pPr>
    <w:rPr>
      <w:bCs/>
      <w:sz w:val="18"/>
      <w:szCs w:val="20"/>
    </w:rPr>
  </w:style>
  <w:style w:type="paragraph" w:customStyle="1" w:styleId="131ItemHeading">
    <w:name w:val="1.3.1 Item Heading"/>
    <w:basedOn w:val="Table2"/>
    <w:next w:val="Table2"/>
    <w:uiPriority w:val="22"/>
    <w:qFormat/>
    <w:rsid w:val="00404702"/>
    <w:pPr>
      <w:keepNext/>
      <w:tabs>
        <w:tab w:val="left" w:pos="851"/>
      </w:tabs>
      <w:spacing w:after="200"/>
      <w:ind w:left="0" w:firstLine="0"/>
    </w:pPr>
    <w:rPr>
      <w:b/>
      <w:bCs w:val="0"/>
      <w:caps/>
      <w:sz w:val="20"/>
    </w:rPr>
  </w:style>
  <w:style w:type="paragraph" w:customStyle="1" w:styleId="131Subitemheading">
    <w:name w:val="1.3.1 Subitem heading"/>
    <w:basedOn w:val="131ItemHeading"/>
    <w:next w:val="Table2"/>
    <w:uiPriority w:val="22"/>
    <w:qFormat/>
    <w:rsid w:val="00404702"/>
    <w:pPr>
      <w:spacing w:after="120"/>
    </w:pPr>
    <w:rPr>
      <w:caps w:val="0"/>
      <w:sz w:val="18"/>
    </w:rPr>
  </w:style>
  <w:style w:type="paragraph" w:customStyle="1" w:styleId="142Tableheading1">
    <w:name w:val="1.4.2 Table heading1"/>
    <w:basedOn w:val="Normal"/>
    <w:uiPriority w:val="22"/>
    <w:qFormat/>
    <w:rsid w:val="00404702"/>
    <w:pPr>
      <w:keepNext/>
      <w:jc w:val="center"/>
    </w:pPr>
    <w:rPr>
      <w:rFonts w:ascii="Arial Bold" w:hAnsi="Arial Bold"/>
      <w:b/>
      <w:bCs/>
      <w:iCs/>
      <w:sz w:val="18"/>
    </w:rPr>
  </w:style>
  <w:style w:type="paragraph" w:customStyle="1" w:styleId="142Tableheading2">
    <w:name w:val="1.4.2 Table heading2"/>
    <w:basedOn w:val="142Tableheading1"/>
    <w:uiPriority w:val="22"/>
    <w:qFormat/>
    <w:rsid w:val="00404702"/>
    <w:rPr>
      <w:rFonts w:ascii="Arial" w:hAnsi="Arial"/>
      <w:b w:val="0"/>
      <w:iCs w:val="0"/>
      <w:szCs w:val="20"/>
    </w:rPr>
  </w:style>
  <w:style w:type="paragraph" w:customStyle="1" w:styleId="142Tabletext1">
    <w:name w:val="1.4.2 Table text1"/>
    <w:basedOn w:val="Normal"/>
    <w:link w:val="142Tabletext1Char"/>
    <w:uiPriority w:val="22"/>
    <w:qFormat/>
    <w:rsid w:val="00404702"/>
    <w:pPr>
      <w:ind w:left="142" w:hanging="142"/>
    </w:pPr>
    <w:rPr>
      <w:sz w:val="18"/>
      <w:szCs w:val="20"/>
    </w:rPr>
  </w:style>
  <w:style w:type="character" w:customStyle="1" w:styleId="142Tabletext1Char">
    <w:name w:val="1.4.2 Table text1 Char"/>
    <w:basedOn w:val="DefaultParagraphFont"/>
    <w:link w:val="142Tabletext1"/>
    <w:uiPriority w:val="22"/>
    <w:rsid w:val="006D473E"/>
    <w:rPr>
      <w:rFonts w:eastAsia="Times New Roman" w:cs="Times New Roman"/>
      <w:sz w:val="18"/>
      <w:szCs w:val="20"/>
      <w:lang w:val="en-GB"/>
    </w:rPr>
  </w:style>
  <w:style w:type="paragraph" w:customStyle="1" w:styleId="142Tabletext2">
    <w:name w:val="1.4.2 Table text2"/>
    <w:basedOn w:val="142Tabletext1"/>
    <w:uiPriority w:val="22"/>
    <w:qFormat/>
    <w:rsid w:val="00404702"/>
    <w:pPr>
      <w:jc w:val="right"/>
    </w:pPr>
  </w:style>
  <w:style w:type="paragraph" w:customStyle="1" w:styleId="Blankpage">
    <w:name w:val="Blank page"/>
    <w:basedOn w:val="Normal"/>
    <w:next w:val="Normal"/>
    <w:uiPriority w:val="23"/>
    <w:qFormat/>
    <w:rsid w:val="00404702"/>
    <w:pPr>
      <w:tabs>
        <w:tab w:val="left" w:pos="851"/>
      </w:tabs>
      <w:spacing w:before="6000"/>
      <w:jc w:val="center"/>
    </w:pPr>
    <w:rPr>
      <w:caps/>
      <w:szCs w:val="20"/>
    </w:rPr>
  </w:style>
  <w:style w:type="paragraph" w:customStyle="1" w:styleId="Clause">
    <w:name w:val="Clause"/>
    <w:basedOn w:val="Normal"/>
    <w:next w:val="Normal"/>
    <w:link w:val="ClauseChar"/>
    <w:uiPriority w:val="10"/>
    <w:qFormat/>
    <w:rsid w:val="00C019A6"/>
    <w:pPr>
      <w:tabs>
        <w:tab w:val="left" w:pos="851"/>
      </w:tabs>
    </w:pPr>
    <w:rPr>
      <w:sz w:val="20"/>
      <w:szCs w:val="20"/>
    </w:rPr>
  </w:style>
  <w:style w:type="character" w:customStyle="1" w:styleId="ClauseChar">
    <w:name w:val="Clause Char"/>
    <w:basedOn w:val="DefaultParagraphFont"/>
    <w:link w:val="Clause"/>
    <w:uiPriority w:val="10"/>
    <w:rsid w:val="00C019A6"/>
    <w:rPr>
      <w:rFonts w:eastAsia="Times New Roman" w:cs="Times New Roman"/>
      <w:sz w:val="20"/>
      <w:szCs w:val="20"/>
      <w:lang w:val="en-GB"/>
    </w:rPr>
  </w:style>
  <w:style w:type="paragraph" w:customStyle="1" w:styleId="Clauseheading">
    <w:name w:val="Clause heading"/>
    <w:basedOn w:val="Normal"/>
    <w:next w:val="Normal"/>
    <w:uiPriority w:val="14"/>
    <w:qFormat/>
    <w:rsid w:val="00404702"/>
    <w:pPr>
      <w:keepNext/>
      <w:tabs>
        <w:tab w:val="left" w:pos="851"/>
      </w:tabs>
    </w:pPr>
    <w:rPr>
      <w:b/>
      <w:sz w:val="20"/>
      <w:szCs w:val="20"/>
    </w:rPr>
  </w:style>
  <w:style w:type="paragraph" w:customStyle="1" w:styleId="ClauseList">
    <w:name w:val="Clause List"/>
    <w:basedOn w:val="Clause"/>
    <w:next w:val="Normal"/>
    <w:uiPriority w:val="14"/>
    <w:qFormat/>
    <w:rsid w:val="00404702"/>
    <w:pPr>
      <w:tabs>
        <w:tab w:val="clear" w:pos="851"/>
      </w:tabs>
      <w:ind w:left="851" w:hanging="851"/>
    </w:pPr>
  </w:style>
  <w:style w:type="paragraph" w:customStyle="1" w:styleId="Definition">
    <w:name w:val="Definition"/>
    <w:basedOn w:val="Normal"/>
    <w:next w:val="Normal"/>
    <w:link w:val="DefinitionChar"/>
    <w:uiPriority w:val="15"/>
    <w:qFormat/>
    <w:rsid w:val="00404702"/>
    <w:pPr>
      <w:ind w:left="1701" w:hanging="851"/>
    </w:pPr>
    <w:rPr>
      <w:sz w:val="20"/>
      <w:szCs w:val="20"/>
    </w:rPr>
  </w:style>
  <w:style w:type="paragraph" w:customStyle="1" w:styleId="DivisionHeading">
    <w:name w:val="Division Heading"/>
    <w:basedOn w:val="Normal"/>
    <w:next w:val="Normal"/>
    <w:uiPriority w:val="15"/>
    <w:qFormat/>
    <w:rsid w:val="00BE4F3A"/>
    <w:pPr>
      <w:keepNext/>
      <w:tabs>
        <w:tab w:val="left" w:pos="851"/>
      </w:tabs>
      <w:jc w:val="center"/>
    </w:pPr>
    <w:rPr>
      <w:b/>
      <w:sz w:val="26"/>
      <w:szCs w:val="20"/>
    </w:rPr>
  </w:style>
  <w:style w:type="paragraph" w:customStyle="1" w:styleId="EditorialNoteLine1">
    <w:name w:val="Editorial Note Line 1"/>
    <w:basedOn w:val="Normal"/>
    <w:next w:val="Normal"/>
    <w:uiPriority w:val="16"/>
    <w:qFormat/>
    <w:rsid w:val="00404702"/>
    <w:pPr>
      <w:keepNext/>
      <w:pBdr>
        <w:top w:val="single" w:sz="6" w:space="0" w:color="auto"/>
        <w:left w:val="single" w:sz="6" w:space="0" w:color="auto"/>
        <w:bottom w:val="single" w:sz="6" w:space="0" w:color="auto"/>
        <w:right w:val="single" w:sz="6" w:space="0" w:color="auto"/>
      </w:pBdr>
      <w:tabs>
        <w:tab w:val="left" w:pos="851"/>
      </w:tabs>
    </w:pPr>
    <w:rPr>
      <w:b/>
      <w:sz w:val="20"/>
      <w:szCs w:val="20"/>
    </w:rPr>
  </w:style>
  <w:style w:type="paragraph" w:customStyle="1" w:styleId="EditorialNotetext">
    <w:name w:val="Editorial Note text"/>
    <w:basedOn w:val="EditorialNoteLine1"/>
    <w:uiPriority w:val="16"/>
    <w:qFormat/>
    <w:rsid w:val="00404702"/>
    <w:pPr>
      <w:keepNext w:val="0"/>
    </w:pPr>
    <w:rPr>
      <w:b w:val="0"/>
    </w:rPr>
  </w:style>
  <w:style w:type="paragraph" w:styleId="Footer">
    <w:name w:val="footer"/>
    <w:aliases w:val="FSFooter"/>
    <w:basedOn w:val="Normal"/>
    <w:link w:val="FooterChar"/>
    <w:uiPriority w:val="99"/>
    <w:qFormat/>
    <w:locked/>
    <w:rsid w:val="00404702"/>
    <w:rPr>
      <w:sz w:val="20"/>
    </w:rPr>
  </w:style>
  <w:style w:type="character" w:customStyle="1" w:styleId="FooterChar">
    <w:name w:val="Footer Char"/>
    <w:aliases w:val="FSFooter Char"/>
    <w:basedOn w:val="DefaultParagraphFont"/>
    <w:link w:val="Footer"/>
    <w:uiPriority w:val="99"/>
    <w:rsid w:val="00E2450C"/>
    <w:rPr>
      <w:rFonts w:cstheme="minorBidi"/>
      <w:sz w:val="20"/>
      <w:lang w:val="en-GB"/>
    </w:rPr>
  </w:style>
  <w:style w:type="paragraph" w:styleId="FootnoteText">
    <w:name w:val="footnote text"/>
    <w:aliases w:val="Footnotes Text,FSFootnotes Text,FSFootnote Text"/>
    <w:basedOn w:val="Normal"/>
    <w:link w:val="FootnoteTextChar"/>
    <w:uiPriority w:val="5"/>
    <w:qFormat/>
    <w:rsid w:val="00E53ACA"/>
    <w:rPr>
      <w:sz w:val="18"/>
      <w:szCs w:val="20"/>
    </w:rPr>
  </w:style>
  <w:style w:type="character" w:customStyle="1" w:styleId="FootnoteTextChar">
    <w:name w:val="Footnote Text Char"/>
    <w:aliases w:val="Footnotes Text Char,FSFootnotes Text Char,FSFootnote Text Char"/>
    <w:basedOn w:val="DefaultParagraphFont"/>
    <w:link w:val="FootnoteText"/>
    <w:uiPriority w:val="5"/>
    <w:rsid w:val="00E53ACA"/>
    <w:rPr>
      <w:rFonts w:cstheme="minorBidi"/>
      <w:sz w:val="18"/>
      <w:szCs w:val="20"/>
      <w:lang w:val="en-GB"/>
    </w:rPr>
  </w:style>
  <w:style w:type="paragraph" w:customStyle="1" w:styleId="FSBullet1">
    <w:name w:val="FSBullet 1"/>
    <w:basedOn w:val="Normal"/>
    <w:next w:val="Normal"/>
    <w:link w:val="FSBullet1Char"/>
    <w:qFormat/>
    <w:locked/>
    <w:rsid w:val="00234C31"/>
    <w:pPr>
      <w:numPr>
        <w:numId w:val="1"/>
      </w:numPr>
    </w:pPr>
    <w:rPr>
      <w:rFonts w:cs="Arial"/>
    </w:rPr>
  </w:style>
  <w:style w:type="character" w:customStyle="1" w:styleId="FSBullet1Char">
    <w:name w:val="FSBullet 1 Char"/>
    <w:basedOn w:val="DefaultParagraphFont"/>
    <w:link w:val="FSBullet1"/>
    <w:rsid w:val="00234C31"/>
    <w:rPr>
      <w:rFonts w:eastAsia="Times New Roman"/>
      <w:szCs w:val="24"/>
      <w:lang w:val="en-GB" w:bidi="en-US"/>
    </w:rPr>
  </w:style>
  <w:style w:type="paragraph" w:customStyle="1" w:styleId="FSBullet2">
    <w:name w:val="FSBullet 2"/>
    <w:basedOn w:val="Normal"/>
    <w:uiPriority w:val="6"/>
    <w:qFormat/>
    <w:locked/>
    <w:rsid w:val="00830393"/>
    <w:pPr>
      <w:numPr>
        <w:numId w:val="2"/>
      </w:numPr>
      <w:ind w:left="1134" w:hanging="567"/>
    </w:pPr>
  </w:style>
  <w:style w:type="paragraph" w:customStyle="1" w:styleId="FSBullet3">
    <w:name w:val="FSBullet 3"/>
    <w:basedOn w:val="Normal"/>
    <w:uiPriority w:val="6"/>
    <w:qFormat/>
    <w:locked/>
    <w:rsid w:val="006B6900"/>
    <w:pPr>
      <w:keepNext/>
      <w:numPr>
        <w:numId w:val="3"/>
      </w:numPr>
      <w:ind w:left="1701" w:hanging="567"/>
    </w:pPr>
  </w:style>
  <w:style w:type="paragraph" w:customStyle="1" w:styleId="FSCaption">
    <w:name w:val="FSCaption"/>
    <w:basedOn w:val="Normal"/>
    <w:uiPriority w:val="9"/>
    <w:qFormat/>
    <w:locked/>
    <w:rsid w:val="0011607A"/>
    <w:pPr>
      <w:keepNext/>
      <w:keepLines/>
      <w:spacing w:before="120"/>
    </w:pPr>
    <w:rPr>
      <w:i/>
      <w:sz w:val="20"/>
      <w:szCs w:val="20"/>
      <w:lang w:bidi="ar-SA"/>
    </w:rPr>
  </w:style>
  <w:style w:type="paragraph" w:customStyle="1" w:styleId="FSCFootnote">
    <w:name w:val="FSCFootnote"/>
    <w:basedOn w:val="Normal"/>
    <w:next w:val="Normal"/>
    <w:uiPriority w:val="17"/>
    <w:qFormat/>
    <w:locked/>
    <w:rsid w:val="00404702"/>
    <w:rPr>
      <w:sz w:val="16"/>
      <w:szCs w:val="20"/>
    </w:rPr>
  </w:style>
  <w:style w:type="paragraph" w:customStyle="1" w:styleId="FSCFooter">
    <w:name w:val="FSCFooter"/>
    <w:basedOn w:val="FSCFootnote"/>
    <w:uiPriority w:val="17"/>
    <w:qFormat/>
    <w:locked/>
    <w:rsid w:val="00404702"/>
    <w:pPr>
      <w:tabs>
        <w:tab w:val="center" w:pos="4536"/>
        <w:tab w:val="right" w:pos="9070"/>
      </w:tabs>
    </w:pPr>
    <w:rPr>
      <w:sz w:val="18"/>
      <w:szCs w:val="18"/>
    </w:rPr>
  </w:style>
  <w:style w:type="paragraph" w:customStyle="1" w:styleId="FSPagenumber">
    <w:name w:val="FSPage number"/>
    <w:basedOn w:val="Normal"/>
    <w:uiPriority w:val="1"/>
    <w:qFormat/>
    <w:locked/>
    <w:rsid w:val="00404702"/>
    <w:pPr>
      <w:jc w:val="center"/>
    </w:pPr>
    <w:rPr>
      <w:sz w:val="20"/>
      <w:szCs w:val="20"/>
    </w:rPr>
  </w:style>
  <w:style w:type="paragraph" w:customStyle="1" w:styleId="FSTableColumnRowheading">
    <w:name w:val="FSTable Column/Row heading"/>
    <w:basedOn w:val="Normal"/>
    <w:uiPriority w:val="8"/>
    <w:qFormat/>
    <w:locked/>
    <w:rsid w:val="00404702"/>
    <w:pPr>
      <w:spacing w:before="120" w:after="120"/>
    </w:pPr>
    <w:rPr>
      <w:b/>
      <w:sz w:val="20"/>
      <w:szCs w:val="20"/>
    </w:rPr>
  </w:style>
  <w:style w:type="paragraph" w:customStyle="1" w:styleId="FSTableFigureHeading">
    <w:name w:val="FSTable/Figure Heading"/>
    <w:basedOn w:val="Normal"/>
    <w:uiPriority w:val="7"/>
    <w:qFormat/>
    <w:locked/>
    <w:rsid w:val="00404702"/>
    <w:pPr>
      <w:spacing w:before="120" w:after="120"/>
      <w:ind w:left="1134" w:hanging="1134"/>
    </w:pPr>
    <w:rPr>
      <w:b/>
      <w:i/>
    </w:rPr>
  </w:style>
  <w:style w:type="paragraph" w:styleId="Header">
    <w:name w:val="header"/>
    <w:aliases w:val="FSHeader"/>
    <w:basedOn w:val="Normal"/>
    <w:link w:val="HeaderChar"/>
    <w:uiPriority w:val="99"/>
    <w:unhideWhenUsed/>
    <w:qFormat/>
    <w:locked/>
    <w:rsid w:val="00D92B3B"/>
    <w:pPr>
      <w:jc w:val="center"/>
    </w:pPr>
    <w:rPr>
      <w:b/>
    </w:rPr>
  </w:style>
  <w:style w:type="character" w:customStyle="1" w:styleId="HeaderChar">
    <w:name w:val="Header Char"/>
    <w:aliases w:val="FSHeader Char"/>
    <w:basedOn w:val="DefaultParagraphFont"/>
    <w:link w:val="Header"/>
    <w:uiPriority w:val="99"/>
    <w:rsid w:val="00D92B3B"/>
    <w:rPr>
      <w:rFonts w:cstheme="minorBidi"/>
      <w:b/>
      <w:lang w:val="en-GB"/>
    </w:rPr>
  </w:style>
  <w:style w:type="paragraph" w:customStyle="1" w:styleId="Paragraph">
    <w:name w:val="Paragraph"/>
    <w:basedOn w:val="Clause"/>
    <w:next w:val="Normal"/>
    <w:link w:val="ParagraphChar"/>
    <w:uiPriority w:val="12"/>
    <w:qFormat/>
    <w:rsid w:val="000622E7"/>
    <w:pPr>
      <w:tabs>
        <w:tab w:val="clear" w:pos="851"/>
      </w:tabs>
      <w:ind w:left="1702" w:hanging="851"/>
    </w:pPr>
  </w:style>
  <w:style w:type="paragraph" w:customStyle="1" w:styleId="ScheduleHeading">
    <w:name w:val="Schedule Heading"/>
    <w:basedOn w:val="Normal"/>
    <w:next w:val="Normal"/>
    <w:uiPriority w:val="18"/>
    <w:qFormat/>
    <w:rsid w:val="00404702"/>
    <w:pPr>
      <w:tabs>
        <w:tab w:val="left" w:pos="851"/>
      </w:tabs>
      <w:jc w:val="center"/>
    </w:pPr>
    <w:rPr>
      <w:b/>
      <w:caps/>
      <w:sz w:val="20"/>
      <w:szCs w:val="20"/>
    </w:rPr>
  </w:style>
  <w:style w:type="paragraph" w:customStyle="1" w:styleId="Standardtitle">
    <w:name w:val="Standard title"/>
    <w:basedOn w:val="Normal"/>
    <w:uiPriority w:val="18"/>
    <w:qFormat/>
    <w:rsid w:val="00404702"/>
    <w:pPr>
      <w:keepNext/>
      <w:tabs>
        <w:tab w:val="left" w:pos="851"/>
      </w:tabs>
      <w:jc w:val="center"/>
    </w:pPr>
    <w:rPr>
      <w:b/>
      <w:i/>
      <w:iCs/>
      <w:caps/>
      <w:sz w:val="28"/>
      <w:szCs w:val="20"/>
    </w:rPr>
  </w:style>
  <w:style w:type="paragraph" w:customStyle="1" w:styleId="Subclause">
    <w:name w:val="Subclause"/>
    <w:basedOn w:val="Clause"/>
    <w:link w:val="SubclauseChar"/>
    <w:uiPriority w:val="11"/>
    <w:qFormat/>
    <w:rsid w:val="00C019A6"/>
    <w:pPr>
      <w:ind w:left="567" w:hanging="567"/>
    </w:pPr>
  </w:style>
  <w:style w:type="paragraph" w:customStyle="1" w:styleId="Subparagraph">
    <w:name w:val="Subparagraph"/>
    <w:basedOn w:val="Paragraph"/>
    <w:next w:val="Normal"/>
    <w:link w:val="SubparagraphChar"/>
    <w:uiPriority w:val="13"/>
    <w:qFormat/>
    <w:rsid w:val="00404702"/>
    <w:pPr>
      <w:ind w:left="2553"/>
    </w:pPr>
  </w:style>
  <w:style w:type="paragraph" w:customStyle="1" w:styleId="Table1">
    <w:name w:val="Table 1"/>
    <w:basedOn w:val="Normal"/>
    <w:uiPriority w:val="20"/>
    <w:qFormat/>
    <w:rsid w:val="00404702"/>
    <w:pPr>
      <w:keepNext/>
      <w:spacing w:after="120"/>
      <w:jc w:val="center"/>
    </w:pPr>
    <w:rPr>
      <w:b/>
      <w:bCs/>
      <w:sz w:val="18"/>
      <w:szCs w:val="20"/>
    </w:rPr>
  </w:style>
  <w:style w:type="paragraph" w:customStyle="1" w:styleId="TitleBorder">
    <w:name w:val="TitleBorder"/>
    <w:basedOn w:val="Normal"/>
    <w:uiPriority w:val="19"/>
    <w:qFormat/>
    <w:rsid w:val="00404702"/>
    <w:pPr>
      <w:pBdr>
        <w:bottom w:val="double" w:sz="6" w:space="0" w:color="auto"/>
      </w:pBdr>
      <w:tabs>
        <w:tab w:val="left" w:pos="851"/>
      </w:tabs>
    </w:pPr>
    <w:rPr>
      <w:sz w:val="20"/>
      <w:szCs w:val="20"/>
    </w:rPr>
  </w:style>
  <w:style w:type="paragraph" w:styleId="NoSpacing">
    <w:name w:val="No Spacing"/>
    <w:uiPriority w:val="20"/>
    <w:rsid w:val="00E0050C"/>
    <w:pPr>
      <w:widowControl w:val="0"/>
    </w:pPr>
    <w:rPr>
      <w:rFonts w:cstheme="minorBidi"/>
      <w:lang w:val="en-GB"/>
    </w:rPr>
  </w:style>
  <w:style w:type="paragraph" w:styleId="Subtitle">
    <w:name w:val="Subtitle"/>
    <w:basedOn w:val="Normal"/>
    <w:next w:val="Normal"/>
    <w:link w:val="SubtitleChar"/>
    <w:uiPriority w:val="11"/>
    <w:rsid w:val="00E2450C"/>
    <w:pPr>
      <w:numPr>
        <w:ilvl w:val="1"/>
      </w:numPr>
      <w:ind w:left="567" w:hanging="567"/>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E2450C"/>
    <w:rPr>
      <w:rFonts w:asciiTheme="majorHAnsi" w:eastAsiaTheme="majorEastAsia" w:hAnsiTheme="majorHAnsi" w:cstheme="majorBidi"/>
      <w:i/>
      <w:iCs/>
      <w:color w:val="4F81BD" w:themeColor="accent1"/>
      <w:spacing w:val="15"/>
      <w:sz w:val="24"/>
      <w:szCs w:val="24"/>
      <w:lang w:val="en-GB"/>
    </w:rPr>
  </w:style>
  <w:style w:type="character" w:styleId="IntenseEmphasis">
    <w:name w:val="Intense Emphasis"/>
    <w:basedOn w:val="DefaultParagraphFont"/>
    <w:uiPriority w:val="21"/>
    <w:rsid w:val="00DF4A30"/>
    <w:rPr>
      <w:b/>
      <w:bCs/>
      <w:i/>
      <w:iCs/>
      <w:color w:val="4F81BD" w:themeColor="accent1"/>
    </w:rPr>
  </w:style>
  <w:style w:type="paragraph" w:styleId="ListParagraph">
    <w:name w:val="List Paragraph"/>
    <w:basedOn w:val="Normal"/>
    <w:uiPriority w:val="34"/>
    <w:qFormat/>
    <w:rsid w:val="00DF4A30"/>
    <w:pPr>
      <w:ind w:left="720"/>
      <w:contextualSpacing/>
    </w:pPr>
  </w:style>
  <w:style w:type="character" w:customStyle="1" w:styleId="Heading7Char">
    <w:name w:val="Heading 7 Char"/>
    <w:basedOn w:val="DefaultParagraphFont"/>
    <w:link w:val="Heading7"/>
    <w:uiPriority w:val="9"/>
    <w:rsid w:val="00776154"/>
    <w:rPr>
      <w:rFonts w:eastAsia="Times New Roman" w:cs="Times New Roman"/>
      <w:szCs w:val="24"/>
      <w:lang w:val="en-GB" w:bidi="en-US"/>
    </w:rPr>
  </w:style>
  <w:style w:type="character" w:customStyle="1" w:styleId="Heading8Char">
    <w:name w:val="Heading 8 Char"/>
    <w:basedOn w:val="DefaultParagraphFont"/>
    <w:link w:val="Heading8"/>
    <w:uiPriority w:val="9"/>
    <w:rsid w:val="00776154"/>
    <w:rPr>
      <w:rFonts w:eastAsia="Times New Roman" w:cs="Times New Roman"/>
      <w:i/>
      <w:iCs/>
      <w:szCs w:val="24"/>
      <w:lang w:val="en-GB" w:bidi="en-US"/>
    </w:rPr>
  </w:style>
  <w:style w:type="character" w:customStyle="1" w:styleId="Heading9Char">
    <w:name w:val="Heading 9 Char"/>
    <w:basedOn w:val="DefaultParagraphFont"/>
    <w:link w:val="Heading9"/>
    <w:uiPriority w:val="9"/>
    <w:rsid w:val="00776154"/>
    <w:rPr>
      <w:rFonts w:ascii="Cambria" w:eastAsia="Times New Roman" w:hAnsi="Cambria" w:cs="Times New Roman"/>
      <w:lang w:val="en-GB" w:bidi="en-US"/>
    </w:rPr>
  </w:style>
  <w:style w:type="character" w:styleId="Hyperlink">
    <w:name w:val="Hyperlink"/>
    <w:basedOn w:val="DefaultParagraphFont"/>
    <w:uiPriority w:val="99"/>
    <w:rsid w:val="00776154"/>
    <w:rPr>
      <w:rFonts w:ascii="Arial" w:hAnsi="Arial"/>
      <w:color w:val="3333FF"/>
      <w:u w:val="single"/>
    </w:rPr>
  </w:style>
  <w:style w:type="paragraph" w:customStyle="1" w:styleId="FSTitle">
    <w:name w:val="FS Title"/>
    <w:basedOn w:val="Normal"/>
    <w:qFormat/>
    <w:rsid w:val="00776154"/>
    <w:pPr>
      <w:keepNext/>
      <w:spacing w:after="120"/>
    </w:pPr>
    <w:rPr>
      <w:rFonts w:eastAsia="Calibri" w:cs="Tahoma"/>
      <w:b/>
      <w:bCs/>
    </w:rPr>
  </w:style>
  <w:style w:type="paragraph" w:customStyle="1" w:styleId="FSDash">
    <w:name w:val="FS Dash"/>
    <w:basedOn w:val="Normal"/>
    <w:qFormat/>
    <w:rsid w:val="00776154"/>
    <w:pPr>
      <w:ind w:left="1134" w:hanging="567"/>
    </w:pPr>
  </w:style>
  <w:style w:type="paragraph" w:styleId="TOC1">
    <w:name w:val="toc 1"/>
    <w:basedOn w:val="Normal"/>
    <w:next w:val="Normal"/>
    <w:autoRedefine/>
    <w:uiPriority w:val="39"/>
    <w:qFormat/>
    <w:rsid w:val="006642D1"/>
    <w:pPr>
      <w:tabs>
        <w:tab w:val="right" w:leader="dot" w:pos="9016"/>
      </w:tabs>
      <w:spacing w:before="120" w:after="120"/>
    </w:pPr>
    <w:rPr>
      <w:rFonts w:asciiTheme="minorHAnsi" w:hAnsiTheme="minorHAnsi" w:cstheme="minorHAnsi"/>
      <w:b/>
      <w:bCs/>
      <w:caps/>
      <w:sz w:val="20"/>
      <w:szCs w:val="20"/>
    </w:rPr>
  </w:style>
  <w:style w:type="paragraph" w:styleId="TOC2">
    <w:name w:val="toc 2"/>
    <w:basedOn w:val="Normal"/>
    <w:next w:val="Normal"/>
    <w:autoRedefine/>
    <w:uiPriority w:val="39"/>
    <w:qFormat/>
    <w:rsid w:val="00776154"/>
    <w:pPr>
      <w:ind w:left="220"/>
    </w:pPr>
    <w:rPr>
      <w:rFonts w:asciiTheme="minorHAnsi" w:hAnsiTheme="minorHAnsi" w:cstheme="minorHAnsi"/>
      <w:smallCaps/>
      <w:sz w:val="20"/>
      <w:szCs w:val="20"/>
    </w:rPr>
  </w:style>
  <w:style w:type="character" w:styleId="PageNumber">
    <w:name w:val="page number"/>
    <w:basedOn w:val="DefaultParagraphFont"/>
    <w:rsid w:val="00776154"/>
    <w:rPr>
      <w:rFonts w:ascii="Arial" w:hAnsi="Arial"/>
    </w:rPr>
  </w:style>
  <w:style w:type="paragraph" w:styleId="TOC3">
    <w:name w:val="toc 3"/>
    <w:basedOn w:val="Normal"/>
    <w:next w:val="Normal"/>
    <w:autoRedefine/>
    <w:uiPriority w:val="39"/>
    <w:qFormat/>
    <w:rsid w:val="00776154"/>
    <w:pPr>
      <w:ind w:left="440"/>
    </w:pPr>
    <w:rPr>
      <w:rFonts w:asciiTheme="minorHAnsi" w:hAnsiTheme="minorHAnsi" w:cstheme="minorHAnsi"/>
      <w:i/>
      <w:iCs/>
      <w:sz w:val="20"/>
      <w:szCs w:val="20"/>
    </w:rPr>
  </w:style>
  <w:style w:type="paragraph" w:styleId="TOC4">
    <w:name w:val="toc 4"/>
    <w:basedOn w:val="Normal"/>
    <w:next w:val="Normal"/>
    <w:autoRedefine/>
    <w:uiPriority w:val="39"/>
    <w:rsid w:val="00776154"/>
    <w:pPr>
      <w:ind w:left="660"/>
    </w:pPr>
    <w:rPr>
      <w:rFonts w:asciiTheme="minorHAnsi" w:hAnsiTheme="minorHAnsi" w:cstheme="minorHAnsi"/>
      <w:sz w:val="18"/>
      <w:szCs w:val="18"/>
    </w:rPr>
  </w:style>
  <w:style w:type="paragraph" w:styleId="TOC5">
    <w:name w:val="toc 5"/>
    <w:basedOn w:val="Normal"/>
    <w:next w:val="Normal"/>
    <w:autoRedefine/>
    <w:uiPriority w:val="39"/>
    <w:rsid w:val="00776154"/>
    <w:pPr>
      <w:ind w:left="880"/>
    </w:pPr>
    <w:rPr>
      <w:rFonts w:asciiTheme="minorHAnsi" w:hAnsiTheme="minorHAnsi" w:cstheme="minorHAnsi"/>
      <w:sz w:val="18"/>
      <w:szCs w:val="18"/>
    </w:rPr>
  </w:style>
  <w:style w:type="character" w:styleId="FollowedHyperlink">
    <w:name w:val="FollowedHyperlink"/>
    <w:basedOn w:val="DefaultParagraphFont"/>
    <w:rsid w:val="00776154"/>
    <w:rPr>
      <w:rFonts w:ascii="Arial" w:hAnsi="Arial"/>
      <w:color w:val="3333FF"/>
      <w:sz w:val="22"/>
      <w:u w:val="single"/>
    </w:rPr>
  </w:style>
  <w:style w:type="paragraph" w:styleId="TOC6">
    <w:name w:val="toc 6"/>
    <w:basedOn w:val="Normal"/>
    <w:next w:val="Normal"/>
    <w:autoRedefine/>
    <w:uiPriority w:val="39"/>
    <w:rsid w:val="00776154"/>
    <w:pPr>
      <w:ind w:left="1100"/>
    </w:pPr>
    <w:rPr>
      <w:rFonts w:asciiTheme="minorHAnsi" w:hAnsiTheme="minorHAnsi" w:cstheme="minorHAnsi"/>
      <w:sz w:val="18"/>
      <w:szCs w:val="18"/>
    </w:rPr>
  </w:style>
  <w:style w:type="paragraph" w:customStyle="1" w:styleId="Box1">
    <w:name w:val="Box 1"/>
    <w:basedOn w:val="Normal"/>
    <w:rsid w:val="00776154"/>
    <w:pPr>
      <w:tabs>
        <w:tab w:val="num" w:pos="120"/>
      </w:tabs>
      <w:ind w:left="113" w:hanging="113"/>
    </w:pPr>
    <w:rPr>
      <w:sz w:val="16"/>
    </w:rPr>
  </w:style>
  <w:style w:type="paragraph" w:customStyle="1" w:styleId="Box2">
    <w:name w:val="Box 2"/>
    <w:basedOn w:val="Normal"/>
    <w:rsid w:val="00776154"/>
    <w:pPr>
      <w:tabs>
        <w:tab w:val="left" w:pos="4608"/>
        <w:tab w:val="left" w:pos="9180"/>
        <w:tab w:val="left" w:pos="9216"/>
      </w:tabs>
      <w:jc w:val="center"/>
    </w:pPr>
    <w:rPr>
      <w:b/>
      <w:bCs/>
      <w:i/>
      <w:iCs/>
      <w:color w:val="000000"/>
      <w:sz w:val="16"/>
    </w:rPr>
  </w:style>
  <w:style w:type="paragraph" w:customStyle="1" w:styleId="Box3">
    <w:name w:val="Box 3"/>
    <w:basedOn w:val="Normal"/>
    <w:rsid w:val="00776154"/>
    <w:pPr>
      <w:tabs>
        <w:tab w:val="left" w:pos="4608"/>
        <w:tab w:val="left" w:pos="9180"/>
        <w:tab w:val="left" w:pos="9216"/>
      </w:tabs>
      <w:jc w:val="center"/>
    </w:pPr>
    <w:rPr>
      <w:b/>
      <w:bCs/>
      <w:i/>
      <w:iCs/>
      <w:color w:val="000000"/>
      <w:sz w:val="16"/>
    </w:rPr>
  </w:style>
  <w:style w:type="paragraph" w:customStyle="1" w:styleId="142tableheading10">
    <w:name w:val="1.4.2 table heading1"/>
    <w:basedOn w:val="142Tableheading2"/>
    <w:rsid w:val="00776154"/>
    <w:rPr>
      <w:b/>
      <w:smallCaps/>
      <w:sz w:val="20"/>
    </w:rPr>
  </w:style>
  <w:style w:type="paragraph" w:customStyle="1" w:styleId="142tabletext10">
    <w:name w:val="1.4.2 table text1"/>
    <w:basedOn w:val="Normal"/>
    <w:rsid w:val="00776154"/>
    <w:pPr>
      <w:ind w:left="142" w:hanging="142"/>
    </w:pPr>
    <w:rPr>
      <w:smallCaps/>
      <w:sz w:val="20"/>
      <w:szCs w:val="20"/>
    </w:rPr>
  </w:style>
  <w:style w:type="paragraph" w:customStyle="1" w:styleId="142tabletext20">
    <w:name w:val="1.4.2 table text2"/>
    <w:basedOn w:val="142tabletext10"/>
    <w:rsid w:val="00776154"/>
    <w:pPr>
      <w:jc w:val="right"/>
    </w:pPr>
  </w:style>
  <w:style w:type="character" w:customStyle="1" w:styleId="DefinitionChar">
    <w:name w:val="Definition Char"/>
    <w:link w:val="Definition"/>
    <w:rsid w:val="00776154"/>
    <w:rPr>
      <w:rFonts w:eastAsia="Times New Roman" w:cs="Times New Roman"/>
      <w:sz w:val="20"/>
      <w:szCs w:val="20"/>
      <w:lang w:val="en-GB"/>
    </w:rPr>
  </w:style>
  <w:style w:type="paragraph" w:customStyle="1" w:styleId="Footnote">
    <w:name w:val="Footnote"/>
    <w:basedOn w:val="Normal"/>
    <w:rsid w:val="00776154"/>
    <w:pPr>
      <w:tabs>
        <w:tab w:val="left" w:pos="851"/>
      </w:tabs>
    </w:pPr>
    <w:rPr>
      <w:sz w:val="20"/>
      <w:szCs w:val="20"/>
    </w:rPr>
  </w:style>
  <w:style w:type="paragraph" w:customStyle="1" w:styleId="MiscellaneousHeading">
    <w:name w:val="Miscellaneous Heading"/>
    <w:basedOn w:val="Normal"/>
    <w:next w:val="Normal"/>
    <w:rsid w:val="00776154"/>
    <w:rPr>
      <w:b/>
      <w:szCs w:val="20"/>
    </w:rPr>
  </w:style>
  <w:style w:type="character" w:customStyle="1" w:styleId="ParagraphChar">
    <w:name w:val="Paragraph Char"/>
    <w:link w:val="Paragraph"/>
    <w:rsid w:val="00776154"/>
    <w:rPr>
      <w:rFonts w:eastAsia="Times New Roman" w:cs="Times New Roman"/>
      <w:sz w:val="20"/>
      <w:szCs w:val="20"/>
      <w:lang w:val="en-GB"/>
    </w:rPr>
  </w:style>
  <w:style w:type="character" w:customStyle="1" w:styleId="SubclauseChar">
    <w:name w:val="Subclause Char"/>
    <w:link w:val="Subclause"/>
    <w:rsid w:val="00776154"/>
    <w:rPr>
      <w:rFonts w:eastAsia="Times New Roman" w:cs="Times New Roman"/>
      <w:sz w:val="20"/>
      <w:szCs w:val="20"/>
      <w:lang w:val="en-GB"/>
    </w:rPr>
  </w:style>
  <w:style w:type="character" w:customStyle="1" w:styleId="SubparagraphChar">
    <w:name w:val="Subparagraph Char"/>
    <w:link w:val="Subparagraph"/>
    <w:rsid w:val="00776154"/>
    <w:rPr>
      <w:rFonts w:eastAsia="Times New Roman" w:cs="Times New Roman"/>
      <w:sz w:val="20"/>
      <w:szCs w:val="20"/>
      <w:lang w:val="en-GB"/>
    </w:rPr>
  </w:style>
  <w:style w:type="character" w:customStyle="1" w:styleId="Table2Char">
    <w:name w:val="Table 2 Char"/>
    <w:link w:val="Table2"/>
    <w:rsid w:val="00776154"/>
    <w:rPr>
      <w:rFonts w:eastAsia="Times New Roman" w:cs="Times New Roman"/>
      <w:bCs/>
      <w:sz w:val="18"/>
      <w:szCs w:val="20"/>
      <w:lang w:val="en-GB"/>
    </w:rPr>
  </w:style>
  <w:style w:type="paragraph" w:customStyle="1" w:styleId="TableHeading">
    <w:name w:val="Table Heading"/>
    <w:basedOn w:val="Normal"/>
    <w:next w:val="Normal"/>
    <w:rsid w:val="00776154"/>
    <w:pPr>
      <w:tabs>
        <w:tab w:val="left" w:pos="851"/>
      </w:tabs>
      <w:jc w:val="center"/>
    </w:pPr>
    <w:rPr>
      <w:b/>
      <w:szCs w:val="20"/>
    </w:rPr>
  </w:style>
  <w:style w:type="paragraph" w:styleId="TOC7">
    <w:name w:val="toc 7"/>
    <w:basedOn w:val="Normal"/>
    <w:next w:val="Normal"/>
    <w:autoRedefine/>
    <w:uiPriority w:val="39"/>
    <w:rsid w:val="00776154"/>
    <w:pPr>
      <w:ind w:left="1320"/>
    </w:pPr>
    <w:rPr>
      <w:rFonts w:asciiTheme="minorHAnsi" w:hAnsiTheme="minorHAnsi" w:cstheme="minorHAnsi"/>
      <w:sz w:val="18"/>
      <w:szCs w:val="18"/>
    </w:rPr>
  </w:style>
  <w:style w:type="paragraph" w:styleId="TOC8">
    <w:name w:val="toc 8"/>
    <w:basedOn w:val="Normal"/>
    <w:next w:val="Normal"/>
    <w:autoRedefine/>
    <w:uiPriority w:val="39"/>
    <w:rsid w:val="00776154"/>
    <w:pPr>
      <w:ind w:left="1540"/>
    </w:pPr>
    <w:rPr>
      <w:rFonts w:asciiTheme="minorHAnsi" w:hAnsiTheme="minorHAnsi" w:cstheme="minorHAnsi"/>
      <w:sz w:val="18"/>
      <w:szCs w:val="18"/>
    </w:rPr>
  </w:style>
  <w:style w:type="paragraph" w:styleId="TOC9">
    <w:name w:val="toc 9"/>
    <w:basedOn w:val="Normal"/>
    <w:next w:val="Normal"/>
    <w:autoRedefine/>
    <w:uiPriority w:val="39"/>
    <w:rsid w:val="00776154"/>
    <w:pPr>
      <w:ind w:left="1760"/>
    </w:pPr>
    <w:rPr>
      <w:rFonts w:asciiTheme="minorHAnsi" w:hAnsiTheme="minorHAnsi" w:cstheme="minorHAnsi"/>
      <w:sz w:val="18"/>
      <w:szCs w:val="18"/>
    </w:rPr>
  </w:style>
  <w:style w:type="character" w:styleId="FootnoteReference">
    <w:name w:val="footnote reference"/>
    <w:basedOn w:val="DefaultParagraphFont"/>
    <w:uiPriority w:val="99"/>
    <w:rsid w:val="00776154"/>
    <w:rPr>
      <w:vertAlign w:val="superscript"/>
    </w:rPr>
  </w:style>
  <w:style w:type="paragraph" w:customStyle="1" w:styleId="FSDecisionHeading">
    <w:name w:val="FS Decision Heading"/>
    <w:basedOn w:val="Normal"/>
    <w:next w:val="FSDecisiontext"/>
    <w:qFormat/>
    <w:rsid w:val="00776154"/>
    <w:pPr>
      <w:pBdr>
        <w:top w:val="single" w:sz="4" w:space="1" w:color="auto"/>
        <w:left w:val="single" w:sz="4" w:space="4" w:color="auto"/>
        <w:bottom w:val="single" w:sz="4" w:space="1" w:color="auto"/>
        <w:right w:val="single" w:sz="4" w:space="4" w:color="auto"/>
      </w:pBdr>
    </w:pPr>
    <w:rPr>
      <w:rFonts w:ascii="Arial Bold" w:hAnsi="Arial Bold"/>
      <w:b/>
      <w:bCs/>
    </w:rPr>
  </w:style>
  <w:style w:type="paragraph" w:customStyle="1" w:styleId="FSDecisiontext">
    <w:name w:val="FS Decision text"/>
    <w:basedOn w:val="Normal"/>
    <w:qFormat/>
    <w:rsid w:val="00776154"/>
    <w:pPr>
      <w:pBdr>
        <w:top w:val="single" w:sz="4" w:space="1" w:color="auto"/>
        <w:left w:val="single" w:sz="4" w:space="4" w:color="auto"/>
        <w:bottom w:val="single" w:sz="4" w:space="1" w:color="auto"/>
        <w:right w:val="single" w:sz="4" w:space="4" w:color="auto"/>
      </w:pBdr>
    </w:pPr>
  </w:style>
  <w:style w:type="paragraph" w:styleId="BalloonText">
    <w:name w:val="Balloon Text"/>
    <w:basedOn w:val="Normal"/>
    <w:link w:val="BalloonTextChar"/>
    <w:uiPriority w:val="99"/>
    <w:semiHidden/>
    <w:rsid w:val="00776154"/>
    <w:rPr>
      <w:rFonts w:ascii="Tahoma" w:hAnsi="Tahoma" w:cs="Tahoma"/>
      <w:sz w:val="16"/>
      <w:szCs w:val="16"/>
    </w:rPr>
  </w:style>
  <w:style w:type="character" w:customStyle="1" w:styleId="BalloonTextChar">
    <w:name w:val="Balloon Text Char"/>
    <w:basedOn w:val="DefaultParagraphFont"/>
    <w:link w:val="BalloonText"/>
    <w:uiPriority w:val="99"/>
    <w:semiHidden/>
    <w:rsid w:val="00776154"/>
    <w:rPr>
      <w:rFonts w:ascii="Tahoma" w:eastAsia="Times New Roman" w:hAnsi="Tahoma" w:cs="Tahoma"/>
      <w:sz w:val="16"/>
      <w:szCs w:val="16"/>
      <w:lang w:val="en-GB" w:bidi="en-US"/>
    </w:rPr>
  </w:style>
  <w:style w:type="paragraph" w:styleId="TOCHeading">
    <w:name w:val="TOC Heading"/>
    <w:basedOn w:val="Heading1"/>
    <w:next w:val="Normal"/>
    <w:uiPriority w:val="39"/>
    <w:unhideWhenUsed/>
    <w:qFormat/>
    <w:rsid w:val="00776154"/>
    <w:pPr>
      <w:spacing w:before="240"/>
      <w:outlineLvl w:val="9"/>
    </w:pPr>
    <w:rPr>
      <w:rFonts w:eastAsia="Times New Roman" w:cs="Times New Roman"/>
    </w:rPr>
  </w:style>
  <w:style w:type="paragraph" w:customStyle="1" w:styleId="FSBullet">
    <w:name w:val="FS Bullet"/>
    <w:basedOn w:val="Normal"/>
    <w:next w:val="Normal"/>
    <w:link w:val="FSBulletChar"/>
    <w:qFormat/>
    <w:rsid w:val="00776154"/>
    <w:pPr>
      <w:numPr>
        <w:numId w:val="4"/>
      </w:numPr>
    </w:pPr>
    <w:rPr>
      <w:rFonts w:cs="Arial"/>
    </w:rPr>
  </w:style>
  <w:style w:type="character" w:customStyle="1" w:styleId="FSBulletChar">
    <w:name w:val="FS Bullet Char"/>
    <w:basedOn w:val="DefaultParagraphFont"/>
    <w:link w:val="FSBullet"/>
    <w:rsid w:val="00776154"/>
    <w:rPr>
      <w:rFonts w:eastAsia="Times New Roman"/>
      <w:szCs w:val="24"/>
      <w:lang w:val="en-GB" w:bidi="en-US"/>
    </w:rPr>
  </w:style>
  <w:style w:type="table" w:styleId="TableGrid">
    <w:name w:val="Table Grid"/>
    <w:basedOn w:val="TableNormal"/>
    <w:uiPriority w:val="59"/>
    <w:rsid w:val="00776154"/>
    <w:rPr>
      <w:rFonts w:ascii="Calibri" w:eastAsia="Times New Roman"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STableTitle">
    <w:name w:val="FS Table Title"/>
    <w:basedOn w:val="Normal"/>
    <w:next w:val="Normal"/>
    <w:qFormat/>
    <w:rsid w:val="00776154"/>
    <w:pPr>
      <w:spacing w:after="120"/>
    </w:pPr>
    <w:rPr>
      <w:rFonts w:cs="Arial"/>
      <w:b/>
    </w:rPr>
  </w:style>
  <w:style w:type="paragraph" w:customStyle="1" w:styleId="FSTableHeading">
    <w:name w:val="FS Table Heading"/>
    <w:basedOn w:val="Normal"/>
    <w:qFormat/>
    <w:rsid w:val="00776154"/>
    <w:pPr>
      <w:jc w:val="center"/>
    </w:pPr>
    <w:rPr>
      <w:rFonts w:ascii="Arial Bold" w:hAnsi="Arial Bold" w:cs="Arial"/>
      <w:b/>
      <w:sz w:val="20"/>
      <w:szCs w:val="20"/>
    </w:rPr>
  </w:style>
  <w:style w:type="paragraph" w:customStyle="1" w:styleId="FSTableText">
    <w:name w:val="FS Table Text"/>
    <w:basedOn w:val="Normal"/>
    <w:qFormat/>
    <w:rsid w:val="00776154"/>
    <w:rPr>
      <w:rFonts w:cs="Arial"/>
      <w:sz w:val="20"/>
      <w:szCs w:val="20"/>
    </w:rPr>
  </w:style>
  <w:style w:type="paragraph" w:customStyle="1" w:styleId="FSFigureTitle">
    <w:name w:val="FS Figure Title"/>
    <w:basedOn w:val="Normal"/>
    <w:next w:val="Normal"/>
    <w:qFormat/>
    <w:rsid w:val="00776154"/>
    <w:rPr>
      <w:rFonts w:cs="Arial"/>
      <w:i/>
    </w:rPr>
  </w:style>
  <w:style w:type="character" w:styleId="CommentReference">
    <w:name w:val="annotation reference"/>
    <w:basedOn w:val="DefaultParagraphFont"/>
    <w:uiPriority w:val="99"/>
    <w:rsid w:val="00776154"/>
    <w:rPr>
      <w:sz w:val="16"/>
      <w:szCs w:val="16"/>
    </w:rPr>
  </w:style>
  <w:style w:type="paragraph" w:styleId="CommentText">
    <w:name w:val="annotation text"/>
    <w:basedOn w:val="Normal"/>
    <w:link w:val="CommentTextChar"/>
    <w:uiPriority w:val="99"/>
    <w:rsid w:val="00776154"/>
    <w:rPr>
      <w:sz w:val="20"/>
      <w:szCs w:val="20"/>
    </w:rPr>
  </w:style>
  <w:style w:type="character" w:customStyle="1" w:styleId="CommentTextChar">
    <w:name w:val="Comment Text Char"/>
    <w:basedOn w:val="DefaultParagraphFont"/>
    <w:link w:val="CommentText"/>
    <w:uiPriority w:val="99"/>
    <w:rsid w:val="00776154"/>
    <w:rPr>
      <w:rFonts w:eastAsia="Times New Roman" w:cs="Times New Roman"/>
      <w:sz w:val="20"/>
      <w:szCs w:val="20"/>
      <w:lang w:val="en-GB" w:bidi="en-US"/>
    </w:rPr>
  </w:style>
  <w:style w:type="paragraph" w:styleId="CommentSubject">
    <w:name w:val="annotation subject"/>
    <w:basedOn w:val="CommentText"/>
    <w:next w:val="CommentText"/>
    <w:link w:val="CommentSubjectChar"/>
    <w:uiPriority w:val="99"/>
    <w:rsid w:val="00776154"/>
    <w:rPr>
      <w:b/>
      <w:bCs/>
    </w:rPr>
  </w:style>
  <w:style w:type="character" w:customStyle="1" w:styleId="CommentSubjectChar">
    <w:name w:val="Comment Subject Char"/>
    <w:basedOn w:val="CommentTextChar"/>
    <w:link w:val="CommentSubject"/>
    <w:uiPriority w:val="99"/>
    <w:rsid w:val="00776154"/>
    <w:rPr>
      <w:rFonts w:eastAsia="Times New Roman" w:cs="Times New Roman"/>
      <w:b/>
      <w:bCs/>
      <w:sz w:val="20"/>
      <w:szCs w:val="20"/>
      <w:lang w:val="en-GB" w:bidi="en-US"/>
    </w:rPr>
  </w:style>
  <w:style w:type="paragraph" w:styleId="DocumentMap">
    <w:name w:val="Document Map"/>
    <w:basedOn w:val="Normal"/>
    <w:link w:val="DocumentMapChar"/>
    <w:rsid w:val="00776154"/>
    <w:rPr>
      <w:rFonts w:ascii="Tahoma" w:hAnsi="Tahoma" w:cs="Tahoma"/>
      <w:sz w:val="16"/>
      <w:szCs w:val="16"/>
    </w:rPr>
  </w:style>
  <w:style w:type="character" w:customStyle="1" w:styleId="DocumentMapChar">
    <w:name w:val="Document Map Char"/>
    <w:basedOn w:val="DefaultParagraphFont"/>
    <w:link w:val="DocumentMap"/>
    <w:rsid w:val="00776154"/>
    <w:rPr>
      <w:rFonts w:ascii="Tahoma" w:eastAsia="Times New Roman" w:hAnsi="Tahoma" w:cs="Tahoma"/>
      <w:sz w:val="16"/>
      <w:szCs w:val="16"/>
      <w:lang w:val="en-GB" w:bidi="en-US"/>
    </w:rPr>
  </w:style>
  <w:style w:type="table" w:styleId="MediumShading1-Accent3">
    <w:name w:val="Medium Shading 1 Accent 3"/>
    <w:basedOn w:val="TableNormal"/>
    <w:uiPriority w:val="63"/>
    <w:rsid w:val="00776154"/>
    <w:rPr>
      <w:rFonts w:ascii="Calibri" w:eastAsia="Times New Roman" w:hAnsi="Calibri" w:cs="Times New Roman"/>
      <w:sz w:val="20"/>
      <w:szCs w:val="20"/>
      <w:lang w:val="en-GB" w:eastAsia="en-GB"/>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paragraph" w:customStyle="1" w:styleId="subsubparagraph">
    <w:name w:val="subsubparagraph"/>
    <w:basedOn w:val="Normal"/>
    <w:rsid w:val="00776154"/>
    <w:pPr>
      <w:tabs>
        <w:tab w:val="left" w:pos="851"/>
      </w:tabs>
      <w:ind w:left="3402" w:hanging="851"/>
    </w:pPr>
    <w:rPr>
      <w:sz w:val="20"/>
      <w:szCs w:val="20"/>
      <w:lang w:bidi="ar-SA"/>
    </w:rPr>
  </w:style>
  <w:style w:type="paragraph" w:styleId="BodyText3">
    <w:name w:val="Body Text 3"/>
    <w:basedOn w:val="Normal"/>
    <w:link w:val="BodyText3Char"/>
    <w:rsid w:val="00776154"/>
    <w:rPr>
      <w:rFonts w:ascii="Times New Roman" w:hAnsi="Times New Roman"/>
      <w:color w:val="000000"/>
      <w:sz w:val="24"/>
      <w:szCs w:val="20"/>
      <w:lang w:bidi="ar-SA"/>
    </w:rPr>
  </w:style>
  <w:style w:type="character" w:customStyle="1" w:styleId="BodyText3Char">
    <w:name w:val="Body Text 3 Char"/>
    <w:basedOn w:val="DefaultParagraphFont"/>
    <w:link w:val="BodyText3"/>
    <w:rsid w:val="00776154"/>
    <w:rPr>
      <w:rFonts w:ascii="Times New Roman" w:eastAsia="Times New Roman" w:hAnsi="Times New Roman" w:cs="Times New Roman"/>
      <w:color w:val="000000"/>
      <w:sz w:val="24"/>
      <w:szCs w:val="20"/>
      <w:lang w:val="en-GB"/>
    </w:rPr>
  </w:style>
  <w:style w:type="paragraph" w:customStyle="1" w:styleId="fsctdefn">
    <w:name w:val="fsctdefn"/>
    <w:basedOn w:val="Normal"/>
    <w:rsid w:val="00776154"/>
    <w:pPr>
      <w:spacing w:before="100" w:beforeAutospacing="1" w:after="100" w:afterAutospacing="1"/>
    </w:pPr>
    <w:rPr>
      <w:rFonts w:ascii="Times New Roman" w:hAnsi="Times New Roman"/>
      <w:sz w:val="24"/>
      <w:lang w:val="en-NZ" w:eastAsia="en-NZ" w:bidi="ar-SA"/>
    </w:rPr>
  </w:style>
  <w:style w:type="paragraph" w:customStyle="1" w:styleId="FSDecision">
    <w:name w:val="FS Decision"/>
    <w:basedOn w:val="Normal"/>
    <w:next w:val="Normal"/>
    <w:qFormat/>
    <w:rsid w:val="00776154"/>
    <w:pPr>
      <w:pBdr>
        <w:top w:val="single" w:sz="4" w:space="1" w:color="auto"/>
        <w:left w:val="single" w:sz="4" w:space="4" w:color="auto"/>
        <w:bottom w:val="single" w:sz="4" w:space="1" w:color="auto"/>
        <w:right w:val="single" w:sz="4" w:space="4" w:color="auto"/>
      </w:pBdr>
    </w:pPr>
    <w:rPr>
      <w:b/>
      <w:bCs/>
    </w:rPr>
  </w:style>
  <w:style w:type="table" w:styleId="TableColorful3">
    <w:name w:val="Table Colorful 3"/>
    <w:basedOn w:val="TableNormal"/>
    <w:rsid w:val="00776154"/>
    <w:pPr>
      <w:widowControl w:val="0"/>
      <w:spacing w:before="120"/>
    </w:pPr>
    <w:rPr>
      <w:rFonts w:ascii="Calibri" w:eastAsia="Times New Roman" w:hAnsi="Calibri" w:cs="Times New Roman"/>
      <w:sz w:val="20"/>
      <w:szCs w:val="20"/>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2">
    <w:name w:val="Table Classic 2"/>
    <w:basedOn w:val="TableNormal"/>
    <w:rsid w:val="00776154"/>
    <w:pPr>
      <w:widowControl w:val="0"/>
      <w:spacing w:before="120"/>
    </w:pPr>
    <w:rPr>
      <w:rFonts w:ascii="Calibri" w:eastAsia="Times New Roman" w:hAnsi="Calibri" w:cs="Times New Roman"/>
      <w:sz w:val="20"/>
      <w:szCs w:val="20"/>
      <w:lang w:val="en-GB"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776154"/>
    <w:pPr>
      <w:widowControl w:val="0"/>
      <w:spacing w:before="120"/>
    </w:pPr>
    <w:rPr>
      <w:rFonts w:ascii="Calibri" w:eastAsia="Times New Roman" w:hAnsi="Calibri" w:cs="Times New Roman"/>
      <w:sz w:val="20"/>
      <w:szCs w:val="20"/>
      <w:lang w:val="en-GB"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MediumList1-Accent5">
    <w:name w:val="Medium List 1 Accent 5"/>
    <w:basedOn w:val="TableNormal"/>
    <w:uiPriority w:val="65"/>
    <w:rsid w:val="00776154"/>
    <w:rPr>
      <w:rFonts w:ascii="Calibri" w:eastAsia="Times New Roman" w:hAnsi="Calibri" w:cs="Times New Roman"/>
      <w:color w:val="000000"/>
      <w:sz w:val="20"/>
      <w:szCs w:val="20"/>
      <w:lang w:val="en-GB" w:eastAsia="en-GB"/>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2-Accent5">
    <w:name w:val="Medium List 2 Accent 5"/>
    <w:basedOn w:val="TableNormal"/>
    <w:uiPriority w:val="66"/>
    <w:rsid w:val="00776154"/>
    <w:rPr>
      <w:rFonts w:ascii="Cambria" w:eastAsia="Times New Roman" w:hAnsi="Cambria" w:cs="Times New Roman"/>
      <w:color w:val="000000"/>
      <w:sz w:val="20"/>
      <w:szCs w:val="20"/>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Shading1-Accent5">
    <w:name w:val="Medium Shading 1 Accent 5"/>
    <w:basedOn w:val="TableNormal"/>
    <w:uiPriority w:val="63"/>
    <w:rsid w:val="00776154"/>
    <w:rPr>
      <w:rFonts w:ascii="Calibri" w:eastAsia="Times New Roman" w:hAnsi="Calibri" w:cs="Times New Roman"/>
      <w:sz w:val="20"/>
      <w:szCs w:val="20"/>
      <w:lang w:val="en-GB" w:eastAsia="en-GB"/>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customStyle="1" w:styleId="Default">
    <w:name w:val="Default"/>
    <w:rsid w:val="00776154"/>
    <w:pPr>
      <w:autoSpaceDE w:val="0"/>
      <w:autoSpaceDN w:val="0"/>
      <w:adjustRightInd w:val="0"/>
    </w:pPr>
    <w:rPr>
      <w:rFonts w:ascii="Times New Roman" w:eastAsia="Times New Roman" w:hAnsi="Times New Roman" w:cs="Times New Roman"/>
      <w:color w:val="000000"/>
      <w:sz w:val="24"/>
      <w:szCs w:val="24"/>
      <w:lang w:eastAsia="en-GB"/>
    </w:rPr>
  </w:style>
  <w:style w:type="paragraph" w:styleId="Revision">
    <w:name w:val="Revision"/>
    <w:hidden/>
    <w:uiPriority w:val="99"/>
    <w:semiHidden/>
    <w:rsid w:val="00776154"/>
    <w:rPr>
      <w:rFonts w:eastAsia="Times New Roman" w:cs="Times New Roman"/>
      <w:szCs w:val="24"/>
      <w:lang w:val="en-GB" w:bidi="en-US"/>
    </w:rPr>
  </w:style>
  <w:style w:type="table" w:customStyle="1" w:styleId="LightList-Accent11">
    <w:name w:val="Light List - Accent 11"/>
    <w:basedOn w:val="TableNormal"/>
    <w:uiPriority w:val="61"/>
    <w:rsid w:val="00776154"/>
    <w:rPr>
      <w:rFonts w:ascii="Calibri" w:eastAsia="Times New Roman"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rPr>
        <w:tblHeader/>
      </w:tr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TableList4">
    <w:name w:val="Table List 4"/>
    <w:basedOn w:val="TableNormal"/>
    <w:rsid w:val="00776154"/>
    <w:pPr>
      <w:widowControl w:val="0"/>
    </w:pPr>
    <w:rPr>
      <w:rFonts w:ascii="Calibri" w:eastAsia="Times New Roman" w:hAnsi="Calibri"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styleId="PlaceholderText">
    <w:name w:val="Placeholder Text"/>
    <w:uiPriority w:val="99"/>
    <w:semiHidden/>
    <w:rsid w:val="00776154"/>
    <w:rPr>
      <w:color w:val="808080"/>
    </w:rPr>
  </w:style>
  <w:style w:type="table" w:customStyle="1" w:styleId="ColorfulList-Accent11">
    <w:name w:val="Colorful List - Accent 11"/>
    <w:basedOn w:val="TableNormal"/>
    <w:next w:val="ColorfulList-Accent1"/>
    <w:uiPriority w:val="72"/>
    <w:rsid w:val="00776154"/>
    <w:rPr>
      <w:rFonts w:eastAsia="Calibri"/>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1">
    <w:name w:val="Colorful List Accent 1"/>
    <w:basedOn w:val="TableNormal"/>
    <w:uiPriority w:val="72"/>
    <w:rsid w:val="00776154"/>
    <w:rPr>
      <w:rFonts w:ascii="Calibri" w:eastAsia="Times New Roman" w:hAnsi="Calibri" w:cs="Times New Roman"/>
      <w:color w:val="000000"/>
      <w:sz w:val="20"/>
      <w:szCs w:val="20"/>
      <w:lang w:val="en-GB" w:eastAsia="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
    <w:name w:val="Table Grid1"/>
    <w:basedOn w:val="TableNormal"/>
    <w:next w:val="TableGrid"/>
    <w:uiPriority w:val="59"/>
    <w:rsid w:val="0077615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List5">
    <w:name w:val="Table List 5"/>
    <w:basedOn w:val="TableNormal"/>
    <w:rsid w:val="00776154"/>
    <w:pPr>
      <w:widowControl w:val="0"/>
    </w:pPr>
    <w:rPr>
      <w:rFonts w:ascii="Calibri" w:eastAsia="Times New Roman" w:hAnsi="Calibri"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MediumShading1-Accent11">
    <w:name w:val="Medium Shading 1 - Accent 11"/>
    <w:basedOn w:val="TableNormal"/>
    <w:uiPriority w:val="63"/>
    <w:rsid w:val="00776154"/>
    <w:rPr>
      <w:rFonts w:ascii="Calibri" w:eastAsia="Times New Roman" w:hAnsi="Calibri" w:cs="Times New Roman"/>
      <w:sz w:val="20"/>
      <w:szCs w:val="20"/>
      <w:lang w:val="en-GB" w:eastAsia="en-GB"/>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rPr>
      <w:cantSplit/>
    </w:tr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List1">
    <w:name w:val="Light List1"/>
    <w:basedOn w:val="TableNormal"/>
    <w:uiPriority w:val="61"/>
    <w:rsid w:val="00776154"/>
    <w:rPr>
      <w:rFonts w:ascii="Calibri" w:eastAsia="Times New Roman" w:hAnsi="Calibri" w:cs="Times New Roman"/>
      <w:sz w:val="20"/>
      <w:szCs w:val="20"/>
      <w:lang w:val="en-GB" w:eastAsia="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Theme">
    <w:name w:val="Table Theme"/>
    <w:basedOn w:val="TableNormal"/>
    <w:rsid w:val="00776154"/>
    <w:pPr>
      <w:widowControl w:val="0"/>
    </w:pPr>
    <w:rPr>
      <w:rFonts w:ascii="Calibri" w:eastAsia="Times New Rom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7615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51">
    <w:name w:val="Table List 51"/>
    <w:basedOn w:val="TableNormal"/>
    <w:next w:val="TableList5"/>
    <w:rsid w:val="00776154"/>
    <w:pPr>
      <w:widowControl w:val="0"/>
    </w:pPr>
    <w:rPr>
      <w:rFonts w:ascii="Calibri" w:eastAsia="Times New Roman" w:hAnsi="Calibri"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Grid3">
    <w:name w:val="Table Grid3"/>
    <w:basedOn w:val="TableNormal"/>
    <w:next w:val="TableGrid"/>
    <w:uiPriority w:val="59"/>
    <w:rsid w:val="0077615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4">
    <w:name w:val="Light Shading Accent 4"/>
    <w:basedOn w:val="TableNormal"/>
    <w:uiPriority w:val="60"/>
    <w:rsid w:val="00776154"/>
    <w:rPr>
      <w:rFonts w:ascii="Calibri" w:eastAsia="Calibri" w:hAnsi="Calibri" w:cs="Times New Roman"/>
      <w:color w:val="5F497A"/>
      <w:lang w:val="en-GB"/>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paragraph" w:customStyle="1" w:styleId="Body1">
    <w:name w:val="Body 1"/>
    <w:autoRedefine/>
    <w:rsid w:val="00776154"/>
    <w:pPr>
      <w:widowControl w:val="0"/>
      <w:outlineLvl w:val="0"/>
    </w:pPr>
    <w:rPr>
      <w:rFonts w:eastAsia="Arial Unicode MS" w:cs="Times New Roman"/>
      <w:color w:val="000000"/>
      <w:szCs w:val="20"/>
      <w:u w:color="000000"/>
    </w:rPr>
  </w:style>
  <w:style w:type="paragraph" w:customStyle="1" w:styleId="List6">
    <w:name w:val="List 6"/>
    <w:basedOn w:val="Normal"/>
    <w:semiHidden/>
    <w:rsid w:val="00776154"/>
    <w:pPr>
      <w:numPr>
        <w:numId w:val="5"/>
      </w:numPr>
    </w:pPr>
    <w:rPr>
      <w:rFonts w:ascii="Times New Roman" w:hAnsi="Times New Roman"/>
      <w:sz w:val="20"/>
      <w:szCs w:val="20"/>
      <w:lang w:eastAsia="en-GB" w:bidi="ar-SA"/>
    </w:rPr>
  </w:style>
  <w:style w:type="paragraph" w:customStyle="1" w:styleId="List7">
    <w:name w:val="List 7"/>
    <w:basedOn w:val="Normal"/>
    <w:semiHidden/>
    <w:rsid w:val="00776154"/>
    <w:pPr>
      <w:numPr>
        <w:numId w:val="6"/>
      </w:numPr>
    </w:pPr>
    <w:rPr>
      <w:rFonts w:ascii="Times New Roman" w:hAnsi="Times New Roman"/>
      <w:sz w:val="20"/>
      <w:szCs w:val="20"/>
      <w:lang w:eastAsia="en-GB" w:bidi="ar-SA"/>
    </w:rPr>
  </w:style>
  <w:style w:type="paragraph" w:customStyle="1" w:styleId="List31">
    <w:name w:val="List 31"/>
    <w:basedOn w:val="Normal"/>
    <w:semiHidden/>
    <w:rsid w:val="00776154"/>
    <w:pPr>
      <w:numPr>
        <w:numId w:val="7"/>
      </w:numPr>
    </w:pPr>
    <w:rPr>
      <w:rFonts w:ascii="Times New Roman" w:hAnsi="Times New Roman"/>
      <w:sz w:val="20"/>
      <w:szCs w:val="20"/>
      <w:lang w:eastAsia="en-GB" w:bidi="ar-SA"/>
    </w:rPr>
  </w:style>
  <w:style w:type="paragraph" w:customStyle="1" w:styleId="List41">
    <w:name w:val="List 41"/>
    <w:basedOn w:val="Normal"/>
    <w:semiHidden/>
    <w:rsid w:val="00776154"/>
    <w:pPr>
      <w:numPr>
        <w:numId w:val="8"/>
      </w:numPr>
    </w:pPr>
    <w:rPr>
      <w:rFonts w:ascii="Times New Roman" w:hAnsi="Times New Roman"/>
      <w:sz w:val="20"/>
      <w:szCs w:val="20"/>
      <w:lang w:eastAsia="en-GB" w:bidi="ar-SA"/>
    </w:rPr>
  </w:style>
  <w:style w:type="paragraph" w:customStyle="1" w:styleId="List51">
    <w:name w:val="List 51"/>
    <w:basedOn w:val="Normal"/>
    <w:semiHidden/>
    <w:rsid w:val="00776154"/>
    <w:pPr>
      <w:numPr>
        <w:numId w:val="9"/>
      </w:numPr>
    </w:pPr>
    <w:rPr>
      <w:rFonts w:ascii="Times New Roman" w:hAnsi="Times New Roman"/>
      <w:sz w:val="20"/>
      <w:szCs w:val="20"/>
      <w:lang w:eastAsia="en-GB" w:bidi="ar-SA"/>
    </w:rPr>
  </w:style>
  <w:style w:type="paragraph" w:styleId="NormalWeb">
    <w:name w:val="Normal (Web)"/>
    <w:basedOn w:val="Normal"/>
    <w:uiPriority w:val="99"/>
    <w:unhideWhenUsed/>
    <w:rsid w:val="00776154"/>
    <w:pPr>
      <w:spacing w:before="100" w:beforeAutospacing="1" w:after="100" w:afterAutospacing="1"/>
    </w:pPr>
    <w:rPr>
      <w:rFonts w:ascii="Times New Roman" w:hAnsi="Times New Roman"/>
      <w:sz w:val="24"/>
      <w:lang w:eastAsia="en-GB" w:bidi="ar-SA"/>
    </w:rPr>
  </w:style>
  <w:style w:type="table" w:customStyle="1" w:styleId="LightShading-Accent11">
    <w:name w:val="Light Shading - Accent 11"/>
    <w:basedOn w:val="TableNormal"/>
    <w:uiPriority w:val="60"/>
    <w:rsid w:val="00776154"/>
    <w:rPr>
      <w:rFonts w:ascii="Calibri" w:eastAsia="Times New Roman" w:hAnsi="Calibri" w:cs="Times New Roman"/>
      <w:color w:val="365F91"/>
      <w:sz w:val="20"/>
      <w:szCs w:val="20"/>
      <w:lang w:val="en-GB"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5">
    <w:name w:val="Light Shading Accent 5"/>
    <w:basedOn w:val="TableNormal"/>
    <w:uiPriority w:val="60"/>
    <w:rsid w:val="00776154"/>
    <w:rPr>
      <w:rFonts w:ascii="Calibri" w:eastAsia="Times New Roman" w:hAnsi="Calibri" w:cs="Times New Roman"/>
      <w:color w:val="31849B"/>
      <w:sz w:val="20"/>
      <w:szCs w:val="20"/>
      <w:lang w:val="en-GB" w:eastAsia="en-G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List-Accent5">
    <w:name w:val="Light List Accent 5"/>
    <w:basedOn w:val="TableNormal"/>
    <w:uiPriority w:val="61"/>
    <w:rsid w:val="00776154"/>
    <w:rPr>
      <w:rFonts w:ascii="Calibri" w:eastAsia="Times New Roman" w:hAnsi="Calibri" w:cs="Times New Roman"/>
      <w:sz w:val="20"/>
      <w:szCs w:val="20"/>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customStyle="1" w:styleId="t2Para">
    <w:name w:val="t2_Para"/>
    <w:basedOn w:val="Normal"/>
    <w:rsid w:val="00776154"/>
    <w:pPr>
      <w:spacing w:after="100"/>
      <w:ind w:left="1701" w:hanging="1701"/>
    </w:pPr>
    <w:rPr>
      <w:rFonts w:ascii="Times New Roman" w:eastAsia="Calibri" w:hAnsi="Times New Roman"/>
      <w:sz w:val="24"/>
      <w:lang w:val="en-NZ" w:eastAsia="en-AU" w:bidi="ar-SA"/>
    </w:rPr>
  </w:style>
  <w:style w:type="paragraph" w:customStyle="1" w:styleId="Centeredheadings">
    <w:name w:val="Centered headings"/>
    <w:basedOn w:val="Normal"/>
    <w:rsid w:val="00776154"/>
    <w:pPr>
      <w:tabs>
        <w:tab w:val="left" w:pos="620"/>
        <w:tab w:val="left" w:pos="1240"/>
        <w:tab w:val="left" w:pos="1880"/>
        <w:tab w:val="left" w:pos="7776"/>
      </w:tabs>
      <w:spacing w:line="240" w:lineRule="atLeast"/>
      <w:jc w:val="center"/>
    </w:pPr>
    <w:rPr>
      <w:rFonts w:ascii="New York" w:hAnsi="New York"/>
      <w:b/>
      <w:sz w:val="24"/>
      <w:szCs w:val="20"/>
      <w:lang w:val="en-US" w:bidi="ar-SA"/>
    </w:rPr>
  </w:style>
  <w:style w:type="character" w:customStyle="1" w:styleId="super">
    <w:name w:val="super"/>
    <w:rsid w:val="00776154"/>
    <w:rPr>
      <w:sz w:val="17"/>
      <w:szCs w:val="17"/>
      <w:vertAlign w:val="superscript"/>
    </w:rPr>
  </w:style>
  <w:style w:type="paragraph" w:customStyle="1" w:styleId="tbl-hdr2">
    <w:name w:val="tbl-hdr2"/>
    <w:basedOn w:val="Normal"/>
    <w:rsid w:val="00776154"/>
    <w:pPr>
      <w:spacing w:before="60" w:after="60" w:line="312" w:lineRule="atLeast"/>
      <w:ind w:right="195"/>
      <w:jc w:val="center"/>
    </w:pPr>
    <w:rPr>
      <w:rFonts w:ascii="Times New Roman" w:hAnsi="Times New Roman"/>
      <w:b/>
      <w:bCs/>
      <w:szCs w:val="22"/>
      <w:lang w:val="en-NZ" w:eastAsia="en-NZ" w:bidi="ar-SA"/>
    </w:rPr>
  </w:style>
  <w:style w:type="paragraph" w:customStyle="1" w:styleId="tbl-num2">
    <w:name w:val="tbl-num2"/>
    <w:basedOn w:val="Normal"/>
    <w:rsid w:val="00776154"/>
    <w:pPr>
      <w:spacing w:before="60" w:after="60" w:line="312" w:lineRule="atLeast"/>
      <w:ind w:right="195"/>
      <w:jc w:val="right"/>
    </w:pPr>
    <w:rPr>
      <w:rFonts w:ascii="Times New Roman" w:hAnsi="Times New Roman"/>
      <w:szCs w:val="22"/>
      <w:lang w:val="en-NZ" w:eastAsia="en-NZ" w:bidi="ar-SA"/>
    </w:rPr>
  </w:style>
  <w:style w:type="paragraph" w:customStyle="1" w:styleId="tbl-txt2">
    <w:name w:val="tbl-txt2"/>
    <w:basedOn w:val="Normal"/>
    <w:rsid w:val="00776154"/>
    <w:pPr>
      <w:spacing w:before="60" w:after="60" w:line="312" w:lineRule="atLeast"/>
    </w:pPr>
    <w:rPr>
      <w:rFonts w:ascii="Times New Roman" w:hAnsi="Times New Roman"/>
      <w:szCs w:val="22"/>
      <w:lang w:val="en-NZ" w:eastAsia="en-NZ" w:bidi="ar-SA"/>
    </w:rPr>
  </w:style>
  <w:style w:type="table" w:customStyle="1" w:styleId="TableGrid9">
    <w:name w:val="Table Grid9"/>
    <w:basedOn w:val="TableNormal"/>
    <w:next w:val="TableGrid"/>
    <w:uiPriority w:val="59"/>
    <w:rsid w:val="00776154"/>
    <w:rPr>
      <w:rFonts w:ascii="Calibri" w:eastAsia="Times New Roman"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Shading11">
    <w:name w:val="Medium Shading 11"/>
    <w:basedOn w:val="TableNormal"/>
    <w:uiPriority w:val="63"/>
    <w:rsid w:val="00776154"/>
    <w:rPr>
      <w:rFonts w:eastAsia="Calibri"/>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TableGrid4">
    <w:name w:val="Table Grid4"/>
    <w:basedOn w:val="TableNormal"/>
    <w:next w:val="TableGrid"/>
    <w:uiPriority w:val="59"/>
    <w:rsid w:val="00776154"/>
    <w:rPr>
      <w:rFonts w:ascii="Calibri" w:eastAsia="Times New Roman"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SCh3Standard">
    <w:name w:val="FSC_h3_Standard"/>
    <w:aliases w:val="h3_Div,h1_Sch"/>
    <w:basedOn w:val="Normal"/>
    <w:next w:val="Normal"/>
    <w:rsid w:val="00776154"/>
    <w:pPr>
      <w:keepNext/>
      <w:keepLines/>
      <w:spacing w:after="240"/>
      <w:ind w:left="2835" w:hanging="2835"/>
      <w:outlineLvl w:val="2"/>
    </w:pPr>
    <w:rPr>
      <w:rFonts w:cs="Arial"/>
      <w:b/>
      <w:bCs/>
      <w:kern w:val="32"/>
      <w:sz w:val="32"/>
      <w:szCs w:val="32"/>
      <w:lang w:val="en-AU" w:eastAsia="en-AU" w:bidi="ar-SA"/>
    </w:rPr>
  </w:style>
  <w:style w:type="paragraph" w:customStyle="1" w:styleId="Normal1">
    <w:name w:val="Normal1"/>
    <w:basedOn w:val="Normal"/>
    <w:rsid w:val="00776154"/>
    <w:pPr>
      <w:tabs>
        <w:tab w:val="left" w:pos="860"/>
        <w:tab w:val="left" w:pos="1140"/>
        <w:tab w:val="left" w:pos="1280"/>
      </w:tabs>
      <w:spacing w:after="120"/>
    </w:pPr>
    <w:rPr>
      <w:rFonts w:ascii="Times" w:hAnsi="Times"/>
      <w:sz w:val="24"/>
      <w:szCs w:val="20"/>
      <w:lang w:val="en-US" w:bidi="ar-SA"/>
    </w:rPr>
  </w:style>
  <w:style w:type="paragraph" w:styleId="Title">
    <w:name w:val="Title"/>
    <w:basedOn w:val="Normal"/>
    <w:link w:val="TitleChar"/>
    <w:rsid w:val="00776154"/>
    <w:pPr>
      <w:jc w:val="center"/>
    </w:pPr>
    <w:rPr>
      <w:rFonts w:ascii="Times New Roman" w:hAnsi="Times New Roman"/>
      <w:b/>
      <w:bCs/>
      <w:sz w:val="24"/>
      <w:lang w:val="en-AU" w:bidi="ar-SA"/>
    </w:rPr>
  </w:style>
  <w:style w:type="character" w:customStyle="1" w:styleId="TitleChar">
    <w:name w:val="Title Char"/>
    <w:basedOn w:val="DefaultParagraphFont"/>
    <w:link w:val="Title"/>
    <w:rsid w:val="00776154"/>
    <w:rPr>
      <w:rFonts w:ascii="Times New Roman" w:eastAsia="Times New Roman" w:hAnsi="Times New Roman" w:cs="Times New Roman"/>
      <w:b/>
      <w:bCs/>
      <w:sz w:val="24"/>
      <w:szCs w:val="24"/>
    </w:rPr>
  </w:style>
  <w:style w:type="paragraph" w:customStyle="1" w:styleId="SUBJECT">
    <w:name w:val="SUBJECT"/>
    <w:basedOn w:val="Normal"/>
    <w:rsid w:val="00776154"/>
    <w:pPr>
      <w:jc w:val="center"/>
    </w:pPr>
    <w:rPr>
      <w:rFonts w:ascii="Times New Roman" w:hAnsi="Times New Roman"/>
      <w:b/>
      <w:caps/>
      <w:sz w:val="24"/>
      <w:szCs w:val="20"/>
      <w:lang w:bidi="ar-SA"/>
    </w:rPr>
  </w:style>
  <w:style w:type="paragraph" w:customStyle="1" w:styleId="tableheading0">
    <w:name w:val="tableheading"/>
    <w:basedOn w:val="Normal"/>
    <w:rsid w:val="00776154"/>
    <w:pPr>
      <w:spacing w:before="100" w:beforeAutospacing="1" w:after="100" w:afterAutospacing="1"/>
    </w:pPr>
    <w:rPr>
      <w:rFonts w:ascii="Times New Roman" w:hAnsi="Times New Roman"/>
      <w:sz w:val="24"/>
      <w:lang w:val="en-NZ" w:eastAsia="en-NZ" w:bidi="ar-SA"/>
    </w:rPr>
  </w:style>
  <w:style w:type="paragraph" w:customStyle="1" w:styleId="table10">
    <w:name w:val="table1"/>
    <w:basedOn w:val="Normal"/>
    <w:rsid w:val="00776154"/>
    <w:pPr>
      <w:spacing w:before="100" w:beforeAutospacing="1" w:after="100" w:afterAutospacing="1"/>
    </w:pPr>
    <w:rPr>
      <w:rFonts w:ascii="Times New Roman" w:hAnsi="Times New Roman"/>
      <w:sz w:val="24"/>
      <w:lang w:val="en-NZ" w:eastAsia="en-NZ" w:bidi="ar-SA"/>
    </w:rPr>
  </w:style>
  <w:style w:type="paragraph" w:customStyle="1" w:styleId="table20">
    <w:name w:val="table2"/>
    <w:basedOn w:val="Normal"/>
    <w:rsid w:val="00776154"/>
    <w:pPr>
      <w:spacing w:before="100" w:beforeAutospacing="1" w:after="100" w:afterAutospacing="1"/>
    </w:pPr>
    <w:rPr>
      <w:rFonts w:ascii="Times New Roman" w:hAnsi="Times New Roman"/>
      <w:sz w:val="24"/>
      <w:lang w:val="en-NZ" w:eastAsia="en-NZ" w:bidi="ar-SA"/>
    </w:rPr>
  </w:style>
  <w:style w:type="paragraph" w:customStyle="1" w:styleId="1a">
    <w:name w:val="(1)(a)"/>
    <w:basedOn w:val="Normal"/>
    <w:rsid w:val="00776154"/>
    <w:pPr>
      <w:tabs>
        <w:tab w:val="left" w:pos="620"/>
        <w:tab w:val="left" w:pos="1240"/>
        <w:tab w:val="left" w:pos="1880"/>
        <w:tab w:val="left" w:pos="7776"/>
      </w:tabs>
      <w:spacing w:line="240" w:lineRule="atLeast"/>
    </w:pPr>
    <w:rPr>
      <w:rFonts w:ascii="Times" w:hAnsi="Times"/>
      <w:sz w:val="24"/>
      <w:szCs w:val="20"/>
      <w:lang w:val="en-US" w:bidi="ar-SA"/>
    </w:rPr>
  </w:style>
  <w:style w:type="paragraph" w:customStyle="1" w:styleId="Normal2">
    <w:name w:val="Normal2"/>
    <w:basedOn w:val="Normal"/>
    <w:rsid w:val="00776154"/>
    <w:pPr>
      <w:spacing w:before="120"/>
      <w:jc w:val="both"/>
    </w:pPr>
    <w:rPr>
      <w:rFonts w:ascii="Times New Roman" w:hAnsi="Times New Roman"/>
      <w:sz w:val="24"/>
      <w:lang w:val="en-NZ" w:eastAsia="en-NZ" w:bidi="ar-SA"/>
    </w:rPr>
  </w:style>
  <w:style w:type="paragraph" w:customStyle="1" w:styleId="tbl-hdr">
    <w:name w:val="tbl-hdr"/>
    <w:basedOn w:val="Normal"/>
    <w:rsid w:val="00776154"/>
    <w:pPr>
      <w:spacing w:before="60" w:after="60"/>
      <w:ind w:right="195"/>
      <w:jc w:val="center"/>
    </w:pPr>
    <w:rPr>
      <w:rFonts w:ascii="Times New Roman" w:hAnsi="Times New Roman"/>
      <w:b/>
      <w:bCs/>
      <w:szCs w:val="22"/>
      <w:lang w:val="en-NZ" w:eastAsia="en-NZ" w:bidi="ar-SA"/>
    </w:rPr>
  </w:style>
  <w:style w:type="paragraph" w:customStyle="1" w:styleId="tbl-num">
    <w:name w:val="tbl-num"/>
    <w:basedOn w:val="Normal"/>
    <w:rsid w:val="00776154"/>
    <w:pPr>
      <w:spacing w:before="60" w:after="60"/>
      <w:ind w:right="195"/>
      <w:jc w:val="right"/>
    </w:pPr>
    <w:rPr>
      <w:rFonts w:ascii="Times New Roman" w:hAnsi="Times New Roman"/>
      <w:szCs w:val="22"/>
      <w:lang w:val="en-NZ" w:eastAsia="en-NZ" w:bidi="ar-SA"/>
    </w:rPr>
  </w:style>
  <w:style w:type="paragraph" w:customStyle="1" w:styleId="ti-grseq-1">
    <w:name w:val="ti-grseq-1"/>
    <w:basedOn w:val="Normal"/>
    <w:rsid w:val="00776154"/>
    <w:pPr>
      <w:spacing w:before="240" w:after="120"/>
      <w:jc w:val="both"/>
    </w:pPr>
    <w:rPr>
      <w:rFonts w:ascii="Times New Roman" w:hAnsi="Times New Roman"/>
      <w:b/>
      <w:bCs/>
      <w:sz w:val="24"/>
      <w:lang w:val="en-NZ" w:eastAsia="en-NZ" w:bidi="ar-SA"/>
    </w:rPr>
  </w:style>
  <w:style w:type="table" w:styleId="TableGrid6">
    <w:name w:val="Table Grid 6"/>
    <w:basedOn w:val="TableNormal"/>
    <w:rsid w:val="00776154"/>
    <w:pPr>
      <w:widowControl w:val="0"/>
    </w:pPr>
    <w:rPr>
      <w:rFonts w:ascii="Calibri" w:eastAsia="Times New Roman" w:hAnsi="Calibri"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776154"/>
    <w:pPr>
      <w:widowControl w:val="0"/>
    </w:pPr>
    <w:rPr>
      <w:rFonts w:ascii="Calibri" w:eastAsia="Times New Roman" w:hAnsi="Calibri" w:cs="Times New Roman"/>
      <w:sz w:val="20"/>
      <w:szCs w:val="20"/>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FSCtPara">
    <w:name w:val="FSC_t_Para"/>
    <w:basedOn w:val="Normal"/>
    <w:qFormat/>
    <w:rsid w:val="00776154"/>
    <w:pPr>
      <w:tabs>
        <w:tab w:val="left" w:pos="1701"/>
      </w:tabs>
      <w:spacing w:before="60" w:after="60"/>
      <w:ind w:left="2268" w:hanging="2268"/>
    </w:pPr>
    <w:rPr>
      <w:rFonts w:cs="Arial"/>
      <w:iCs/>
      <w:sz w:val="20"/>
      <w:szCs w:val="22"/>
      <w:lang w:eastAsia="en-AU" w:bidi="ar-SA"/>
    </w:rPr>
  </w:style>
  <w:style w:type="paragraph" w:customStyle="1" w:styleId="FSCtSubpara">
    <w:name w:val="FSC_t_Subpara"/>
    <w:basedOn w:val="Normal"/>
    <w:qFormat/>
    <w:rsid w:val="00776154"/>
    <w:pPr>
      <w:tabs>
        <w:tab w:val="left" w:pos="2268"/>
      </w:tabs>
      <w:spacing w:before="60" w:after="60"/>
      <w:ind w:left="2835" w:hanging="2835"/>
    </w:pPr>
    <w:rPr>
      <w:rFonts w:cs="Arial"/>
      <w:iCs/>
      <w:sz w:val="20"/>
      <w:szCs w:val="22"/>
      <w:lang w:eastAsia="en-AU" w:bidi="ar-SA"/>
    </w:rPr>
  </w:style>
  <w:style w:type="paragraph" w:customStyle="1" w:styleId="fsctpara0">
    <w:name w:val="fsctpara"/>
    <w:basedOn w:val="Normal"/>
    <w:rsid w:val="00776154"/>
    <w:pPr>
      <w:spacing w:before="100" w:beforeAutospacing="1" w:after="100" w:afterAutospacing="1"/>
    </w:pPr>
    <w:rPr>
      <w:rFonts w:ascii="Times New Roman" w:hAnsi="Times New Roman"/>
      <w:sz w:val="24"/>
      <w:lang w:val="en-NZ" w:eastAsia="en-NZ" w:bidi="ar-SA"/>
    </w:rPr>
  </w:style>
  <w:style w:type="table" w:customStyle="1" w:styleId="MediumShading12">
    <w:name w:val="Medium Shading 12"/>
    <w:basedOn w:val="TableNormal"/>
    <w:uiPriority w:val="63"/>
    <w:rsid w:val="00776154"/>
    <w:rPr>
      <w:rFonts w:eastAsia="Calibri"/>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paragraph" w:customStyle="1" w:styleId="FSCtDefn0">
    <w:name w:val="FSC_t_Defn"/>
    <w:basedOn w:val="Normal"/>
    <w:rsid w:val="00776154"/>
    <w:pPr>
      <w:tabs>
        <w:tab w:val="left" w:pos="1134"/>
      </w:tabs>
      <w:spacing w:before="120" w:after="120"/>
      <w:ind w:left="1701"/>
    </w:pPr>
    <w:rPr>
      <w:rFonts w:cs="Arial"/>
      <w:iCs/>
      <w:sz w:val="20"/>
      <w:szCs w:val="22"/>
      <w:lang w:eastAsia="en-AU" w:bidi="ar-SA"/>
    </w:rPr>
  </w:style>
  <w:style w:type="character" w:styleId="Emphasis">
    <w:name w:val="Emphasis"/>
    <w:basedOn w:val="DefaultParagraphFont"/>
    <w:uiPriority w:val="20"/>
    <w:qFormat/>
    <w:rsid w:val="00776154"/>
    <w:rPr>
      <w:i/>
      <w:iCs/>
    </w:rPr>
  </w:style>
  <w:style w:type="paragraph" w:customStyle="1" w:styleId="FSCnMain">
    <w:name w:val="FSC_n_Main"/>
    <w:basedOn w:val="FSCtPara"/>
    <w:qFormat/>
    <w:rsid w:val="00776154"/>
    <w:rPr>
      <w:iCs w:val="0"/>
      <w:sz w:val="16"/>
      <w:szCs w:val="18"/>
    </w:rPr>
  </w:style>
  <w:style w:type="paragraph" w:customStyle="1" w:styleId="FSCnPara">
    <w:name w:val="FSC_n_Para"/>
    <w:basedOn w:val="FSCtSubpara"/>
    <w:qFormat/>
    <w:rsid w:val="00776154"/>
    <w:rPr>
      <w:sz w:val="16"/>
    </w:rPr>
  </w:style>
  <w:style w:type="paragraph" w:customStyle="1" w:styleId="FSCnSubpara">
    <w:name w:val="FSC_n_Subpara"/>
    <w:basedOn w:val="Normal"/>
    <w:qFormat/>
    <w:rsid w:val="00776154"/>
    <w:pPr>
      <w:tabs>
        <w:tab w:val="left" w:pos="2835"/>
      </w:tabs>
      <w:spacing w:before="60" w:after="60"/>
      <w:ind w:left="3402" w:hanging="3402"/>
    </w:pPr>
    <w:rPr>
      <w:rFonts w:cs="Arial"/>
      <w:iCs/>
      <w:sz w:val="16"/>
      <w:szCs w:val="22"/>
      <w:lang w:eastAsia="en-AU" w:bidi="ar-SA"/>
    </w:rPr>
  </w:style>
  <w:style w:type="paragraph" w:customStyle="1" w:styleId="FSCh5Section">
    <w:name w:val="FSC_h5_Section"/>
    <w:basedOn w:val="Normal"/>
    <w:next w:val="FSCtMain"/>
    <w:qFormat/>
    <w:rsid w:val="00776154"/>
    <w:pPr>
      <w:keepNext/>
      <w:spacing w:before="240" w:after="120"/>
      <w:ind w:left="1701" w:hanging="1701"/>
      <w:outlineLvl w:val="4"/>
    </w:pPr>
    <w:rPr>
      <w:b/>
      <w:bCs/>
      <w:kern w:val="32"/>
      <w:lang w:eastAsia="en-AU" w:bidi="ar-SA"/>
    </w:rPr>
  </w:style>
  <w:style w:type="paragraph" w:customStyle="1" w:styleId="FSCtMain">
    <w:name w:val="FSC_t_Main"/>
    <w:basedOn w:val="Normal"/>
    <w:rsid w:val="00776154"/>
    <w:pPr>
      <w:tabs>
        <w:tab w:val="left" w:pos="1134"/>
      </w:tabs>
      <w:spacing w:before="120" w:after="120"/>
      <w:ind w:left="1701" w:hanging="1701"/>
    </w:pPr>
    <w:rPr>
      <w:rFonts w:cs="Arial"/>
      <w:iCs/>
      <w:sz w:val="20"/>
      <w:szCs w:val="22"/>
      <w:lang w:eastAsia="en-AU" w:bidi="ar-SA"/>
    </w:rPr>
  </w:style>
  <w:style w:type="paragraph" w:customStyle="1" w:styleId="FSCh6Subsec">
    <w:name w:val="FSC_h6_Subsec"/>
    <w:basedOn w:val="Normal"/>
    <w:next w:val="FSCtMain"/>
    <w:qFormat/>
    <w:rsid w:val="00776154"/>
    <w:pPr>
      <w:keepNext/>
      <w:spacing w:before="120" w:after="60"/>
      <w:ind w:left="1701"/>
    </w:pPr>
    <w:rPr>
      <w:rFonts w:cs="Arial"/>
      <w:bCs/>
      <w:i/>
      <w:kern w:val="32"/>
      <w:sz w:val="20"/>
      <w:szCs w:val="32"/>
      <w:lang w:eastAsia="en-AU" w:bidi="ar-SA"/>
    </w:rPr>
  </w:style>
  <w:style w:type="table" w:customStyle="1" w:styleId="LightGrid-Accent11">
    <w:name w:val="Light Grid - Accent 11"/>
    <w:basedOn w:val="TableNormal"/>
    <w:uiPriority w:val="62"/>
    <w:rsid w:val="00776154"/>
    <w:rPr>
      <w:rFonts w:ascii="Calibri" w:eastAsia="Times New Roman" w:hAnsi="Calibri" w:cs="Times New Roman"/>
      <w:sz w:val="20"/>
      <w:szCs w:val="20"/>
      <w:lang w:val="en-GB" w:eastAsia="en-GB"/>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heading">
    <w:name w:val="heading"/>
    <w:basedOn w:val="Normal"/>
    <w:rsid w:val="00776154"/>
    <w:pPr>
      <w:tabs>
        <w:tab w:val="left" w:pos="840"/>
      </w:tabs>
      <w:jc w:val="both"/>
    </w:pPr>
    <w:rPr>
      <w:rFonts w:ascii="Times New Roman" w:hAnsi="Times New Roman"/>
      <w:b/>
      <w:caps/>
      <w:sz w:val="24"/>
      <w:szCs w:val="20"/>
      <w:lang w:bidi="ar-SA"/>
    </w:rPr>
  </w:style>
  <w:style w:type="character" w:customStyle="1" w:styleId="DefinitionCharChar">
    <w:name w:val="Definition Char Char"/>
    <w:basedOn w:val="DefaultParagraphFont"/>
    <w:rsid w:val="00776154"/>
    <w:rPr>
      <w:rFonts w:ascii="Arial" w:hAnsi="Arial"/>
      <w:lang w:val="en-GB" w:eastAsia="en-US"/>
    </w:rPr>
  </w:style>
  <w:style w:type="table" w:styleId="LightGrid-Accent3">
    <w:name w:val="Light Grid Accent 3"/>
    <w:basedOn w:val="TableNormal"/>
    <w:uiPriority w:val="62"/>
    <w:rsid w:val="00776154"/>
    <w:rPr>
      <w:rFonts w:ascii="Calibri" w:eastAsia="Times New Roman" w:hAnsi="Calibri" w:cs="Times New Roman"/>
      <w:sz w:val="20"/>
      <w:szCs w:val="20"/>
      <w:lang w:val="en-GB" w:eastAsia="en-GB"/>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customStyle="1" w:styleId="StyleHeading3FSHeading3Subheading1Italic">
    <w:name w:val="Style Heading 3FSHeading 3Subheading 1 + Italic"/>
    <w:basedOn w:val="Heading3"/>
    <w:rsid w:val="00776154"/>
    <w:rPr>
      <w:rFonts w:eastAsia="Times New Roman" w:cs="Arial"/>
      <w:i/>
      <w:iCs/>
      <w:szCs w:val="22"/>
      <w:lang w:val="en-AU"/>
    </w:rPr>
  </w:style>
  <w:style w:type="table" w:styleId="LightList-Accent3">
    <w:name w:val="Light List Accent 3"/>
    <w:basedOn w:val="TableNormal"/>
    <w:uiPriority w:val="61"/>
    <w:rsid w:val="00776154"/>
    <w:rPr>
      <w:rFonts w:ascii="Calibri" w:eastAsia="Times New Roman" w:hAnsi="Calibri" w:cs="Times New Roman"/>
      <w:sz w:val="20"/>
      <w:szCs w:val="20"/>
      <w:lang w:val="en-GB" w:eastAsia="en-GB"/>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ghtGrid1">
    <w:name w:val="Light Grid1"/>
    <w:basedOn w:val="TableNormal"/>
    <w:uiPriority w:val="62"/>
    <w:rsid w:val="00776154"/>
    <w:rPr>
      <w:rFonts w:ascii="Calibri" w:eastAsia="Times New Roman" w:hAnsi="Calibri" w:cs="Times New Roman"/>
      <w:sz w:val="20"/>
      <w:szCs w:val="20"/>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EndnoteText">
    <w:name w:val="endnote text"/>
    <w:basedOn w:val="Normal"/>
    <w:link w:val="EndnoteTextChar"/>
    <w:uiPriority w:val="99"/>
    <w:unhideWhenUsed/>
    <w:rsid w:val="00776154"/>
    <w:rPr>
      <w:rFonts w:eastAsiaTheme="minorHAnsi" w:cstheme="minorBidi"/>
      <w:sz w:val="20"/>
      <w:szCs w:val="20"/>
      <w:lang w:bidi="ar-SA"/>
    </w:rPr>
  </w:style>
  <w:style w:type="character" w:customStyle="1" w:styleId="EndnoteTextChar">
    <w:name w:val="Endnote Text Char"/>
    <w:basedOn w:val="DefaultParagraphFont"/>
    <w:link w:val="EndnoteText"/>
    <w:uiPriority w:val="99"/>
    <w:rsid w:val="00776154"/>
    <w:rPr>
      <w:rFonts w:cstheme="minorBidi"/>
      <w:sz w:val="20"/>
      <w:szCs w:val="20"/>
      <w:lang w:val="en-GB"/>
    </w:rPr>
  </w:style>
  <w:style w:type="character" w:styleId="EndnoteReference">
    <w:name w:val="endnote reference"/>
    <w:basedOn w:val="DefaultParagraphFont"/>
    <w:uiPriority w:val="99"/>
    <w:unhideWhenUsed/>
    <w:rsid w:val="00776154"/>
    <w:rPr>
      <w:vertAlign w:val="superscript"/>
    </w:rPr>
  </w:style>
  <w:style w:type="table" w:styleId="LightList-Accent1">
    <w:name w:val="Light List Accent 1"/>
    <w:basedOn w:val="TableNormal"/>
    <w:uiPriority w:val="61"/>
    <w:rsid w:val="0077615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TMLCite">
    <w:name w:val="HTML Cite"/>
    <w:basedOn w:val="DefaultParagraphFont"/>
    <w:uiPriority w:val="99"/>
    <w:unhideWhenUsed/>
    <w:rsid w:val="00776154"/>
    <w:rPr>
      <w:i/>
      <w:iCs/>
    </w:rPr>
  </w:style>
  <w:style w:type="character" w:customStyle="1" w:styleId="srch-url2">
    <w:name w:val="srch-url2"/>
    <w:basedOn w:val="DefaultParagraphFont"/>
    <w:rsid w:val="00776154"/>
  </w:style>
  <w:style w:type="character" w:customStyle="1" w:styleId="current-selection">
    <w:name w:val="current-selection"/>
    <w:basedOn w:val="DefaultParagraphFont"/>
    <w:rsid w:val="00776154"/>
  </w:style>
  <w:style w:type="table" w:customStyle="1" w:styleId="TableGrid412">
    <w:name w:val="Table Grid412"/>
    <w:basedOn w:val="TableNormal"/>
    <w:next w:val="TableGrid"/>
    <w:uiPriority w:val="59"/>
    <w:rsid w:val="00776154"/>
    <w:rPr>
      <w:rFonts w:ascii="Calibri" w:eastAsia="Times New Roman"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4">
    <w:name w:val="Pa4"/>
    <w:basedOn w:val="Default"/>
    <w:next w:val="Default"/>
    <w:uiPriority w:val="99"/>
    <w:rsid w:val="00776154"/>
    <w:pPr>
      <w:spacing w:line="281" w:lineRule="atLeast"/>
    </w:pPr>
    <w:rPr>
      <w:rFonts w:ascii="Frutiger LT Std 45 Light" w:hAnsi="Frutiger LT Std 45 Light"/>
      <w:color w:val="auto"/>
      <w:lang w:val="en-GB"/>
    </w:rPr>
  </w:style>
  <w:style w:type="table" w:styleId="GridTable5Dark-Accent1">
    <w:name w:val="Grid Table 5 Dark Accent 1"/>
    <w:basedOn w:val="TableNormal"/>
    <w:uiPriority w:val="50"/>
    <w:rsid w:val="0077615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1">
    <w:name w:val="Grid Table 4 Accent 1"/>
    <w:basedOn w:val="TableNormal"/>
    <w:uiPriority w:val="49"/>
    <w:rsid w:val="00776154"/>
    <w:rPr>
      <w:rFonts w:ascii="Calibri" w:eastAsia="Times New Roman" w:hAnsi="Calibri" w:cs="Times New Roman"/>
      <w:sz w:val="20"/>
      <w:szCs w:val="20"/>
      <w:lang w:val="en-GB" w:eastAsia="en-GB"/>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eGrid5">
    <w:name w:val="Table Grid5"/>
    <w:basedOn w:val="TableNormal"/>
    <w:next w:val="TableGrid"/>
    <w:uiPriority w:val="59"/>
    <w:rsid w:val="00776154"/>
    <w:rPr>
      <w:rFonts w:ascii="Calibri" w:eastAsia="Times New Roman"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GridTable4-Accent3">
    <w:name w:val="Grid Table 4 Accent 3"/>
    <w:basedOn w:val="TableNormal"/>
    <w:uiPriority w:val="49"/>
    <w:rsid w:val="00776154"/>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MediumShading1-Accent31">
    <w:name w:val="Medium Shading 1 - Accent 31"/>
    <w:basedOn w:val="TableNormal"/>
    <w:next w:val="MediumShading1-Accent3"/>
    <w:uiPriority w:val="63"/>
    <w:rsid w:val="00776154"/>
    <w:rPr>
      <w:rFonts w:ascii="Calibri" w:eastAsia="Times New Roman" w:hAnsi="Calibri" w:cs="Times New Roman"/>
      <w:sz w:val="20"/>
      <w:szCs w:val="20"/>
      <w:lang w:val="en-GB" w:eastAsia="en-GB"/>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paragraph" w:styleId="Caption">
    <w:name w:val="caption"/>
    <w:basedOn w:val="Normal"/>
    <w:next w:val="Normal"/>
    <w:unhideWhenUsed/>
    <w:rsid w:val="00776154"/>
    <w:pPr>
      <w:spacing w:after="200"/>
    </w:pPr>
    <w:rPr>
      <w:i/>
      <w:iCs/>
      <w:color w:val="1F497D" w:themeColor="text2"/>
      <w:sz w:val="18"/>
      <w:szCs w:val="18"/>
    </w:rPr>
  </w:style>
  <w:style w:type="character" w:customStyle="1" w:styleId="a">
    <w:name w:val="_"/>
    <w:basedOn w:val="DefaultParagraphFont"/>
    <w:rsid w:val="00776154"/>
  </w:style>
  <w:style w:type="character" w:customStyle="1" w:styleId="ls10">
    <w:name w:val="ls10"/>
    <w:basedOn w:val="DefaultParagraphFont"/>
    <w:rsid w:val="00776154"/>
  </w:style>
  <w:style w:type="character" w:customStyle="1" w:styleId="ff4">
    <w:name w:val="ff4"/>
    <w:basedOn w:val="DefaultParagraphFont"/>
    <w:rsid w:val="00776154"/>
  </w:style>
  <w:style w:type="character" w:customStyle="1" w:styleId="ff3">
    <w:name w:val="ff3"/>
    <w:basedOn w:val="DefaultParagraphFont"/>
    <w:rsid w:val="00776154"/>
  </w:style>
  <w:style w:type="character" w:customStyle="1" w:styleId="ls0">
    <w:name w:val="ls0"/>
    <w:basedOn w:val="DefaultParagraphFont"/>
    <w:rsid w:val="00776154"/>
  </w:style>
  <w:style w:type="paragraph" w:customStyle="1" w:styleId="fsctblmain">
    <w:name w:val="fsctblmain"/>
    <w:basedOn w:val="Normal"/>
    <w:rsid w:val="00776154"/>
    <w:pPr>
      <w:spacing w:before="100" w:beforeAutospacing="1" w:after="100" w:afterAutospacing="1"/>
    </w:pPr>
    <w:rPr>
      <w:rFonts w:ascii="Times New Roman" w:hAnsi="Times New Roman"/>
      <w:sz w:val="24"/>
      <w:lang w:eastAsia="en-GB" w:bidi="ar-SA"/>
    </w:rPr>
  </w:style>
  <w:style w:type="paragraph" w:customStyle="1" w:styleId="fscbasetbl">
    <w:name w:val="fscbasetbl"/>
    <w:basedOn w:val="Normal"/>
    <w:rsid w:val="00776154"/>
    <w:pPr>
      <w:spacing w:before="100" w:beforeAutospacing="1" w:after="100" w:afterAutospacing="1"/>
    </w:pPr>
    <w:rPr>
      <w:rFonts w:ascii="Times New Roman" w:hAnsi="Times New Roman"/>
      <w:sz w:val="24"/>
      <w:lang w:eastAsia="en-GB" w:bidi="ar-SA"/>
    </w:rPr>
  </w:style>
  <w:style w:type="character" w:customStyle="1" w:styleId="groupname">
    <w:name w:val="groupname"/>
    <w:basedOn w:val="DefaultParagraphFont"/>
    <w:rsid w:val="00776154"/>
  </w:style>
  <w:style w:type="character" w:customStyle="1" w:styleId="articletitle">
    <w:name w:val="articletitle"/>
    <w:basedOn w:val="DefaultParagraphFont"/>
    <w:rsid w:val="00776154"/>
  </w:style>
  <w:style w:type="character" w:customStyle="1" w:styleId="pubyear">
    <w:name w:val="pubyear"/>
    <w:basedOn w:val="DefaultParagraphFont"/>
    <w:rsid w:val="00776154"/>
  </w:style>
  <w:style w:type="character" w:customStyle="1" w:styleId="vol">
    <w:name w:val="vol"/>
    <w:basedOn w:val="DefaultParagraphFont"/>
    <w:rsid w:val="00776154"/>
  </w:style>
  <w:style w:type="character" w:customStyle="1" w:styleId="citedissue">
    <w:name w:val="citedissue"/>
    <w:basedOn w:val="DefaultParagraphFont"/>
    <w:rsid w:val="00776154"/>
  </w:style>
  <w:style w:type="character" w:customStyle="1" w:styleId="italic">
    <w:name w:val="italic"/>
    <w:basedOn w:val="DefaultParagraphFont"/>
    <w:rsid w:val="00776154"/>
  </w:style>
  <w:style w:type="paragraph" w:customStyle="1" w:styleId="fsctsubpara0">
    <w:name w:val="fsctsubpara"/>
    <w:basedOn w:val="Normal"/>
    <w:rsid w:val="00776154"/>
    <w:pPr>
      <w:spacing w:before="100" w:beforeAutospacing="1" w:after="100" w:afterAutospacing="1"/>
    </w:pPr>
    <w:rPr>
      <w:rFonts w:ascii="Times New Roman" w:hAnsi="Times New Roman"/>
      <w:sz w:val="24"/>
      <w:lang w:eastAsia="en-GB" w:bidi="ar-SA"/>
    </w:rPr>
  </w:style>
  <w:style w:type="paragraph" w:customStyle="1" w:styleId="CitaviBibliographyEntry">
    <w:name w:val="Citavi Bibliography Entry"/>
    <w:basedOn w:val="Normal"/>
    <w:link w:val="CitaviBibliographyEntryChar"/>
    <w:rsid w:val="00954BDA"/>
    <w:pPr>
      <w:widowControl w:val="0"/>
      <w:tabs>
        <w:tab w:val="left" w:pos="397"/>
      </w:tabs>
      <w:ind w:left="397" w:hanging="397"/>
    </w:pPr>
    <w:rPr>
      <w:lang w:val="en-AU"/>
    </w:rPr>
  </w:style>
  <w:style w:type="character" w:customStyle="1" w:styleId="CitaviBibliographyEntryChar">
    <w:name w:val="Citavi Bibliography Entry Char"/>
    <w:basedOn w:val="DefaultParagraphFont"/>
    <w:link w:val="CitaviBibliographyEntry"/>
    <w:rsid w:val="00954BDA"/>
    <w:rPr>
      <w:rFonts w:eastAsia="Times New Roman" w:cs="Times New Roman"/>
      <w:szCs w:val="24"/>
      <w:lang w:bidi="en-US"/>
    </w:rPr>
  </w:style>
  <w:style w:type="paragraph" w:customStyle="1" w:styleId="bigtext">
    <w:name w:val="bigtext"/>
    <w:basedOn w:val="Normal"/>
    <w:rsid w:val="007F48C2"/>
    <w:pPr>
      <w:spacing w:before="100" w:beforeAutospacing="1" w:after="100" w:afterAutospacing="1"/>
    </w:pPr>
    <w:rPr>
      <w:rFonts w:ascii="Times New Roman" w:hAnsi="Times New Roman"/>
      <w:sz w:val="24"/>
      <w:lang w:eastAsia="en-GB" w:bidi="ar-SA"/>
    </w:rPr>
  </w:style>
  <w:style w:type="character" w:customStyle="1" w:styleId="html-italic">
    <w:name w:val="html-italic"/>
    <w:basedOn w:val="DefaultParagraphFont"/>
    <w:rsid w:val="00505176"/>
  </w:style>
  <w:style w:type="table" w:styleId="ListTable4-Accent3">
    <w:name w:val="List Table 4 Accent 3"/>
    <w:basedOn w:val="TableNormal"/>
    <w:uiPriority w:val="49"/>
    <w:rsid w:val="00542980"/>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TableofFigures">
    <w:name w:val="table of figures"/>
    <w:basedOn w:val="Normal"/>
    <w:next w:val="Normal"/>
    <w:uiPriority w:val="99"/>
    <w:unhideWhenUsed/>
    <w:rsid w:val="007E47E2"/>
  </w:style>
  <w:style w:type="character" w:customStyle="1" w:styleId="author">
    <w:name w:val="author"/>
    <w:basedOn w:val="DefaultParagraphFont"/>
    <w:rsid w:val="003160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23984">
      <w:bodyDiv w:val="1"/>
      <w:marLeft w:val="0"/>
      <w:marRight w:val="0"/>
      <w:marTop w:val="0"/>
      <w:marBottom w:val="0"/>
      <w:divBdr>
        <w:top w:val="none" w:sz="0" w:space="0" w:color="auto"/>
        <w:left w:val="none" w:sz="0" w:space="0" w:color="auto"/>
        <w:bottom w:val="none" w:sz="0" w:space="0" w:color="auto"/>
        <w:right w:val="none" w:sz="0" w:space="0" w:color="auto"/>
      </w:divBdr>
    </w:div>
    <w:div w:id="81266862">
      <w:bodyDiv w:val="1"/>
      <w:marLeft w:val="0"/>
      <w:marRight w:val="0"/>
      <w:marTop w:val="0"/>
      <w:marBottom w:val="0"/>
      <w:divBdr>
        <w:top w:val="none" w:sz="0" w:space="0" w:color="auto"/>
        <w:left w:val="none" w:sz="0" w:space="0" w:color="auto"/>
        <w:bottom w:val="none" w:sz="0" w:space="0" w:color="auto"/>
        <w:right w:val="none" w:sz="0" w:space="0" w:color="auto"/>
      </w:divBdr>
    </w:div>
    <w:div w:id="240407159">
      <w:bodyDiv w:val="1"/>
      <w:marLeft w:val="0"/>
      <w:marRight w:val="0"/>
      <w:marTop w:val="0"/>
      <w:marBottom w:val="0"/>
      <w:divBdr>
        <w:top w:val="none" w:sz="0" w:space="0" w:color="auto"/>
        <w:left w:val="none" w:sz="0" w:space="0" w:color="auto"/>
        <w:bottom w:val="none" w:sz="0" w:space="0" w:color="auto"/>
        <w:right w:val="none" w:sz="0" w:space="0" w:color="auto"/>
      </w:divBdr>
    </w:div>
    <w:div w:id="246227559">
      <w:bodyDiv w:val="1"/>
      <w:marLeft w:val="0"/>
      <w:marRight w:val="0"/>
      <w:marTop w:val="0"/>
      <w:marBottom w:val="0"/>
      <w:divBdr>
        <w:top w:val="none" w:sz="0" w:space="0" w:color="auto"/>
        <w:left w:val="none" w:sz="0" w:space="0" w:color="auto"/>
        <w:bottom w:val="none" w:sz="0" w:space="0" w:color="auto"/>
        <w:right w:val="none" w:sz="0" w:space="0" w:color="auto"/>
      </w:divBdr>
    </w:div>
    <w:div w:id="263198881">
      <w:bodyDiv w:val="1"/>
      <w:marLeft w:val="0"/>
      <w:marRight w:val="0"/>
      <w:marTop w:val="0"/>
      <w:marBottom w:val="0"/>
      <w:divBdr>
        <w:top w:val="none" w:sz="0" w:space="0" w:color="auto"/>
        <w:left w:val="none" w:sz="0" w:space="0" w:color="auto"/>
        <w:bottom w:val="none" w:sz="0" w:space="0" w:color="auto"/>
        <w:right w:val="none" w:sz="0" w:space="0" w:color="auto"/>
      </w:divBdr>
    </w:div>
    <w:div w:id="270361938">
      <w:bodyDiv w:val="1"/>
      <w:marLeft w:val="0"/>
      <w:marRight w:val="0"/>
      <w:marTop w:val="0"/>
      <w:marBottom w:val="0"/>
      <w:divBdr>
        <w:top w:val="none" w:sz="0" w:space="0" w:color="auto"/>
        <w:left w:val="none" w:sz="0" w:space="0" w:color="auto"/>
        <w:bottom w:val="none" w:sz="0" w:space="0" w:color="auto"/>
        <w:right w:val="none" w:sz="0" w:space="0" w:color="auto"/>
      </w:divBdr>
    </w:div>
    <w:div w:id="316767253">
      <w:bodyDiv w:val="1"/>
      <w:marLeft w:val="0"/>
      <w:marRight w:val="0"/>
      <w:marTop w:val="0"/>
      <w:marBottom w:val="0"/>
      <w:divBdr>
        <w:top w:val="none" w:sz="0" w:space="0" w:color="auto"/>
        <w:left w:val="none" w:sz="0" w:space="0" w:color="auto"/>
        <w:bottom w:val="none" w:sz="0" w:space="0" w:color="auto"/>
        <w:right w:val="none" w:sz="0" w:space="0" w:color="auto"/>
      </w:divBdr>
    </w:div>
    <w:div w:id="320474751">
      <w:bodyDiv w:val="1"/>
      <w:marLeft w:val="0"/>
      <w:marRight w:val="0"/>
      <w:marTop w:val="0"/>
      <w:marBottom w:val="0"/>
      <w:divBdr>
        <w:top w:val="none" w:sz="0" w:space="0" w:color="auto"/>
        <w:left w:val="none" w:sz="0" w:space="0" w:color="auto"/>
        <w:bottom w:val="none" w:sz="0" w:space="0" w:color="auto"/>
        <w:right w:val="none" w:sz="0" w:space="0" w:color="auto"/>
      </w:divBdr>
    </w:div>
    <w:div w:id="353776542">
      <w:bodyDiv w:val="1"/>
      <w:marLeft w:val="0"/>
      <w:marRight w:val="0"/>
      <w:marTop w:val="0"/>
      <w:marBottom w:val="0"/>
      <w:divBdr>
        <w:top w:val="none" w:sz="0" w:space="0" w:color="auto"/>
        <w:left w:val="none" w:sz="0" w:space="0" w:color="auto"/>
        <w:bottom w:val="none" w:sz="0" w:space="0" w:color="auto"/>
        <w:right w:val="none" w:sz="0" w:space="0" w:color="auto"/>
      </w:divBdr>
    </w:div>
    <w:div w:id="524488512">
      <w:bodyDiv w:val="1"/>
      <w:marLeft w:val="0"/>
      <w:marRight w:val="0"/>
      <w:marTop w:val="0"/>
      <w:marBottom w:val="0"/>
      <w:divBdr>
        <w:top w:val="none" w:sz="0" w:space="0" w:color="auto"/>
        <w:left w:val="none" w:sz="0" w:space="0" w:color="auto"/>
        <w:bottom w:val="none" w:sz="0" w:space="0" w:color="auto"/>
        <w:right w:val="none" w:sz="0" w:space="0" w:color="auto"/>
      </w:divBdr>
    </w:div>
    <w:div w:id="643629190">
      <w:bodyDiv w:val="1"/>
      <w:marLeft w:val="0"/>
      <w:marRight w:val="0"/>
      <w:marTop w:val="0"/>
      <w:marBottom w:val="0"/>
      <w:divBdr>
        <w:top w:val="none" w:sz="0" w:space="0" w:color="auto"/>
        <w:left w:val="none" w:sz="0" w:space="0" w:color="auto"/>
        <w:bottom w:val="none" w:sz="0" w:space="0" w:color="auto"/>
        <w:right w:val="none" w:sz="0" w:space="0" w:color="auto"/>
      </w:divBdr>
    </w:div>
    <w:div w:id="786310085">
      <w:bodyDiv w:val="1"/>
      <w:marLeft w:val="0"/>
      <w:marRight w:val="0"/>
      <w:marTop w:val="0"/>
      <w:marBottom w:val="0"/>
      <w:divBdr>
        <w:top w:val="none" w:sz="0" w:space="0" w:color="auto"/>
        <w:left w:val="none" w:sz="0" w:space="0" w:color="auto"/>
        <w:bottom w:val="none" w:sz="0" w:space="0" w:color="auto"/>
        <w:right w:val="none" w:sz="0" w:space="0" w:color="auto"/>
      </w:divBdr>
      <w:divsChild>
        <w:div w:id="377045808">
          <w:marLeft w:val="0"/>
          <w:marRight w:val="0"/>
          <w:marTop w:val="0"/>
          <w:marBottom w:val="0"/>
          <w:divBdr>
            <w:top w:val="none" w:sz="0" w:space="0" w:color="auto"/>
            <w:left w:val="none" w:sz="0" w:space="0" w:color="auto"/>
            <w:bottom w:val="none" w:sz="0" w:space="0" w:color="auto"/>
            <w:right w:val="none" w:sz="0" w:space="0" w:color="auto"/>
          </w:divBdr>
          <w:divsChild>
            <w:div w:id="5007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011704">
      <w:bodyDiv w:val="1"/>
      <w:marLeft w:val="0"/>
      <w:marRight w:val="0"/>
      <w:marTop w:val="0"/>
      <w:marBottom w:val="0"/>
      <w:divBdr>
        <w:top w:val="none" w:sz="0" w:space="0" w:color="auto"/>
        <w:left w:val="none" w:sz="0" w:space="0" w:color="auto"/>
        <w:bottom w:val="none" w:sz="0" w:space="0" w:color="auto"/>
        <w:right w:val="none" w:sz="0" w:space="0" w:color="auto"/>
      </w:divBdr>
    </w:div>
    <w:div w:id="949169772">
      <w:bodyDiv w:val="1"/>
      <w:marLeft w:val="0"/>
      <w:marRight w:val="0"/>
      <w:marTop w:val="0"/>
      <w:marBottom w:val="0"/>
      <w:divBdr>
        <w:top w:val="none" w:sz="0" w:space="0" w:color="auto"/>
        <w:left w:val="none" w:sz="0" w:space="0" w:color="auto"/>
        <w:bottom w:val="none" w:sz="0" w:space="0" w:color="auto"/>
        <w:right w:val="none" w:sz="0" w:space="0" w:color="auto"/>
      </w:divBdr>
      <w:divsChild>
        <w:div w:id="2047830403">
          <w:marLeft w:val="0"/>
          <w:marRight w:val="0"/>
          <w:marTop w:val="0"/>
          <w:marBottom w:val="0"/>
          <w:divBdr>
            <w:top w:val="none" w:sz="0" w:space="0" w:color="auto"/>
            <w:left w:val="none" w:sz="0" w:space="0" w:color="auto"/>
            <w:bottom w:val="none" w:sz="0" w:space="0" w:color="auto"/>
            <w:right w:val="none" w:sz="0" w:space="0" w:color="auto"/>
          </w:divBdr>
          <w:divsChild>
            <w:div w:id="841701972">
              <w:marLeft w:val="0"/>
              <w:marRight w:val="0"/>
              <w:marTop w:val="0"/>
              <w:marBottom w:val="0"/>
              <w:divBdr>
                <w:top w:val="none" w:sz="0" w:space="0" w:color="auto"/>
                <w:left w:val="none" w:sz="0" w:space="0" w:color="auto"/>
                <w:bottom w:val="none" w:sz="0" w:space="0" w:color="auto"/>
                <w:right w:val="none" w:sz="0" w:space="0" w:color="auto"/>
              </w:divBdr>
              <w:divsChild>
                <w:div w:id="195895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1494">
          <w:marLeft w:val="0"/>
          <w:marRight w:val="0"/>
          <w:marTop w:val="0"/>
          <w:marBottom w:val="0"/>
          <w:divBdr>
            <w:top w:val="none" w:sz="0" w:space="0" w:color="auto"/>
            <w:left w:val="none" w:sz="0" w:space="0" w:color="auto"/>
            <w:bottom w:val="none" w:sz="0" w:space="0" w:color="auto"/>
            <w:right w:val="none" w:sz="0" w:space="0" w:color="auto"/>
          </w:divBdr>
          <w:divsChild>
            <w:div w:id="1572695705">
              <w:marLeft w:val="0"/>
              <w:marRight w:val="0"/>
              <w:marTop w:val="0"/>
              <w:marBottom w:val="0"/>
              <w:divBdr>
                <w:top w:val="none" w:sz="0" w:space="0" w:color="auto"/>
                <w:left w:val="none" w:sz="0" w:space="0" w:color="auto"/>
                <w:bottom w:val="none" w:sz="0" w:space="0" w:color="auto"/>
                <w:right w:val="none" w:sz="0" w:space="0" w:color="auto"/>
              </w:divBdr>
              <w:divsChild>
                <w:div w:id="872378538">
                  <w:marLeft w:val="0"/>
                  <w:marRight w:val="0"/>
                  <w:marTop w:val="0"/>
                  <w:marBottom w:val="0"/>
                  <w:divBdr>
                    <w:top w:val="single" w:sz="18" w:space="4" w:color="006FCA"/>
                    <w:left w:val="single" w:sz="18" w:space="4" w:color="006FCA"/>
                    <w:bottom w:val="single" w:sz="18" w:space="4" w:color="006FCA"/>
                    <w:right w:val="single" w:sz="18" w:space="4" w:color="006FCA"/>
                  </w:divBdr>
                  <w:divsChild>
                    <w:div w:id="1858419100">
                      <w:marLeft w:val="0"/>
                      <w:marRight w:val="0"/>
                      <w:marTop w:val="0"/>
                      <w:marBottom w:val="0"/>
                      <w:divBdr>
                        <w:top w:val="none" w:sz="0" w:space="0" w:color="auto"/>
                        <w:left w:val="none" w:sz="0" w:space="0" w:color="auto"/>
                        <w:bottom w:val="none" w:sz="0" w:space="0" w:color="auto"/>
                        <w:right w:val="none" w:sz="0" w:space="0" w:color="auto"/>
                      </w:divBdr>
                      <w:divsChild>
                        <w:div w:id="201569269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190410292">
      <w:bodyDiv w:val="1"/>
      <w:marLeft w:val="0"/>
      <w:marRight w:val="0"/>
      <w:marTop w:val="0"/>
      <w:marBottom w:val="0"/>
      <w:divBdr>
        <w:top w:val="none" w:sz="0" w:space="0" w:color="auto"/>
        <w:left w:val="none" w:sz="0" w:space="0" w:color="auto"/>
        <w:bottom w:val="none" w:sz="0" w:space="0" w:color="auto"/>
        <w:right w:val="none" w:sz="0" w:space="0" w:color="auto"/>
      </w:divBdr>
    </w:div>
    <w:div w:id="1326397844">
      <w:bodyDiv w:val="1"/>
      <w:marLeft w:val="0"/>
      <w:marRight w:val="0"/>
      <w:marTop w:val="0"/>
      <w:marBottom w:val="0"/>
      <w:divBdr>
        <w:top w:val="none" w:sz="0" w:space="0" w:color="auto"/>
        <w:left w:val="none" w:sz="0" w:space="0" w:color="auto"/>
        <w:bottom w:val="none" w:sz="0" w:space="0" w:color="auto"/>
        <w:right w:val="none" w:sz="0" w:space="0" w:color="auto"/>
      </w:divBdr>
    </w:div>
    <w:div w:id="1636253981">
      <w:bodyDiv w:val="1"/>
      <w:marLeft w:val="0"/>
      <w:marRight w:val="0"/>
      <w:marTop w:val="0"/>
      <w:marBottom w:val="0"/>
      <w:divBdr>
        <w:top w:val="none" w:sz="0" w:space="0" w:color="auto"/>
        <w:left w:val="none" w:sz="0" w:space="0" w:color="auto"/>
        <w:bottom w:val="none" w:sz="0" w:space="0" w:color="auto"/>
        <w:right w:val="none" w:sz="0" w:space="0" w:color="auto"/>
      </w:divBdr>
    </w:div>
    <w:div w:id="1647319015">
      <w:bodyDiv w:val="1"/>
      <w:marLeft w:val="0"/>
      <w:marRight w:val="0"/>
      <w:marTop w:val="0"/>
      <w:marBottom w:val="0"/>
      <w:divBdr>
        <w:top w:val="none" w:sz="0" w:space="0" w:color="auto"/>
        <w:left w:val="none" w:sz="0" w:space="0" w:color="auto"/>
        <w:bottom w:val="none" w:sz="0" w:space="0" w:color="auto"/>
        <w:right w:val="none" w:sz="0" w:space="0" w:color="auto"/>
      </w:divBdr>
    </w:div>
    <w:div w:id="1705053262">
      <w:bodyDiv w:val="1"/>
      <w:marLeft w:val="0"/>
      <w:marRight w:val="0"/>
      <w:marTop w:val="0"/>
      <w:marBottom w:val="0"/>
      <w:divBdr>
        <w:top w:val="none" w:sz="0" w:space="0" w:color="auto"/>
        <w:left w:val="none" w:sz="0" w:space="0" w:color="auto"/>
        <w:bottom w:val="none" w:sz="0" w:space="0" w:color="auto"/>
        <w:right w:val="none" w:sz="0" w:space="0" w:color="auto"/>
      </w:divBdr>
    </w:div>
    <w:div w:id="1739398878">
      <w:bodyDiv w:val="1"/>
      <w:marLeft w:val="0"/>
      <w:marRight w:val="0"/>
      <w:marTop w:val="0"/>
      <w:marBottom w:val="0"/>
      <w:divBdr>
        <w:top w:val="none" w:sz="0" w:space="0" w:color="auto"/>
        <w:left w:val="none" w:sz="0" w:space="0" w:color="auto"/>
        <w:bottom w:val="none" w:sz="0" w:space="0" w:color="auto"/>
        <w:right w:val="none" w:sz="0" w:space="0" w:color="auto"/>
      </w:divBdr>
    </w:div>
    <w:div w:id="1845782920">
      <w:bodyDiv w:val="1"/>
      <w:marLeft w:val="0"/>
      <w:marRight w:val="0"/>
      <w:marTop w:val="0"/>
      <w:marBottom w:val="0"/>
      <w:divBdr>
        <w:top w:val="none" w:sz="0" w:space="0" w:color="auto"/>
        <w:left w:val="none" w:sz="0" w:space="0" w:color="auto"/>
        <w:bottom w:val="none" w:sz="0" w:space="0" w:color="auto"/>
        <w:right w:val="none" w:sz="0" w:space="0" w:color="auto"/>
      </w:divBdr>
      <w:divsChild>
        <w:div w:id="2113502276">
          <w:marLeft w:val="0"/>
          <w:marRight w:val="0"/>
          <w:marTop w:val="0"/>
          <w:marBottom w:val="0"/>
          <w:divBdr>
            <w:top w:val="none" w:sz="0" w:space="0" w:color="auto"/>
            <w:left w:val="none" w:sz="0" w:space="0" w:color="auto"/>
            <w:bottom w:val="none" w:sz="0" w:space="0" w:color="auto"/>
            <w:right w:val="none" w:sz="0" w:space="0" w:color="auto"/>
          </w:divBdr>
          <w:divsChild>
            <w:div w:id="2097744169">
              <w:marLeft w:val="0"/>
              <w:marRight w:val="0"/>
              <w:marTop w:val="0"/>
              <w:marBottom w:val="0"/>
              <w:divBdr>
                <w:top w:val="none" w:sz="0" w:space="0" w:color="auto"/>
                <w:left w:val="none" w:sz="0" w:space="0" w:color="auto"/>
                <w:bottom w:val="none" w:sz="0" w:space="0" w:color="auto"/>
                <w:right w:val="none" w:sz="0" w:space="0" w:color="auto"/>
              </w:divBdr>
            </w:div>
            <w:div w:id="1942493845">
              <w:marLeft w:val="0"/>
              <w:marRight w:val="0"/>
              <w:marTop w:val="0"/>
              <w:marBottom w:val="0"/>
              <w:divBdr>
                <w:top w:val="none" w:sz="0" w:space="0" w:color="auto"/>
                <w:left w:val="none" w:sz="0" w:space="0" w:color="auto"/>
                <w:bottom w:val="none" w:sz="0" w:space="0" w:color="auto"/>
                <w:right w:val="none" w:sz="0" w:space="0" w:color="auto"/>
              </w:divBdr>
            </w:div>
            <w:div w:id="1477528633">
              <w:marLeft w:val="0"/>
              <w:marRight w:val="0"/>
              <w:marTop w:val="0"/>
              <w:marBottom w:val="0"/>
              <w:divBdr>
                <w:top w:val="none" w:sz="0" w:space="0" w:color="auto"/>
                <w:left w:val="none" w:sz="0" w:space="0" w:color="auto"/>
                <w:bottom w:val="none" w:sz="0" w:space="0" w:color="auto"/>
                <w:right w:val="none" w:sz="0" w:space="0" w:color="auto"/>
              </w:divBdr>
            </w:div>
            <w:div w:id="997347490">
              <w:marLeft w:val="0"/>
              <w:marRight w:val="0"/>
              <w:marTop w:val="0"/>
              <w:marBottom w:val="0"/>
              <w:divBdr>
                <w:top w:val="none" w:sz="0" w:space="0" w:color="auto"/>
                <w:left w:val="none" w:sz="0" w:space="0" w:color="auto"/>
                <w:bottom w:val="none" w:sz="0" w:space="0" w:color="auto"/>
                <w:right w:val="none" w:sz="0" w:space="0" w:color="auto"/>
              </w:divBdr>
            </w:div>
            <w:div w:id="1820269987">
              <w:marLeft w:val="0"/>
              <w:marRight w:val="0"/>
              <w:marTop w:val="0"/>
              <w:marBottom w:val="0"/>
              <w:divBdr>
                <w:top w:val="none" w:sz="0" w:space="0" w:color="auto"/>
                <w:left w:val="none" w:sz="0" w:space="0" w:color="auto"/>
                <w:bottom w:val="none" w:sz="0" w:space="0" w:color="auto"/>
                <w:right w:val="none" w:sz="0" w:space="0" w:color="auto"/>
              </w:divBdr>
            </w:div>
            <w:div w:id="19862872">
              <w:marLeft w:val="0"/>
              <w:marRight w:val="0"/>
              <w:marTop w:val="0"/>
              <w:marBottom w:val="0"/>
              <w:divBdr>
                <w:top w:val="none" w:sz="0" w:space="0" w:color="auto"/>
                <w:left w:val="none" w:sz="0" w:space="0" w:color="auto"/>
                <w:bottom w:val="none" w:sz="0" w:space="0" w:color="auto"/>
                <w:right w:val="none" w:sz="0" w:space="0" w:color="auto"/>
              </w:divBdr>
            </w:div>
            <w:div w:id="1307662806">
              <w:marLeft w:val="0"/>
              <w:marRight w:val="0"/>
              <w:marTop w:val="0"/>
              <w:marBottom w:val="0"/>
              <w:divBdr>
                <w:top w:val="none" w:sz="0" w:space="0" w:color="auto"/>
                <w:left w:val="none" w:sz="0" w:space="0" w:color="auto"/>
                <w:bottom w:val="none" w:sz="0" w:space="0" w:color="auto"/>
                <w:right w:val="none" w:sz="0" w:space="0" w:color="auto"/>
              </w:divBdr>
            </w:div>
            <w:div w:id="198397852">
              <w:marLeft w:val="0"/>
              <w:marRight w:val="0"/>
              <w:marTop w:val="0"/>
              <w:marBottom w:val="0"/>
              <w:divBdr>
                <w:top w:val="none" w:sz="0" w:space="0" w:color="auto"/>
                <w:left w:val="none" w:sz="0" w:space="0" w:color="auto"/>
                <w:bottom w:val="none" w:sz="0" w:space="0" w:color="auto"/>
                <w:right w:val="none" w:sz="0" w:space="0" w:color="auto"/>
              </w:divBdr>
            </w:div>
            <w:div w:id="688213646">
              <w:marLeft w:val="0"/>
              <w:marRight w:val="0"/>
              <w:marTop w:val="0"/>
              <w:marBottom w:val="0"/>
              <w:divBdr>
                <w:top w:val="none" w:sz="0" w:space="0" w:color="auto"/>
                <w:left w:val="none" w:sz="0" w:space="0" w:color="auto"/>
                <w:bottom w:val="none" w:sz="0" w:space="0" w:color="auto"/>
                <w:right w:val="none" w:sz="0" w:space="0" w:color="auto"/>
              </w:divBdr>
            </w:div>
            <w:div w:id="1130513325">
              <w:marLeft w:val="0"/>
              <w:marRight w:val="0"/>
              <w:marTop w:val="0"/>
              <w:marBottom w:val="0"/>
              <w:divBdr>
                <w:top w:val="none" w:sz="0" w:space="0" w:color="auto"/>
                <w:left w:val="none" w:sz="0" w:space="0" w:color="auto"/>
                <w:bottom w:val="none" w:sz="0" w:space="0" w:color="auto"/>
                <w:right w:val="none" w:sz="0" w:space="0" w:color="auto"/>
              </w:divBdr>
            </w:div>
            <w:div w:id="1588228758">
              <w:marLeft w:val="0"/>
              <w:marRight w:val="0"/>
              <w:marTop w:val="0"/>
              <w:marBottom w:val="0"/>
              <w:divBdr>
                <w:top w:val="none" w:sz="0" w:space="0" w:color="auto"/>
                <w:left w:val="none" w:sz="0" w:space="0" w:color="auto"/>
                <w:bottom w:val="none" w:sz="0" w:space="0" w:color="auto"/>
                <w:right w:val="none" w:sz="0" w:space="0" w:color="auto"/>
              </w:divBdr>
            </w:div>
            <w:div w:id="338653615">
              <w:marLeft w:val="0"/>
              <w:marRight w:val="0"/>
              <w:marTop w:val="0"/>
              <w:marBottom w:val="0"/>
              <w:divBdr>
                <w:top w:val="none" w:sz="0" w:space="0" w:color="auto"/>
                <w:left w:val="none" w:sz="0" w:space="0" w:color="auto"/>
                <w:bottom w:val="none" w:sz="0" w:space="0" w:color="auto"/>
                <w:right w:val="none" w:sz="0" w:space="0" w:color="auto"/>
              </w:divBdr>
            </w:div>
          </w:divsChild>
        </w:div>
        <w:div w:id="1730692945">
          <w:marLeft w:val="0"/>
          <w:marRight w:val="0"/>
          <w:marTop w:val="0"/>
          <w:marBottom w:val="0"/>
          <w:divBdr>
            <w:top w:val="none" w:sz="0" w:space="0" w:color="auto"/>
            <w:left w:val="none" w:sz="0" w:space="0" w:color="auto"/>
            <w:bottom w:val="none" w:sz="0" w:space="0" w:color="auto"/>
            <w:right w:val="none" w:sz="0" w:space="0" w:color="auto"/>
          </w:divBdr>
        </w:div>
        <w:div w:id="487942501">
          <w:marLeft w:val="0"/>
          <w:marRight w:val="0"/>
          <w:marTop w:val="0"/>
          <w:marBottom w:val="0"/>
          <w:divBdr>
            <w:top w:val="none" w:sz="0" w:space="0" w:color="auto"/>
            <w:left w:val="none" w:sz="0" w:space="0" w:color="auto"/>
            <w:bottom w:val="none" w:sz="0" w:space="0" w:color="auto"/>
            <w:right w:val="none" w:sz="0" w:space="0" w:color="auto"/>
          </w:divBdr>
        </w:div>
        <w:div w:id="1682657342">
          <w:marLeft w:val="0"/>
          <w:marRight w:val="0"/>
          <w:marTop w:val="0"/>
          <w:marBottom w:val="0"/>
          <w:divBdr>
            <w:top w:val="none" w:sz="0" w:space="0" w:color="auto"/>
            <w:left w:val="none" w:sz="0" w:space="0" w:color="auto"/>
            <w:bottom w:val="none" w:sz="0" w:space="0" w:color="auto"/>
            <w:right w:val="none" w:sz="0" w:space="0" w:color="auto"/>
          </w:divBdr>
        </w:div>
        <w:div w:id="2069375424">
          <w:marLeft w:val="0"/>
          <w:marRight w:val="0"/>
          <w:marTop w:val="0"/>
          <w:marBottom w:val="0"/>
          <w:divBdr>
            <w:top w:val="none" w:sz="0" w:space="0" w:color="auto"/>
            <w:left w:val="none" w:sz="0" w:space="0" w:color="auto"/>
            <w:bottom w:val="none" w:sz="0" w:space="0" w:color="auto"/>
            <w:right w:val="none" w:sz="0" w:space="0" w:color="auto"/>
          </w:divBdr>
        </w:div>
        <w:div w:id="1361054215">
          <w:marLeft w:val="0"/>
          <w:marRight w:val="0"/>
          <w:marTop w:val="0"/>
          <w:marBottom w:val="0"/>
          <w:divBdr>
            <w:top w:val="none" w:sz="0" w:space="0" w:color="auto"/>
            <w:left w:val="none" w:sz="0" w:space="0" w:color="auto"/>
            <w:bottom w:val="none" w:sz="0" w:space="0" w:color="auto"/>
            <w:right w:val="none" w:sz="0" w:space="0" w:color="auto"/>
          </w:divBdr>
        </w:div>
        <w:div w:id="756633782">
          <w:marLeft w:val="0"/>
          <w:marRight w:val="0"/>
          <w:marTop w:val="0"/>
          <w:marBottom w:val="0"/>
          <w:divBdr>
            <w:top w:val="none" w:sz="0" w:space="0" w:color="auto"/>
            <w:left w:val="none" w:sz="0" w:space="0" w:color="auto"/>
            <w:bottom w:val="none" w:sz="0" w:space="0" w:color="auto"/>
            <w:right w:val="none" w:sz="0" w:space="0" w:color="auto"/>
          </w:divBdr>
        </w:div>
      </w:divsChild>
    </w:div>
    <w:div w:id="1952591611">
      <w:bodyDiv w:val="1"/>
      <w:marLeft w:val="0"/>
      <w:marRight w:val="0"/>
      <w:marTop w:val="0"/>
      <w:marBottom w:val="0"/>
      <w:divBdr>
        <w:top w:val="none" w:sz="0" w:space="0" w:color="auto"/>
        <w:left w:val="none" w:sz="0" w:space="0" w:color="auto"/>
        <w:bottom w:val="none" w:sz="0" w:space="0" w:color="auto"/>
        <w:right w:val="none" w:sz="0" w:space="0" w:color="auto"/>
      </w:divBdr>
    </w:div>
    <w:div w:id="2023050745">
      <w:bodyDiv w:val="1"/>
      <w:marLeft w:val="0"/>
      <w:marRight w:val="0"/>
      <w:marTop w:val="0"/>
      <w:marBottom w:val="0"/>
      <w:divBdr>
        <w:top w:val="none" w:sz="0" w:space="0" w:color="auto"/>
        <w:left w:val="none" w:sz="0" w:space="0" w:color="auto"/>
        <w:bottom w:val="none" w:sz="0" w:space="0" w:color="auto"/>
        <w:right w:val="none" w:sz="0" w:space="0" w:color="auto"/>
      </w:divBdr>
      <w:divsChild>
        <w:div w:id="2106418386">
          <w:marLeft w:val="0"/>
          <w:marRight w:val="0"/>
          <w:marTop w:val="0"/>
          <w:marBottom w:val="0"/>
          <w:divBdr>
            <w:top w:val="single" w:sz="6" w:space="0" w:color="666666"/>
            <w:left w:val="single" w:sz="6" w:space="0" w:color="666666"/>
            <w:bottom w:val="single" w:sz="6" w:space="0" w:color="666666"/>
            <w:right w:val="single" w:sz="6" w:space="0" w:color="666666"/>
          </w:divBdr>
          <w:divsChild>
            <w:div w:id="107285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888118">
      <w:bodyDiv w:val="1"/>
      <w:marLeft w:val="0"/>
      <w:marRight w:val="0"/>
      <w:marTop w:val="0"/>
      <w:marBottom w:val="0"/>
      <w:divBdr>
        <w:top w:val="none" w:sz="0" w:space="0" w:color="auto"/>
        <w:left w:val="none" w:sz="0" w:space="0" w:color="auto"/>
        <w:bottom w:val="none" w:sz="0" w:space="0" w:color="auto"/>
        <w:right w:val="none" w:sz="0" w:space="0" w:color="auto"/>
      </w:divBdr>
      <w:divsChild>
        <w:div w:id="67265956">
          <w:marLeft w:val="0"/>
          <w:marRight w:val="1"/>
          <w:marTop w:val="0"/>
          <w:marBottom w:val="0"/>
          <w:divBdr>
            <w:top w:val="none" w:sz="0" w:space="0" w:color="auto"/>
            <w:left w:val="none" w:sz="0" w:space="0" w:color="auto"/>
            <w:bottom w:val="none" w:sz="0" w:space="0" w:color="auto"/>
            <w:right w:val="none" w:sz="0" w:space="0" w:color="auto"/>
          </w:divBdr>
          <w:divsChild>
            <w:div w:id="1131704768">
              <w:marLeft w:val="0"/>
              <w:marRight w:val="0"/>
              <w:marTop w:val="0"/>
              <w:marBottom w:val="0"/>
              <w:divBdr>
                <w:top w:val="none" w:sz="0" w:space="0" w:color="auto"/>
                <w:left w:val="none" w:sz="0" w:space="0" w:color="auto"/>
                <w:bottom w:val="none" w:sz="0" w:space="0" w:color="auto"/>
                <w:right w:val="none" w:sz="0" w:space="0" w:color="auto"/>
              </w:divBdr>
              <w:divsChild>
                <w:div w:id="1762141772">
                  <w:marLeft w:val="0"/>
                  <w:marRight w:val="0"/>
                  <w:marTop w:val="0"/>
                  <w:marBottom w:val="0"/>
                  <w:divBdr>
                    <w:top w:val="none" w:sz="0" w:space="0" w:color="auto"/>
                    <w:left w:val="none" w:sz="0" w:space="0" w:color="auto"/>
                    <w:bottom w:val="none" w:sz="0" w:space="0" w:color="auto"/>
                    <w:right w:val="none" w:sz="0" w:space="0" w:color="auto"/>
                  </w:divBdr>
                  <w:divsChild>
                    <w:div w:id="1394088337">
                      <w:marLeft w:val="0"/>
                      <w:marRight w:val="0"/>
                      <w:marTop w:val="0"/>
                      <w:marBottom w:val="0"/>
                      <w:divBdr>
                        <w:top w:val="none" w:sz="0" w:space="0" w:color="auto"/>
                        <w:left w:val="none" w:sz="0" w:space="0" w:color="auto"/>
                        <w:bottom w:val="none" w:sz="0" w:space="0" w:color="auto"/>
                        <w:right w:val="none" w:sz="0" w:space="0" w:color="auto"/>
                      </w:divBdr>
                      <w:divsChild>
                        <w:div w:id="150097617">
                          <w:marLeft w:val="384"/>
                          <w:marRight w:val="384"/>
                          <w:marTop w:val="0"/>
                          <w:marBottom w:val="0"/>
                          <w:divBdr>
                            <w:top w:val="none" w:sz="0" w:space="0" w:color="auto"/>
                            <w:left w:val="none" w:sz="0" w:space="0" w:color="auto"/>
                            <w:bottom w:val="none" w:sz="0" w:space="0" w:color="auto"/>
                            <w:right w:val="none" w:sz="0" w:space="0" w:color="auto"/>
                          </w:divBdr>
                          <w:divsChild>
                            <w:div w:id="1261793044">
                              <w:marLeft w:val="0"/>
                              <w:marRight w:val="0"/>
                              <w:marTop w:val="0"/>
                              <w:marBottom w:val="0"/>
                              <w:divBdr>
                                <w:top w:val="none" w:sz="0" w:space="0" w:color="auto"/>
                                <w:left w:val="none" w:sz="0" w:space="0" w:color="auto"/>
                                <w:bottom w:val="none" w:sz="0" w:space="0" w:color="auto"/>
                                <w:right w:val="none" w:sz="0" w:space="0" w:color="auto"/>
                              </w:divBdr>
                              <w:divsChild>
                                <w:div w:id="2048946186">
                                  <w:marLeft w:val="0"/>
                                  <w:marRight w:val="0"/>
                                  <w:marTop w:val="0"/>
                                  <w:marBottom w:val="0"/>
                                  <w:divBdr>
                                    <w:top w:val="none" w:sz="0" w:space="0" w:color="auto"/>
                                    <w:left w:val="none" w:sz="0" w:space="0" w:color="auto"/>
                                    <w:bottom w:val="none" w:sz="0" w:space="0" w:color="auto"/>
                                    <w:right w:val="none" w:sz="0" w:space="0" w:color="auto"/>
                                  </w:divBdr>
                                  <w:divsChild>
                                    <w:div w:id="41903685">
                                      <w:marLeft w:val="0"/>
                                      <w:marRight w:val="0"/>
                                      <w:marTop w:val="0"/>
                                      <w:marBottom w:val="0"/>
                                      <w:divBdr>
                                        <w:top w:val="none" w:sz="0" w:space="0" w:color="auto"/>
                                        <w:left w:val="none" w:sz="0" w:space="0" w:color="auto"/>
                                        <w:bottom w:val="none" w:sz="0" w:space="0" w:color="auto"/>
                                        <w:right w:val="none" w:sz="0" w:space="0" w:color="auto"/>
                                      </w:divBdr>
                                      <w:divsChild>
                                        <w:div w:id="653409578">
                                          <w:marLeft w:val="0"/>
                                          <w:marRight w:val="0"/>
                                          <w:marTop w:val="0"/>
                                          <w:marBottom w:val="0"/>
                                          <w:divBdr>
                                            <w:top w:val="none" w:sz="0" w:space="0" w:color="auto"/>
                                            <w:left w:val="none" w:sz="0" w:space="0" w:color="auto"/>
                                            <w:bottom w:val="none" w:sz="0" w:space="0" w:color="auto"/>
                                            <w:right w:val="none" w:sz="0" w:space="0" w:color="auto"/>
                                          </w:divBdr>
                                          <w:divsChild>
                                            <w:div w:id="87007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legislation.gov.au/Series/F2015L00454" TargetMode="External"/><Relationship Id="rId21" Type="http://schemas.openxmlformats.org/officeDocument/2006/relationships/hyperlink" Target="https://www.foodstandards.gov.au/code/proposals/Documents/P1028%20-%20Infant%20Formula%20Consultation%20Paper%20amended%20040516.pdf" TargetMode="External"/><Relationship Id="rId42" Type="http://schemas.openxmlformats.org/officeDocument/2006/relationships/hyperlink" Target="https://www.foodstandards.gov.au/code/proposals/Documents/P1028%20submissions.zip" TargetMode="External"/><Relationship Id="rId47" Type="http://schemas.openxmlformats.org/officeDocument/2006/relationships/chart" Target="charts/chart3.xml"/><Relationship Id="rId63" Type="http://schemas.openxmlformats.org/officeDocument/2006/relationships/hyperlink" Target="https://eur-lex.europa.eu/legal-content/EN/ALL/?uri=CELEX%3A32006L0141" TargetMode="External"/><Relationship Id="rId68" Type="http://schemas.openxmlformats.org/officeDocument/2006/relationships/hyperlink" Target="https://www.foodstandards.gov.au/code/applications/Pages/applicationa563mediu3018.aspx" TargetMode="External"/><Relationship Id="rId84" Type="http://schemas.openxmlformats.org/officeDocument/2006/relationships/hyperlink" Target="https://doi.org/10.1093/ajcn/nqz308" TargetMode="External"/><Relationship Id="rId89" Type="http://schemas.openxmlformats.org/officeDocument/2006/relationships/hyperlink" Target="https://doi.org/10.1093/advances/nmab034" TargetMode="External"/><Relationship Id="rId16" Type="http://schemas.openxmlformats.org/officeDocument/2006/relationships/footer" Target="footer1.xml"/><Relationship Id="rId11" Type="http://schemas.openxmlformats.org/officeDocument/2006/relationships/webSettings" Target="webSettings.xml"/><Relationship Id="rId32" Type="http://schemas.openxmlformats.org/officeDocument/2006/relationships/hyperlink" Target="https://foodregulation.gov.au/internet/fr/publishing.nsf/Content/publication-Policy-Guideline-on-Infant-Formula-Products" TargetMode="External"/><Relationship Id="rId37" Type="http://schemas.openxmlformats.org/officeDocument/2006/relationships/hyperlink" Target="https://www.foodstandards.gov.au/science/monitoringnutrients/Documents/NRVs%20Consultation%20paper%20FINAL.pdf" TargetMode="External"/><Relationship Id="rId53" Type="http://schemas.openxmlformats.org/officeDocument/2006/relationships/hyperlink" Target="http://www.fao.org/fao-who-codexalimentarius/sh-proxy/en/?lnk=1&amp;url=https%253A%252F%252Fworkspace.fao.org%252Fsites%252Fcodex%252FMeetings%252FCX-720-37%252FREP16_NFSDUe.pdf" TargetMode="External"/><Relationship Id="rId58" Type="http://schemas.openxmlformats.org/officeDocument/2006/relationships/hyperlink" Target="https://www.efsa.europa.eu/en/efsajournal/pub/2557" TargetMode="External"/><Relationship Id="rId74" Type="http://schemas.openxmlformats.org/officeDocument/2006/relationships/hyperlink" Target="http://www.foodstandards.gov.au/code/proposals/Pages/P1028.aspx" TargetMode="External"/><Relationship Id="rId79" Type="http://schemas.openxmlformats.org/officeDocument/2006/relationships/hyperlink" Target="https://www.foodstandards.gov.au/code/applications/Pages/A1102-L-carnitineInFood.aspx" TargetMode="External"/><Relationship Id="rId5" Type="http://schemas.openxmlformats.org/officeDocument/2006/relationships/customXml" Target="../customXml/item5.xml"/><Relationship Id="rId90" Type="http://schemas.openxmlformats.org/officeDocument/2006/relationships/hyperlink" Target="https://www.federalregister.gov/articles/2015/06/23/2015-15394/infant-formula-the-addition-of-minimum-and-maximum-levels-of-selenium-to-infant-formula-and-related" TargetMode="External"/><Relationship Id="rId95" Type="http://schemas.openxmlformats.org/officeDocument/2006/relationships/theme" Target="theme/theme1.xml"/><Relationship Id="rId22" Type="http://schemas.openxmlformats.org/officeDocument/2006/relationships/hyperlink" Target="https://www.foodstandards.gov.au/code/proposals/Documents/P1028%20IFPSDU%20Consultation%20Paper.pdf" TargetMode="External"/><Relationship Id="rId27" Type="http://schemas.openxmlformats.org/officeDocument/2006/relationships/hyperlink" Target="http://www.comlaw.gov.au/Series/F2015L00411" TargetMode="External"/><Relationship Id="rId43" Type="http://schemas.openxmlformats.org/officeDocument/2006/relationships/image" Target="media/image6.png"/><Relationship Id="rId48" Type="http://schemas.openxmlformats.org/officeDocument/2006/relationships/hyperlink" Target="http://www.foodstandards.gov.au/code/proposals/Pages/proposalp93reviewofinfantformula/Default.aspx" TargetMode="External"/><Relationship Id="rId64" Type="http://schemas.openxmlformats.org/officeDocument/2006/relationships/hyperlink" Target="https://eur-lex.europa.eu/legal-content/EN/TXT/?uri=uriserv%3AOJ.L_.2016.025.01.0001.01.ENG" TargetMode="External"/><Relationship Id="rId69" Type="http://schemas.openxmlformats.org/officeDocument/2006/relationships/hyperlink" Target="http://www.foodstandards.gov.au/publications/Pages/22ndaustraliantotaldietstudy/Default.aspx" TargetMode="External"/><Relationship Id="rId8" Type="http://schemas.openxmlformats.org/officeDocument/2006/relationships/numbering" Target="numbering.xml"/><Relationship Id="rId51" Type="http://schemas.openxmlformats.org/officeDocument/2006/relationships/hyperlink" Target="https://doi.org/10.5740/jaoacint.19-0015" TargetMode="External"/><Relationship Id="rId72" Type="http://schemas.openxmlformats.org/officeDocument/2006/relationships/hyperlink" Target="http://www.foodstandards.gov.au/publications/pages/23rdaustraliantotald5367.aspx" TargetMode="External"/><Relationship Id="rId80" Type="http://schemas.openxmlformats.org/officeDocument/2006/relationships/hyperlink" Target="https://www.foodstandards.gov.au/code/applications/Pages/A1155.aspx" TargetMode="External"/><Relationship Id="rId85" Type="http://schemas.openxmlformats.org/officeDocument/2006/relationships/hyperlink" Target="https://doi.org/10.1371/journal.pone.0177812" TargetMode="External"/><Relationship Id="rId93" Type="http://schemas.openxmlformats.org/officeDocument/2006/relationships/footer" Target="footer4.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hyperlink" Target="https://www.legislation.gov.au/Series/F2015L00439" TargetMode="External"/><Relationship Id="rId33" Type="http://schemas.openxmlformats.org/officeDocument/2006/relationships/image" Target="media/image2.png"/><Relationship Id="rId38" Type="http://schemas.openxmlformats.org/officeDocument/2006/relationships/chart" Target="charts/chart1.xml"/><Relationship Id="rId46" Type="http://schemas.openxmlformats.org/officeDocument/2006/relationships/hyperlink" Target="http://fsintranet/IWG/codex/Documents/Codex/CODEX%20COMMITTEES/Nutrition%20and%20Foods%20for%20Special%20Dietary%20Uses/2015%20documents/FUF/2nd%20Consultation%20Paper_Follow-up%20Formula_June.pdf" TargetMode="External"/><Relationship Id="rId59" Type="http://schemas.openxmlformats.org/officeDocument/2006/relationships/hyperlink" Target="https://www.efsa.europa.eu/en/efsajournal/pub/3893" TargetMode="External"/><Relationship Id="rId67" Type="http://schemas.openxmlformats.org/officeDocument/2006/relationships/hyperlink" Target="http://www.foodstandards.gov.au/code/applications/Pages/applicationa500addit2480.aspx" TargetMode="External"/><Relationship Id="rId20" Type="http://schemas.openxmlformats.org/officeDocument/2006/relationships/hyperlink" Target="https://www.foodstandards.gov.au/code/Pages/default.aspx" TargetMode="External"/><Relationship Id="rId41" Type="http://schemas.openxmlformats.org/officeDocument/2006/relationships/image" Target="media/image5.png"/><Relationship Id="rId54" Type="http://schemas.openxmlformats.org/officeDocument/2006/relationships/hyperlink" Target="http://www.codexalimentarius.org/input/download/standards/300/CXG_010e.pdf" TargetMode="External"/><Relationship Id="rId62" Type="http://schemas.openxmlformats.org/officeDocument/2006/relationships/hyperlink" Target="https://doi.org/10.2903/j.efsa.2020.6266" TargetMode="External"/><Relationship Id="rId70" Type="http://schemas.openxmlformats.org/officeDocument/2006/relationships/hyperlink" Target="https://www.foodstandards.gov.au/code/applications/pages/applicationa588volun3872.aspx" TargetMode="External"/><Relationship Id="rId75" Type="http://schemas.openxmlformats.org/officeDocument/2006/relationships/hyperlink" Target="https://www.foodstandards.gov.au/code/proposals/Documents/P1028-Consult-SD1-Attach-A1.pdf" TargetMode="External"/><Relationship Id="rId83" Type="http://schemas.openxmlformats.org/officeDocument/2006/relationships/hyperlink" Target="https://doi.org/10.6065/apem.2015.20.2.102" TargetMode="External"/><Relationship Id="rId88" Type="http://schemas.openxmlformats.org/officeDocument/2006/relationships/hyperlink" Target="https://www.nrv.gov.au/sites/default/files/content/resources/2017%20NRV%20Fluoride%20Report.pdf" TargetMode="External"/><Relationship Id="rId91" Type="http://schemas.openxmlformats.org/officeDocument/2006/relationships/hyperlink" Target="https://apps.who.int/iris/handle/10665/331206"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s://www.foodstandards.gov.au/code/proposals/Documents/P1028-Consult-SD1-Attach-A1.pdf" TargetMode="External"/><Relationship Id="rId23" Type="http://schemas.openxmlformats.org/officeDocument/2006/relationships/hyperlink" Target="http://www.comlaw.gov.au/Series/F2015L00463" TargetMode="External"/><Relationship Id="rId28" Type="http://schemas.openxmlformats.org/officeDocument/2006/relationships/hyperlink" Target="https://www.legislation.gov.au/Series/F2015L00453" TargetMode="External"/><Relationship Id="rId36" Type="http://schemas.openxmlformats.org/officeDocument/2006/relationships/hyperlink" Target="https://eur-lex.europa.eu/legal-content/EN/TXT/PDF/?uri=CELEX:32013R0609&amp;from=EN" TargetMode="External"/><Relationship Id="rId49" Type="http://schemas.openxmlformats.org/officeDocument/2006/relationships/hyperlink" Target="http://www.foodstandards.gov.au/code/proposals/Pages/proposalp93reviewofinfantformula/Default.aspx" TargetMode="External"/><Relationship Id="rId57" Type="http://schemas.openxmlformats.org/officeDocument/2006/relationships/hyperlink" Target="http://ec.europa.eu/food/fs/sc/scf/out199_en.pdf" TargetMode="External"/><Relationship Id="rId10" Type="http://schemas.openxmlformats.org/officeDocument/2006/relationships/settings" Target="settings.xml"/><Relationship Id="rId31" Type="http://schemas.openxmlformats.org/officeDocument/2006/relationships/hyperlink" Target="https://eur-lex.europa.eu/legal-content/EN/TXT/PDF/?uri=OJ:L:2011:295:FULL&amp;from=EN" TargetMode="External"/><Relationship Id="rId44" Type="http://schemas.openxmlformats.org/officeDocument/2006/relationships/image" Target="media/image7.png"/><Relationship Id="rId52" Type="http://schemas.openxmlformats.org/officeDocument/2006/relationships/hyperlink" Target="https://doi.org/10.1016/j.foodchem.2017.12.061" TargetMode="External"/><Relationship Id="rId60" Type="http://schemas.openxmlformats.org/officeDocument/2006/relationships/hyperlink" Target="http://www.efsa.europa.eu/en/efsajournal/pub/3760" TargetMode="External"/><Relationship Id="rId65" Type="http://schemas.openxmlformats.org/officeDocument/2006/relationships/hyperlink" Target="https://eur-lex.europa.eu/eli/reg_del/2019/828" TargetMode="External"/><Relationship Id="rId73" Type="http://schemas.openxmlformats.org/officeDocument/2006/relationships/hyperlink" Target="https://www.foodstandards.gov.au/code/infant/Pages/default.aspx" TargetMode="External"/><Relationship Id="rId78" Type="http://schemas.openxmlformats.org/officeDocument/2006/relationships/hyperlink" Target="https://www.foodstandards.gov.au/code/applications/Documents/A1173%20Approval%20Report.pdf" TargetMode="External"/><Relationship Id="rId81" Type="http://schemas.openxmlformats.org/officeDocument/2006/relationships/hyperlink" Target="http://www.fao.org/documents/card/en/c/7a6877a2-86b5-588c-a55c-c6a1e63f19c9/" TargetMode="External"/><Relationship Id="rId86" Type="http://schemas.openxmlformats.org/officeDocument/2006/relationships/hyperlink" Target="https://apo.org.au/sites/default/files/resource-files/2018-05/apo-nid173731.pdf" TargetMode="External"/><Relationship Id="rId9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1.xml"/><Relationship Id="rId39" Type="http://schemas.openxmlformats.org/officeDocument/2006/relationships/image" Target="media/image3.png"/><Relationship Id="rId34" Type="http://schemas.openxmlformats.org/officeDocument/2006/relationships/hyperlink" Target="http://www.foodstandards.gov.au/code/applications/Pages/applicationa563mediu3018.aspx" TargetMode="External"/><Relationship Id="rId50" Type="http://schemas.openxmlformats.org/officeDocument/2006/relationships/hyperlink" Target="http://www.foodstandards.gov.au/code/proposals/pages/proposalp93reviewofinfantformula/p93finalassessreport1397.aspx" TargetMode="External"/><Relationship Id="rId55" Type="http://schemas.openxmlformats.org/officeDocument/2006/relationships/hyperlink" Target="http://www.codexalimentarius.org/input/download/standards/288/CXS_072e_2015.pdf" TargetMode="External"/><Relationship Id="rId76" Type="http://schemas.openxmlformats.org/officeDocument/2006/relationships/hyperlink" Target="https://www.foodstandards.gov.au/code/proposals/Pages/P1028.aspx" TargetMode="External"/><Relationship Id="rId92" Type="http://schemas.openxmlformats.org/officeDocument/2006/relationships/footer" Target="footer3.xml"/><Relationship Id="rId71" Type="http://schemas.openxmlformats.org/officeDocument/2006/relationships/hyperlink" Target="https://www.foodstandards.gov.au/consumer/nutrition/Pages/nutrient-reference-values.aspx" TargetMode="External"/><Relationship Id="rId29" Type="http://schemas.openxmlformats.org/officeDocument/2006/relationships/hyperlink" Target="http://eur-lex.europa.eu/legal-content/EN/TXT/?uri=CELEX:32016R0127" TargetMode="External"/><Relationship Id="rId24" Type="http://schemas.openxmlformats.org/officeDocument/2006/relationships/hyperlink" Target="https://www.legislation.gov.au/Series/F2015L00396" TargetMode="External"/><Relationship Id="rId40" Type="http://schemas.openxmlformats.org/officeDocument/2006/relationships/image" Target="media/image4.png"/><Relationship Id="rId45" Type="http://schemas.openxmlformats.org/officeDocument/2006/relationships/chart" Target="charts/chart2.xml"/><Relationship Id="rId66" Type="http://schemas.openxmlformats.org/officeDocument/2006/relationships/hyperlink" Target="http://www.fao.org/fao-who-codexalimentarius/sh-proxy/en/?lnk=1&amp;url=https%253A%252F%252Fworkspace.fao.org%252Fsites%252Fcodex%252FMeetings%252FCX-720-41%252FWD%252FAppendix%2BII.pdf" TargetMode="External"/><Relationship Id="rId87" Type="http://schemas.openxmlformats.org/officeDocument/2006/relationships/hyperlink" Target="http://www.nrv.gov.au/" TargetMode="External"/><Relationship Id="rId61" Type="http://schemas.openxmlformats.org/officeDocument/2006/relationships/hyperlink" Target="https://efsa.onlinelibrary.wiley.com/doi/pdf/10.2903/j.efsa.2018.5365" TargetMode="External"/><Relationship Id="rId82" Type="http://schemas.openxmlformats.org/officeDocument/2006/relationships/hyperlink" Target="http://ajcn.nutrition.org/content/64/4/572.full.pdf+html" TargetMode="External"/><Relationship Id="rId19" Type="http://schemas.openxmlformats.org/officeDocument/2006/relationships/hyperlink" Target="http://fsanzapps/proposals/P1028/Shared%20Documents/Working%20Folder/1st%20CFS/2021%20Consultation%20Papers/CP2%20Nutrient%20Composition/SD1%20Nutrition%20risk%20assessment.docx" TargetMode="External"/><Relationship Id="rId14" Type="http://schemas.openxmlformats.org/officeDocument/2006/relationships/image" Target="media/image1.png"/><Relationship Id="rId30" Type="http://schemas.openxmlformats.org/officeDocument/2006/relationships/hyperlink" Target="http://eur-lex.europa.eu/legal-content/EN/TXT/?uri=uriserv%3AOJ.L_.2016.025.01.0030.01.ENG" TargetMode="External"/><Relationship Id="rId35" Type="http://schemas.openxmlformats.org/officeDocument/2006/relationships/hyperlink" Target="https://www.nrv.gov.au/glossary" TargetMode="External"/><Relationship Id="rId56" Type="http://schemas.openxmlformats.org/officeDocument/2006/relationships/hyperlink" Target="http://www.fao.org/fao-who-codexalimentarius/meetings/detail/en/?meeting=CCMAS&amp;session=37" TargetMode="External"/><Relationship Id="rId77" Type="http://schemas.openxmlformats.org/officeDocument/2006/relationships/hyperlink" Target="https://www.foodstandards.gov.au/code/proposals/Pages/P1028.aspx"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food/safety/labelling_nutrition/special_groups_food/children_en" TargetMode="External"/><Relationship Id="rId2" Type="http://schemas.openxmlformats.org/officeDocument/2006/relationships/hyperlink" Target="https://foodregulation.gov.au/internet/fr/publishing.nsf/Content/publication-Policy-Guideline-on-Infant-Formula-Products" TargetMode="External"/><Relationship Id="rId1" Type="http://schemas.openxmlformats.org/officeDocument/2006/relationships/hyperlink" Target="https://www.foodstandards.gov.au/publications/riskanalysisfoodregulation/Pages/default.aspx" TargetMode="External"/><Relationship Id="rId5" Type="http://schemas.openxmlformats.org/officeDocument/2006/relationships/hyperlink" Target="https://www.foodstandards.gov.au/code/proposals/Pages/proposalp1025coderev5755.aspx" TargetMode="External"/><Relationship Id="rId4" Type="http://schemas.openxmlformats.org/officeDocument/2006/relationships/hyperlink" Target="https://ec.europa.eu/food/sites/food/files/safety/docs/sci-com_scf_out145_en.pdf"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embeddings/oleObject1.bin"/></Relationships>
</file>

<file path=word/charts/_rels/chart3.xml.rels><?xml version="1.0" encoding="UTF-8" standalone="yes"?>
<Relationships xmlns="http://schemas.openxmlformats.org/package/2006/relationships"><Relationship Id="rId3" Type="http://schemas.openxmlformats.org/officeDocument/2006/relationships/oleObject" Target="file:///C:\Users\munrol\Desktop\CP1%20-%20Permitted%20micronutrient%20range%20graphs.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stacked"/>
        <c:varyColors val="0"/>
        <c:ser>
          <c:idx val="0"/>
          <c:order val="0"/>
          <c:spPr>
            <a:noFill/>
            <a:ln>
              <a:noFill/>
            </a:ln>
            <a:effectLst/>
          </c:spPr>
          <c:invertIfNegative val="0"/>
          <c:cat>
            <c:multiLvlStrRef>
              <c:f>Graphs!$A$4:$B$9</c:f>
              <c:multiLvlStrCache>
                <c:ptCount val="6"/>
                <c:lvl>
                  <c:pt idx="0">
                    <c:v>2021</c:v>
                  </c:pt>
                  <c:pt idx="1">
                    <c:v>2013-14</c:v>
                  </c:pt>
                  <c:pt idx="2">
                    <c:v>2.9.1</c:v>
                  </c:pt>
                  <c:pt idx="3">
                    <c:v>Codex</c:v>
                  </c:pt>
                  <c:pt idx="4">
                    <c:v>EU 2016</c:v>
                  </c:pt>
                  <c:pt idx="5">
                    <c:v>Breastmilk</c:v>
                  </c:pt>
                </c:lvl>
                <c:lvl>
                  <c:pt idx="0">
                    <c:v>Vitamin A</c:v>
                  </c:pt>
                </c:lvl>
              </c:multiLvlStrCache>
            </c:multiLvlStrRef>
          </c:cat>
          <c:val>
            <c:numRef>
              <c:f>Graphs!$C$4:$C$9</c:f>
              <c:numCache>
                <c:formatCode>General</c:formatCode>
                <c:ptCount val="6"/>
                <c:pt idx="0" formatCode="0.00">
                  <c:v>17.985611510791365</c:v>
                </c:pt>
                <c:pt idx="1">
                  <c:v>18.5</c:v>
                </c:pt>
                <c:pt idx="2">
                  <c:v>14</c:v>
                </c:pt>
                <c:pt idx="3">
                  <c:v>14</c:v>
                </c:pt>
                <c:pt idx="4">
                  <c:v>16.7</c:v>
                </c:pt>
                <c:pt idx="5">
                  <c:v>7.1</c:v>
                </c:pt>
              </c:numCache>
            </c:numRef>
          </c:val>
          <c:extLst>
            <c:ext xmlns:c16="http://schemas.microsoft.com/office/drawing/2014/chart" uri="{C3380CC4-5D6E-409C-BE32-E72D297353CC}">
              <c16:uniqueId val="{00000000-A049-4258-A510-A8F7F74FDFB4}"/>
            </c:ext>
          </c:extLst>
        </c:ser>
        <c:ser>
          <c:idx val="1"/>
          <c:order val="2"/>
          <c:spPr>
            <a:solidFill>
              <a:schemeClr val="accent2"/>
            </a:solidFill>
            <a:ln>
              <a:noFill/>
            </a:ln>
            <a:effectLst/>
          </c:spPr>
          <c:invertIfNegative val="0"/>
          <c:dPt>
            <c:idx val="0"/>
            <c:invertIfNegative val="0"/>
            <c:bubble3D val="0"/>
            <c:spPr>
              <a:solidFill>
                <a:schemeClr val="accent6"/>
              </a:solidFill>
              <a:ln>
                <a:noFill/>
              </a:ln>
              <a:effectLst/>
            </c:spPr>
            <c:extLst>
              <c:ext xmlns:c16="http://schemas.microsoft.com/office/drawing/2014/chart" uri="{C3380CC4-5D6E-409C-BE32-E72D297353CC}">
                <c16:uniqueId val="{00000002-A049-4258-A510-A8F7F74FDFB4}"/>
              </c:ext>
            </c:extLst>
          </c:dPt>
          <c:dPt>
            <c:idx val="1"/>
            <c:invertIfNegative val="0"/>
            <c:bubble3D val="0"/>
            <c:spPr>
              <a:solidFill>
                <a:schemeClr val="accent5"/>
              </a:solidFill>
              <a:ln>
                <a:noFill/>
              </a:ln>
              <a:effectLst/>
            </c:spPr>
            <c:extLst>
              <c:ext xmlns:c16="http://schemas.microsoft.com/office/drawing/2014/chart" uri="{C3380CC4-5D6E-409C-BE32-E72D297353CC}">
                <c16:uniqueId val="{00000004-A049-4258-A510-A8F7F74FDFB4}"/>
              </c:ext>
            </c:extLst>
          </c:dPt>
          <c:dPt>
            <c:idx val="2"/>
            <c:invertIfNegative val="0"/>
            <c:bubble3D val="0"/>
            <c:spPr>
              <a:solidFill>
                <a:schemeClr val="accent4"/>
              </a:solidFill>
              <a:ln>
                <a:noFill/>
              </a:ln>
              <a:effectLst/>
            </c:spPr>
            <c:extLst>
              <c:ext xmlns:c16="http://schemas.microsoft.com/office/drawing/2014/chart" uri="{C3380CC4-5D6E-409C-BE32-E72D297353CC}">
                <c16:uniqueId val="{00000006-A049-4258-A510-A8F7F74FDFB4}"/>
              </c:ext>
            </c:extLst>
          </c:dPt>
          <c:dPt>
            <c:idx val="3"/>
            <c:invertIfNegative val="0"/>
            <c:bubble3D val="0"/>
            <c:spPr>
              <a:solidFill>
                <a:schemeClr val="accent3"/>
              </a:solidFill>
              <a:ln>
                <a:noFill/>
              </a:ln>
              <a:effectLst/>
            </c:spPr>
            <c:extLst>
              <c:ext xmlns:c16="http://schemas.microsoft.com/office/drawing/2014/chart" uri="{C3380CC4-5D6E-409C-BE32-E72D297353CC}">
                <c16:uniqueId val="{00000008-A049-4258-A510-A8F7F74FDFB4}"/>
              </c:ext>
            </c:extLst>
          </c:dPt>
          <c:dPt>
            <c:idx val="5"/>
            <c:invertIfNegative val="0"/>
            <c:bubble3D val="0"/>
            <c:spPr>
              <a:solidFill>
                <a:schemeClr val="accent1"/>
              </a:solidFill>
              <a:ln>
                <a:noFill/>
              </a:ln>
              <a:effectLst/>
            </c:spPr>
            <c:extLst>
              <c:ext xmlns:c16="http://schemas.microsoft.com/office/drawing/2014/chart" uri="{C3380CC4-5D6E-409C-BE32-E72D297353CC}">
                <c16:uniqueId val="{0000000A-A049-4258-A510-A8F7F74FDFB4}"/>
              </c:ext>
            </c:extLst>
          </c:dPt>
          <c:cat>
            <c:multiLvlStrRef>
              <c:f>Graphs!$A$4:$B$9</c:f>
              <c:multiLvlStrCache>
                <c:ptCount val="6"/>
                <c:lvl>
                  <c:pt idx="0">
                    <c:v>2021</c:v>
                  </c:pt>
                  <c:pt idx="1">
                    <c:v>2013-14</c:v>
                  </c:pt>
                  <c:pt idx="2">
                    <c:v>2.9.1</c:v>
                  </c:pt>
                  <c:pt idx="3">
                    <c:v>Codex</c:v>
                  </c:pt>
                  <c:pt idx="4">
                    <c:v>EU 2016</c:v>
                  </c:pt>
                  <c:pt idx="5">
                    <c:v>Breastmilk</c:v>
                  </c:pt>
                </c:lvl>
                <c:lvl>
                  <c:pt idx="0">
                    <c:v>Vitamin A</c:v>
                  </c:pt>
                </c:lvl>
              </c:multiLvlStrCache>
            </c:multiLvlStrRef>
          </c:cat>
          <c:val>
            <c:numRef>
              <c:f>Graphs!$E$4:$E$9</c:f>
              <c:numCache>
                <c:formatCode>General</c:formatCode>
                <c:ptCount val="6"/>
                <c:pt idx="0">
                  <c:v>20.899003873824022</c:v>
                </c:pt>
                <c:pt idx="1">
                  <c:v>14.5</c:v>
                </c:pt>
                <c:pt idx="2">
                  <c:v>29</c:v>
                </c:pt>
                <c:pt idx="3">
                  <c:v>29</c:v>
                </c:pt>
                <c:pt idx="4">
                  <c:v>10.5</c:v>
                </c:pt>
                <c:pt idx="5">
                  <c:v>34</c:v>
                </c:pt>
              </c:numCache>
            </c:numRef>
          </c:val>
          <c:extLst>
            <c:ext xmlns:c16="http://schemas.microsoft.com/office/drawing/2014/chart" uri="{C3380CC4-5D6E-409C-BE32-E72D297353CC}">
              <c16:uniqueId val="{0000000B-A049-4258-A510-A8F7F74FDFB4}"/>
            </c:ext>
          </c:extLst>
        </c:ser>
        <c:dLbls>
          <c:showLegendKey val="0"/>
          <c:showVal val="0"/>
          <c:showCatName val="0"/>
          <c:showSerName val="0"/>
          <c:showPercent val="0"/>
          <c:showBubbleSize val="0"/>
        </c:dLbls>
        <c:gapWidth val="150"/>
        <c:overlap val="100"/>
        <c:axId val="1425787823"/>
        <c:axId val="1425789903"/>
        <c:extLst>
          <c:ext xmlns:c15="http://schemas.microsoft.com/office/drawing/2012/chart" uri="{02D57815-91ED-43cb-92C2-25804820EDAC}">
            <c15:filteredBarSeries>
              <c15:ser>
                <c:idx val="2"/>
                <c:order val="1"/>
                <c:spPr>
                  <a:solidFill>
                    <a:schemeClr val="accent3"/>
                  </a:solidFill>
                  <a:ln>
                    <a:noFill/>
                  </a:ln>
                  <a:effectLst/>
                </c:spPr>
                <c:invertIfNegative val="0"/>
                <c:cat>
                  <c:multiLvlStrRef>
                    <c:extLst>
                      <c:ext uri="{02D57815-91ED-43cb-92C2-25804820EDAC}">
                        <c15:formulaRef>
                          <c15:sqref>Graphs!$A$4:$B$9</c15:sqref>
                        </c15:formulaRef>
                      </c:ext>
                    </c:extLst>
                    <c:multiLvlStrCache>
                      <c:ptCount val="6"/>
                      <c:lvl>
                        <c:pt idx="0">
                          <c:v>2021</c:v>
                        </c:pt>
                        <c:pt idx="1">
                          <c:v>2013-14</c:v>
                        </c:pt>
                        <c:pt idx="2">
                          <c:v>2.9.1</c:v>
                        </c:pt>
                        <c:pt idx="3">
                          <c:v>Codex</c:v>
                        </c:pt>
                        <c:pt idx="4">
                          <c:v>EU 2016</c:v>
                        </c:pt>
                        <c:pt idx="5">
                          <c:v>Breastmilk</c:v>
                        </c:pt>
                      </c:lvl>
                      <c:lvl>
                        <c:pt idx="0">
                          <c:v>Vitamin A</c:v>
                        </c:pt>
                      </c:lvl>
                    </c:multiLvlStrCache>
                  </c:multiLvlStrRef>
                </c:cat>
                <c:val>
                  <c:numRef>
                    <c:extLst>
                      <c:ext uri="{02D57815-91ED-43cb-92C2-25804820EDAC}">
                        <c15:formulaRef>
                          <c15:sqref>Graphs!$D$4:$D$9</c15:sqref>
                        </c15:formulaRef>
                      </c:ext>
                    </c:extLst>
                    <c:numCache>
                      <c:formatCode>General</c:formatCode>
                      <c:ptCount val="6"/>
                      <c:pt idx="0" formatCode="0.00">
                        <c:v>38.884615384615387</c:v>
                      </c:pt>
                      <c:pt idx="1">
                        <c:v>33</c:v>
                      </c:pt>
                      <c:pt idx="2">
                        <c:v>43</c:v>
                      </c:pt>
                      <c:pt idx="3">
                        <c:v>43</c:v>
                      </c:pt>
                      <c:pt idx="4">
                        <c:v>27.2</c:v>
                      </c:pt>
                      <c:pt idx="5">
                        <c:v>41.1</c:v>
                      </c:pt>
                    </c:numCache>
                  </c:numRef>
                </c:val>
                <c:extLst>
                  <c:ext xmlns:c16="http://schemas.microsoft.com/office/drawing/2014/chart" uri="{C3380CC4-5D6E-409C-BE32-E72D297353CC}">
                    <c16:uniqueId val="{0000000C-A049-4258-A510-A8F7F74FDFB4}"/>
                  </c:ext>
                </c:extLst>
              </c15:ser>
            </c15:filteredBarSeries>
          </c:ext>
        </c:extLst>
      </c:barChart>
      <c:catAx>
        <c:axId val="1425787823"/>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25789903"/>
        <c:crosses val="autoZero"/>
        <c:auto val="1"/>
        <c:lblAlgn val="ctr"/>
        <c:lblOffset val="100"/>
        <c:tickLblSkip val="1"/>
        <c:noMultiLvlLbl val="0"/>
      </c:catAx>
      <c:valAx>
        <c:axId val="1425789903"/>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Amount (</a:t>
                </a:r>
                <a:r>
                  <a:rPr lang="en-GB">
                    <a:latin typeface="Calibri" panose="020F0502020204030204" pitchFamily="34" charset="0"/>
                    <a:cs typeface="Calibri" panose="020F0502020204030204" pitchFamily="34" charset="0"/>
                  </a:rPr>
                  <a:t>µg/100kJ)</a:t>
                </a:r>
                <a:endParaRPr lang="en-GB"/>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25787823"/>
        <c:crosses val="autoZero"/>
        <c:crossBetween val="between"/>
      </c:valAx>
      <c:spPr>
        <a:noFill/>
        <a:ln>
          <a:noFill/>
        </a:ln>
        <a:effectLst/>
      </c:spPr>
    </c:plotArea>
    <c:plotVisOnly val="1"/>
    <c:dispBlanksAs val="gap"/>
    <c:showDLblsOverMax val="0"/>
  </c:chart>
  <c:spPr>
    <a:solidFill>
      <a:schemeClr val="bg1"/>
    </a:solidFill>
    <a:ln w="9525" cap="flat" cmpd="sng" algn="ctr">
      <a:solidFill>
        <a:sysClr val="window" lastClr="FFFFFF">
          <a:lumMod val="85000"/>
        </a:sys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stacked"/>
        <c:varyColors val="0"/>
        <c:ser>
          <c:idx val="0"/>
          <c:order val="0"/>
          <c:tx>
            <c:strRef>
              <c:f>[Book1]Sheet1!$C$1</c:f>
              <c:strCache>
                <c:ptCount val="1"/>
                <c:pt idx="0">
                  <c:v>Min</c:v>
                </c:pt>
              </c:strCache>
            </c:strRef>
          </c:tx>
          <c:spPr>
            <a:noFill/>
            <a:ln>
              <a:noFill/>
            </a:ln>
            <a:effectLst/>
          </c:spPr>
          <c:invertIfNegative val="0"/>
          <c:cat>
            <c:multiLvlStrRef>
              <c:f>[Book1]Sheet1!$A$2:$B$7</c:f>
              <c:multiLvlStrCache>
                <c:ptCount val="6"/>
                <c:lvl>
                  <c:pt idx="0">
                    <c:v>2021</c:v>
                  </c:pt>
                  <c:pt idx="1">
                    <c:v>2013-14</c:v>
                  </c:pt>
                  <c:pt idx="2">
                    <c:v>2.9.1</c:v>
                  </c:pt>
                  <c:pt idx="3">
                    <c:v>Codex^</c:v>
                  </c:pt>
                  <c:pt idx="4">
                    <c:v>EU 2016</c:v>
                  </c:pt>
                  <c:pt idx="5">
                    <c:v>Breastmilk</c:v>
                  </c:pt>
                </c:lvl>
                <c:lvl>
                  <c:pt idx="0">
                    <c:v>Iron</c:v>
                  </c:pt>
                </c:lvl>
              </c:multiLvlStrCache>
            </c:multiLvlStrRef>
          </c:cat>
          <c:val>
            <c:numRef>
              <c:f>[Book1]Sheet1!$C$2:$C$7</c:f>
              <c:numCache>
                <c:formatCode>0.00</c:formatCode>
                <c:ptCount val="6"/>
                <c:pt idx="0">
                  <c:v>0.20143884892086333</c:v>
                </c:pt>
                <c:pt idx="1">
                  <c:v>0.2</c:v>
                </c:pt>
                <c:pt idx="2">
                  <c:v>0.2</c:v>
                </c:pt>
                <c:pt idx="3">
                  <c:v>0.1</c:v>
                </c:pt>
                <c:pt idx="4">
                  <c:v>7.0000000000000007E-2</c:v>
                </c:pt>
                <c:pt idx="5">
                  <c:v>7.3394495412844041E-3</c:v>
                </c:pt>
              </c:numCache>
            </c:numRef>
          </c:val>
          <c:extLst>
            <c:ext xmlns:c16="http://schemas.microsoft.com/office/drawing/2014/chart" uri="{C3380CC4-5D6E-409C-BE32-E72D297353CC}">
              <c16:uniqueId val="{00000000-ADC2-4736-90CB-E267A58806EC}"/>
            </c:ext>
          </c:extLst>
        </c:ser>
        <c:ser>
          <c:idx val="2"/>
          <c:order val="2"/>
          <c:tx>
            <c:strRef>
              <c:f>[Book1]Sheet1!$E$1</c:f>
              <c:strCache>
                <c:ptCount val="1"/>
                <c:pt idx="0">
                  <c:v>Difference</c:v>
                </c:pt>
              </c:strCache>
            </c:strRef>
          </c:tx>
          <c:spPr>
            <a:solidFill>
              <a:schemeClr val="accent3"/>
            </a:solidFill>
            <a:ln>
              <a:noFill/>
            </a:ln>
            <a:effectLst/>
          </c:spPr>
          <c:invertIfNegative val="0"/>
          <c:dPt>
            <c:idx val="0"/>
            <c:invertIfNegative val="0"/>
            <c:bubble3D val="0"/>
            <c:spPr>
              <a:solidFill>
                <a:schemeClr val="accent6"/>
              </a:solidFill>
              <a:ln>
                <a:noFill/>
              </a:ln>
              <a:effectLst/>
            </c:spPr>
            <c:extLst>
              <c:ext xmlns:c16="http://schemas.microsoft.com/office/drawing/2014/chart" uri="{C3380CC4-5D6E-409C-BE32-E72D297353CC}">
                <c16:uniqueId val="{00000002-ADC2-4736-90CB-E267A58806EC}"/>
              </c:ext>
            </c:extLst>
          </c:dPt>
          <c:dPt>
            <c:idx val="1"/>
            <c:invertIfNegative val="0"/>
            <c:bubble3D val="0"/>
            <c:spPr>
              <a:solidFill>
                <a:schemeClr val="accent5"/>
              </a:solidFill>
              <a:ln>
                <a:noFill/>
              </a:ln>
              <a:effectLst/>
            </c:spPr>
            <c:extLst>
              <c:ext xmlns:c16="http://schemas.microsoft.com/office/drawing/2014/chart" uri="{C3380CC4-5D6E-409C-BE32-E72D297353CC}">
                <c16:uniqueId val="{00000004-ADC2-4736-90CB-E267A58806EC}"/>
              </c:ext>
            </c:extLst>
          </c:dPt>
          <c:dPt>
            <c:idx val="2"/>
            <c:invertIfNegative val="0"/>
            <c:bubble3D val="0"/>
            <c:spPr>
              <a:solidFill>
                <a:schemeClr val="accent4"/>
              </a:solidFill>
              <a:ln>
                <a:noFill/>
              </a:ln>
              <a:effectLst/>
            </c:spPr>
            <c:extLst>
              <c:ext xmlns:c16="http://schemas.microsoft.com/office/drawing/2014/chart" uri="{C3380CC4-5D6E-409C-BE32-E72D297353CC}">
                <c16:uniqueId val="{00000006-ADC2-4736-90CB-E267A58806EC}"/>
              </c:ext>
            </c:extLst>
          </c:dPt>
          <c:dPt>
            <c:idx val="4"/>
            <c:invertIfNegative val="0"/>
            <c:bubble3D val="0"/>
            <c:spPr>
              <a:solidFill>
                <a:schemeClr val="accent2"/>
              </a:solidFill>
              <a:ln>
                <a:noFill/>
              </a:ln>
              <a:effectLst/>
            </c:spPr>
            <c:extLst>
              <c:ext xmlns:c16="http://schemas.microsoft.com/office/drawing/2014/chart" uri="{C3380CC4-5D6E-409C-BE32-E72D297353CC}">
                <c16:uniqueId val="{00000008-ADC2-4736-90CB-E267A58806EC}"/>
              </c:ext>
            </c:extLst>
          </c:dPt>
          <c:dPt>
            <c:idx val="5"/>
            <c:invertIfNegative val="0"/>
            <c:bubble3D val="0"/>
            <c:spPr>
              <a:solidFill>
                <a:schemeClr val="accent1"/>
              </a:solidFill>
              <a:ln>
                <a:noFill/>
              </a:ln>
              <a:effectLst/>
            </c:spPr>
            <c:extLst>
              <c:ext xmlns:c16="http://schemas.microsoft.com/office/drawing/2014/chart" uri="{C3380CC4-5D6E-409C-BE32-E72D297353CC}">
                <c16:uniqueId val="{0000000A-ADC2-4736-90CB-E267A58806EC}"/>
              </c:ext>
            </c:extLst>
          </c:dPt>
          <c:cat>
            <c:multiLvlStrRef>
              <c:f>[Book1]Sheet1!$A$2:$B$7</c:f>
              <c:multiLvlStrCache>
                <c:ptCount val="6"/>
                <c:lvl>
                  <c:pt idx="0">
                    <c:v>2021</c:v>
                  </c:pt>
                  <c:pt idx="1">
                    <c:v>2013-14</c:v>
                  </c:pt>
                  <c:pt idx="2">
                    <c:v>2.9.1</c:v>
                  </c:pt>
                  <c:pt idx="3">
                    <c:v>Codex^</c:v>
                  </c:pt>
                  <c:pt idx="4">
                    <c:v>EU 2016</c:v>
                  </c:pt>
                  <c:pt idx="5">
                    <c:v>Breastmilk</c:v>
                  </c:pt>
                </c:lvl>
                <c:lvl>
                  <c:pt idx="0">
                    <c:v>Iron</c:v>
                  </c:pt>
                </c:lvl>
              </c:multiLvlStrCache>
            </c:multiLvlStrRef>
          </c:cat>
          <c:val>
            <c:numRef>
              <c:f>[Book1]Sheet1!$E$2:$E$7</c:f>
              <c:numCache>
                <c:formatCode>0.00</c:formatCode>
                <c:ptCount val="6"/>
                <c:pt idx="0">
                  <c:v>0.24300559552358109</c:v>
                </c:pt>
                <c:pt idx="1">
                  <c:v>0.12</c:v>
                </c:pt>
                <c:pt idx="2">
                  <c:v>0.3</c:v>
                </c:pt>
                <c:pt idx="3">
                  <c:v>0</c:v>
                </c:pt>
                <c:pt idx="4">
                  <c:v>0.24</c:v>
                </c:pt>
                <c:pt idx="5">
                  <c:v>7.3394495412844041E-3</c:v>
                </c:pt>
              </c:numCache>
            </c:numRef>
          </c:val>
          <c:extLst>
            <c:ext xmlns:c16="http://schemas.microsoft.com/office/drawing/2014/chart" uri="{C3380CC4-5D6E-409C-BE32-E72D297353CC}">
              <c16:uniqueId val="{0000000B-ADC2-4736-90CB-E267A58806EC}"/>
            </c:ext>
          </c:extLst>
        </c:ser>
        <c:dLbls>
          <c:showLegendKey val="0"/>
          <c:showVal val="0"/>
          <c:showCatName val="0"/>
          <c:showSerName val="0"/>
          <c:showPercent val="0"/>
          <c:showBubbleSize val="0"/>
        </c:dLbls>
        <c:gapWidth val="150"/>
        <c:overlap val="100"/>
        <c:axId val="1993072704"/>
        <c:axId val="1993063968"/>
        <c:extLst>
          <c:ext xmlns:c15="http://schemas.microsoft.com/office/drawing/2012/chart" uri="{02D57815-91ED-43cb-92C2-25804820EDAC}">
            <c15:filteredBarSeries>
              <c15:ser>
                <c:idx val="1"/>
                <c:order val="1"/>
                <c:tx>
                  <c:strRef>
                    <c:extLst>
                      <c:ext uri="{02D57815-91ED-43cb-92C2-25804820EDAC}">
                        <c15:formulaRef>
                          <c15:sqref>[Book1]Sheet1!$D$1</c15:sqref>
                        </c15:formulaRef>
                      </c:ext>
                    </c:extLst>
                    <c:strCache>
                      <c:ptCount val="1"/>
                      <c:pt idx="0">
                        <c:v>Max</c:v>
                      </c:pt>
                    </c:strCache>
                  </c:strRef>
                </c:tx>
                <c:spPr>
                  <a:solidFill>
                    <a:schemeClr val="accent2"/>
                  </a:solidFill>
                  <a:ln>
                    <a:noFill/>
                  </a:ln>
                  <a:effectLst/>
                </c:spPr>
                <c:invertIfNegative val="0"/>
                <c:cat>
                  <c:multiLvlStrRef>
                    <c:extLst>
                      <c:ext uri="{02D57815-91ED-43cb-92C2-25804820EDAC}">
                        <c15:formulaRef>
                          <c15:sqref>[Book1]Sheet1!$A$2:$B$7</c15:sqref>
                        </c15:formulaRef>
                      </c:ext>
                    </c:extLst>
                    <c:multiLvlStrCache>
                      <c:ptCount val="6"/>
                      <c:lvl>
                        <c:pt idx="0">
                          <c:v>2021</c:v>
                        </c:pt>
                        <c:pt idx="1">
                          <c:v>2013-14</c:v>
                        </c:pt>
                        <c:pt idx="2">
                          <c:v>2.9.1</c:v>
                        </c:pt>
                        <c:pt idx="3">
                          <c:v>Codex^</c:v>
                        </c:pt>
                        <c:pt idx="4">
                          <c:v>EU 2016</c:v>
                        </c:pt>
                        <c:pt idx="5">
                          <c:v>Breastmilk</c:v>
                        </c:pt>
                      </c:lvl>
                      <c:lvl>
                        <c:pt idx="0">
                          <c:v>Iron</c:v>
                        </c:pt>
                      </c:lvl>
                    </c:multiLvlStrCache>
                  </c:multiLvlStrRef>
                </c:cat>
                <c:val>
                  <c:numRef>
                    <c:extLst>
                      <c:ext uri="{02D57815-91ED-43cb-92C2-25804820EDAC}">
                        <c15:formulaRef>
                          <c15:sqref>[Book1]Sheet1!$D$2:$D$7</c15:sqref>
                        </c15:formulaRef>
                      </c:ext>
                    </c:extLst>
                    <c:numCache>
                      <c:formatCode>0.00</c:formatCode>
                      <c:ptCount val="6"/>
                      <c:pt idx="0">
                        <c:v>0.44444444444444442</c:v>
                      </c:pt>
                      <c:pt idx="1">
                        <c:v>0.32</c:v>
                      </c:pt>
                      <c:pt idx="2">
                        <c:v>0.5</c:v>
                      </c:pt>
                      <c:pt idx="3">
                        <c:v>0</c:v>
                      </c:pt>
                      <c:pt idx="4">
                        <c:v>0.31</c:v>
                      </c:pt>
                      <c:pt idx="5">
                        <c:v>1.4678899082568808E-2</c:v>
                      </c:pt>
                    </c:numCache>
                  </c:numRef>
                </c:val>
                <c:extLst>
                  <c:ext xmlns:c16="http://schemas.microsoft.com/office/drawing/2014/chart" uri="{C3380CC4-5D6E-409C-BE32-E72D297353CC}">
                    <c16:uniqueId val="{00000011-ADC2-4736-90CB-E267A58806EC}"/>
                  </c:ext>
                </c:extLst>
              </c15:ser>
            </c15:filteredBarSeries>
          </c:ext>
        </c:extLst>
      </c:barChart>
      <c:scatterChart>
        <c:scatterStyle val="lineMarker"/>
        <c:varyColors val="0"/>
        <c:ser>
          <c:idx val="5"/>
          <c:order val="5"/>
          <c:spPr>
            <a:ln w="25400" cap="rnd">
              <a:noFill/>
              <a:round/>
            </a:ln>
            <a:effectLst/>
          </c:spPr>
          <c:marker>
            <c:symbol val="circle"/>
            <c:size val="5"/>
            <c:spPr>
              <a:noFill/>
              <a:ln w="9525">
                <a:noFill/>
              </a:ln>
              <a:effectLst/>
            </c:spPr>
          </c:marker>
          <c:dPt>
            <c:idx val="0"/>
            <c:marker>
              <c:symbol val="circle"/>
              <c:size val="5"/>
              <c:spPr>
                <a:noFill/>
                <a:ln w="9525">
                  <a:noFill/>
                </a:ln>
                <a:effectLst/>
              </c:spPr>
            </c:marker>
            <c:bubble3D val="0"/>
            <c:spPr>
              <a:ln w="25400" cap="rnd">
                <a:solidFill>
                  <a:schemeClr val="bg1"/>
                </a:solidFill>
                <a:round/>
              </a:ln>
              <a:effectLst/>
            </c:spPr>
            <c:extLst>
              <c:ext xmlns:c16="http://schemas.microsoft.com/office/drawing/2014/chart" uri="{C3380CC4-5D6E-409C-BE32-E72D297353CC}">
                <c16:uniqueId val="{0000000D-ADC2-4736-90CB-E267A58806EC}"/>
              </c:ext>
            </c:extLst>
          </c:dPt>
          <c:dPt>
            <c:idx val="1"/>
            <c:marker>
              <c:symbol val="none"/>
            </c:marker>
            <c:bubble3D val="0"/>
            <c:extLst>
              <c:ext xmlns:c16="http://schemas.microsoft.com/office/drawing/2014/chart" uri="{C3380CC4-5D6E-409C-BE32-E72D297353CC}">
                <c16:uniqueId val="{0000000E-ADC2-4736-90CB-E267A58806EC}"/>
              </c:ext>
            </c:extLst>
          </c:dPt>
          <c:dPt>
            <c:idx val="3"/>
            <c:marker>
              <c:symbol val="circle"/>
              <c:size val="5"/>
              <c:spPr>
                <a:solidFill>
                  <a:schemeClr val="accent3"/>
                </a:solidFill>
                <a:ln w="9525">
                  <a:noFill/>
                </a:ln>
                <a:effectLst/>
              </c:spPr>
            </c:marker>
            <c:bubble3D val="0"/>
            <c:extLst>
              <c:ext xmlns:c16="http://schemas.microsoft.com/office/drawing/2014/chart" uri="{C3380CC4-5D6E-409C-BE32-E72D297353CC}">
                <c16:uniqueId val="{0000000F-ADC2-4736-90CB-E267A58806EC}"/>
              </c:ext>
            </c:extLst>
          </c:dPt>
          <c:xVal>
            <c:numRef>
              <c:f>[Book1]Sheet1!$F$2:$F$7</c:f>
              <c:numCache>
                <c:formatCode>0.00</c:formatCode>
                <c:ptCount val="6"/>
                <c:pt idx="0">
                  <c:v>0</c:v>
                </c:pt>
                <c:pt idx="1">
                  <c:v>0</c:v>
                </c:pt>
                <c:pt idx="2">
                  <c:v>0</c:v>
                </c:pt>
                <c:pt idx="3" formatCode="General">
                  <c:v>0.1</c:v>
                </c:pt>
                <c:pt idx="4">
                  <c:v>0</c:v>
                </c:pt>
                <c:pt idx="5">
                  <c:v>0</c:v>
                </c:pt>
              </c:numCache>
            </c:numRef>
          </c:xVal>
          <c:yVal>
            <c:numRef>
              <c:f>[Book1]Sheet1!$G$2:$G$7</c:f>
              <c:numCache>
                <c:formatCode>0.00</c:formatCode>
                <c:ptCount val="6"/>
                <c:pt idx="0">
                  <c:v>0</c:v>
                </c:pt>
                <c:pt idx="1">
                  <c:v>0</c:v>
                </c:pt>
                <c:pt idx="2">
                  <c:v>0</c:v>
                </c:pt>
                <c:pt idx="3" formatCode="General">
                  <c:v>3</c:v>
                </c:pt>
                <c:pt idx="4">
                  <c:v>0</c:v>
                </c:pt>
                <c:pt idx="5">
                  <c:v>0</c:v>
                </c:pt>
              </c:numCache>
            </c:numRef>
          </c:yVal>
          <c:smooth val="0"/>
          <c:extLst>
            <c:ext xmlns:c16="http://schemas.microsoft.com/office/drawing/2014/chart" uri="{C3380CC4-5D6E-409C-BE32-E72D297353CC}">
              <c16:uniqueId val="{00000010-ADC2-4736-90CB-E267A58806EC}"/>
            </c:ext>
          </c:extLst>
        </c:ser>
        <c:dLbls>
          <c:showLegendKey val="0"/>
          <c:showVal val="0"/>
          <c:showCatName val="0"/>
          <c:showSerName val="0"/>
          <c:showPercent val="0"/>
          <c:showBubbleSize val="0"/>
        </c:dLbls>
        <c:axId val="1980459312"/>
        <c:axId val="1980458064"/>
        <c:extLst>
          <c:ext xmlns:c15="http://schemas.microsoft.com/office/drawing/2012/chart" uri="{02D57815-91ED-43cb-92C2-25804820EDAC}">
            <c15:filteredScatterSeries>
              <c15:ser>
                <c:idx val="3"/>
                <c:order val="3"/>
                <c:tx>
                  <c:strRef>
                    <c:extLst>
                      <c:ext uri="{02D57815-91ED-43cb-92C2-25804820EDAC}">
                        <c15:formulaRef>
                          <c15:sqref>[Book1]Sheet1!$F$1</c15:sqref>
                        </c15:formulaRef>
                      </c:ext>
                    </c:extLst>
                    <c:strCache>
                      <c:ptCount val="1"/>
                    </c:strCache>
                  </c:strRef>
                </c:tx>
                <c:spPr>
                  <a:ln w="25400" cap="rnd">
                    <a:noFill/>
                    <a:round/>
                  </a:ln>
                  <a:effectLst/>
                </c:spPr>
                <c:marker>
                  <c:symbol val="circle"/>
                  <c:size val="5"/>
                  <c:spPr>
                    <a:solidFill>
                      <a:schemeClr val="accent4"/>
                    </a:solidFill>
                    <a:ln w="9525">
                      <a:solidFill>
                        <a:schemeClr val="accent4"/>
                      </a:solidFill>
                    </a:ln>
                    <a:effectLst/>
                  </c:spPr>
                </c:marker>
                <c:xVal>
                  <c:multiLvlStrRef>
                    <c:extLst>
                      <c:ext uri="{02D57815-91ED-43cb-92C2-25804820EDAC}">
                        <c15:formulaRef>
                          <c15:sqref>[Book1]Sheet1!$A$2:$B$7</c15:sqref>
                        </c15:formulaRef>
                      </c:ext>
                    </c:extLst>
                    <c:multiLvlStrCache>
                      <c:ptCount val="6"/>
                      <c:lvl>
                        <c:pt idx="0">
                          <c:v>2021</c:v>
                        </c:pt>
                        <c:pt idx="1">
                          <c:v>2013-14</c:v>
                        </c:pt>
                        <c:pt idx="2">
                          <c:v>2.9.1</c:v>
                        </c:pt>
                        <c:pt idx="3">
                          <c:v>Codex^</c:v>
                        </c:pt>
                        <c:pt idx="4">
                          <c:v>EU 2016</c:v>
                        </c:pt>
                        <c:pt idx="5">
                          <c:v>Breastmilk</c:v>
                        </c:pt>
                      </c:lvl>
                      <c:lvl>
                        <c:pt idx="0">
                          <c:v>Iron</c:v>
                        </c:pt>
                      </c:lvl>
                    </c:multiLvlStrCache>
                  </c:multiLvlStrRef>
                </c:xVal>
                <c:yVal>
                  <c:numRef>
                    <c:extLst>
                      <c:ext uri="{02D57815-91ED-43cb-92C2-25804820EDAC}">
                        <c15:formulaRef>
                          <c15:sqref>[Book1]Sheet1!$F$2:$F$7</c15:sqref>
                        </c15:formulaRef>
                      </c:ext>
                    </c:extLst>
                    <c:numCache>
                      <c:formatCode>0.00</c:formatCode>
                      <c:ptCount val="6"/>
                      <c:pt idx="0">
                        <c:v>0</c:v>
                      </c:pt>
                      <c:pt idx="1">
                        <c:v>0</c:v>
                      </c:pt>
                      <c:pt idx="2">
                        <c:v>0</c:v>
                      </c:pt>
                      <c:pt idx="3" formatCode="General">
                        <c:v>0.1</c:v>
                      </c:pt>
                      <c:pt idx="4">
                        <c:v>0</c:v>
                      </c:pt>
                      <c:pt idx="5">
                        <c:v>0</c:v>
                      </c:pt>
                    </c:numCache>
                  </c:numRef>
                </c:yVal>
                <c:smooth val="0"/>
                <c:extLst>
                  <c:ext xmlns:c16="http://schemas.microsoft.com/office/drawing/2014/chart" uri="{C3380CC4-5D6E-409C-BE32-E72D297353CC}">
                    <c16:uniqueId val="{00000012-ADC2-4736-90CB-E267A58806EC}"/>
                  </c:ext>
                </c:extLst>
              </c15:ser>
            </c15:filteredScatterSeries>
            <c15:filteredScatterSeries>
              <c15:ser>
                <c:idx val="4"/>
                <c:order val="4"/>
                <c:tx>
                  <c:strRef>
                    <c:extLst xmlns:c15="http://schemas.microsoft.com/office/drawing/2012/chart">
                      <c:ext xmlns:c15="http://schemas.microsoft.com/office/drawing/2012/chart" uri="{02D57815-91ED-43cb-92C2-25804820EDAC}">
                        <c15:formulaRef>
                          <c15:sqref>[Book1]Sheet1!$G$1</c15:sqref>
                        </c15:formulaRef>
                      </c:ext>
                    </c:extLst>
                    <c:strCache>
                      <c:ptCount val="1"/>
                    </c:strCache>
                  </c:strRef>
                </c:tx>
                <c:spPr>
                  <a:ln w="25400" cap="rnd">
                    <a:noFill/>
                    <a:round/>
                  </a:ln>
                  <a:effectLst/>
                </c:spPr>
                <c:marker>
                  <c:symbol val="circle"/>
                  <c:size val="5"/>
                  <c:spPr>
                    <a:solidFill>
                      <a:schemeClr val="accent5"/>
                    </a:solidFill>
                    <a:ln w="9525">
                      <a:solidFill>
                        <a:schemeClr val="accent5"/>
                      </a:solidFill>
                    </a:ln>
                    <a:effectLst/>
                  </c:spPr>
                </c:marker>
                <c:xVal>
                  <c:multiLvlStrRef>
                    <c:extLst xmlns:c15="http://schemas.microsoft.com/office/drawing/2012/chart">
                      <c:ext xmlns:c15="http://schemas.microsoft.com/office/drawing/2012/chart" uri="{02D57815-91ED-43cb-92C2-25804820EDAC}">
                        <c15:formulaRef>
                          <c15:sqref>[Book1]Sheet1!$A$2:$B$7</c15:sqref>
                        </c15:formulaRef>
                      </c:ext>
                    </c:extLst>
                    <c:multiLvlStrCache>
                      <c:ptCount val="6"/>
                      <c:lvl>
                        <c:pt idx="0">
                          <c:v>2021</c:v>
                        </c:pt>
                        <c:pt idx="1">
                          <c:v>2013-14</c:v>
                        </c:pt>
                        <c:pt idx="2">
                          <c:v>2.9.1</c:v>
                        </c:pt>
                        <c:pt idx="3">
                          <c:v>Codex^</c:v>
                        </c:pt>
                        <c:pt idx="4">
                          <c:v>EU 2016</c:v>
                        </c:pt>
                        <c:pt idx="5">
                          <c:v>Breastmilk</c:v>
                        </c:pt>
                      </c:lvl>
                      <c:lvl>
                        <c:pt idx="0">
                          <c:v>Iron</c:v>
                        </c:pt>
                      </c:lvl>
                    </c:multiLvlStrCache>
                  </c:multiLvlStrRef>
                </c:xVal>
                <c:yVal>
                  <c:numRef>
                    <c:extLst xmlns:c15="http://schemas.microsoft.com/office/drawing/2012/chart">
                      <c:ext xmlns:c15="http://schemas.microsoft.com/office/drawing/2012/chart" uri="{02D57815-91ED-43cb-92C2-25804820EDAC}">
                        <c15:formulaRef>
                          <c15:sqref>[Book1]Sheet1!$G$2:$G$7</c15:sqref>
                        </c15:formulaRef>
                      </c:ext>
                    </c:extLst>
                    <c:numCache>
                      <c:formatCode>0.00</c:formatCode>
                      <c:ptCount val="6"/>
                      <c:pt idx="0">
                        <c:v>0</c:v>
                      </c:pt>
                      <c:pt idx="1">
                        <c:v>0</c:v>
                      </c:pt>
                      <c:pt idx="2">
                        <c:v>0</c:v>
                      </c:pt>
                      <c:pt idx="3" formatCode="General">
                        <c:v>3</c:v>
                      </c:pt>
                      <c:pt idx="4">
                        <c:v>0</c:v>
                      </c:pt>
                      <c:pt idx="5">
                        <c:v>0</c:v>
                      </c:pt>
                    </c:numCache>
                  </c:numRef>
                </c:yVal>
                <c:smooth val="0"/>
                <c:extLst xmlns:c15="http://schemas.microsoft.com/office/drawing/2012/chart">
                  <c:ext xmlns:c16="http://schemas.microsoft.com/office/drawing/2014/chart" uri="{C3380CC4-5D6E-409C-BE32-E72D297353CC}">
                    <c16:uniqueId val="{00000013-ADC2-4736-90CB-E267A58806EC}"/>
                  </c:ext>
                </c:extLst>
              </c15:ser>
            </c15:filteredScatterSeries>
          </c:ext>
        </c:extLst>
      </c:scatterChart>
      <c:catAx>
        <c:axId val="199307270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93063968"/>
        <c:crosses val="autoZero"/>
        <c:auto val="1"/>
        <c:lblAlgn val="ctr"/>
        <c:lblOffset val="100"/>
        <c:noMultiLvlLbl val="0"/>
      </c:catAx>
      <c:valAx>
        <c:axId val="1993063968"/>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Amount (mg/100 kJ)</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93072704"/>
        <c:crosses val="autoZero"/>
        <c:crossBetween val="between"/>
      </c:valAx>
      <c:valAx>
        <c:axId val="1980458064"/>
        <c:scaling>
          <c:orientation val="minMax"/>
          <c:max val="5.5"/>
        </c:scaling>
        <c:delete val="1"/>
        <c:axPos val="r"/>
        <c:numFmt formatCode="0.00" sourceLinked="1"/>
        <c:majorTickMark val="out"/>
        <c:minorTickMark val="none"/>
        <c:tickLblPos val="nextTo"/>
        <c:crossAx val="1980459312"/>
        <c:crosses val="max"/>
        <c:crossBetween val="midCat"/>
      </c:valAx>
      <c:valAx>
        <c:axId val="1980459312"/>
        <c:scaling>
          <c:orientation val="minMax"/>
        </c:scaling>
        <c:delete val="1"/>
        <c:axPos val="b"/>
        <c:numFmt formatCode="0.00" sourceLinked="1"/>
        <c:majorTickMark val="out"/>
        <c:minorTickMark val="none"/>
        <c:tickLblPos val="nextTo"/>
        <c:crossAx val="1980458064"/>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spPr>
            <a:noFill/>
            <a:ln>
              <a:noFill/>
            </a:ln>
            <a:effectLst/>
          </c:spPr>
          <c:invertIfNegative val="0"/>
          <c:cat>
            <c:multiLvlStrRef>
              <c:f>'Graphs - Student Report '!$A$53:$B$58</c:f>
              <c:multiLvlStrCache>
                <c:ptCount val="6"/>
                <c:lvl>
                  <c:pt idx="0">
                    <c:v>2021</c:v>
                  </c:pt>
                  <c:pt idx="1">
                    <c:v>2013-14</c:v>
                  </c:pt>
                  <c:pt idx="2">
                    <c:v>2.9.1</c:v>
                  </c:pt>
                  <c:pt idx="3">
                    <c:v>Codex*</c:v>
                  </c:pt>
                  <c:pt idx="4">
                    <c:v>EU 2016</c:v>
                  </c:pt>
                  <c:pt idx="5">
                    <c:v>Breastmilk</c:v>
                  </c:pt>
                </c:lvl>
                <c:lvl>
                  <c:pt idx="0">
                    <c:v>Selenium x10</c:v>
                  </c:pt>
                </c:lvl>
              </c:multiLvlStrCache>
            </c:multiLvlStrRef>
          </c:cat>
          <c:val>
            <c:numRef>
              <c:f>'Graphs - Student Report '!$C$53:$C$58</c:f>
              <c:numCache>
                <c:formatCode>General</c:formatCode>
                <c:ptCount val="6"/>
                <c:pt idx="0">
                  <c:v>4.2704626334519569</c:v>
                </c:pt>
                <c:pt idx="1">
                  <c:v>2.9</c:v>
                </c:pt>
                <c:pt idx="2">
                  <c:v>2.5</c:v>
                </c:pt>
                <c:pt idx="3">
                  <c:v>2.4</c:v>
                </c:pt>
                <c:pt idx="4">
                  <c:v>7.1999999999999993</c:v>
                </c:pt>
                <c:pt idx="5">
                  <c:v>1.1009174311926606</c:v>
                </c:pt>
              </c:numCache>
            </c:numRef>
          </c:val>
          <c:extLst>
            <c:ext xmlns:c16="http://schemas.microsoft.com/office/drawing/2014/chart" uri="{C3380CC4-5D6E-409C-BE32-E72D297353CC}">
              <c16:uniqueId val="{00000000-429D-4787-B981-9009D53B3475}"/>
            </c:ext>
          </c:extLst>
        </c:ser>
        <c:ser>
          <c:idx val="1"/>
          <c:order val="2"/>
          <c:spPr>
            <a:solidFill>
              <a:schemeClr val="accent2"/>
            </a:solidFill>
            <a:ln>
              <a:noFill/>
            </a:ln>
            <a:effectLst/>
          </c:spPr>
          <c:invertIfNegative val="0"/>
          <c:dPt>
            <c:idx val="0"/>
            <c:invertIfNegative val="0"/>
            <c:bubble3D val="0"/>
            <c:spPr>
              <a:solidFill>
                <a:schemeClr val="accent6"/>
              </a:solidFill>
              <a:ln>
                <a:noFill/>
              </a:ln>
              <a:effectLst/>
            </c:spPr>
            <c:extLst>
              <c:ext xmlns:c16="http://schemas.microsoft.com/office/drawing/2014/chart" uri="{C3380CC4-5D6E-409C-BE32-E72D297353CC}">
                <c16:uniqueId val="{00000002-429D-4787-B981-9009D53B3475}"/>
              </c:ext>
            </c:extLst>
          </c:dPt>
          <c:dPt>
            <c:idx val="1"/>
            <c:invertIfNegative val="0"/>
            <c:bubble3D val="0"/>
            <c:spPr>
              <a:solidFill>
                <a:schemeClr val="accent5"/>
              </a:solidFill>
              <a:ln>
                <a:noFill/>
              </a:ln>
              <a:effectLst/>
            </c:spPr>
            <c:extLst>
              <c:ext xmlns:c16="http://schemas.microsoft.com/office/drawing/2014/chart" uri="{C3380CC4-5D6E-409C-BE32-E72D297353CC}">
                <c16:uniqueId val="{00000004-429D-4787-B981-9009D53B3475}"/>
              </c:ext>
            </c:extLst>
          </c:dPt>
          <c:dPt>
            <c:idx val="2"/>
            <c:invertIfNegative val="0"/>
            <c:bubble3D val="0"/>
            <c:spPr>
              <a:solidFill>
                <a:schemeClr val="accent4"/>
              </a:solidFill>
              <a:ln>
                <a:noFill/>
              </a:ln>
              <a:effectLst/>
            </c:spPr>
            <c:extLst>
              <c:ext xmlns:c16="http://schemas.microsoft.com/office/drawing/2014/chart" uri="{C3380CC4-5D6E-409C-BE32-E72D297353CC}">
                <c16:uniqueId val="{00000006-429D-4787-B981-9009D53B3475}"/>
              </c:ext>
            </c:extLst>
          </c:dPt>
          <c:dPt>
            <c:idx val="3"/>
            <c:invertIfNegative val="0"/>
            <c:bubble3D val="0"/>
            <c:spPr>
              <a:solidFill>
                <a:schemeClr val="accent3"/>
              </a:solidFill>
              <a:ln>
                <a:noFill/>
              </a:ln>
              <a:effectLst/>
            </c:spPr>
            <c:extLst>
              <c:ext xmlns:c16="http://schemas.microsoft.com/office/drawing/2014/chart" uri="{C3380CC4-5D6E-409C-BE32-E72D297353CC}">
                <c16:uniqueId val="{00000008-429D-4787-B981-9009D53B3475}"/>
              </c:ext>
            </c:extLst>
          </c:dPt>
          <c:dPt>
            <c:idx val="5"/>
            <c:invertIfNegative val="0"/>
            <c:bubble3D val="0"/>
            <c:spPr>
              <a:solidFill>
                <a:schemeClr val="accent1"/>
              </a:solidFill>
              <a:ln>
                <a:noFill/>
              </a:ln>
              <a:effectLst/>
            </c:spPr>
            <c:extLst>
              <c:ext xmlns:c16="http://schemas.microsoft.com/office/drawing/2014/chart" uri="{C3380CC4-5D6E-409C-BE32-E72D297353CC}">
                <c16:uniqueId val="{0000000A-429D-4787-B981-9009D53B3475}"/>
              </c:ext>
            </c:extLst>
          </c:dPt>
          <c:cat>
            <c:multiLvlStrRef>
              <c:f>'Graphs - Student Report '!$A$53:$B$58</c:f>
              <c:multiLvlStrCache>
                <c:ptCount val="6"/>
                <c:lvl>
                  <c:pt idx="0">
                    <c:v>2021</c:v>
                  </c:pt>
                  <c:pt idx="1">
                    <c:v>2013-14</c:v>
                  </c:pt>
                  <c:pt idx="2">
                    <c:v>2.9.1</c:v>
                  </c:pt>
                  <c:pt idx="3">
                    <c:v>Codex*</c:v>
                  </c:pt>
                  <c:pt idx="4">
                    <c:v>EU 2016</c:v>
                  </c:pt>
                  <c:pt idx="5">
                    <c:v>Breastmilk</c:v>
                  </c:pt>
                </c:lvl>
                <c:lvl>
                  <c:pt idx="0">
                    <c:v>Selenium x10</c:v>
                  </c:pt>
                </c:lvl>
              </c:multiLvlStrCache>
            </c:multiLvlStrRef>
          </c:cat>
          <c:val>
            <c:numRef>
              <c:f>'Graphs - Student Report '!$E$53:$E$58</c:f>
              <c:numCache>
                <c:formatCode>General</c:formatCode>
                <c:ptCount val="6"/>
                <c:pt idx="0">
                  <c:v>7.0931737301844073</c:v>
                </c:pt>
                <c:pt idx="1">
                  <c:v>6.6999999999999993</c:v>
                </c:pt>
                <c:pt idx="2">
                  <c:v>9.3999999999999986</c:v>
                </c:pt>
                <c:pt idx="3">
                  <c:v>19.600000000000001</c:v>
                </c:pt>
                <c:pt idx="4">
                  <c:v>12.8</c:v>
                </c:pt>
                <c:pt idx="5">
                  <c:v>29.724770642201833</c:v>
                </c:pt>
              </c:numCache>
            </c:numRef>
          </c:val>
          <c:extLst>
            <c:ext xmlns:c16="http://schemas.microsoft.com/office/drawing/2014/chart" uri="{C3380CC4-5D6E-409C-BE32-E72D297353CC}">
              <c16:uniqueId val="{0000000B-429D-4787-B981-9009D53B3475}"/>
            </c:ext>
          </c:extLst>
        </c:ser>
        <c:dLbls>
          <c:showLegendKey val="0"/>
          <c:showVal val="0"/>
          <c:showCatName val="0"/>
          <c:showSerName val="0"/>
          <c:showPercent val="0"/>
          <c:showBubbleSize val="0"/>
        </c:dLbls>
        <c:gapWidth val="150"/>
        <c:overlap val="100"/>
        <c:axId val="1425787823"/>
        <c:axId val="1425789903"/>
        <c:extLst>
          <c:ext xmlns:c15="http://schemas.microsoft.com/office/drawing/2012/chart" uri="{02D57815-91ED-43cb-92C2-25804820EDAC}">
            <c15:filteredBarSeries>
              <c15:ser>
                <c:idx val="2"/>
                <c:order val="1"/>
                <c:spPr>
                  <a:solidFill>
                    <a:schemeClr val="accent3"/>
                  </a:solidFill>
                  <a:ln>
                    <a:noFill/>
                  </a:ln>
                  <a:effectLst/>
                </c:spPr>
                <c:invertIfNegative val="0"/>
                <c:cat>
                  <c:multiLvlStrRef>
                    <c:extLst>
                      <c:ext uri="{02D57815-91ED-43cb-92C2-25804820EDAC}">
                        <c15:formulaRef>
                          <c15:sqref>'Graphs - Student Report '!$A$53:$B$58</c15:sqref>
                        </c15:formulaRef>
                      </c:ext>
                    </c:extLst>
                    <c:multiLvlStrCache>
                      <c:ptCount val="6"/>
                      <c:lvl>
                        <c:pt idx="0">
                          <c:v>2021</c:v>
                        </c:pt>
                        <c:pt idx="1">
                          <c:v>2013-14</c:v>
                        </c:pt>
                        <c:pt idx="2">
                          <c:v>2.9.1</c:v>
                        </c:pt>
                        <c:pt idx="3">
                          <c:v>Codex*</c:v>
                        </c:pt>
                        <c:pt idx="4">
                          <c:v>EU 2016</c:v>
                        </c:pt>
                        <c:pt idx="5">
                          <c:v>Breastmilk</c:v>
                        </c:pt>
                      </c:lvl>
                      <c:lvl>
                        <c:pt idx="0">
                          <c:v>Selenium x10</c:v>
                        </c:pt>
                      </c:lvl>
                    </c:multiLvlStrCache>
                  </c:multiLvlStrRef>
                </c:cat>
                <c:val>
                  <c:numRef>
                    <c:extLst>
                      <c:ext uri="{02D57815-91ED-43cb-92C2-25804820EDAC}">
                        <c15:formulaRef>
                          <c15:sqref>'Graphs - Student Report '!$D$53:$D$58</c15:sqref>
                        </c15:formulaRef>
                      </c:ext>
                    </c:extLst>
                    <c:numCache>
                      <c:formatCode>General</c:formatCode>
                      <c:ptCount val="6"/>
                      <c:pt idx="0">
                        <c:v>11.363636363636365</c:v>
                      </c:pt>
                      <c:pt idx="1">
                        <c:v>9.6</c:v>
                      </c:pt>
                      <c:pt idx="2">
                        <c:v>11.899999999999999</c:v>
                      </c:pt>
                      <c:pt idx="3">
                        <c:v>22</c:v>
                      </c:pt>
                      <c:pt idx="4">
                        <c:v>20</c:v>
                      </c:pt>
                      <c:pt idx="5">
                        <c:v>30.825688073394495</c:v>
                      </c:pt>
                    </c:numCache>
                  </c:numRef>
                </c:val>
                <c:extLst>
                  <c:ext xmlns:c16="http://schemas.microsoft.com/office/drawing/2014/chart" uri="{C3380CC4-5D6E-409C-BE32-E72D297353CC}">
                    <c16:uniqueId val="{0000000C-429D-4787-B981-9009D53B3475}"/>
                  </c:ext>
                </c:extLst>
              </c15:ser>
            </c15:filteredBarSeries>
          </c:ext>
        </c:extLst>
      </c:barChart>
      <c:catAx>
        <c:axId val="1425787823"/>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crossAx val="1425789903"/>
        <c:crosses val="autoZero"/>
        <c:auto val="1"/>
        <c:lblAlgn val="ctr"/>
        <c:lblOffset val="100"/>
        <c:tickLblSkip val="1"/>
        <c:noMultiLvlLbl val="0"/>
      </c:catAx>
      <c:valAx>
        <c:axId val="1425789903"/>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r>
                  <a:rPr lang="en-GB" sz="1100"/>
                  <a:t>Amount (</a:t>
                </a:r>
                <a:r>
                  <a:rPr lang="en-GB" sz="1100">
                    <a:latin typeface="Calibri" panose="020F0502020204030204" pitchFamily="34" charset="0"/>
                    <a:cs typeface="Calibri" panose="020F0502020204030204" pitchFamily="34" charset="0"/>
                  </a:rPr>
                  <a:t>µg/100kJ)</a:t>
                </a:r>
                <a:endParaRPr lang="en-GB" sz="1100"/>
              </a:p>
            </c:rich>
          </c:tx>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2578782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isl xmlns:xsd="http://www.w3.org/2001/XMLSchema" xmlns:xsi="http://www.w3.org/2001/XMLSchema-instance" xmlns="http://www.boldonjames.com/2008/01/sie/internal/label" sislVersion="0" policy="1865c0a7-d648-4a74-80fe-fa9dc7fe13cc" origin="userSelected">
  <element uid="66ddac19-06c4-4e63-b4dd-d8240d87a23f" value=""/>
</sisl>
</file>

<file path=customXml/item2.xml><?xml version="1.0" encoding="utf-8"?>
<?mso-contentType ?>
<SharedContentType xmlns="Microsoft.SharePoint.Taxonomy.ContentTypeSync" SourceId="8959f586-1386-49a0-8f25-29490ba8c513" ContentTypeId="0x01010004C4C934AD08B647A78FCADD498BE31902" PreviousValue="false"/>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B2FFA9FD6109347A9495CD5860AFAE6" ma:contentTypeVersion="4" ma:contentTypeDescription="Create a new document." ma:contentTypeScope="" ma:versionID="d855f31f1184c2f9c5330b102a35b1ee">
  <xsd:schema xmlns:xsd="http://www.w3.org/2001/XMLSchema" xmlns:xs="http://www.w3.org/2001/XMLSchema" xmlns:p="http://schemas.microsoft.com/office/2006/metadata/properties" xmlns:ns1="http://schemas.microsoft.com/sharepoint/v3" xmlns:ns2="dae2aec2-5ad0-4d76-aa7b-990c9a14db5a" targetNamespace="http://schemas.microsoft.com/office/2006/metadata/properties" ma:root="true" ma:fieldsID="7f7f394222715943dc44d7de31b8d340" ns1:_="" ns2:_="">
    <xsd:import namespace="http://schemas.microsoft.com/sharepoint/v3"/>
    <xsd:import namespace="dae2aec2-5ad0-4d76-aa7b-990c9a14db5a"/>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5" nillable="true" ma:displayName="Scheduling End Date" ma:description=""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ae2aec2-5ad0-4d76-aa7b-990c9a14db5a"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ACF1F5-779F-44FC-BB8A-27DBD52DC072}"/>
</file>

<file path=customXml/itemProps2.xml><?xml version="1.0" encoding="utf-8"?>
<ds:datastoreItem xmlns:ds="http://schemas.openxmlformats.org/officeDocument/2006/customXml" ds:itemID="{F3BA80BC-425C-4269-B74F-D627BBA01AB2}">
  <ds:schemaRefs>
    <ds:schemaRef ds:uri="Microsoft.SharePoint.Taxonomy.ContentTypeSync"/>
  </ds:schemaRefs>
</ds:datastoreItem>
</file>

<file path=customXml/itemProps3.xml><?xml version="1.0" encoding="utf-8"?>
<ds:datastoreItem xmlns:ds="http://schemas.openxmlformats.org/officeDocument/2006/customXml" ds:itemID="{ED1ABB9F-74F4-4877-88F3-63C343513AAB}"/>
</file>

<file path=customXml/itemProps4.xml><?xml version="1.0" encoding="utf-8"?>
<ds:datastoreItem xmlns:ds="http://schemas.openxmlformats.org/officeDocument/2006/customXml" ds:itemID="{E892F2D9-D303-4387-9D30-432493F1AD43}"/>
</file>

<file path=customXml/itemProps5.xml><?xml version="1.0" encoding="utf-8"?>
<ds:datastoreItem xmlns:ds="http://schemas.openxmlformats.org/officeDocument/2006/customXml" ds:itemID="{B22077B9-9E2B-4A71-825C-7F2561A56CEB}"/>
</file>

<file path=customXml/itemProps6.xml><?xml version="1.0" encoding="utf-8"?>
<ds:datastoreItem xmlns:ds="http://schemas.openxmlformats.org/officeDocument/2006/customXml" ds:itemID="{04CC2F98-461C-423A-B155-BF621865A8E9}"/>
</file>

<file path=customXml/itemProps7.xml><?xml version="1.0" encoding="utf-8"?>
<ds:datastoreItem xmlns:ds="http://schemas.openxmlformats.org/officeDocument/2006/customXml" ds:itemID="{04CC2F98-461C-423A-B155-BF621865A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133</Pages>
  <Words>55623</Words>
  <Characters>317055</Characters>
  <Application>Microsoft Office Word</Application>
  <DocSecurity>0</DocSecurity>
  <Lines>2642</Lines>
  <Paragraphs>743</Paragraphs>
  <ScaleCrop>false</ScaleCrop>
  <HeadingPairs>
    <vt:vector size="2" baseType="variant">
      <vt:variant>
        <vt:lpstr>Title</vt:lpstr>
      </vt:variant>
      <vt:variant>
        <vt:i4>1</vt:i4>
      </vt:variant>
    </vt:vector>
  </HeadingPairs>
  <TitlesOfParts>
    <vt:vector size="1" baseType="lpstr">
      <vt:lpstr/>
    </vt:vector>
  </TitlesOfParts>
  <Company>Food Standards Australia New Zealand</Company>
  <LinksUpToDate>false</LinksUpToDate>
  <CharactersWithSpaces>371935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Lorna Munro</dc:creator>
  <cp:keywords/>
  <dc:description/>
  <cp:lastModifiedBy>Tailee Vecchi</cp:lastModifiedBy>
  <cp:revision>3</cp:revision>
  <cp:lastPrinted>2021-07-02T02:21:00Z</cp:lastPrinted>
  <dcterms:created xsi:type="dcterms:W3CDTF">2021-07-05T23:00:00Z</dcterms:created>
  <dcterms:modified xsi:type="dcterms:W3CDTF">2021-07-05T23:04:00Z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Saver">
    <vt:lpwstr>dgJBwQajTgdBtp6n5Ax0kyGwGD0PZmc0</vt:lpwstr>
  </property>
  <property fmtid="{D5CDD505-2E9C-101B-9397-08002B2CF9AE}" pid="3" name="bjDocumentLabelXML">
    <vt:lpwstr>&lt;?xml version="1.0" encoding="us-ascii"?&gt;&lt;sisl xmlns:xsd="http://www.w3.org/2001/XMLSchema" xmlns:xsi="http://www.w3.org/2001/XMLSchema-instance" sislVersion="0" policy="1865c0a7-d648-4a74-80fe-fa9dc7fe13cc" origin="userSelected" xmlns="http://www.boldonj</vt:lpwstr>
  </property>
  <property fmtid="{D5CDD505-2E9C-101B-9397-08002B2CF9AE}" pid="4" name="bjDocumentLabelXML-0">
    <vt:lpwstr>ames.com/2008/01/sie/internal/label"&gt;&lt;element uid="66ddac19-06c4-4e63-b4dd-d8240d87a23f" value="" /&gt;&lt;/sisl&gt;</vt:lpwstr>
  </property>
  <property fmtid="{D5CDD505-2E9C-101B-9397-08002B2CF9AE}" pid="5" name="bjDocumentSecurityLabel">
    <vt:lpwstr>NO SECURITY CLASSIFICATION REQUIRED</vt:lpwstr>
  </property>
  <property fmtid="{D5CDD505-2E9C-101B-9397-08002B2CF9AE}" pid="6" name="ContentTypeId">
    <vt:lpwstr>0x010100CB2FFA9FD6109347A9495CD5860AFAE6</vt:lpwstr>
  </property>
  <property fmtid="{D5CDD505-2E9C-101B-9397-08002B2CF9AE}" pid="7" name="_dlc_DocIdItemGuid">
    <vt:lpwstr>66a70d7b-23ca-4094-88a1-02a3a1c94f4c</vt:lpwstr>
  </property>
  <property fmtid="{D5CDD505-2E9C-101B-9397-08002B2CF9AE}" pid="8" name="DisposalClass">
    <vt:lpwstr/>
  </property>
  <property fmtid="{D5CDD505-2E9C-101B-9397-08002B2CF9AE}" pid="9" name="BCS_">
    <vt:lpwstr>104;#Risk analysis|cc7326cd-75dc-4f90-bd79-98db44d99a33</vt:lpwstr>
  </property>
  <property fmtid="{D5CDD505-2E9C-101B-9397-08002B2CF9AE}" pid="10" name="RecordPoint_WorkflowType">
    <vt:lpwstr>ActiveSubmitStub</vt:lpwstr>
  </property>
  <property fmtid="{D5CDD505-2E9C-101B-9397-08002B2CF9AE}" pid="11" name="RecordPoint_ActiveItemListId">
    <vt:lpwstr>{57c882db-e24d-40a0-83c4-e9638d3fa2eb}</vt:lpwstr>
  </property>
  <property fmtid="{D5CDD505-2E9C-101B-9397-08002B2CF9AE}" pid="12" name="RecordPoint_ActiveItemUniqueId">
    <vt:lpwstr>{66a70d7b-23ca-4094-88a1-02a3a1c94f4c}</vt:lpwstr>
  </property>
  <property fmtid="{D5CDD505-2E9C-101B-9397-08002B2CF9AE}" pid="13" name="RecordPoint_ActiveItemWebId">
    <vt:lpwstr>{d2314cd5-f202-44f0-b5ce-940fdae5f4d5}</vt:lpwstr>
  </property>
  <property fmtid="{D5CDD505-2E9C-101B-9397-08002B2CF9AE}" pid="14" name="RecordPoint_ActiveItemSiteId">
    <vt:lpwstr>{dd95a578-5c6a-4f11-92f7-f95884d628d6}</vt:lpwstr>
  </property>
  <property fmtid="{D5CDD505-2E9C-101B-9397-08002B2CF9AE}" pid="15" name="RecordPoint_RecordNumberSubmitted">
    <vt:lpwstr>R0000147393</vt:lpwstr>
  </property>
  <property fmtid="{D5CDD505-2E9C-101B-9397-08002B2CF9AE}" pid="16" name="RecordPoint_SubmissionCompleted">
    <vt:lpwstr>2021-05-20T16:25:10.2553742+10:00</vt:lpwstr>
  </property>
  <property fmtid="{D5CDD505-2E9C-101B-9397-08002B2CF9AE}" pid="17" name="docIndexRef">
    <vt:lpwstr>2fa3b592-1fa4-4ce8-a824-c45fbcbf918b</vt:lpwstr>
  </property>
</Properties>
</file>